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1.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2.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3.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4.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5.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6.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17.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18.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19.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oter20.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footer21.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footer22.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footer23.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24.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footer25.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footer26.xml" ContentType="application/vnd.openxmlformats-officedocument.wordprocessingml.foot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footer27.xml" ContentType="application/vnd.openxmlformats-officedocument.wordprocessingml.foot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footer28.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footer29.xml" ContentType="application/vnd.openxmlformats-officedocument.wordprocessingml.foot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footer30.xml" ContentType="application/vnd.openxmlformats-officedocument.wordprocessingml.foot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footer31.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84.xml" ContentType="application/vnd.openxmlformats-officedocument.wordprocessingml.header+xml"/>
  <Override PartName="/word/footer3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35.xml" ContentType="application/vnd.openxmlformats-officedocument.wordprocessingml.foot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footer36.xml" ContentType="application/vnd.openxmlformats-officedocument.wordprocessingml.foot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footer37.xml" ContentType="application/vnd.openxmlformats-officedocument.wordprocessingml.foot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footer38.xml" ContentType="application/vnd.openxmlformats-officedocument.wordprocessingml.footer+xml"/>
  <Override PartName="/word/header96.xml" ContentType="application/vnd.openxmlformats-officedocument.wordprocessingml.header+xml"/>
  <Override PartName="/word/header97.xml" ContentType="application/vnd.openxmlformats-officedocument.wordprocessingml.header+xml"/>
  <Override PartName="/word/footer39.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footer40.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footer41.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footer42.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footer43.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footer44.xml" ContentType="application/vnd.openxmlformats-officedocument.wordprocessingml.footer+xml"/>
  <Override PartName="/word/footer45.xml" ContentType="application/vnd.openxmlformats-officedocument.wordprocessingml.footer+xml"/>
  <Override PartName="/word/header112.xml" ContentType="application/vnd.openxmlformats-officedocument.wordprocessingml.header+xml"/>
  <Override PartName="/word/footer46.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115.xml" ContentType="application/vnd.openxmlformats-officedocument.wordprocessingml.header+xml"/>
  <Override PartName="/word/footer49.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18.xml" ContentType="application/vnd.openxmlformats-officedocument.wordprocessingml.header+xml"/>
  <Override PartName="/word/footer52.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53.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footer54.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footer55.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footer56.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footer57.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footer58.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footer59.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footer60.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footer61.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footer62.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footer63.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footer64.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footer65.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footer66.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footer67.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footer68.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footer69.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footer70.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footer71.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footer72.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header180.xml" ContentType="application/vnd.openxmlformats-officedocument.wordprocessingml.header+xml"/>
  <Override PartName="/word/footer73.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7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75988" w14:textId="5DBFE149" w:rsidR="007328BA" w:rsidRDefault="00844659" w:rsidP="00844659">
      <w:pPr>
        <w:pStyle w:val="Pagedecouverture"/>
        <w:rPr>
          <w:noProof/>
        </w:rPr>
      </w:pPr>
      <w:bookmarkStart w:id="0" w:name="LW_BM_COVERPAGE"/>
      <w:r>
        <w:rPr>
          <w:noProof/>
        </w:rPr>
        <w:pict w14:anchorId="2459DC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279F441-4163-4BF5-B188-7518B82B9C4B" style="width:455.25pt;height:372.75pt">
            <v:imagedata r:id="rId8" o:title=""/>
          </v:shape>
        </w:pict>
      </w:r>
    </w:p>
    <w:bookmarkEnd w:id="0"/>
    <w:p w14:paraId="486EC491" w14:textId="77777777" w:rsidR="00AF5341" w:rsidRDefault="00AF5341" w:rsidP="00AF5341">
      <w:pPr>
        <w:rPr>
          <w:noProof/>
        </w:rPr>
        <w:sectPr w:rsidR="00AF5341" w:rsidSect="0084465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181BB8A" w14:textId="77777777" w:rsidR="0039681A" w:rsidRDefault="0039681A">
      <w:pPr>
        <w:rPr>
          <w:noProof/>
        </w:rPr>
      </w:pPr>
      <w:bookmarkStart w:id="1" w:name="_GoBack"/>
      <w:bookmarkEnd w:id="1"/>
    </w:p>
    <w:p w14:paraId="4C7D6CE0" w14:textId="77777777" w:rsidR="0039681A" w:rsidRPr="00030506" w:rsidRDefault="0039681A" w:rsidP="00351087">
      <w:pPr>
        <w:spacing w:before="120" w:after="120" w:line="360" w:lineRule="auto"/>
        <w:jc w:val="center"/>
        <w:rPr>
          <w:rFonts w:ascii="Times New Roman" w:eastAsia="Aptos" w:hAnsi="Times New Roman" w:cs="Times New Roman"/>
          <w:b/>
          <w:bCs/>
          <w:noProof/>
          <w:kern w:val="0"/>
          <w:u w:val="single"/>
        </w:rPr>
      </w:pPr>
      <w:r w:rsidRPr="61AFD4D2">
        <w:rPr>
          <w:rFonts w:ascii="Times New Roman" w:eastAsia="Aptos" w:hAnsi="Times New Roman" w:cs="Times New Roman"/>
          <w:b/>
          <w:bCs/>
          <w:noProof/>
          <w:kern w:val="0"/>
          <w:u w:val="single"/>
        </w:rPr>
        <w:t>ANNEX</w:t>
      </w:r>
    </w:p>
    <w:p w14:paraId="02C6B408" w14:textId="77777777" w:rsidR="0039681A" w:rsidRPr="00030506" w:rsidRDefault="0039681A" w:rsidP="00351087">
      <w:pPr>
        <w:keepNext/>
        <w:numPr>
          <w:ilvl w:val="3"/>
          <w:numId w:val="21"/>
        </w:numPr>
        <w:spacing w:before="360" w:after="120" w:line="240" w:lineRule="auto"/>
        <w:ind w:left="851" w:hanging="851"/>
        <w:jc w:val="both"/>
        <w:outlineLvl w:val="0"/>
        <w:rPr>
          <w:rFonts w:ascii="Times New Roman" w:eastAsia="Times New Roman" w:hAnsi="Times New Roman" w:cs="Times New Roman"/>
          <w:b/>
          <w:bCs/>
          <w:noProof/>
        </w:rPr>
      </w:pPr>
      <w:r w:rsidRPr="00030506">
        <w:rPr>
          <w:rFonts w:ascii="Times New Roman" w:eastAsia="Times New Roman" w:hAnsi="Times New Roman" w:cs="Times New Roman"/>
          <w:b/>
          <w:bCs/>
          <w:noProof/>
        </w:rPr>
        <w:t>DESCRIPTION OF REFORMS AND INVESTMENTS</w:t>
      </w:r>
    </w:p>
    <w:p w14:paraId="1BF5448A" w14:textId="77777777" w:rsidR="0039681A" w:rsidRPr="00030506" w:rsidRDefault="0039681A" w:rsidP="00351087">
      <w:pPr>
        <w:keepNext/>
        <w:keepLines/>
        <w:numPr>
          <w:ilvl w:val="0"/>
          <w:numId w:val="22"/>
        </w:numPr>
        <w:spacing w:before="160" w:after="80" w:line="279" w:lineRule="auto"/>
        <w:outlineLvl w:val="1"/>
        <w:rPr>
          <w:rFonts w:ascii="Times New Roman" w:eastAsia="Times New Roman" w:hAnsi="Times New Roman" w:cs="Times New Roman"/>
          <w:b/>
          <w:bCs/>
          <w:noProof/>
        </w:rPr>
      </w:pPr>
      <w:r w:rsidRPr="00030506">
        <w:rPr>
          <w:rFonts w:ascii="Times New Roman" w:eastAsia="Times New Roman" w:hAnsi="Times New Roman" w:cs="Times New Roman"/>
          <w:b/>
          <w:bCs/>
          <w:noProof/>
        </w:rPr>
        <w:t>MISSION 1 COMPONENT 1</w:t>
      </w:r>
    </w:p>
    <w:p w14:paraId="2B532D5D"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b/>
          <w:noProof/>
          <w:lang w:val="en-IE" w:eastAsia="en-GB"/>
        </w:rPr>
        <w:t>Axis 1 - Digitalization of the Public Administration</w:t>
      </w:r>
      <w:r w:rsidRPr="0039681A">
        <w:rPr>
          <w:rFonts w:ascii="Times New Roman" w:eastAsia="Times New Roman" w:hAnsi="Times New Roman" w:cs="Times New Roman"/>
          <w:noProof/>
          <w:lang w:val="en-IE" w:eastAsia="en-GB"/>
        </w:rPr>
        <w:t>: Axis 1 of component M1C1 of the Italian recovery and resilience plan contains measures that aim to foster the digitalisation of the Italian public administration and includes seven investments and three reforms. Investments aim in particular at: (i) rationalising and consolidating existing digital infrastructures of the public administration; (ii) fostering the uptake of cloud computing, (iii) with particular attention to the harmonisation and interoperability of platforms and data services, the implementation of the ‘once-only principle’ and the accessibility of data through a catalogue of Application Programming Interfaces (APIs); (iv) improving the availability, efficiency and accessibility of all digital public services with the aim of increasing the level of adoption and users’ satisfaction, (v) strengthening Italy’s defences against the risks posed by cybercrime, (vi) fostering the digital transformation of large central administrations; (vii) tackling the digital divide by strengthening citizens’ digital skills. Reforms under this axis aim in particular at (i) streamlining and accelerating the procurement process for Information and Communication Technologies (ICT) solutions by the public administration; (ii) supporting the digital transformation of the public administration, and (iii) removing obstacles to the adoption of cloud by public administrations and streamlining data exchange processes between public administrations.</w:t>
      </w:r>
    </w:p>
    <w:p w14:paraId="3100215A"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The investments and reforms under this component shall contribute to addressing the Country-Specific Recommendations addressed to Italy in 2020 and 2019 on the need to “improve the effectiveness of public administration, including by investing in the skills of public employees, by accelerating digitalisation, and by increasing the efficiency and quality of local public services” (Country-Specific Recommendation 3, 2019), and to “focus investment on the green and digital transition, in particular on […] reinforced digital infrastructure to ensure the provision of essential services” (Country-Specific Recommendation 3, 2020).</w:t>
      </w:r>
    </w:p>
    <w:p w14:paraId="6D0C47FE"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b/>
          <w:noProof/>
          <w:lang w:val="en-IE" w:eastAsia="en-GB"/>
        </w:rPr>
        <w:t>Axis 2 - Justice</w:t>
      </w:r>
      <w:r w:rsidRPr="0039681A">
        <w:rPr>
          <w:rFonts w:ascii="Times New Roman" w:eastAsia="Times New Roman" w:hAnsi="Times New Roman" w:cs="Times New Roman"/>
          <w:noProof/>
          <w:lang w:val="en-IE" w:eastAsia="en-GB"/>
        </w:rPr>
        <w:t>: The performance of the Italian justice system remains far from that of other Member States in terms of duration of proceedings, as outlined in the latest report of the European Commission on the efficiency of justice (CEPEJ). Axis 2 of component M1C1 of the recovery and resilience plan contains measures that aim to make the judicial system more efficient by reducing the length of proceedings and bringing Italy closer to the EU median. This component addresses the Country-specific recommendations addressed to Italy in 2020 and 2019 on reducing the length of civil trials and on improving the effectiveness of the fight against corruption (Country-specific recommendations 4, 2019 and 4, 2020). Furthermore, the digitisation of the justice system is also relevant for the digital transition.</w:t>
      </w:r>
    </w:p>
    <w:p w14:paraId="0B32D45C"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b/>
          <w:noProof/>
          <w:lang w:val="en-IE" w:eastAsia="en-GB"/>
        </w:rPr>
        <w:t>Axis 3 – Public administration</w:t>
      </w:r>
      <w:r w:rsidRPr="0039681A">
        <w:rPr>
          <w:rFonts w:ascii="Times New Roman" w:eastAsia="Times New Roman" w:hAnsi="Times New Roman" w:cs="Times New Roman"/>
          <w:noProof/>
          <w:lang w:val="en-IE" w:eastAsia="en-GB"/>
        </w:rPr>
        <w:t xml:space="preserve">: Axis 3 of component M1C1 of the recovery and resilience plan contains measures that aim to reform the Italian public administration and improve administrative capacity. Italy ranks below EU-27 average both for government effectiveness and for trust in government. Italian public administration reforms were affected by a serious implementation gap of top-down reforms and the scarce recognition and diffusion of valuable bottom-up innovations. Administrative capacity is very low. Efforts to strengthen the strategic planning capacity, monitoring and evaluation mechanisms, and evidence-based policymaking instruments should continue. The main objective of this component is to enhance the administrative capacity of the Italian public administrations at central and local levels, both in terms of human capital (selection, competences, and careers) and in terms of simplification of administrative procedures. This section presents the overarching structural human resources strategy, ranging from the selection processes to career paths. The reform includes also actions to simplify procedures. Investments in new digital toolkits and </w:t>
      </w:r>
      <w:r w:rsidRPr="0039681A">
        <w:rPr>
          <w:rFonts w:ascii="Times New Roman" w:eastAsia="Times New Roman" w:hAnsi="Times New Roman" w:cs="Times New Roman"/>
          <w:noProof/>
          <w:lang w:val="en-IE" w:eastAsia="en-GB"/>
        </w:rPr>
        <w:lastRenderedPageBreak/>
        <w:t>strengthened actions on lifelong learning are included in Component 1 of Mission 1. This component addresses the Country-specific recommendations addressed to Italy in 2020 and 2019 on improving the effectiveness of public administration (Country-specific recommendation 3, 2019 and Country-specific recommendation 4, 2020).</w:t>
      </w:r>
    </w:p>
    <w:p w14:paraId="38099547"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b/>
          <w:noProof/>
          <w:lang w:val="en-IE" w:eastAsia="en-GB"/>
        </w:rPr>
        <w:t>Axis 4 – Public procurement and payments by the administration</w:t>
      </w:r>
      <w:r w:rsidRPr="0039681A">
        <w:rPr>
          <w:rFonts w:ascii="Times New Roman" w:eastAsia="Times New Roman" w:hAnsi="Times New Roman" w:cs="Times New Roman"/>
          <w:noProof/>
          <w:lang w:val="en-IE" w:eastAsia="en-GB"/>
        </w:rPr>
        <w:t>: Axis 4 of component M1C1 of the recovery and resilience plan contains measures that aim to reform certain key aspects of the Italian public procurement legislative framework and to reduce late payments by public administrations at central, regional and local, as well as regional health authorities. The main objective of the reform is to simplify public procurement rules, increase legal certainty for businesses and accelerate the award of public contracts while maintaining procedural guarantees in terms of transparency and equal treatment. These reforms support therefore the timely realization of the infrastructures and projects financed by the Plan.</w:t>
      </w:r>
    </w:p>
    <w:p w14:paraId="62B0A60C"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b/>
          <w:noProof/>
          <w:lang w:val="en-IE" w:eastAsia="en-GB"/>
        </w:rPr>
        <w:t>Axis 5 – Fiscal-structural reforms (Taxation and public expenditure)</w:t>
      </w:r>
      <w:r w:rsidRPr="0039681A">
        <w:rPr>
          <w:rFonts w:ascii="Times New Roman" w:eastAsia="Times New Roman" w:hAnsi="Times New Roman" w:cs="Times New Roman"/>
          <w:noProof/>
          <w:lang w:val="en-IE" w:eastAsia="en-GB"/>
        </w:rPr>
        <w:t>: Axis 5 of component M1C1 of the recovery and resilience includes several reforms aimed at supporting the sustainability of Italy’s public finances (country-specific recommendation 1, 2019). On the revenue side, the reforms aim at improving the tax collection process, encouraging tax compliance and fight tax evasion, in order to reduce compliance costs for taxpayers and increase revenues for the general government, contributing to improving the sustainability of public finances. On the expenditure side, the reforms aim at improving the efficiency of public expenditure, both at the central level, by strengthening the existing framework for yearly spending reviews, and at the subnational level, by completing the reform of fiscal relations across different levels of government.</w:t>
      </w:r>
    </w:p>
    <w:p w14:paraId="2DDF11B9" w14:textId="77777777" w:rsidR="0039681A" w:rsidRPr="0039681A" w:rsidRDefault="0039681A" w:rsidP="00351087">
      <w:pPr>
        <w:keepNext/>
        <w:keepLines/>
        <w:spacing w:before="160" w:after="80"/>
        <w:ind w:left="850" w:hanging="850"/>
        <w:outlineLvl w:val="2"/>
        <w:rPr>
          <w:rFonts w:ascii="Times New Roman" w:eastAsia="Times New Roman" w:hAnsi="Times New Roman" w:cs="Times New Roman"/>
          <w:b/>
          <w:bCs/>
          <w:i/>
          <w:iCs/>
          <w:noProof/>
          <w:u w:val="single"/>
          <w:lang w:val="en-IE"/>
        </w:rPr>
      </w:pPr>
      <w:r w:rsidRPr="0039681A">
        <w:rPr>
          <w:rFonts w:ascii="Times New Roman" w:eastAsia="Times New Roman" w:hAnsi="Times New Roman" w:cs="Times New Roman"/>
          <w:b/>
          <w:noProof/>
          <w:u w:val="single"/>
          <w:lang w:val="en-IE"/>
        </w:rPr>
        <w:t xml:space="preserve">A.1. </w:t>
      </w:r>
      <w:r w:rsidRPr="0039681A">
        <w:rPr>
          <w:rFonts w:ascii="Times New Roman" w:eastAsia="Times New Roman" w:hAnsi="Times New Roman" w:cs="Times New Roman"/>
          <w:noProof/>
          <w:lang w:val="en-IE"/>
        </w:rPr>
        <w:tab/>
      </w:r>
      <w:r w:rsidRPr="0039681A">
        <w:rPr>
          <w:rFonts w:ascii="Times New Roman" w:eastAsia="Times New Roman" w:hAnsi="Times New Roman" w:cs="Times New Roman"/>
          <w:b/>
          <w:noProof/>
          <w:u w:val="single"/>
          <w:lang w:val="en-IE"/>
        </w:rPr>
        <w:t>Description of the reforms and investments for non-repayable financial support</w:t>
      </w:r>
    </w:p>
    <w:p w14:paraId="61B7A73E" w14:textId="77777777" w:rsidR="0039681A" w:rsidRPr="0039681A" w:rsidRDefault="0039681A" w:rsidP="00351087">
      <w:pPr>
        <w:spacing w:before="320" w:after="240" w:line="240" w:lineRule="auto"/>
        <w:jc w:val="both"/>
        <w:rPr>
          <w:rFonts w:ascii="Times New Roman" w:eastAsia="Times New Roman" w:hAnsi="Times New Roman" w:cs="Times New Roman"/>
          <w:i/>
          <w:noProof/>
          <w:lang w:val="en-IE" w:eastAsia="en-GB"/>
        </w:rPr>
      </w:pPr>
      <w:r w:rsidRPr="0039681A">
        <w:rPr>
          <w:rFonts w:ascii="Times New Roman" w:eastAsia="Times New Roman" w:hAnsi="Times New Roman" w:cs="Times New Roman"/>
          <w:i/>
          <w:noProof/>
          <w:lang w:val="en-IE" w:eastAsia="en-GB"/>
        </w:rPr>
        <w:t>Axis 1- Digitalization of the Public Administration</w:t>
      </w:r>
    </w:p>
    <w:p w14:paraId="5D97E8D6"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Investment 1.1 - Digital infrastructure</w:t>
      </w:r>
    </w:p>
    <w:p w14:paraId="27CC487D"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The objective of this investment is to ensure that the systems, datasets and applications of the public administration are hosted in data centres with high quality standards for security, performance, scalability, European interoperability and energy efficiency. The investment consists in the migration of the datasets and applications of the public administration towards the PSN or towards secure certified public cloud providers.</w:t>
      </w:r>
    </w:p>
    <w:p w14:paraId="6305A8B8" w14:textId="77777777" w:rsidR="0039681A" w:rsidRPr="0039681A" w:rsidRDefault="0039681A" w:rsidP="00351087">
      <w:pPr>
        <w:spacing w:before="12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Investment 1.2 - Cloud enablement for local PA</w:t>
      </w:r>
    </w:p>
    <w:p w14:paraId="6B26755B"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 xml:space="preserve">The objective of this investment is to migrate the datasets and applications of a substantial part of the local public administration to a secure cloud infrastructure, allowing each administration the freedom to choose within a set of certified public cloud environments. </w:t>
      </w:r>
    </w:p>
    <w:p w14:paraId="3D710E15"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The measure also envisages a “migration as a service” support package to administrations encompassing: (i) the initial assessment, (ii) the procedural/administrative support needed to launch the effort, (iii) the negotiation of the necessary external support and (iv) the overall project management over the course of execution. A team supervised by the Ministry for Technological Innovation and Digital Transition (MITD) is expected to identify and certify a broad list of qualified providers and to negotiate a set of standard support packages tailored to the size of the administration and the services involved in the migration.</w:t>
      </w:r>
    </w:p>
    <w:p w14:paraId="3536165E"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Investment 1.3 - Data and interoperability</w:t>
      </w:r>
    </w:p>
    <w:p w14:paraId="7704ECB6"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The objective of this investment is to ensure the full interoperability of key datasets and services across central and local public administrations. The measure consists in the set up of a National Digital Data Platform (“Piattaforma Digitale Nazionale Dati”) enabling the interoperability of datasets through a catalogue of Application Programming Interfaces (APIs) shared across central and local administrations.</w:t>
      </w:r>
    </w:p>
    <w:p w14:paraId="12F9F6C9" w14:textId="77777777" w:rsidR="0039681A" w:rsidRPr="0039681A" w:rsidRDefault="0039681A" w:rsidP="00351087">
      <w:pPr>
        <w:spacing w:before="120" w:after="120" w:line="240" w:lineRule="auto"/>
        <w:jc w:val="both"/>
        <w:rPr>
          <w:rFonts w:ascii="Times New Roman" w:eastAsia="Times New Roman" w:hAnsi="Times New Roman" w:cs="Times New Roman"/>
          <w:b/>
          <w:noProof/>
          <w:lang w:val="en-IE" w:eastAsia="en-GB"/>
        </w:rPr>
      </w:pPr>
      <w:r w:rsidRPr="0039681A">
        <w:rPr>
          <w:rFonts w:ascii="Times New Roman" w:eastAsia="Times New Roman" w:hAnsi="Times New Roman" w:cs="Times New Roman"/>
          <w:b/>
          <w:noProof/>
          <w:lang w:val="en-IE" w:eastAsia="en-GB"/>
        </w:rPr>
        <w:t>Investment 1.4 - Digital services and citizen experience</w:t>
      </w:r>
    </w:p>
    <w:p w14:paraId="1A7D2974"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 xml:space="preserve">The objective of this investment is to develop an integrated and citizen-oriented ecosystem of digital public services, ensure their widespread adoption across central and local administrations and enhance overall user experience. </w:t>
      </w:r>
    </w:p>
    <w:p w14:paraId="4EAC15F7" w14:textId="77777777" w:rsidR="0039681A" w:rsidRPr="00030506" w:rsidRDefault="0039681A" w:rsidP="00351087">
      <w:pPr>
        <w:spacing w:before="120" w:after="120" w:line="240" w:lineRule="auto"/>
        <w:jc w:val="both"/>
        <w:rPr>
          <w:rFonts w:ascii="Times New Roman" w:eastAsia="Times New Roman" w:hAnsi="Times New Roman" w:cs="Times New Roman"/>
          <w:noProof/>
          <w:lang w:eastAsia="en-GB"/>
        </w:rPr>
      </w:pPr>
      <w:r w:rsidRPr="00030506">
        <w:rPr>
          <w:rFonts w:ascii="Times New Roman" w:eastAsia="Times New Roman" w:hAnsi="Times New Roman" w:cs="Times New Roman"/>
          <w:noProof/>
          <w:lang w:eastAsia="en-GB"/>
        </w:rPr>
        <w:t xml:space="preserve">The measure : </w:t>
      </w:r>
    </w:p>
    <w:p w14:paraId="3AD381DE" w14:textId="77777777" w:rsidR="0039681A" w:rsidRPr="0039681A" w:rsidRDefault="0039681A" w:rsidP="00351087">
      <w:pPr>
        <w:numPr>
          <w:ilvl w:val="0"/>
          <w:numId w:val="23"/>
        </w:numPr>
        <w:spacing w:before="120" w:after="120" w:line="240" w:lineRule="auto"/>
        <w:ind w:left="578" w:hanging="578"/>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defines reusable service delivery models ensuring full accessibility requirements (Investment 1.4.1 - Citizen experience - Improvement of the quality and the usability of digital public services);</w:t>
      </w:r>
    </w:p>
    <w:p w14:paraId="5F29F305" w14:textId="77777777" w:rsidR="0039681A" w:rsidRPr="0039681A" w:rsidRDefault="0039681A" w:rsidP="00351087">
      <w:pPr>
        <w:numPr>
          <w:ilvl w:val="0"/>
          <w:numId w:val="23"/>
        </w:numPr>
        <w:spacing w:before="120" w:after="120" w:line="240" w:lineRule="auto"/>
        <w:ind w:left="578" w:hanging="578"/>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increases the accessibility of digital public services (Investment 1.4.2 - Citizen inclusion: Accessibility improvement of digital public services);</w:t>
      </w:r>
    </w:p>
    <w:p w14:paraId="675CEAB2" w14:textId="77777777" w:rsidR="0039681A" w:rsidRPr="0039681A" w:rsidRDefault="0039681A" w:rsidP="00351087">
      <w:pPr>
        <w:numPr>
          <w:ilvl w:val="0"/>
          <w:numId w:val="23"/>
        </w:numPr>
        <w:spacing w:before="120" w:after="120" w:line="240" w:lineRule="auto"/>
        <w:ind w:left="578" w:hanging="578"/>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entails the adoption of the digital application for payments between citizens and public administrations (PagoPa) and the adoption of the “IO” app (Investment 1.4.3 - Adoption scale up of PagoPA platform services and the “IO” app);</w:t>
      </w:r>
    </w:p>
    <w:p w14:paraId="72A48D5F" w14:textId="77777777" w:rsidR="0039681A" w:rsidRPr="0039681A" w:rsidRDefault="0039681A" w:rsidP="00351087">
      <w:pPr>
        <w:numPr>
          <w:ilvl w:val="0"/>
          <w:numId w:val="23"/>
        </w:numPr>
        <w:spacing w:before="120" w:after="120" w:line="240" w:lineRule="auto"/>
        <w:ind w:left="578" w:hanging="578"/>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fosters the adoption of National Digital Identity platforms (Sistema Pubblico di Identità Digitale, SPID and Carta d’Identità Elettronica, CIE) and of the national registry (Anagrafe nazionale della popolazione residente, ANPR) (Investment 1.4.4 - Adoption scale up of the National Digital Identity platforms (SPID, CIE) and the national registry (ANPR));</w:t>
      </w:r>
    </w:p>
    <w:p w14:paraId="2DD06621" w14:textId="77777777" w:rsidR="0039681A" w:rsidRPr="0039681A" w:rsidRDefault="0039681A" w:rsidP="00351087">
      <w:pPr>
        <w:numPr>
          <w:ilvl w:val="0"/>
          <w:numId w:val="23"/>
        </w:numPr>
        <w:spacing w:before="120" w:after="120" w:line="240" w:lineRule="auto"/>
        <w:ind w:left="578" w:hanging="578"/>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sets up a single platform for notifications (Investment 1.4.5 - Digitization of public notices);</w:t>
      </w:r>
    </w:p>
    <w:p w14:paraId="2EEADA21" w14:textId="77777777" w:rsidR="0039681A" w:rsidRPr="0039681A" w:rsidRDefault="0039681A" w:rsidP="00351087">
      <w:pPr>
        <w:numPr>
          <w:ilvl w:val="0"/>
          <w:numId w:val="23"/>
        </w:numPr>
        <w:spacing w:before="120" w:after="120" w:line="240" w:lineRule="auto"/>
        <w:ind w:left="578" w:hanging="578"/>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entails the adoption of Mobility as a Service (MaaS) (Investment 1.4.6 - Mobility as a Service for Italy, with this last measure being financed on the basis of non-repayable financial support).</w:t>
      </w:r>
    </w:p>
    <w:p w14:paraId="02BEEB2D"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Investment 1.5 - Cybersecurity</w:t>
      </w:r>
    </w:p>
    <w:p w14:paraId="7150BFE3"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The objective of this investment is to strengthen Italy’s defences against the risks posed by cybercrime, notably through the implementation of a ‘National Perimeter for Cyber Security’ (PSNC), in line with the security requirements set out in the Directive (EU) 2016/1148 on security of network and information systems (NIS Directive), and by strengthening national cyber-defence capabilities of technical inspection and risk monitoring.</w:t>
      </w:r>
    </w:p>
    <w:p w14:paraId="41DE5D8E"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 xml:space="preserve">The measure envisages the development of a state-of-the-art, integrated system, tightly interconnecting different entities across the country and connecting internationally with partners and trusted technology providers. This is articulated on four pillars: (i) Strengthen front line capabilities towards the public and companies/entities to manage alerts and actual publicly recognized events; (ii) Build/strengthen the country’s inspection and audit capabilities of hardware and software used by subjects with essential functions to certify trustworthiness/pre-empt threats; (iii) </w:t>
      </w:r>
      <w:r w:rsidRPr="0039681A" w:rsidDel="00620F47">
        <w:rPr>
          <w:rFonts w:ascii="Times New Roman" w:eastAsia="Times New Roman" w:hAnsi="Times New Roman" w:cs="Times New Roman"/>
          <w:noProof/>
          <w:lang w:val="en-IE" w:eastAsia="en-GB"/>
        </w:rPr>
        <w:t>Power up units</w:t>
      </w:r>
      <w:r w:rsidRPr="0039681A">
        <w:rPr>
          <w:rFonts w:ascii="Times New Roman" w:eastAsia="Times New Roman" w:hAnsi="Times New Roman" w:cs="Times New Roman"/>
          <w:noProof/>
          <w:lang w:val="en-IE" w:eastAsia="en-GB"/>
        </w:rPr>
        <w:t xml:space="preserve"> of law enforcement and cyber units within the Police forces in charge of investigations of criminal activities; (iv) Strengthen significantly cyber asset and human resources in charge of national security and response to cyber threats.</w:t>
      </w:r>
    </w:p>
    <w:p w14:paraId="0AB7E555" w14:textId="77777777" w:rsidR="0039681A" w:rsidRPr="0039681A" w:rsidRDefault="0039681A" w:rsidP="00351087">
      <w:pPr>
        <w:spacing w:before="12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Investment 1.6 - Digital transformation of large central administrations</w:t>
      </w:r>
    </w:p>
    <w:p w14:paraId="45ECF4E4" w14:textId="3A5522DC" w:rsidR="0039681A" w:rsidRPr="0039681A" w:rsidRDefault="0039681A" w:rsidP="00D619C4">
      <w:pPr>
        <w:jc w:val="both"/>
        <w:rPr>
          <w:rFonts w:ascii="Times New Roman" w:eastAsia="Aptos" w:hAnsi="Times New Roman" w:cs="Times New Roman"/>
          <w:b/>
          <w:noProof/>
          <w:lang w:val="en-IE"/>
        </w:rPr>
      </w:pPr>
      <w:r w:rsidRPr="0039681A">
        <w:rPr>
          <w:rFonts w:ascii="Times New Roman" w:eastAsia="Aptos" w:hAnsi="Times New Roman" w:cs="Times New Roman"/>
          <w:noProof/>
          <w:lang w:val="en-IE"/>
        </w:rPr>
        <w:t>The objective of this investment is to increase the efficiency and simplify the procedures of the main central administrations – including (i) the Ministry of Interior, (ii) the Ministry of Justice, (iii) the National Social Security Institute (INPS) and National Institute for Insurance against Accidents at work (INAIL), (iv) the Ministry of Defence, (v) the Council of State, and (vi) the Finance Police. The investment consists of the re-engineering or the digitisation of a set of processes or activities orservices within their remit.</w:t>
      </w:r>
    </w:p>
    <w:p w14:paraId="2E7BA9F1"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Investment 1.7 - Basic digital skills</w:t>
      </w:r>
    </w:p>
    <w:p w14:paraId="59335798" w14:textId="77777777" w:rsidR="0039681A" w:rsidRPr="0039681A" w:rsidRDefault="0039681A" w:rsidP="00351087">
      <w:pPr>
        <w:spacing w:before="120" w:after="120" w:line="240" w:lineRule="auto"/>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The objective of this investment is to reduce the share of population at risk of digital exclusion via the provision of digital education. The measure consists of the participation of individuals in the Digital Civil Service and in digital education and/or digital facilitation activities.</w:t>
      </w:r>
    </w:p>
    <w:p w14:paraId="21B44247" w14:textId="77777777" w:rsidR="0039681A" w:rsidRPr="0039681A" w:rsidRDefault="0039681A" w:rsidP="00351087">
      <w:pPr>
        <w:rPr>
          <w:rFonts w:ascii="Times New Roman" w:eastAsia="Aptos" w:hAnsi="Times New Roman" w:cs="Times New Roman"/>
          <w:b/>
          <w:noProof/>
          <w:lang w:val="en-IE"/>
        </w:rPr>
      </w:pPr>
      <w:r w:rsidRPr="0039681A">
        <w:rPr>
          <w:rFonts w:ascii="Times New Roman" w:eastAsia="Aptos" w:hAnsi="Times New Roman" w:cs="Times New Roman"/>
          <w:b/>
          <w:noProof/>
          <w:lang w:val="en-IE"/>
        </w:rPr>
        <w:t>Reform 1.1 - ICT Procurement</w:t>
      </w:r>
    </w:p>
    <w:p w14:paraId="1B5F7264" w14:textId="77777777" w:rsidR="0039681A" w:rsidRPr="0039681A" w:rsidRDefault="0039681A" w:rsidP="00351087">
      <w:pPr>
        <w:spacing w:before="120" w:after="120"/>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The objective of this reform is to ensure that the public administration may procure Information and Communication Technologies (ICT) solutions in a more timely and more efficient way by streamlining and accelerating the procurement process for ICT services and assets.</w:t>
      </w:r>
    </w:p>
    <w:p w14:paraId="37B41C94" w14:textId="77777777" w:rsidR="0039681A" w:rsidRPr="0039681A" w:rsidRDefault="0039681A" w:rsidP="00351087">
      <w:pPr>
        <w:spacing w:before="120" w:after="120"/>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The implementation of the reform shall consist in three lines of actions. First, a single database containing a white list of economic operators authorized to provide goods and services to public administrations shall be set-up and a dedicated technological infrastructure shall be introduced to allow the certification of suppliers. Second, a simplified approach (“fast track”) to streamline ICT purchases for PNRR projects shall be adopted. Third, a digital procurement service shall be set up, with the aim t</w:t>
      </w:r>
      <w:r w:rsidRPr="0039681A">
        <w:rPr>
          <w:rFonts w:ascii="Aptos" w:eastAsia="Aptos" w:hAnsi="Aptos" w:cs="Times New Roman"/>
          <w:noProof/>
          <w:lang w:val="en-IE"/>
        </w:rPr>
        <w:t>o</w:t>
      </w:r>
      <w:r w:rsidRPr="0039681A">
        <w:rPr>
          <w:rFonts w:ascii="Times New Roman" w:eastAsia="Times New Roman" w:hAnsi="Times New Roman" w:cs="Times New Roman"/>
          <w:noProof/>
          <w:lang w:val="en-IE" w:eastAsia="en-GB"/>
        </w:rPr>
        <w:t xml:space="preserve"> (i) include only certified suppliers (economic operators may request at any time to be certified in line with art. 64 of Directive 2014/24/EU); (ii) allow to quickly identify suppliers meeting a specified need (e.g. through a configurator); (iii) provide an intuitive user experience for administrations (e.g. clear description of the services offered, comparative evaluation of suppliers). This overall setup shall build on the existing capabilities of CONSIP, the Italian state entity for procurement. </w:t>
      </w:r>
    </w:p>
    <w:p w14:paraId="13B920BA" w14:textId="77777777" w:rsidR="0039681A" w:rsidRPr="0039681A" w:rsidRDefault="0039681A" w:rsidP="00351087">
      <w:pPr>
        <w:spacing w:before="120" w:after="120"/>
        <w:jc w:val="both"/>
        <w:rPr>
          <w:rFonts w:ascii="Aptos" w:eastAsia="Aptos" w:hAnsi="Aptos" w:cs="Times New Roman"/>
          <w:noProof/>
          <w:lang w:val="en-IE"/>
        </w:rPr>
      </w:pPr>
      <w:r w:rsidRPr="0039681A">
        <w:rPr>
          <w:rFonts w:ascii="Times New Roman" w:eastAsia="Aptos" w:hAnsi="Times New Roman" w:cs="Times New Roman"/>
          <w:b/>
          <w:noProof/>
          <w:lang w:val="en-IE"/>
        </w:rPr>
        <w:t>Reform 1.2 - Transformation Support</w:t>
      </w:r>
      <w:r w:rsidRPr="0039681A">
        <w:rPr>
          <w:rFonts w:ascii="Aptos" w:eastAsia="Aptos" w:hAnsi="Aptos" w:cs="Times New Roman"/>
          <w:noProof/>
          <w:lang w:val="en-IE"/>
        </w:rPr>
        <w:t xml:space="preserve"> </w:t>
      </w:r>
    </w:p>
    <w:p w14:paraId="40293392" w14:textId="77777777" w:rsidR="0039681A" w:rsidRPr="0039681A" w:rsidRDefault="0039681A" w:rsidP="00351087">
      <w:pPr>
        <w:spacing w:before="120" w:after="120"/>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 xml:space="preserve">The objective of this reform is to support the digital transformation of all central and local public administrations through the set-up of a dedicated “Digital PA transformation office”. The transformation office shall consist in a temporary technology competent resource pool that shall orchestrate and support the migration effort and the centralized negotiation of “packages” of certified external support. </w:t>
      </w:r>
    </w:p>
    <w:p w14:paraId="07AC4421" w14:textId="77777777" w:rsidR="0039681A" w:rsidRPr="0039681A" w:rsidRDefault="0039681A" w:rsidP="00351087">
      <w:pPr>
        <w:spacing w:before="120" w:after="120"/>
        <w:jc w:val="both"/>
        <w:rPr>
          <w:rFonts w:ascii="Times New Roman" w:eastAsia="Aptos" w:hAnsi="Times New Roman" w:cs="Times New Roman"/>
          <w:noProof/>
          <w:lang w:val="en-IE"/>
        </w:rPr>
      </w:pPr>
      <w:r w:rsidRPr="0039681A">
        <w:rPr>
          <w:rFonts w:ascii="Times New Roman" w:eastAsia="Times New Roman" w:hAnsi="Times New Roman" w:cs="Times New Roman"/>
          <w:noProof/>
          <w:lang w:val="en-IE" w:eastAsia="en-GB"/>
        </w:rPr>
        <w:t>In addition, the measure envisages the set up a company focused on software development &amp; operations management to support the digital step-up of central administrations. The transformation office shall in particular support public administration in the implementation of Investments 1.1 to 1.7 included under this component and shall also</w:t>
      </w:r>
      <w:r w:rsidRPr="0039681A">
        <w:rPr>
          <w:rFonts w:ascii="Times New Roman" w:eastAsia="Aptos" w:hAnsi="Times New Roman" w:cs="Times New Roman"/>
          <w:noProof/>
          <w:lang w:val="en-IE"/>
        </w:rPr>
        <w:t xml:space="preserve"> </w:t>
      </w:r>
      <w:r w:rsidRPr="0039681A">
        <w:rPr>
          <w:rFonts w:ascii="Times New Roman" w:eastAsia="Times New Roman" w:hAnsi="Times New Roman" w:cs="Times New Roman"/>
          <w:noProof/>
          <w:lang w:val="en-IE" w:eastAsia="en-GB"/>
        </w:rPr>
        <w:t>support the implementation of investments and reforms in digitalization of healthcare included in Mission 6.</w:t>
      </w:r>
    </w:p>
    <w:p w14:paraId="76BE6287"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Reform 1.3 - Cloud First and interoperability</w:t>
      </w:r>
    </w:p>
    <w:p w14:paraId="00D6CC42" w14:textId="77777777" w:rsidR="0039681A" w:rsidRPr="0039681A" w:rsidRDefault="0039681A" w:rsidP="00351087">
      <w:pPr>
        <w:spacing w:before="120" w:after="120"/>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The aim of this reform is to remove the obstacles to cloud adoption and streamline the bureaucracy that slows down the data exchange processes between public administrations by introducing a set of incentives and obligations aimed at facilitating the migration to cloud and removing procedural constraints to the broad adoption of digital services.</w:t>
      </w:r>
    </w:p>
    <w:p w14:paraId="4B66B327" w14:textId="77777777" w:rsidR="0039681A" w:rsidRPr="0039681A" w:rsidRDefault="0039681A" w:rsidP="00351087">
      <w:pPr>
        <w:spacing w:before="120" w:after="120"/>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 xml:space="preserve">The reform shall entail three lines of action. First, as cloud solutions shall drive cost efficiency in spending in Information and communication technology (ICT), after a predefined “grace period” (e.g. three-years after the launch of the transformation), administrations that did not adhere to the cloud transformation shall see a restriction in their ICT spending budget. </w:t>
      </w:r>
    </w:p>
    <w:p w14:paraId="3DF3BB55" w14:textId="77777777" w:rsidR="0039681A" w:rsidRPr="0039681A" w:rsidRDefault="0039681A" w:rsidP="00351087">
      <w:pPr>
        <w:spacing w:before="120" w:after="120"/>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Second, as part of the incentives for cloud migration, the current public accounting rules for expenses related to cloud services shall be revised. Given that the migration to the cloud currently involves a transfer of budgets from capital expenditures to operational expenditures, public accounting rules for expenses related to cloud services shall be revised in order to not disincentivize cloud migration for public administrations.</w:t>
      </w:r>
    </w:p>
    <w:p w14:paraId="4A667ADA" w14:textId="77777777" w:rsidR="0039681A" w:rsidRPr="0039681A" w:rsidRDefault="0039681A" w:rsidP="00351087">
      <w:pPr>
        <w:spacing w:before="120" w:after="120"/>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Third, norms related to data interoperability rules shall be revised, in compliance with the provisions on open data and processing of personal data and current procedures for data exchange between public administrations shall be simplified to streamline procedural aspects and speed up the implementation of interoperability between public administration databases. Furthermore, digital domicile shall be reviewed and integrated with the national resident registry (ANPR) to allow certain and secure digital co</w:t>
      </w:r>
      <w:r w:rsidRPr="0039681A">
        <w:rPr>
          <w:rFonts w:ascii="Aptos" w:eastAsia="Aptos" w:hAnsi="Aptos" w:cs="Times New Roman"/>
          <w:noProof/>
          <w:lang w:val="en-IE"/>
        </w:rPr>
        <w:t>r</w:t>
      </w:r>
      <w:r w:rsidRPr="0039681A">
        <w:rPr>
          <w:rFonts w:ascii="Times New Roman" w:eastAsia="Times New Roman" w:hAnsi="Times New Roman" w:cs="Times New Roman"/>
          <w:noProof/>
          <w:lang w:val="en-IE" w:eastAsia="en-GB"/>
        </w:rPr>
        <w:t>respondence between citizens and public administrations.</w:t>
      </w:r>
    </w:p>
    <w:p w14:paraId="5883E844" w14:textId="77777777" w:rsidR="0039681A" w:rsidRPr="0039681A" w:rsidRDefault="0039681A" w:rsidP="00351087">
      <w:pPr>
        <w:spacing w:before="320" w:after="240" w:line="240" w:lineRule="auto"/>
        <w:jc w:val="both"/>
        <w:rPr>
          <w:rFonts w:ascii="Times New Roman" w:eastAsia="Times New Roman" w:hAnsi="Times New Roman" w:cs="Times New Roman"/>
          <w:i/>
          <w:noProof/>
          <w:lang w:val="en-IE" w:eastAsia="en-GB"/>
        </w:rPr>
      </w:pPr>
      <w:r w:rsidRPr="0039681A">
        <w:rPr>
          <w:rFonts w:ascii="Times New Roman" w:eastAsia="Times New Roman" w:hAnsi="Times New Roman" w:cs="Times New Roman"/>
          <w:i/>
          <w:noProof/>
          <w:lang w:val="en-IE" w:eastAsia="en-GB"/>
        </w:rPr>
        <w:t>Axis 2 - Justice</w:t>
      </w:r>
    </w:p>
    <w:p w14:paraId="57726832"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Reform 1.4 - Civil justice</w:t>
      </w:r>
    </w:p>
    <w:p w14:paraId="5B142ACB" w14:textId="77777777" w:rsidR="0039681A" w:rsidRPr="0039681A" w:rsidRDefault="0039681A" w:rsidP="00351087">
      <w:pPr>
        <w:spacing w:before="120" w:after="120"/>
        <w:jc w:val="both"/>
        <w:rPr>
          <w:rFonts w:ascii="Aptos" w:eastAsia="Aptos" w:hAnsi="Aptos" w:cs="Times New Roman"/>
          <w:noProof/>
          <w:lang w:val="en-IE"/>
        </w:rPr>
      </w:pPr>
      <w:r w:rsidRPr="0039681A">
        <w:rPr>
          <w:rFonts w:ascii="Times New Roman" w:eastAsia="Times New Roman" w:hAnsi="Times New Roman" w:cs="Times New Roman"/>
          <w:noProof/>
          <w:lang w:val="en-IE" w:eastAsia="en-GB"/>
        </w:rPr>
        <w:t xml:space="preserve">The </w:t>
      </w:r>
      <w:r w:rsidRPr="0039681A" w:rsidDel="00DA127C">
        <w:rPr>
          <w:rFonts w:ascii="Times New Roman" w:eastAsia="Times New Roman" w:hAnsi="Times New Roman" w:cs="Times New Roman"/>
          <w:noProof/>
          <w:lang w:val="en-IE" w:eastAsia="en-GB"/>
        </w:rPr>
        <w:t xml:space="preserve">objective of </w:t>
      </w:r>
      <w:r w:rsidRPr="0039681A">
        <w:rPr>
          <w:rFonts w:ascii="Times New Roman" w:eastAsia="Times New Roman" w:hAnsi="Times New Roman" w:cs="Times New Roman"/>
          <w:noProof/>
          <w:lang w:val="en-IE" w:eastAsia="en-GB"/>
        </w:rPr>
        <w:t>this reform is to shorten the length of civil proceedings and address civil courts’ backlog. The reform consists of the adoption of legislative measures to reduce the number of incoming cases in courts, simplify existing procedures, and increase courts’ productivity.</w:t>
      </w:r>
    </w:p>
    <w:p w14:paraId="2FBA856A" w14:textId="77777777" w:rsidR="0039681A" w:rsidRPr="0039681A" w:rsidRDefault="0039681A" w:rsidP="00351087">
      <w:pPr>
        <w:spacing w:before="120" w:after="120"/>
        <w:jc w:val="both"/>
        <w:rPr>
          <w:rFonts w:ascii="Aptos" w:eastAsia="Aptos" w:hAnsi="Aptos" w:cs="Times New Roman"/>
          <w:noProof/>
          <w:lang w:val="en-IE"/>
        </w:rPr>
      </w:pPr>
      <w:r w:rsidRPr="0039681A">
        <w:rPr>
          <w:rFonts w:ascii="Times New Roman" w:eastAsia="Aptos" w:hAnsi="Times New Roman" w:cs="Times New Roman"/>
          <w:b/>
          <w:noProof/>
          <w:lang w:val="en-IE"/>
        </w:rPr>
        <w:t>Reform 1.5 - Criminal justice</w:t>
      </w:r>
    </w:p>
    <w:p w14:paraId="219CFAEB" w14:textId="77777777" w:rsidR="0039681A" w:rsidRPr="0039681A" w:rsidRDefault="0039681A" w:rsidP="00351087">
      <w:pPr>
        <w:spacing w:before="120" w:after="120"/>
        <w:jc w:val="both"/>
        <w:rPr>
          <w:rFonts w:ascii="Times New Roman" w:eastAsia="Aptos" w:hAnsi="Times New Roman" w:cs="Times New Roman"/>
          <w:noProof/>
          <w:lang w:val="en-IE"/>
        </w:rPr>
      </w:pPr>
      <w:r w:rsidRPr="0039681A">
        <w:rPr>
          <w:rFonts w:ascii="Times New Roman" w:eastAsia="Times New Roman" w:hAnsi="Times New Roman" w:cs="Times New Roman"/>
          <w:noProof/>
          <w:lang w:val="en-IE" w:eastAsia="en-GB"/>
        </w:rPr>
        <w:t>The objective of this reform is to shorten the length of criminal proceedings. The reform consists in the adoption of actions that simplify existing procedures and increase courts’ productivity.</w:t>
      </w:r>
    </w:p>
    <w:p w14:paraId="1E52C0D2"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Reform 1.6 - Insolvency</w:t>
      </w:r>
    </w:p>
    <w:p w14:paraId="67BBFBA6" w14:textId="77777777" w:rsidR="0039681A" w:rsidRPr="0039681A" w:rsidRDefault="0039681A" w:rsidP="00351087">
      <w:pPr>
        <w:spacing w:before="120" w:after="120"/>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 xml:space="preserve">The reform is aimed at digitalising and enhance insolvency proceedings introducing early warning mechanisms prior to insolvency, the specialisation of courts and pre-courts institutions to manage all phases of insolvency proceedings more effectively including through training and specialisation for members of the judicial and administrative authorities. </w:t>
      </w:r>
    </w:p>
    <w:p w14:paraId="31B1F476"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Reform 1.7 - Tax courts</w:t>
      </w:r>
    </w:p>
    <w:p w14:paraId="12FC0E97" w14:textId="77777777" w:rsidR="0039681A" w:rsidRPr="0039681A" w:rsidRDefault="0039681A" w:rsidP="00351087">
      <w:pPr>
        <w:spacing w:before="120" w:after="120"/>
        <w:jc w:val="both"/>
        <w:rPr>
          <w:rFonts w:ascii="Times New Roman" w:eastAsia="Times New Roman" w:hAnsi="Times New Roman" w:cs="Times New Roman"/>
          <w:noProof/>
          <w:lang w:val="en-IE" w:eastAsia="en-GB"/>
        </w:rPr>
      </w:pPr>
      <w:r w:rsidRPr="0039681A">
        <w:rPr>
          <w:rFonts w:ascii="Times New Roman" w:eastAsia="Times New Roman" w:hAnsi="Times New Roman" w:cs="Times New Roman"/>
          <w:noProof/>
          <w:lang w:val="en-IE" w:eastAsia="en-GB"/>
        </w:rPr>
        <w:t>The aim of the reform is to make the enforcement of tax law more effective and to decrease the high amount of appeals at the Court of Cassation.</w:t>
      </w:r>
    </w:p>
    <w:p w14:paraId="6AC8616A"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Reform 1.8 - Digitalisation of the justice system</w:t>
      </w:r>
    </w:p>
    <w:p w14:paraId="244DFFF1" w14:textId="77777777" w:rsidR="0039681A" w:rsidRPr="0039681A" w:rsidRDefault="0039681A" w:rsidP="00351087">
      <w:pPr>
        <w:spacing w:before="120" w:after="120"/>
        <w:jc w:val="both"/>
        <w:rPr>
          <w:rFonts w:ascii="Times New Roman" w:eastAsia="Aptos" w:hAnsi="Times New Roman" w:cs="Times New Roman"/>
          <w:noProof/>
          <w:lang w:val="en-IE"/>
        </w:rPr>
      </w:pPr>
      <w:r w:rsidRPr="0039681A">
        <w:rPr>
          <w:rFonts w:ascii="Times New Roman" w:eastAsia="Aptos" w:hAnsi="Times New Roman" w:cs="Times New Roman"/>
          <w:noProof/>
          <w:lang w:val="en-IE"/>
        </w:rPr>
        <w:t>The objective of this reform is to digitise civil and criminal proceedings. This reform consists of the introduction of a mandatory electronic filing of documents, the establishment of an electronic workflow for civil proceedings, the digitalisation of the first instance criminal proceedings, and the creation of a database of civil law decisions.</w:t>
      </w:r>
    </w:p>
    <w:p w14:paraId="5F6091B2"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Investment 1.8 - Recruitment procedures for civil, criminal and administrative courts</w:t>
      </w:r>
    </w:p>
    <w:p w14:paraId="16C24F01" w14:textId="77777777" w:rsidR="0039681A" w:rsidRPr="0039681A" w:rsidRDefault="0039681A" w:rsidP="00351087">
      <w:pPr>
        <w:spacing w:before="120" w:after="120"/>
        <w:jc w:val="both"/>
        <w:rPr>
          <w:rFonts w:ascii="Times New Roman" w:eastAsia="Aptos" w:hAnsi="Times New Roman" w:cs="Times New Roman"/>
          <w:noProof/>
          <w:lang w:val="en-IE"/>
        </w:rPr>
      </w:pPr>
      <w:r w:rsidRPr="0039681A">
        <w:rPr>
          <w:rFonts w:ascii="Times New Roman" w:eastAsia="Aptos" w:hAnsi="Times New Roman" w:cs="Times New Roman"/>
          <w:noProof/>
          <w:lang w:val="en-IE"/>
        </w:rPr>
        <w:t>The objective of this measure is to increase the quality of justice by supporting the activities of the administrative, civil, and criminal Courts, as well as of the territorial and central services of the Ministry of Justice responsible for the enforcement of the RRP and the digital transition in the justice system. The investment consists of the temporary hiring of staff for the office of the trial and of technical and administrative personnel supporting the implementation of RRP objectives.</w:t>
      </w:r>
    </w:p>
    <w:p w14:paraId="375D9E13" w14:textId="77777777" w:rsidR="0039681A" w:rsidRPr="0039681A" w:rsidRDefault="0039681A" w:rsidP="00351087">
      <w:pPr>
        <w:rPr>
          <w:rFonts w:ascii="Times New Roman" w:eastAsia="Times New Roman" w:hAnsi="Times New Roman" w:cs="Times New Roman"/>
          <w:i/>
          <w:noProof/>
          <w:lang w:val="en-IE" w:eastAsia="en-GB"/>
        </w:rPr>
      </w:pPr>
      <w:r w:rsidRPr="0039681A">
        <w:rPr>
          <w:rFonts w:ascii="Aptos" w:eastAsia="Aptos" w:hAnsi="Aptos" w:cs="Times New Roman"/>
          <w:noProof/>
          <w:lang w:val="en-IE"/>
        </w:rPr>
        <w:br w:type="page"/>
      </w:r>
    </w:p>
    <w:p w14:paraId="1D860809" w14:textId="77777777" w:rsidR="0039681A" w:rsidRPr="0039681A" w:rsidRDefault="0039681A" w:rsidP="00351087">
      <w:pPr>
        <w:spacing w:before="320" w:after="240" w:line="240" w:lineRule="auto"/>
        <w:jc w:val="both"/>
        <w:rPr>
          <w:rFonts w:ascii="Times New Roman" w:eastAsia="Times New Roman" w:hAnsi="Times New Roman" w:cs="Times New Roman"/>
          <w:i/>
          <w:noProof/>
          <w:lang w:val="en-IE" w:eastAsia="en-GB"/>
        </w:rPr>
      </w:pPr>
      <w:r w:rsidRPr="0039681A">
        <w:rPr>
          <w:rFonts w:ascii="Times New Roman" w:eastAsia="Times New Roman" w:hAnsi="Times New Roman" w:cs="Times New Roman"/>
          <w:i/>
          <w:noProof/>
          <w:lang w:val="en-IE" w:eastAsia="en-GB"/>
        </w:rPr>
        <w:t>Axis 3 – Public administration</w:t>
      </w:r>
    </w:p>
    <w:p w14:paraId="39EEFF89"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 xml:space="preserve">Reform 1.9 - </w:t>
      </w:r>
      <w:r w:rsidRPr="0039681A">
        <w:rPr>
          <w:rFonts w:ascii="Times New Roman" w:eastAsia="Aptos" w:hAnsi="Times New Roman" w:cs="Times New Roman"/>
          <w:b/>
          <w:bCs/>
          <w:noProof/>
          <w:lang w:val="en-IE"/>
        </w:rPr>
        <w:t>Public employment reform and simplification reform</w:t>
      </w:r>
    </w:p>
    <w:p w14:paraId="20CE0270" w14:textId="5DB3F564" w:rsidR="0039681A" w:rsidRPr="0039681A" w:rsidRDefault="0039681A" w:rsidP="00351087">
      <w:pPr>
        <w:spacing w:before="120" w:after="120"/>
        <w:jc w:val="both"/>
        <w:rPr>
          <w:rFonts w:ascii="Times New Roman" w:eastAsia="Aptos" w:hAnsi="Times New Roman" w:cs="Times New Roman"/>
          <w:noProof/>
          <w:lang w:val="en-IE"/>
        </w:rPr>
      </w:pPr>
      <w:r w:rsidRPr="0039681A">
        <w:rPr>
          <w:rFonts w:ascii="Times New Roman" w:eastAsia="Aptos" w:hAnsi="Times New Roman" w:cs="Times New Roman"/>
          <w:noProof/>
          <w:lang w:val="en-IE"/>
        </w:rPr>
        <w:t xml:space="preserve">The objective of this reform is to reinforce the public employment framework and simplify administrative procedures to the benefit of businesses and citizens. The reform consists of the adoption of a number of measures removing unnecessary obligations, introducing silent-consent mechanisms, simplifying communication, uniforming regimes shared with Regions and municipalities, making data on </w:t>
      </w:r>
      <w:r w:rsidRPr="0039681A">
        <w:rPr>
          <w:rFonts w:ascii="Times New Roman" w:eastAsia="Times New Roman" w:hAnsi="Times New Roman" w:cs="Times New Roman"/>
          <w:noProof/>
          <w:lang w:val="en-IE"/>
        </w:rPr>
        <w:t>Sportello Unico Attività Produttive (SUAP) and Sportello Unico Edilizia (SUE) accessible</w:t>
      </w:r>
      <w:r w:rsidR="00381DB1">
        <w:rPr>
          <w:rFonts w:ascii="Times New Roman" w:eastAsia="Aptos" w:hAnsi="Times New Roman" w:cs="Times New Roman"/>
          <w:noProof/>
          <w:lang w:val="en-IE"/>
        </w:rPr>
        <w:t xml:space="preserve"> </w:t>
      </w:r>
      <w:r w:rsidRPr="0039681A">
        <w:rPr>
          <w:rFonts w:ascii="Times New Roman" w:eastAsia="Aptos" w:hAnsi="Times New Roman" w:cs="Times New Roman"/>
          <w:noProof/>
          <w:lang w:val="en-IE"/>
        </w:rPr>
        <w:t>on the digital platform www.impresainungiorno.gov.it, and defining a set of Key Performance Indicators (KPIs) to steer organizational change in administrations.</w:t>
      </w:r>
    </w:p>
    <w:p w14:paraId="1A404A19" w14:textId="77777777" w:rsidR="0039681A" w:rsidRPr="0039681A" w:rsidRDefault="0039681A" w:rsidP="00351087">
      <w:pPr>
        <w:spacing w:before="12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Reform 1.9bis - Reform for accelerating the implementation of cohesion policy</w:t>
      </w:r>
    </w:p>
    <w:p w14:paraId="2F675888" w14:textId="77777777" w:rsidR="0039681A" w:rsidRPr="0039681A" w:rsidRDefault="0039681A" w:rsidP="00351087">
      <w:pPr>
        <w:spacing w:before="120" w:after="120"/>
        <w:jc w:val="both"/>
        <w:rPr>
          <w:rFonts w:ascii="Times New Roman" w:eastAsia="Aptos" w:hAnsi="Times New Roman" w:cs="Times New Roman"/>
          <w:b/>
          <w:noProof/>
          <w:lang w:val="en-IE"/>
        </w:rPr>
      </w:pPr>
      <w:r w:rsidRPr="0039681A">
        <w:rPr>
          <w:rFonts w:ascii="Times New Roman" w:eastAsia="Aptos" w:hAnsi="Times New Roman" w:cs="Times New Roman"/>
          <w:noProof/>
          <w:lang w:val="en-IE"/>
        </w:rPr>
        <w:t xml:space="preserve">The reform aims to accelerating the implementation and efficiency of cohesion policy in complementarity with the NRRP. It shall foresee the date of the approval of the strategic plan of the single special economic zone. </w:t>
      </w:r>
      <w:r w:rsidRPr="0039681A">
        <w:rPr>
          <w:rFonts w:ascii="Times New Roman" w:eastAsia="Aptos" w:hAnsi="Times New Roman" w:cs="Times New Roman"/>
          <w:noProof/>
          <w:color w:val="000000"/>
          <w:lang w:val="en-IE"/>
        </w:rPr>
        <w:t xml:space="preserve">The </w:t>
      </w:r>
      <w:r w:rsidRPr="0039681A">
        <w:rPr>
          <w:rFonts w:ascii="Times New Roman" w:eastAsia="Aptos" w:hAnsi="Times New Roman" w:cs="Times New Roman"/>
          <w:noProof/>
          <w:lang w:val="en-IE"/>
        </w:rPr>
        <w:t xml:space="preserve">national </w:t>
      </w:r>
      <w:r w:rsidRPr="0039681A">
        <w:rPr>
          <w:rFonts w:ascii="Times New Roman" w:eastAsia="Aptos" w:hAnsi="Times New Roman" w:cs="Times New Roman"/>
          <w:noProof/>
          <w:color w:val="000000"/>
          <w:lang w:val="en-IE"/>
        </w:rPr>
        <w:t xml:space="preserve">legislation requires the opinion of the Unified Conference before its conversion into Law as provided for in the Legislative Decree n°281/1997. </w:t>
      </w:r>
      <w:r w:rsidRPr="0039681A">
        <w:rPr>
          <w:rFonts w:ascii="Times New Roman" w:eastAsia="Aptos" w:hAnsi="Times New Roman" w:cs="Times New Roman"/>
          <w:noProof/>
          <w:lang w:val="en-IE"/>
        </w:rPr>
        <w:t>In accordance with Article 9 of Regulation (EU) 2021/241, the reform may receive support from other Union Programmes and instruments provided that such support does not cover the same cost. The RRF does not cover any costs of the reform.</w:t>
      </w:r>
    </w:p>
    <w:p w14:paraId="2ABC1CC5"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Investment 1.9 - Provide technical assistance and strengthen capacity building for the implementation of the Italian recovery and resilience plan</w:t>
      </w:r>
    </w:p>
    <w:p w14:paraId="0DA8705C" w14:textId="67E04DAF" w:rsidR="0039681A" w:rsidRPr="0039681A" w:rsidRDefault="0039681A" w:rsidP="00351087">
      <w:pPr>
        <w:spacing w:before="120" w:after="120"/>
        <w:jc w:val="both"/>
        <w:rPr>
          <w:rFonts w:ascii="Times New Roman" w:eastAsia="Aptos" w:hAnsi="Times New Roman" w:cs="Times New Roman"/>
          <w:noProof/>
          <w:lang w:val="en-IE"/>
        </w:rPr>
      </w:pPr>
      <w:r w:rsidRPr="0039681A">
        <w:rPr>
          <w:rFonts w:ascii="Times New Roman" w:eastAsia="Aptos" w:hAnsi="Times New Roman" w:cs="Times New Roman"/>
          <w:noProof/>
          <w:lang w:val="en-IE"/>
        </w:rPr>
        <w:t xml:space="preserve">The objective of this investment is to reinforce administrative capacity for the implementation of the Italian Recovery and Resilience Plan (RRP). The investment consists of the temporary recruitment of a pool of experts that will provide technical assistance to administrations and reinforce their capacity to implement specific initiatives envisaged under the RRP and includes training programmes. </w:t>
      </w:r>
    </w:p>
    <w:p w14:paraId="11EB3525" w14:textId="77777777" w:rsidR="0039681A" w:rsidRPr="0039681A" w:rsidRDefault="0039681A" w:rsidP="00351087">
      <w:pPr>
        <w:spacing w:before="320" w:after="240" w:line="240" w:lineRule="auto"/>
        <w:jc w:val="both"/>
        <w:rPr>
          <w:rFonts w:ascii="Times New Roman" w:eastAsia="Times New Roman" w:hAnsi="Times New Roman" w:cs="Times New Roman"/>
          <w:i/>
          <w:noProof/>
          <w:lang w:val="en-IE" w:eastAsia="en-GB"/>
        </w:rPr>
      </w:pPr>
      <w:r w:rsidRPr="0039681A">
        <w:rPr>
          <w:rFonts w:ascii="Times New Roman" w:eastAsia="Times New Roman" w:hAnsi="Times New Roman" w:cs="Times New Roman"/>
          <w:i/>
          <w:noProof/>
          <w:lang w:val="en-IE" w:eastAsia="en-GB"/>
        </w:rPr>
        <w:t>Axis 4 – Public procurement and payments by public administrations</w:t>
      </w:r>
    </w:p>
    <w:p w14:paraId="07627701" w14:textId="77777777" w:rsidR="0039681A" w:rsidRPr="0039681A" w:rsidRDefault="0039681A" w:rsidP="00351087">
      <w:pPr>
        <w:spacing w:before="240" w:after="120"/>
        <w:jc w:val="both"/>
        <w:rPr>
          <w:rFonts w:ascii="Times New Roman" w:eastAsia="Aptos" w:hAnsi="Times New Roman" w:cs="Times New Roman"/>
          <w:b/>
          <w:bCs/>
          <w:noProof/>
          <w:lang w:val="en-IE"/>
        </w:rPr>
      </w:pPr>
      <w:r w:rsidRPr="0039681A">
        <w:rPr>
          <w:rFonts w:ascii="Times New Roman" w:eastAsia="Aptos" w:hAnsi="Times New Roman" w:cs="Times New Roman"/>
          <w:b/>
          <w:bCs/>
          <w:noProof/>
          <w:lang w:val="en-IE"/>
        </w:rPr>
        <w:t>Reform 1.10 - Reform of the public procurement legislative framework</w:t>
      </w:r>
    </w:p>
    <w:p w14:paraId="677C1B6E" w14:textId="77777777" w:rsidR="0039681A" w:rsidRPr="0039681A" w:rsidRDefault="0039681A" w:rsidP="00351087">
      <w:pPr>
        <w:jc w:val="both"/>
        <w:rPr>
          <w:rFonts w:ascii="Times New Roman" w:eastAsia="Aptos" w:hAnsi="Times New Roman" w:cs="Times New Roman"/>
          <w:b/>
          <w:noProof/>
          <w:lang w:val="en-IE"/>
        </w:rPr>
      </w:pPr>
      <w:r w:rsidRPr="0039681A">
        <w:rPr>
          <w:rFonts w:ascii="Times New Roman" w:eastAsia="Aptos" w:hAnsi="Times New Roman" w:cs="Times New Roman"/>
          <w:noProof/>
          <w:lang w:val="en-IE"/>
        </w:rPr>
        <w:t>The objective of this reform is to enhance the qualification and professionalisation of contracting authorities, increase competition, simplify and digitalize the procedures of central purchasing bodies, and operationalise the national e-Procurement System. To this end, the reform includes the adoption of legal acts, including amendments to the Public Procurement Code.</w:t>
      </w:r>
    </w:p>
    <w:p w14:paraId="1F354266"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Reform 1.11 - Reduction of late payments by public administrations and health authorities</w:t>
      </w:r>
    </w:p>
    <w:p w14:paraId="59410B0F" w14:textId="77777777" w:rsidR="0039681A" w:rsidRPr="0039681A" w:rsidRDefault="0039681A" w:rsidP="00351087">
      <w:pPr>
        <w:spacing w:before="240" w:after="120"/>
        <w:jc w:val="both"/>
        <w:rPr>
          <w:rFonts w:ascii="Times New Roman" w:eastAsia="Aptos" w:hAnsi="Times New Roman" w:cs="Times New Roman"/>
          <w:noProof/>
          <w:lang w:val="en-IE"/>
        </w:rPr>
      </w:pPr>
      <w:r w:rsidRPr="0039681A">
        <w:rPr>
          <w:rFonts w:ascii="Times New Roman" w:eastAsia="Aptos" w:hAnsi="Times New Roman" w:cs="Times New Roman"/>
          <w:noProof/>
          <w:lang w:val="en-IE"/>
        </w:rPr>
        <w:t>The objective of the reform is to address bottlenecks causing delays in the execution of payments made by central, regional, local, and health Italian public administrations and authorities towards businesses, notably through the adoption of structural actions and targeted legislative measures.</w:t>
      </w:r>
    </w:p>
    <w:p w14:paraId="44613EB5" w14:textId="77777777" w:rsidR="00D619C4" w:rsidRDefault="00D619C4" w:rsidP="00351087">
      <w:pPr>
        <w:spacing w:before="320" w:after="240" w:line="240" w:lineRule="auto"/>
        <w:jc w:val="both"/>
        <w:rPr>
          <w:rFonts w:ascii="Times New Roman" w:eastAsia="Times New Roman" w:hAnsi="Times New Roman" w:cs="Times New Roman"/>
          <w:i/>
          <w:noProof/>
          <w:lang w:val="en-IE" w:eastAsia="en-GB"/>
        </w:rPr>
      </w:pPr>
    </w:p>
    <w:p w14:paraId="265CA945" w14:textId="77777777" w:rsidR="00D619C4" w:rsidRDefault="00D619C4" w:rsidP="00351087">
      <w:pPr>
        <w:spacing w:before="320" w:after="240" w:line="240" w:lineRule="auto"/>
        <w:jc w:val="both"/>
        <w:rPr>
          <w:rFonts w:ascii="Times New Roman" w:eastAsia="Times New Roman" w:hAnsi="Times New Roman" w:cs="Times New Roman"/>
          <w:i/>
          <w:noProof/>
          <w:lang w:val="en-IE" w:eastAsia="en-GB"/>
        </w:rPr>
      </w:pPr>
    </w:p>
    <w:p w14:paraId="7F7E96C4" w14:textId="77777777" w:rsidR="00D619C4" w:rsidRDefault="00D619C4" w:rsidP="00351087">
      <w:pPr>
        <w:spacing w:before="320" w:after="240" w:line="240" w:lineRule="auto"/>
        <w:jc w:val="both"/>
        <w:rPr>
          <w:rFonts w:ascii="Times New Roman" w:eastAsia="Times New Roman" w:hAnsi="Times New Roman" w:cs="Times New Roman"/>
          <w:i/>
          <w:noProof/>
          <w:lang w:val="en-IE" w:eastAsia="en-GB"/>
        </w:rPr>
      </w:pPr>
    </w:p>
    <w:p w14:paraId="31A11B2E" w14:textId="77777777" w:rsidR="00D619C4" w:rsidRDefault="00D619C4" w:rsidP="00351087">
      <w:pPr>
        <w:spacing w:before="320" w:after="240" w:line="240" w:lineRule="auto"/>
        <w:jc w:val="both"/>
        <w:rPr>
          <w:rFonts w:ascii="Times New Roman" w:eastAsia="Times New Roman" w:hAnsi="Times New Roman" w:cs="Times New Roman"/>
          <w:i/>
          <w:noProof/>
          <w:lang w:val="en-IE" w:eastAsia="en-GB"/>
        </w:rPr>
      </w:pPr>
    </w:p>
    <w:p w14:paraId="2F522DA5" w14:textId="4BD68379" w:rsidR="0039681A" w:rsidRPr="0039681A" w:rsidRDefault="0039681A" w:rsidP="00351087">
      <w:pPr>
        <w:spacing w:before="320" w:after="240" w:line="240" w:lineRule="auto"/>
        <w:jc w:val="both"/>
        <w:rPr>
          <w:rFonts w:ascii="Times New Roman" w:eastAsia="Times New Roman" w:hAnsi="Times New Roman" w:cs="Times New Roman"/>
          <w:i/>
          <w:noProof/>
          <w:lang w:val="en-IE" w:eastAsia="en-GB"/>
        </w:rPr>
      </w:pPr>
      <w:r w:rsidRPr="0039681A">
        <w:rPr>
          <w:rFonts w:ascii="Times New Roman" w:eastAsia="Times New Roman" w:hAnsi="Times New Roman" w:cs="Times New Roman"/>
          <w:i/>
          <w:noProof/>
          <w:lang w:val="en-IE" w:eastAsia="en-GB"/>
        </w:rPr>
        <w:t>Axis 5 – Fiscal-structural reforms (Taxation and public expenditure)</w:t>
      </w:r>
    </w:p>
    <w:p w14:paraId="6ED223D0"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bCs/>
          <w:noProof/>
          <w:lang w:val="en-IE"/>
        </w:rPr>
        <w:t>Reform 1.12 - Reform of the tax administration</w:t>
      </w:r>
    </w:p>
    <w:p w14:paraId="0EB4CEFD" w14:textId="77777777" w:rsidR="0039681A" w:rsidRPr="0039681A" w:rsidRDefault="0039681A" w:rsidP="00351087">
      <w:pPr>
        <w:jc w:val="both"/>
        <w:rPr>
          <w:rFonts w:ascii="Times New Roman" w:eastAsia="Aptos" w:hAnsi="Times New Roman" w:cs="Times New Roman"/>
          <w:noProof/>
          <w:lang w:val="en-IE"/>
        </w:rPr>
      </w:pPr>
      <w:r w:rsidRPr="0039681A">
        <w:rPr>
          <w:rFonts w:ascii="Times New Roman" w:eastAsia="Aptos" w:hAnsi="Times New Roman" w:cs="Times New Roman"/>
          <w:noProof/>
          <w:lang w:val="en-IE"/>
        </w:rPr>
        <w:t>The objective of this reform of the tax administration is to encourage tax compliance, increase the efficacy of audits and controls, and reduce compliance costs for taxpayers, through the adoption and enforcement of targeted legislative and regulatory measures.</w:t>
      </w:r>
    </w:p>
    <w:p w14:paraId="49756D17"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Reform 1.13 - Reform of the spending review framework</w:t>
      </w:r>
    </w:p>
    <w:p w14:paraId="38E6F980" w14:textId="77777777" w:rsidR="0039681A" w:rsidRPr="0039681A" w:rsidRDefault="0039681A" w:rsidP="00351087">
      <w:pPr>
        <w:jc w:val="both"/>
        <w:rPr>
          <w:rFonts w:ascii="Times New Roman" w:eastAsia="Aptos" w:hAnsi="Times New Roman" w:cs="Times New Roman"/>
          <w:noProof/>
          <w:lang w:val="en-IE"/>
        </w:rPr>
      </w:pPr>
      <w:r w:rsidRPr="0039681A">
        <w:rPr>
          <w:rFonts w:ascii="Times New Roman" w:eastAsia="Aptos" w:hAnsi="Times New Roman" w:cs="Times New Roman"/>
          <w:noProof/>
          <w:lang w:val="en-IE"/>
        </w:rPr>
        <w:t>The objective of this reform is to increase the efficacy of the national spending review framework. The reform consists in the commitment to undertake yearly spending reviews over the 2023-2025 period and to improve the practice of green and gender budgeting.</w:t>
      </w:r>
    </w:p>
    <w:p w14:paraId="0FFE7DCB" w14:textId="77777777" w:rsidR="0039681A" w:rsidRPr="0039681A" w:rsidRDefault="0039681A" w:rsidP="00351087">
      <w:pPr>
        <w:rPr>
          <w:rFonts w:ascii="Times New Roman" w:eastAsia="Aptos" w:hAnsi="Times New Roman" w:cs="Times New Roman"/>
          <w:b/>
          <w:noProof/>
          <w:lang w:val="en-IE"/>
        </w:rPr>
      </w:pPr>
      <w:r w:rsidRPr="0039681A">
        <w:rPr>
          <w:rFonts w:ascii="Times New Roman" w:eastAsia="Aptos" w:hAnsi="Times New Roman" w:cs="Times New Roman"/>
          <w:b/>
          <w:noProof/>
          <w:lang w:val="en-IE"/>
        </w:rPr>
        <w:t>Reform 1.14 - Reform of the subnational fiscal framework</w:t>
      </w:r>
    </w:p>
    <w:p w14:paraId="312C8381" w14:textId="615521D3" w:rsidR="0039681A" w:rsidRPr="0039681A" w:rsidRDefault="0039681A" w:rsidP="00351087">
      <w:pPr>
        <w:jc w:val="both"/>
        <w:rPr>
          <w:rFonts w:ascii="Times New Roman" w:eastAsia="Aptos" w:hAnsi="Times New Roman" w:cs="Times New Roman"/>
          <w:noProof/>
          <w:lang w:val="en-IE"/>
        </w:rPr>
      </w:pPr>
      <w:r w:rsidRPr="0039681A">
        <w:rPr>
          <w:rFonts w:ascii="Times New Roman" w:eastAsia="Aptos" w:hAnsi="Times New Roman" w:cs="Times New Roman"/>
          <w:noProof/>
          <w:lang w:val="en-IE"/>
        </w:rPr>
        <w:t>The objective of this reform is to increase the transparency of fiscal relations across the different levels of government. The reform consists in the definition of the essential levels of services for the “fiscal federalism” for regions with ordinary status in at least two policy areas and the adoption of legals acts defining the “fiscal federalism” for provinces and metropolitan cities.</w:t>
      </w:r>
    </w:p>
    <w:p w14:paraId="13BDAC88" w14:textId="77777777" w:rsidR="0039681A" w:rsidRPr="0039681A" w:rsidRDefault="0039681A" w:rsidP="00351087">
      <w:pPr>
        <w:spacing w:before="240" w:after="120"/>
        <w:jc w:val="both"/>
        <w:rPr>
          <w:rFonts w:ascii="Times New Roman" w:eastAsia="Aptos" w:hAnsi="Times New Roman" w:cs="Times New Roman"/>
          <w:b/>
          <w:noProof/>
          <w:lang w:val="en-IE"/>
        </w:rPr>
      </w:pPr>
      <w:r w:rsidRPr="0039681A">
        <w:rPr>
          <w:rFonts w:ascii="Times New Roman" w:eastAsia="Aptos" w:hAnsi="Times New Roman" w:cs="Times New Roman"/>
          <w:b/>
          <w:noProof/>
          <w:lang w:val="en-IE"/>
        </w:rPr>
        <w:t>Reform 1.15 - Reform of public accounting rules</w:t>
      </w:r>
    </w:p>
    <w:p w14:paraId="6E908783" w14:textId="77777777" w:rsidR="0039681A" w:rsidRPr="0039681A" w:rsidRDefault="0039681A" w:rsidP="00351087">
      <w:pPr>
        <w:jc w:val="both"/>
        <w:rPr>
          <w:rFonts w:ascii="Times New Roman" w:eastAsia="Aptos" w:hAnsi="Times New Roman" w:cs="Times New Roman"/>
          <w:noProof/>
          <w:lang w:val="en-IE"/>
        </w:rPr>
      </w:pPr>
      <w:r w:rsidRPr="0039681A">
        <w:rPr>
          <w:rFonts w:ascii="Times New Roman" w:eastAsia="Aptos" w:hAnsi="Times New Roman" w:cs="Times New Roman"/>
          <w:noProof/>
          <w:lang w:val="en-IE"/>
        </w:rPr>
        <w:t>The objective of this reform is to implement a single accrual accounting system for the public sector, net of State-owned companies. The reform consists in the adoption of the conceptual framework, the set of accrual accounting standards and the multidimensional chart of accounts, as well as in the delivery of trainings for the transition to the new accrual accounting system.</w:t>
      </w:r>
    </w:p>
    <w:p w14:paraId="39ABAFF1" w14:textId="77777777" w:rsidR="0039681A" w:rsidRPr="0039681A" w:rsidRDefault="0039681A" w:rsidP="00351087">
      <w:pPr>
        <w:spacing w:before="120" w:after="120"/>
        <w:jc w:val="both"/>
        <w:rPr>
          <w:rFonts w:ascii="Times New Roman" w:eastAsia="Aptos" w:hAnsi="Times New Roman" w:cs="Times New Roman"/>
          <w:b/>
          <w:bCs/>
          <w:noProof/>
          <w:lang w:val="en-IE"/>
        </w:rPr>
      </w:pPr>
      <w:r w:rsidRPr="0039681A">
        <w:rPr>
          <w:rFonts w:ascii="Times New Roman" w:eastAsia="Aptos" w:hAnsi="Times New Roman" w:cs="Times New Roman"/>
          <w:b/>
          <w:noProof/>
          <w:lang w:val="en-IE"/>
        </w:rPr>
        <w:t xml:space="preserve">Investment 1.10 - Support to qualification and eProcurement </w:t>
      </w:r>
    </w:p>
    <w:p w14:paraId="0A897411" w14:textId="77777777" w:rsidR="0039681A" w:rsidRPr="0039681A" w:rsidRDefault="0039681A" w:rsidP="00351087">
      <w:pPr>
        <w:spacing w:before="120" w:after="120"/>
        <w:jc w:val="both"/>
        <w:rPr>
          <w:rFonts w:ascii="Times New Roman" w:eastAsia="Aptos" w:hAnsi="Times New Roman" w:cs="Times New Roman"/>
          <w:noProof/>
          <w:lang w:val="en-IE"/>
        </w:rPr>
      </w:pPr>
      <w:r w:rsidRPr="0039681A">
        <w:rPr>
          <w:rFonts w:ascii="Times New Roman" w:eastAsia="Aptos" w:hAnsi="Times New Roman" w:cs="Times New Roman"/>
          <w:noProof/>
          <w:lang w:val="en-IE"/>
        </w:rPr>
        <w:t>This investment shall, within the framework of the Public Buyers Professionalization Strategy, set up a procurement support function dedicated to contracting authorities to fulfil the requirements of Annex II.4 of the Public Procurement Code and to support them in the eProcurement process, backing up the acquisition of digital skills and providing technical support in the adoption of the digitalization of public procurement, including the use of dynamic purchasing systems.</w:t>
      </w:r>
    </w:p>
    <w:p w14:paraId="5636568A" w14:textId="77777777" w:rsidR="0039681A" w:rsidRPr="0039681A" w:rsidRDefault="0039681A" w:rsidP="00351087">
      <w:pPr>
        <w:spacing w:before="120" w:after="120"/>
        <w:jc w:val="both"/>
        <w:rPr>
          <w:rFonts w:ascii="Aptos" w:eastAsia="Aptos" w:hAnsi="Aptos" w:cs="Times New Roman"/>
          <w:noProof/>
          <w:lang w:val="en-IE"/>
        </w:rPr>
        <w:sectPr w:rsidR="0039681A" w:rsidRPr="0039681A" w:rsidSect="00AF5341">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14:paraId="7DA2C5F8" w14:textId="77777777" w:rsidR="0039681A" w:rsidRPr="0039681A" w:rsidRDefault="0039681A" w:rsidP="00351087">
      <w:pPr>
        <w:keepNext/>
        <w:keepLines/>
        <w:spacing w:before="160" w:after="80"/>
        <w:ind w:left="850" w:hanging="850"/>
        <w:outlineLvl w:val="2"/>
        <w:rPr>
          <w:rFonts w:ascii="Times New Roman" w:eastAsia="Times New Roman" w:hAnsi="Times New Roman" w:cs="Times New Roman"/>
          <w:b/>
          <w:bCs/>
          <w:i/>
          <w:iCs/>
          <w:noProof/>
          <w:color w:val="0F4761"/>
          <w:u w:val="single"/>
          <w:lang w:val="en-IE"/>
        </w:rPr>
      </w:pPr>
      <w:r w:rsidRPr="0039681A">
        <w:rPr>
          <w:rFonts w:ascii="Times New Roman" w:eastAsia="Times New Roman" w:hAnsi="Times New Roman" w:cs="Times New Roman"/>
          <w:b/>
          <w:noProof/>
          <w:color w:val="0F4761"/>
          <w:u w:val="single"/>
          <w:lang w:val="en-IE"/>
        </w:rPr>
        <w:t xml:space="preserve">A.2. </w:t>
      </w:r>
      <w:r w:rsidRPr="0039681A">
        <w:rPr>
          <w:rFonts w:ascii="Times New Roman" w:eastAsia="Times New Roman" w:hAnsi="Times New Roman" w:cs="Times New Roman"/>
          <w:noProof/>
          <w:color w:val="0F4761"/>
          <w:lang w:val="en-IE"/>
        </w:rPr>
        <w:tab/>
      </w:r>
      <w:r w:rsidRPr="0039681A">
        <w:rPr>
          <w:rFonts w:ascii="Times New Roman" w:eastAsia="Times New Roman" w:hAnsi="Times New Roman" w:cs="Times New Roman"/>
          <w:b/>
          <w:noProof/>
          <w:color w:val="0F4761"/>
          <w:u w:val="single"/>
          <w:lang w:val="en-IE"/>
        </w:rPr>
        <w:t>Milestones, targets, indicators, and timetable for monitoring and implementation for non-repayable financial support</w:t>
      </w:r>
    </w:p>
    <w:tbl>
      <w:tblPr>
        <w:tblW w:w="15735" w:type="dxa"/>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5"/>
        <w:gridCol w:w="1417"/>
        <w:gridCol w:w="992"/>
        <w:gridCol w:w="1418"/>
        <w:gridCol w:w="1559"/>
        <w:gridCol w:w="1276"/>
        <w:gridCol w:w="1417"/>
        <w:gridCol w:w="1418"/>
        <w:gridCol w:w="992"/>
        <w:gridCol w:w="852"/>
        <w:gridCol w:w="3259"/>
      </w:tblGrid>
      <w:tr w:rsidR="0039681A" w:rsidRPr="0070054C" w14:paraId="2FB7311B" w14:textId="77777777" w:rsidTr="00351087">
        <w:trPr>
          <w:trHeight w:val="765"/>
          <w:tblHeader/>
        </w:trPr>
        <w:tc>
          <w:tcPr>
            <w:tcW w:w="1135" w:type="dxa"/>
            <w:vMerge w:val="restart"/>
            <w:shd w:val="clear" w:color="auto" w:fill="BDD7EE"/>
            <w:vAlign w:val="center"/>
            <w:hideMark/>
          </w:tcPr>
          <w:p w14:paraId="6891B320" w14:textId="77777777" w:rsidR="0039681A" w:rsidRPr="00030506" w:rsidRDefault="0039681A" w:rsidP="00351087">
            <w:pPr>
              <w:jc w:val="center"/>
              <w:rPr>
                <w:rFonts w:ascii="Arial Narrow" w:eastAsia="Aptos" w:hAnsi="Arial Narrow" w:cs="Arial"/>
                <w:b/>
                <w:bCs/>
                <w:noProof/>
                <w:sz w:val="20"/>
                <w:szCs w:val="20"/>
              </w:rPr>
            </w:pPr>
            <w:r w:rsidRPr="00030506">
              <w:rPr>
                <w:rFonts w:ascii="Arial Narrow" w:eastAsia="Aptos" w:hAnsi="Arial Narrow" w:cs="Times New Roman"/>
                <w:b/>
                <w:noProof/>
                <w:sz w:val="20"/>
              </w:rPr>
              <w:t>Sequential Number</w:t>
            </w:r>
          </w:p>
        </w:tc>
        <w:tc>
          <w:tcPr>
            <w:tcW w:w="1417" w:type="dxa"/>
            <w:vMerge w:val="restart"/>
            <w:shd w:val="clear" w:color="auto" w:fill="BDD7EE"/>
            <w:vAlign w:val="center"/>
            <w:hideMark/>
          </w:tcPr>
          <w:p w14:paraId="3891D287" w14:textId="77777777" w:rsidR="0039681A" w:rsidRPr="0039681A" w:rsidRDefault="0039681A" w:rsidP="00351087">
            <w:pPr>
              <w:jc w:val="center"/>
              <w:rPr>
                <w:rFonts w:ascii="Arial Narrow" w:eastAsia="Aptos" w:hAnsi="Arial Narrow" w:cs="Arial"/>
                <w:b/>
                <w:bCs/>
                <w:noProof/>
                <w:sz w:val="20"/>
                <w:szCs w:val="20"/>
                <w:lang w:val="en-IE"/>
              </w:rPr>
            </w:pPr>
            <w:r w:rsidRPr="0039681A">
              <w:rPr>
                <w:rFonts w:ascii="Arial Narrow" w:eastAsia="Aptos" w:hAnsi="Arial Narrow" w:cs="Times New Roman"/>
                <w:b/>
                <w:noProof/>
                <w:sz w:val="20"/>
                <w:lang w:val="en-IE"/>
              </w:rPr>
              <w:t>Related Measure (Reform or Investment)</w:t>
            </w:r>
          </w:p>
        </w:tc>
        <w:tc>
          <w:tcPr>
            <w:tcW w:w="992" w:type="dxa"/>
            <w:vMerge w:val="restart"/>
            <w:shd w:val="clear" w:color="auto" w:fill="BDD7EE"/>
            <w:vAlign w:val="center"/>
            <w:hideMark/>
          </w:tcPr>
          <w:p w14:paraId="4D466134" w14:textId="77777777" w:rsidR="0039681A" w:rsidRPr="00030506" w:rsidRDefault="0039681A" w:rsidP="00351087">
            <w:pPr>
              <w:jc w:val="center"/>
              <w:rPr>
                <w:rFonts w:ascii="Arial Narrow" w:eastAsia="Aptos" w:hAnsi="Arial Narrow" w:cs="Arial"/>
                <w:b/>
                <w:bCs/>
                <w:noProof/>
                <w:sz w:val="20"/>
                <w:szCs w:val="20"/>
              </w:rPr>
            </w:pPr>
            <w:r w:rsidRPr="00030506">
              <w:rPr>
                <w:rFonts w:ascii="Arial Narrow" w:eastAsia="Aptos" w:hAnsi="Arial Narrow" w:cs="Times New Roman"/>
                <w:b/>
                <w:noProof/>
                <w:sz w:val="20"/>
              </w:rPr>
              <w:t>Milestone/Target</w:t>
            </w:r>
          </w:p>
        </w:tc>
        <w:tc>
          <w:tcPr>
            <w:tcW w:w="1418" w:type="dxa"/>
            <w:vMerge w:val="restart"/>
            <w:shd w:val="clear" w:color="auto" w:fill="BDD7EE"/>
            <w:vAlign w:val="center"/>
            <w:hideMark/>
          </w:tcPr>
          <w:p w14:paraId="200BF1C4" w14:textId="77777777" w:rsidR="0039681A" w:rsidRPr="00030506" w:rsidRDefault="0039681A" w:rsidP="00351087">
            <w:pPr>
              <w:jc w:val="center"/>
              <w:rPr>
                <w:rFonts w:ascii="Arial Narrow" w:eastAsia="Aptos" w:hAnsi="Arial Narrow" w:cs="Arial"/>
                <w:b/>
                <w:bCs/>
                <w:noProof/>
                <w:sz w:val="20"/>
                <w:szCs w:val="20"/>
              </w:rPr>
            </w:pPr>
            <w:r w:rsidRPr="00030506">
              <w:rPr>
                <w:rFonts w:ascii="Arial Narrow" w:eastAsia="Aptos" w:hAnsi="Arial Narrow" w:cs="Times New Roman"/>
                <w:b/>
                <w:noProof/>
                <w:sz w:val="20"/>
              </w:rPr>
              <w:t>Name</w:t>
            </w:r>
          </w:p>
        </w:tc>
        <w:tc>
          <w:tcPr>
            <w:tcW w:w="1559" w:type="dxa"/>
            <w:vMerge w:val="restart"/>
            <w:shd w:val="clear" w:color="auto" w:fill="BDD7EE"/>
            <w:vAlign w:val="center"/>
            <w:hideMark/>
          </w:tcPr>
          <w:p w14:paraId="0546B8EF" w14:textId="77777777" w:rsidR="0039681A" w:rsidRPr="00030506" w:rsidRDefault="0039681A" w:rsidP="00351087">
            <w:pPr>
              <w:jc w:val="center"/>
              <w:rPr>
                <w:rFonts w:ascii="Arial Narrow" w:eastAsia="Aptos" w:hAnsi="Arial Narrow" w:cs="Arial"/>
                <w:b/>
                <w:bCs/>
                <w:noProof/>
                <w:sz w:val="20"/>
                <w:szCs w:val="20"/>
              </w:rPr>
            </w:pPr>
            <w:r w:rsidRPr="00030506">
              <w:rPr>
                <w:rFonts w:ascii="Arial Narrow" w:eastAsia="Aptos" w:hAnsi="Arial Narrow" w:cs="Times New Roman"/>
                <w:b/>
                <w:noProof/>
                <w:sz w:val="20"/>
              </w:rPr>
              <w:t>Qualitative indicators</w:t>
            </w:r>
            <w:r w:rsidRPr="00030506">
              <w:rPr>
                <w:rFonts w:ascii="Arial Narrow" w:eastAsia="Aptos" w:hAnsi="Arial Narrow" w:cs="Times New Roman"/>
                <w:noProof/>
                <w:sz w:val="20"/>
              </w:rPr>
              <w:t xml:space="preserve"> </w:t>
            </w:r>
            <w:r w:rsidRPr="00030506">
              <w:rPr>
                <w:rFonts w:ascii="Aptos" w:eastAsia="Aptos" w:hAnsi="Aptos" w:cs="Times New Roman"/>
                <w:noProof/>
              </w:rPr>
              <w:br/>
            </w:r>
            <w:r w:rsidRPr="00030506">
              <w:rPr>
                <w:rFonts w:ascii="Arial Narrow" w:eastAsia="Aptos" w:hAnsi="Arial Narrow" w:cs="Times New Roman"/>
                <w:b/>
                <w:noProof/>
                <w:sz w:val="20"/>
              </w:rPr>
              <w:t>(for milestones)</w:t>
            </w:r>
          </w:p>
        </w:tc>
        <w:tc>
          <w:tcPr>
            <w:tcW w:w="4111" w:type="dxa"/>
            <w:gridSpan w:val="3"/>
            <w:shd w:val="clear" w:color="auto" w:fill="BDD7EE"/>
            <w:vAlign w:val="center"/>
            <w:hideMark/>
          </w:tcPr>
          <w:p w14:paraId="05315C4E" w14:textId="77777777" w:rsidR="0039681A" w:rsidRPr="00030506" w:rsidRDefault="0039681A" w:rsidP="00351087">
            <w:pPr>
              <w:jc w:val="center"/>
              <w:rPr>
                <w:rFonts w:ascii="Arial Narrow" w:eastAsia="Aptos" w:hAnsi="Arial Narrow" w:cs="Arial"/>
                <w:b/>
                <w:bCs/>
                <w:noProof/>
                <w:sz w:val="20"/>
                <w:szCs w:val="20"/>
              </w:rPr>
            </w:pPr>
            <w:r w:rsidRPr="00030506">
              <w:rPr>
                <w:rFonts w:ascii="Arial Narrow" w:eastAsia="Aptos" w:hAnsi="Arial Narrow" w:cs="Times New Roman"/>
                <w:b/>
                <w:noProof/>
                <w:sz w:val="20"/>
              </w:rPr>
              <w:t>Quantitative indicators</w:t>
            </w:r>
            <w:r w:rsidRPr="00030506">
              <w:rPr>
                <w:rFonts w:ascii="Arial Narrow" w:eastAsia="Aptos" w:hAnsi="Arial Narrow" w:cs="Times New Roman"/>
                <w:noProof/>
                <w:sz w:val="20"/>
              </w:rPr>
              <w:t xml:space="preserve"> </w:t>
            </w:r>
            <w:r w:rsidRPr="00030506">
              <w:rPr>
                <w:rFonts w:ascii="Aptos" w:eastAsia="Aptos" w:hAnsi="Aptos" w:cs="Times New Roman"/>
                <w:noProof/>
              </w:rPr>
              <w:br/>
            </w:r>
            <w:r w:rsidRPr="00030506">
              <w:rPr>
                <w:rFonts w:ascii="Arial Narrow" w:eastAsia="Aptos" w:hAnsi="Arial Narrow" w:cs="Times New Roman"/>
                <w:b/>
                <w:noProof/>
                <w:sz w:val="20"/>
              </w:rPr>
              <w:t>(for targets)</w:t>
            </w:r>
          </w:p>
        </w:tc>
        <w:tc>
          <w:tcPr>
            <w:tcW w:w="1844" w:type="dxa"/>
            <w:gridSpan w:val="2"/>
            <w:shd w:val="clear" w:color="auto" w:fill="BDD7EE"/>
            <w:vAlign w:val="center"/>
            <w:hideMark/>
          </w:tcPr>
          <w:p w14:paraId="51AEC7A5" w14:textId="77777777" w:rsidR="0039681A" w:rsidRPr="00030506" w:rsidRDefault="0039681A" w:rsidP="00351087">
            <w:pPr>
              <w:jc w:val="center"/>
              <w:rPr>
                <w:rFonts w:ascii="Arial Narrow" w:eastAsia="Aptos" w:hAnsi="Arial Narrow" w:cs="Arial"/>
                <w:b/>
                <w:bCs/>
                <w:noProof/>
                <w:sz w:val="20"/>
                <w:szCs w:val="20"/>
              </w:rPr>
            </w:pPr>
            <w:r w:rsidRPr="00030506">
              <w:rPr>
                <w:rFonts w:ascii="Arial Narrow" w:eastAsia="Aptos" w:hAnsi="Arial Narrow" w:cs="Times New Roman"/>
                <w:b/>
                <w:noProof/>
                <w:sz w:val="20"/>
              </w:rPr>
              <w:t>Indicative timeline for completion</w:t>
            </w:r>
          </w:p>
        </w:tc>
        <w:tc>
          <w:tcPr>
            <w:tcW w:w="3259" w:type="dxa"/>
            <w:vMerge w:val="restart"/>
            <w:shd w:val="clear" w:color="auto" w:fill="BDD7EE"/>
            <w:vAlign w:val="center"/>
            <w:hideMark/>
          </w:tcPr>
          <w:p w14:paraId="392DDE55" w14:textId="77777777" w:rsidR="0039681A" w:rsidRPr="0039681A" w:rsidRDefault="0039681A" w:rsidP="00351087">
            <w:pPr>
              <w:jc w:val="center"/>
              <w:rPr>
                <w:rFonts w:ascii="Arial Narrow" w:eastAsia="Aptos" w:hAnsi="Arial Narrow" w:cs="Arial"/>
                <w:b/>
                <w:bCs/>
                <w:noProof/>
                <w:sz w:val="20"/>
                <w:szCs w:val="20"/>
                <w:lang w:val="en-IE"/>
              </w:rPr>
            </w:pPr>
            <w:r w:rsidRPr="0039681A">
              <w:rPr>
                <w:rFonts w:ascii="Arial Narrow" w:eastAsia="Aptos" w:hAnsi="Arial Narrow" w:cs="Times New Roman"/>
                <w:b/>
                <w:noProof/>
                <w:sz w:val="20"/>
                <w:lang w:val="en-IE"/>
              </w:rPr>
              <w:t>Description of each milestone and target</w:t>
            </w:r>
          </w:p>
        </w:tc>
      </w:tr>
      <w:tr w:rsidR="0039681A" w:rsidRPr="00030506" w14:paraId="34459FDA" w14:textId="77777777" w:rsidTr="00351087">
        <w:trPr>
          <w:trHeight w:val="561"/>
          <w:tblHeader/>
        </w:trPr>
        <w:tc>
          <w:tcPr>
            <w:tcW w:w="1135" w:type="dxa"/>
            <w:vMerge/>
            <w:vAlign w:val="center"/>
            <w:hideMark/>
          </w:tcPr>
          <w:p w14:paraId="21E3A490" w14:textId="77777777" w:rsidR="0039681A" w:rsidRPr="0039681A" w:rsidRDefault="0039681A" w:rsidP="00351087">
            <w:pPr>
              <w:jc w:val="center"/>
              <w:rPr>
                <w:rFonts w:ascii="Arial Narrow" w:eastAsia="Aptos" w:hAnsi="Arial Narrow" w:cs="Arial"/>
                <w:b/>
                <w:bCs/>
                <w:noProof/>
                <w:sz w:val="20"/>
                <w:szCs w:val="20"/>
                <w:lang w:val="en-IE"/>
              </w:rPr>
            </w:pPr>
          </w:p>
        </w:tc>
        <w:tc>
          <w:tcPr>
            <w:tcW w:w="1417" w:type="dxa"/>
            <w:vMerge/>
            <w:vAlign w:val="center"/>
            <w:hideMark/>
          </w:tcPr>
          <w:p w14:paraId="352CF44A" w14:textId="77777777" w:rsidR="0039681A" w:rsidRPr="0039681A" w:rsidRDefault="0039681A" w:rsidP="00351087">
            <w:pPr>
              <w:jc w:val="center"/>
              <w:rPr>
                <w:rFonts w:ascii="Arial Narrow" w:eastAsia="Aptos" w:hAnsi="Arial Narrow" w:cs="Arial"/>
                <w:b/>
                <w:bCs/>
                <w:noProof/>
                <w:sz w:val="20"/>
                <w:szCs w:val="20"/>
                <w:lang w:val="en-IE"/>
              </w:rPr>
            </w:pPr>
          </w:p>
        </w:tc>
        <w:tc>
          <w:tcPr>
            <w:tcW w:w="992" w:type="dxa"/>
            <w:vMerge/>
            <w:vAlign w:val="center"/>
            <w:hideMark/>
          </w:tcPr>
          <w:p w14:paraId="18A49BC5" w14:textId="77777777" w:rsidR="0039681A" w:rsidRPr="0039681A" w:rsidRDefault="0039681A" w:rsidP="00351087">
            <w:pPr>
              <w:jc w:val="center"/>
              <w:rPr>
                <w:rFonts w:ascii="Arial Narrow" w:eastAsia="Aptos" w:hAnsi="Arial Narrow" w:cs="Arial"/>
                <w:b/>
                <w:bCs/>
                <w:noProof/>
                <w:sz w:val="20"/>
                <w:szCs w:val="20"/>
                <w:lang w:val="en-IE"/>
              </w:rPr>
            </w:pPr>
          </w:p>
        </w:tc>
        <w:tc>
          <w:tcPr>
            <w:tcW w:w="1418" w:type="dxa"/>
            <w:vMerge/>
            <w:vAlign w:val="center"/>
            <w:hideMark/>
          </w:tcPr>
          <w:p w14:paraId="7DF882B8" w14:textId="77777777" w:rsidR="0039681A" w:rsidRPr="0039681A" w:rsidRDefault="0039681A" w:rsidP="00351087">
            <w:pPr>
              <w:jc w:val="center"/>
              <w:rPr>
                <w:rFonts w:ascii="Arial Narrow" w:eastAsia="Aptos" w:hAnsi="Arial Narrow" w:cs="Arial"/>
                <w:b/>
                <w:bCs/>
                <w:noProof/>
                <w:sz w:val="20"/>
                <w:szCs w:val="20"/>
                <w:lang w:val="en-IE"/>
              </w:rPr>
            </w:pPr>
          </w:p>
        </w:tc>
        <w:tc>
          <w:tcPr>
            <w:tcW w:w="1559" w:type="dxa"/>
            <w:vMerge/>
            <w:vAlign w:val="center"/>
            <w:hideMark/>
          </w:tcPr>
          <w:p w14:paraId="41BBC8DA" w14:textId="77777777" w:rsidR="0039681A" w:rsidRPr="0039681A" w:rsidRDefault="0039681A" w:rsidP="00351087">
            <w:pPr>
              <w:jc w:val="center"/>
              <w:rPr>
                <w:rFonts w:ascii="Arial Narrow" w:eastAsia="Aptos" w:hAnsi="Arial Narrow" w:cs="Arial"/>
                <w:b/>
                <w:bCs/>
                <w:noProof/>
                <w:sz w:val="20"/>
                <w:szCs w:val="20"/>
                <w:lang w:val="en-IE"/>
              </w:rPr>
            </w:pPr>
          </w:p>
        </w:tc>
        <w:tc>
          <w:tcPr>
            <w:tcW w:w="1276" w:type="dxa"/>
            <w:shd w:val="clear" w:color="auto" w:fill="BDD7EE"/>
            <w:vAlign w:val="center"/>
            <w:hideMark/>
          </w:tcPr>
          <w:p w14:paraId="5C151E59" w14:textId="77777777" w:rsidR="0039681A" w:rsidRPr="00030506" w:rsidRDefault="0039681A" w:rsidP="00351087">
            <w:pPr>
              <w:jc w:val="center"/>
              <w:rPr>
                <w:rFonts w:ascii="Arial Narrow" w:eastAsia="Aptos" w:hAnsi="Arial Narrow" w:cs="Arial"/>
                <w:b/>
                <w:bCs/>
                <w:noProof/>
                <w:sz w:val="20"/>
                <w:szCs w:val="20"/>
              </w:rPr>
            </w:pPr>
            <w:r w:rsidRPr="00030506">
              <w:rPr>
                <w:rFonts w:ascii="Arial Narrow" w:eastAsia="Aptos" w:hAnsi="Arial Narrow" w:cs="Times New Roman"/>
                <w:b/>
                <w:noProof/>
                <w:sz w:val="20"/>
              </w:rPr>
              <w:t>Unit of measure</w:t>
            </w:r>
          </w:p>
        </w:tc>
        <w:tc>
          <w:tcPr>
            <w:tcW w:w="1417" w:type="dxa"/>
            <w:shd w:val="clear" w:color="auto" w:fill="BDD7EE"/>
            <w:vAlign w:val="center"/>
            <w:hideMark/>
          </w:tcPr>
          <w:p w14:paraId="313A1D4A" w14:textId="77777777" w:rsidR="0039681A" w:rsidRPr="00030506" w:rsidRDefault="0039681A" w:rsidP="00351087">
            <w:pPr>
              <w:jc w:val="center"/>
              <w:rPr>
                <w:rFonts w:ascii="Arial Narrow" w:eastAsia="Aptos" w:hAnsi="Arial Narrow" w:cs="Arial"/>
                <w:b/>
                <w:bCs/>
                <w:noProof/>
                <w:sz w:val="20"/>
                <w:szCs w:val="20"/>
              </w:rPr>
            </w:pPr>
            <w:r w:rsidRPr="00030506">
              <w:rPr>
                <w:rFonts w:ascii="Arial Narrow" w:eastAsia="Aptos" w:hAnsi="Arial Narrow" w:cs="Times New Roman"/>
                <w:b/>
                <w:noProof/>
                <w:sz w:val="20"/>
              </w:rPr>
              <w:t>Baseline</w:t>
            </w:r>
          </w:p>
        </w:tc>
        <w:tc>
          <w:tcPr>
            <w:tcW w:w="1418" w:type="dxa"/>
            <w:shd w:val="clear" w:color="auto" w:fill="BDD7EE"/>
            <w:vAlign w:val="center"/>
            <w:hideMark/>
          </w:tcPr>
          <w:p w14:paraId="1D827B5F" w14:textId="77777777" w:rsidR="0039681A" w:rsidRPr="00030506" w:rsidRDefault="0039681A" w:rsidP="00351087">
            <w:pPr>
              <w:jc w:val="center"/>
              <w:rPr>
                <w:rFonts w:ascii="Arial Narrow" w:eastAsia="Aptos" w:hAnsi="Arial Narrow" w:cs="Arial"/>
                <w:b/>
                <w:bCs/>
                <w:noProof/>
                <w:sz w:val="20"/>
                <w:szCs w:val="20"/>
              </w:rPr>
            </w:pPr>
            <w:r w:rsidRPr="00030506">
              <w:rPr>
                <w:rFonts w:ascii="Arial Narrow" w:eastAsia="Aptos" w:hAnsi="Arial Narrow" w:cs="Times New Roman"/>
                <w:b/>
                <w:noProof/>
                <w:sz w:val="20"/>
              </w:rPr>
              <w:t>Goal</w:t>
            </w:r>
          </w:p>
        </w:tc>
        <w:tc>
          <w:tcPr>
            <w:tcW w:w="992" w:type="dxa"/>
            <w:shd w:val="clear" w:color="auto" w:fill="BDD7EE"/>
            <w:vAlign w:val="center"/>
            <w:hideMark/>
          </w:tcPr>
          <w:p w14:paraId="31C3BD09" w14:textId="77777777" w:rsidR="0039681A" w:rsidRPr="00030506" w:rsidRDefault="0039681A" w:rsidP="00351087">
            <w:pPr>
              <w:jc w:val="center"/>
              <w:rPr>
                <w:rFonts w:ascii="Arial Narrow" w:eastAsia="Aptos" w:hAnsi="Arial Narrow" w:cs="Arial"/>
                <w:b/>
                <w:bCs/>
                <w:noProof/>
                <w:sz w:val="20"/>
                <w:szCs w:val="20"/>
              </w:rPr>
            </w:pPr>
            <w:r w:rsidRPr="00030506">
              <w:rPr>
                <w:rFonts w:ascii="Arial Narrow" w:eastAsia="Aptos" w:hAnsi="Arial Narrow" w:cs="Times New Roman"/>
                <w:b/>
                <w:noProof/>
                <w:sz w:val="20"/>
              </w:rPr>
              <w:t>Quarter</w:t>
            </w:r>
          </w:p>
        </w:tc>
        <w:tc>
          <w:tcPr>
            <w:tcW w:w="852" w:type="dxa"/>
            <w:shd w:val="clear" w:color="auto" w:fill="BDD7EE"/>
            <w:vAlign w:val="center"/>
            <w:hideMark/>
          </w:tcPr>
          <w:p w14:paraId="3D37CDB9" w14:textId="77777777" w:rsidR="0039681A" w:rsidRPr="00030506" w:rsidRDefault="0039681A" w:rsidP="00351087">
            <w:pPr>
              <w:jc w:val="center"/>
              <w:rPr>
                <w:rFonts w:ascii="Arial Narrow" w:eastAsia="Aptos" w:hAnsi="Arial Narrow" w:cs="Arial"/>
                <w:b/>
                <w:bCs/>
                <w:noProof/>
                <w:sz w:val="20"/>
                <w:szCs w:val="20"/>
              </w:rPr>
            </w:pPr>
            <w:r w:rsidRPr="00030506">
              <w:rPr>
                <w:rFonts w:ascii="Arial Narrow" w:eastAsia="Aptos" w:hAnsi="Arial Narrow" w:cs="Times New Roman"/>
                <w:b/>
                <w:noProof/>
                <w:sz w:val="20"/>
              </w:rPr>
              <w:t>Year</w:t>
            </w:r>
          </w:p>
        </w:tc>
        <w:tc>
          <w:tcPr>
            <w:tcW w:w="3259" w:type="dxa"/>
            <w:vMerge/>
            <w:vAlign w:val="center"/>
            <w:hideMark/>
          </w:tcPr>
          <w:p w14:paraId="20DC08AD" w14:textId="77777777" w:rsidR="0039681A" w:rsidRPr="00030506" w:rsidRDefault="0039681A" w:rsidP="00351087">
            <w:pPr>
              <w:jc w:val="center"/>
              <w:rPr>
                <w:rFonts w:ascii="Arial Narrow" w:eastAsia="Aptos" w:hAnsi="Arial Narrow" w:cs="Arial"/>
                <w:b/>
                <w:bCs/>
                <w:noProof/>
                <w:sz w:val="20"/>
                <w:szCs w:val="20"/>
              </w:rPr>
            </w:pPr>
          </w:p>
        </w:tc>
      </w:tr>
      <w:tr w:rsidR="0039681A" w:rsidRPr="0070054C" w14:paraId="09B1E505" w14:textId="77777777" w:rsidTr="00351087">
        <w:trPr>
          <w:trHeight w:val="309"/>
        </w:trPr>
        <w:tc>
          <w:tcPr>
            <w:tcW w:w="1135" w:type="dxa"/>
            <w:shd w:val="clear" w:color="auto" w:fill="C6EFCE"/>
            <w:noWrap/>
            <w:vAlign w:val="center"/>
          </w:tcPr>
          <w:p w14:paraId="6E124137" w14:textId="77777777" w:rsidR="0039681A" w:rsidRPr="00030506" w:rsidRDefault="0039681A" w:rsidP="00351087">
            <w:pPr>
              <w:jc w:val="both"/>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w:t>
            </w:r>
          </w:p>
        </w:tc>
        <w:tc>
          <w:tcPr>
            <w:tcW w:w="1417" w:type="dxa"/>
            <w:shd w:val="clear" w:color="auto" w:fill="C6EFCE"/>
            <w:noWrap/>
            <w:vAlign w:val="center"/>
          </w:tcPr>
          <w:p w14:paraId="4D5CBEB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Reform 1.1: ICT Procurement</w:t>
            </w:r>
          </w:p>
        </w:tc>
        <w:tc>
          <w:tcPr>
            <w:tcW w:w="992" w:type="dxa"/>
            <w:shd w:val="clear" w:color="auto" w:fill="C6EFCE"/>
            <w:noWrap/>
            <w:vAlign w:val="center"/>
          </w:tcPr>
          <w:p w14:paraId="7A0D1CF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641D0931"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law decrees for reform 1.1 ‘ICT Procurement’</w:t>
            </w:r>
          </w:p>
        </w:tc>
        <w:tc>
          <w:tcPr>
            <w:tcW w:w="1559" w:type="dxa"/>
            <w:shd w:val="clear" w:color="auto" w:fill="C6EFCE"/>
            <w:noWrap/>
            <w:vAlign w:val="center"/>
          </w:tcPr>
          <w:p w14:paraId="48F69882" w14:textId="46BA7442" w:rsidR="00AF5341" w:rsidRPr="00AF5341" w:rsidRDefault="0039681A" w:rsidP="008277DC">
            <w:pPr>
              <w:jc w:val="center"/>
              <w:rPr>
                <w:rFonts w:ascii="Arial Narrow" w:eastAsia="Aptos" w:hAnsi="Arial Narrow" w:cs="Arial"/>
                <w:noProof/>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law decree for ICT procurement reform</w:t>
            </w:r>
          </w:p>
        </w:tc>
        <w:tc>
          <w:tcPr>
            <w:tcW w:w="1276" w:type="dxa"/>
            <w:shd w:val="clear" w:color="auto" w:fill="C6EFCE"/>
            <w:noWrap/>
            <w:vAlign w:val="center"/>
          </w:tcPr>
          <w:p w14:paraId="374588C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019DBE39" w14:textId="77777777" w:rsidR="0039681A" w:rsidRPr="00030506" w:rsidRDefault="0039681A" w:rsidP="00351087">
            <w:pPr>
              <w:jc w:val="center"/>
              <w:rPr>
                <w:rFonts w:ascii="Arial Narrow" w:eastAsia="Aptos" w:hAnsi="Arial Narrow" w:cs="Arial"/>
                <w:noProof/>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1B97487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15C3696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04AE680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shd w:val="clear" w:color="auto" w:fill="C6EFCE"/>
            <w:noWrap/>
            <w:vAlign w:val="center"/>
          </w:tcPr>
          <w:p w14:paraId="31DA603A" w14:textId="77777777" w:rsidR="0039681A" w:rsidRPr="0039681A" w:rsidRDefault="0039681A" w:rsidP="00351087">
            <w:pPr>
              <w:spacing w:after="120"/>
              <w:rPr>
                <w:rFonts w:ascii="Arial Narrow" w:eastAsia="Aptos" w:hAnsi="Arial Narrow" w:cs="Times New Roman"/>
                <w:noProof/>
                <w:color w:val="006100"/>
                <w:sz w:val="20"/>
                <w:szCs w:val="20"/>
                <w:lang w:val="en-IE"/>
              </w:rPr>
            </w:pPr>
            <w:r w:rsidRPr="0039681A">
              <w:rPr>
                <w:rFonts w:ascii="Arial Narrow" w:eastAsia="Aptos" w:hAnsi="Arial Narrow" w:cs="Times New Roman"/>
                <w:noProof/>
                <w:color w:val="006100"/>
                <w:sz w:val="20"/>
                <w:szCs w:val="20"/>
                <w:lang w:val="en-IE"/>
              </w:rPr>
              <w:t>The necessary legal acts shall include legislative interventions in the simplifications law decree (‘Decreto Legge Semplificazioni’). These shall stipulate:</w:t>
            </w:r>
          </w:p>
          <w:p w14:paraId="21AA5452" w14:textId="77777777" w:rsidR="0039681A" w:rsidRPr="0039681A" w:rsidRDefault="0039681A" w:rsidP="00351087">
            <w:pPr>
              <w:contextualSpacing/>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 The possibility of using procedure referred to in Article 48, paragraph 3, of the Public Contracts Code also for contracts above the thresholds referred to in Article 35 of the Public Contracts Code for purchases relating to the purchase of computer goods and services, in particular based on cloud technology, as well as connectivity services, financed in whole or in part with the resources provided for the implementation of PNRR projects;</w:t>
            </w:r>
          </w:p>
          <w:p w14:paraId="1E71954F" w14:textId="77777777" w:rsidR="0039681A" w:rsidRPr="0039681A" w:rsidRDefault="0039681A" w:rsidP="00351087">
            <w:pPr>
              <w:contextualSpacing/>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(ii) Interoperability between the various databases managed by the certifying bodies involved in the process of verifying the requirements referred to in Article 80 of the Public Contracts Code;</w:t>
            </w:r>
          </w:p>
          <w:p w14:paraId="0679CCC9" w14:textId="77777777" w:rsidR="0039681A" w:rsidRPr="0039681A" w:rsidRDefault="0039681A" w:rsidP="00351087">
            <w:pPr>
              <w:contextualSpacing/>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(iii) The establishment of a virtual file of economic operators in which are present the data for the verification of the absence of reasons for exclusion referred to in Article 80, enabling the definition of a white list of economic operators for whom the verification has already been carried out.</w:t>
            </w:r>
          </w:p>
        </w:tc>
      </w:tr>
      <w:tr w:rsidR="0039681A" w:rsidRPr="0070054C" w14:paraId="7857502F" w14:textId="77777777" w:rsidTr="00351087">
        <w:trPr>
          <w:trHeight w:val="789"/>
        </w:trPr>
        <w:tc>
          <w:tcPr>
            <w:tcW w:w="1135" w:type="dxa"/>
            <w:shd w:val="clear" w:color="auto" w:fill="C6EFCE"/>
            <w:noWrap/>
            <w:vAlign w:val="center"/>
          </w:tcPr>
          <w:p w14:paraId="08ABB02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M1C1-2</w:t>
            </w:r>
          </w:p>
        </w:tc>
        <w:tc>
          <w:tcPr>
            <w:tcW w:w="1417" w:type="dxa"/>
            <w:shd w:val="clear" w:color="auto" w:fill="C6EFCE"/>
            <w:noWrap/>
            <w:vAlign w:val="center"/>
          </w:tcPr>
          <w:p w14:paraId="3D923E6C"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1.3: Cloud First and Interoperability</w:t>
            </w:r>
          </w:p>
        </w:tc>
        <w:tc>
          <w:tcPr>
            <w:tcW w:w="992" w:type="dxa"/>
            <w:shd w:val="clear" w:color="auto" w:fill="C6EFCE"/>
            <w:noWrap/>
            <w:vAlign w:val="center"/>
          </w:tcPr>
          <w:p w14:paraId="2E717A6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5272B12A"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law decrees for reform 1.3 ‘Cloud First and Interoperability’</w:t>
            </w:r>
          </w:p>
        </w:tc>
        <w:tc>
          <w:tcPr>
            <w:tcW w:w="1559" w:type="dxa"/>
            <w:shd w:val="clear" w:color="auto" w:fill="C6EFCE"/>
            <w:noWrap/>
            <w:vAlign w:val="center"/>
          </w:tcPr>
          <w:p w14:paraId="150384FB"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law decree for cloud first and interoperability reform</w:t>
            </w:r>
          </w:p>
        </w:tc>
        <w:tc>
          <w:tcPr>
            <w:tcW w:w="1276" w:type="dxa"/>
            <w:shd w:val="clear" w:color="auto" w:fill="C6EFCE"/>
            <w:noWrap/>
            <w:vAlign w:val="center"/>
          </w:tcPr>
          <w:p w14:paraId="43115A2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0BBCD3F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661BF12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5900851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03FECE9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shd w:val="clear" w:color="auto" w:fill="C6EFCE"/>
            <w:noWrap/>
            <w:vAlign w:val="center"/>
          </w:tcPr>
          <w:p w14:paraId="6147A39C"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necessary legal acts shall include:</w:t>
            </w:r>
          </w:p>
          <w:p w14:paraId="145C7915"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Implementing regulatory acts concerning in particular (i) the Agenzia per l'Italia digitale (AgID) regulation on Polo Strategico Nazionale (PSN) (provided for in art.33-septies of Law Decree 179/212) and (ii) AgID Guidelines on interoperability (provided for in articles 50 and 50 ter of the Codice dell'Amministrazione Digitale (CAD).</w:t>
            </w:r>
          </w:p>
          <w:p w14:paraId="3A9DD333"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Amendments to art. 50 of the CAD:</w:t>
            </w:r>
          </w:p>
          <w:p w14:paraId="53BC2AAF"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 abolition of the obligation to enter into framework agreements for administrations accessing the national digital data platform;</w:t>
            </w:r>
          </w:p>
          <w:p w14:paraId="74BE6FA3"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(ii) clarifications on the issue of privacy: the transfer of data from one information system to another does not change the ownership of the data and processing, without prejudice to the responsibilities of the public administrations that receive and process the data as autonomous data controllers.</w:t>
            </w:r>
          </w:p>
          <w:p w14:paraId="48CDA7EA" w14:textId="77777777" w:rsidR="0039681A" w:rsidRPr="00030506" w:rsidRDefault="0039681A" w:rsidP="00351087">
            <w:pPr>
              <w:spacing w:after="120"/>
              <w:rPr>
                <w:rFonts w:ascii="Arial Narrow" w:eastAsia="Aptos" w:hAnsi="Arial Narrow" w:cs="Arial"/>
                <w:noProof/>
                <w:color w:val="006100"/>
                <w:sz w:val="20"/>
                <w:szCs w:val="20"/>
                <w:lang w:val="it-IT"/>
              </w:rPr>
            </w:pPr>
            <w:r w:rsidRPr="00030506">
              <w:rPr>
                <w:rFonts w:ascii="Arial Narrow" w:eastAsia="Aptos" w:hAnsi="Arial Narrow" w:cs="Times New Roman"/>
                <w:noProof/>
                <w:color w:val="006100"/>
                <w:sz w:val="20"/>
                <w:szCs w:val="20"/>
                <w:lang w:val="it-IT"/>
              </w:rPr>
              <w:t>Amendments to Decreto del Presidente della Repubblica (DPR) 445/2000 regarding access to data:</w:t>
            </w:r>
          </w:p>
          <w:p w14:paraId="14AFA4D6"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 repeal of the authorization required for direct access to data;</w:t>
            </w:r>
          </w:p>
          <w:p w14:paraId="31535DA4"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(ii) removal of reference to framework agreements in art. 72.</w:t>
            </w:r>
          </w:p>
          <w:p w14:paraId="663C2362"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Amendments to art. 33-septies of Law Decree 179/2012:</w:t>
            </w:r>
          </w:p>
          <w:p w14:paraId="2C265965"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 introduce the possibility for AgID to regulate with the Centri Elaborazione Dati (CED) and Cloud Regulations the terms and methods with which public administrations must carry out CED migrations;</w:t>
            </w:r>
          </w:p>
          <w:p w14:paraId="564035A8"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(ii) introduce sanctions for failure to comply with obligations to migrate to the cloud.</w:t>
            </w:r>
          </w:p>
        </w:tc>
      </w:tr>
      <w:tr w:rsidR="0039681A" w:rsidRPr="0070054C" w14:paraId="49CCDD4B" w14:textId="77777777" w:rsidTr="00351087">
        <w:trPr>
          <w:trHeight w:val="309"/>
        </w:trPr>
        <w:tc>
          <w:tcPr>
            <w:tcW w:w="1135" w:type="dxa"/>
            <w:shd w:val="clear" w:color="auto" w:fill="C6EFCE"/>
            <w:noWrap/>
            <w:vAlign w:val="center"/>
            <w:hideMark/>
          </w:tcPr>
          <w:p w14:paraId="48AC195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M1C1-3</w:t>
            </w:r>
          </w:p>
        </w:tc>
        <w:tc>
          <w:tcPr>
            <w:tcW w:w="1417" w:type="dxa"/>
            <w:shd w:val="clear" w:color="auto" w:fill="C6EFCE"/>
            <w:noWrap/>
            <w:vAlign w:val="center"/>
            <w:hideMark/>
          </w:tcPr>
          <w:p w14:paraId="0D5487E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Investment 1.1: Digital infrastructure</w:t>
            </w:r>
          </w:p>
        </w:tc>
        <w:tc>
          <w:tcPr>
            <w:tcW w:w="992" w:type="dxa"/>
            <w:shd w:val="clear" w:color="auto" w:fill="C6EFCE"/>
            <w:noWrap/>
            <w:vAlign w:val="center"/>
            <w:hideMark/>
          </w:tcPr>
          <w:p w14:paraId="7EEE815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hideMark/>
          </w:tcPr>
          <w:p w14:paraId="1EE4809C" w14:textId="77777777" w:rsidR="0039681A" w:rsidRPr="00030506" w:rsidRDefault="0039681A" w:rsidP="00351087">
            <w:pPr>
              <w:jc w:val="center"/>
              <w:rPr>
                <w:rFonts w:ascii="Arial Narrow" w:eastAsia="Aptos" w:hAnsi="Arial Narrow" w:cs="Arial"/>
                <w:noProof/>
                <w:color w:val="006100"/>
                <w:sz w:val="20"/>
                <w:szCs w:val="20"/>
                <w:lang w:val="it-IT"/>
              </w:rPr>
            </w:pPr>
            <w:r w:rsidRPr="00030506">
              <w:rPr>
                <w:rFonts w:ascii="Arial Narrow" w:eastAsia="Aptos" w:hAnsi="Arial Narrow" w:cs="Times New Roman"/>
                <w:noProof/>
                <w:color w:val="006100"/>
                <w:sz w:val="20"/>
                <w:szCs w:val="20"/>
                <w:lang w:val="it-IT"/>
              </w:rPr>
              <w:t>Completion of the Polo Strategico Nazionale (PSN)</w:t>
            </w:r>
          </w:p>
        </w:tc>
        <w:tc>
          <w:tcPr>
            <w:tcW w:w="1559" w:type="dxa"/>
            <w:shd w:val="clear" w:color="auto" w:fill="C6EFCE"/>
            <w:noWrap/>
            <w:vAlign w:val="center"/>
            <w:hideMark/>
          </w:tcPr>
          <w:p w14:paraId="3F269559"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Cloud deployment report, by Ministry for Technological Innovation and Digital Transition (MITD)</w:t>
            </w:r>
          </w:p>
        </w:tc>
        <w:tc>
          <w:tcPr>
            <w:tcW w:w="1276" w:type="dxa"/>
            <w:shd w:val="clear" w:color="auto" w:fill="C6EFCE"/>
            <w:noWrap/>
            <w:vAlign w:val="center"/>
          </w:tcPr>
          <w:p w14:paraId="463C456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113F8AF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4DC2D39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hideMark/>
          </w:tcPr>
          <w:p w14:paraId="463C01A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hideMark/>
          </w:tcPr>
          <w:p w14:paraId="071732B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shd w:val="clear" w:color="auto" w:fill="C6EFCE"/>
            <w:noWrap/>
            <w:vAlign w:val="center"/>
            <w:hideMark/>
          </w:tcPr>
          <w:p w14:paraId="2000626E"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full completion of the overall project shall be reached when all the targeted public administrations have completed the moving of identified racks towards the Polo Strategico Nazionale (PSN) and the testing of four data centers is successfully completed, which allows the start of the migration process of the datasets and applications of targeted public administrations towards the PSN.</w:t>
            </w:r>
          </w:p>
        </w:tc>
      </w:tr>
      <w:tr w:rsidR="0039681A" w:rsidRPr="0070054C" w14:paraId="7B591F03" w14:textId="77777777" w:rsidTr="00351087">
        <w:trPr>
          <w:trHeight w:val="309"/>
        </w:trPr>
        <w:tc>
          <w:tcPr>
            <w:tcW w:w="1135" w:type="dxa"/>
            <w:shd w:val="clear" w:color="auto" w:fill="C6EFCE"/>
            <w:noWrap/>
            <w:vAlign w:val="center"/>
          </w:tcPr>
          <w:p w14:paraId="53525D1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M1C1-4</w:t>
            </w:r>
          </w:p>
        </w:tc>
        <w:tc>
          <w:tcPr>
            <w:tcW w:w="1417" w:type="dxa"/>
            <w:shd w:val="clear" w:color="auto" w:fill="C6EFCE"/>
            <w:noWrap/>
            <w:vAlign w:val="center"/>
          </w:tcPr>
          <w:p w14:paraId="19CA02D7"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1.3.1: National Digital Data Platform</w:t>
            </w:r>
          </w:p>
        </w:tc>
        <w:tc>
          <w:tcPr>
            <w:tcW w:w="992" w:type="dxa"/>
            <w:shd w:val="clear" w:color="auto" w:fill="C6EFCE"/>
            <w:noWrap/>
            <w:vAlign w:val="center"/>
          </w:tcPr>
          <w:p w14:paraId="75DBB08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080FC3EC" w14:textId="77777777" w:rsidR="0039681A" w:rsidRPr="00030506" w:rsidRDefault="0039681A" w:rsidP="00351087">
            <w:pPr>
              <w:jc w:val="center"/>
              <w:rPr>
                <w:rFonts w:ascii="Arial Narrow" w:eastAsia="Aptos" w:hAnsi="Arial Narrow" w:cs="Arial"/>
                <w:noProof/>
                <w:color w:val="006100"/>
                <w:sz w:val="20"/>
                <w:szCs w:val="20"/>
                <w:lang w:val="nn-NO"/>
              </w:rPr>
            </w:pPr>
            <w:r w:rsidRPr="00030506">
              <w:rPr>
                <w:rFonts w:ascii="Arial Narrow" w:eastAsia="Aptos" w:hAnsi="Arial Narrow" w:cs="Times New Roman"/>
                <w:noProof/>
                <w:color w:val="006100"/>
                <w:sz w:val="20"/>
                <w:lang w:val="nn-NO"/>
              </w:rPr>
              <w:t>National Digital Data Platform operational</w:t>
            </w:r>
          </w:p>
        </w:tc>
        <w:tc>
          <w:tcPr>
            <w:tcW w:w="1559" w:type="dxa"/>
            <w:shd w:val="clear" w:color="auto" w:fill="C6EFCE"/>
            <w:noWrap/>
            <w:vAlign w:val="center"/>
          </w:tcPr>
          <w:p w14:paraId="5FDBF3E6"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Report by Ministry for Technological Innovation and Digital Transition (MITD) demonstrating the launch of the National Digital Data platform</w:t>
            </w:r>
          </w:p>
        </w:tc>
        <w:tc>
          <w:tcPr>
            <w:tcW w:w="1276" w:type="dxa"/>
            <w:shd w:val="clear" w:color="auto" w:fill="C6EFCE"/>
            <w:noWrap/>
            <w:vAlign w:val="center"/>
          </w:tcPr>
          <w:p w14:paraId="14289D1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7520443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71E5D44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190DDA5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437E5C7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shd w:val="clear" w:color="auto" w:fill="C6EFCE"/>
            <w:noWrap/>
            <w:vAlign w:val="center"/>
          </w:tcPr>
          <w:p w14:paraId="61AE8D7C"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platform shall allow the agencies to:</w:t>
            </w:r>
          </w:p>
          <w:p w14:paraId="0076ADBC"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 publish their Application Programming Interfaces (APIs) on the Platform's API Catalogue;</w:t>
            </w:r>
          </w:p>
          <w:p w14:paraId="63F3B70C"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establish and sign digital interoperability agreements via the Platform;</w:t>
            </w:r>
          </w:p>
          <w:p w14:paraId="17C23894"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 authenticate and authorize APIs access using the Platform's functionalities;</w:t>
            </w:r>
          </w:p>
          <w:p w14:paraId="11015651"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validate and assess the compliance with the national interoperability framework.</w:t>
            </w:r>
          </w:p>
        </w:tc>
      </w:tr>
      <w:tr w:rsidR="0039681A" w:rsidRPr="0070054C" w14:paraId="0AD42D55" w14:textId="77777777" w:rsidTr="00351087">
        <w:trPr>
          <w:trHeight w:val="309"/>
        </w:trPr>
        <w:tc>
          <w:tcPr>
            <w:tcW w:w="1135" w:type="dxa"/>
            <w:shd w:val="clear" w:color="auto" w:fill="C6EFCE"/>
            <w:noWrap/>
            <w:vAlign w:val="center"/>
          </w:tcPr>
          <w:p w14:paraId="2507C22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M1C1-5</w:t>
            </w:r>
          </w:p>
        </w:tc>
        <w:tc>
          <w:tcPr>
            <w:tcW w:w="1417" w:type="dxa"/>
            <w:shd w:val="clear" w:color="auto" w:fill="C6EFCE"/>
            <w:noWrap/>
            <w:vAlign w:val="center"/>
          </w:tcPr>
          <w:p w14:paraId="35AF588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Investment 1.5: Cybersecurity</w:t>
            </w:r>
          </w:p>
        </w:tc>
        <w:tc>
          <w:tcPr>
            <w:tcW w:w="992" w:type="dxa"/>
            <w:shd w:val="clear" w:color="auto" w:fill="C6EFCE"/>
            <w:noWrap/>
            <w:vAlign w:val="center"/>
          </w:tcPr>
          <w:p w14:paraId="22E5475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50EF4CFE"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Creation of the new National Cyber Security Agency</w:t>
            </w:r>
          </w:p>
        </w:tc>
        <w:tc>
          <w:tcPr>
            <w:tcW w:w="1559" w:type="dxa"/>
            <w:shd w:val="clear" w:color="auto" w:fill="C6EFCE"/>
            <w:noWrap/>
            <w:vAlign w:val="center"/>
          </w:tcPr>
          <w:p w14:paraId="07698B7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Administrative constitution act</w:t>
            </w:r>
          </w:p>
        </w:tc>
        <w:tc>
          <w:tcPr>
            <w:tcW w:w="1276" w:type="dxa"/>
            <w:shd w:val="clear" w:color="auto" w:fill="C6EFCE"/>
            <w:noWrap/>
            <w:vAlign w:val="center"/>
          </w:tcPr>
          <w:p w14:paraId="7716EF0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45DCA0E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3C14C09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032C329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519CF83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shd w:val="clear" w:color="auto" w:fill="C6EFCE"/>
            <w:noWrap/>
            <w:vAlign w:val="center"/>
          </w:tcPr>
          <w:p w14:paraId="0DEAFC0D"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milestone shall be achieved with (1) the conversion into law of the Law Decree constituting the National Cyber Security Agency, currently under finalization; (2) the publication in the Official Gazette of the Prime Ministerial Decree (Decreto del Presidente del Consiglio dei Ministri, DPCM) containing the internal regulation of the National Cyber Security Agency.</w:t>
            </w:r>
          </w:p>
        </w:tc>
      </w:tr>
      <w:tr w:rsidR="0039681A" w:rsidRPr="0070054C" w14:paraId="18E28755" w14:textId="77777777" w:rsidTr="00351087">
        <w:trPr>
          <w:trHeight w:val="309"/>
        </w:trPr>
        <w:tc>
          <w:tcPr>
            <w:tcW w:w="1135" w:type="dxa"/>
            <w:shd w:val="clear" w:color="auto" w:fill="C6EFCE"/>
            <w:noWrap/>
            <w:vAlign w:val="center"/>
          </w:tcPr>
          <w:p w14:paraId="08DBC89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M1C1-6</w:t>
            </w:r>
          </w:p>
        </w:tc>
        <w:tc>
          <w:tcPr>
            <w:tcW w:w="1417" w:type="dxa"/>
            <w:shd w:val="clear" w:color="auto" w:fill="C6EFCE"/>
            <w:noWrap/>
            <w:vAlign w:val="center"/>
          </w:tcPr>
          <w:p w14:paraId="72ABBB0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Investment 1.5: Cybersecurity</w:t>
            </w:r>
          </w:p>
        </w:tc>
        <w:tc>
          <w:tcPr>
            <w:tcW w:w="992" w:type="dxa"/>
            <w:shd w:val="clear" w:color="auto" w:fill="C6EFCE"/>
            <w:noWrap/>
            <w:vAlign w:val="center"/>
          </w:tcPr>
          <w:p w14:paraId="4132B16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50CD206D"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Initial deployment of the national cybersecurity services</w:t>
            </w:r>
          </w:p>
        </w:tc>
        <w:tc>
          <w:tcPr>
            <w:tcW w:w="1559" w:type="dxa"/>
            <w:shd w:val="clear" w:color="auto" w:fill="C6EFCE"/>
            <w:noWrap/>
            <w:vAlign w:val="center"/>
          </w:tcPr>
          <w:p w14:paraId="6861C52B"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Report demonstrating the full architecture of the national cybersecurity services</w:t>
            </w:r>
          </w:p>
        </w:tc>
        <w:tc>
          <w:tcPr>
            <w:tcW w:w="1276" w:type="dxa"/>
            <w:shd w:val="clear" w:color="auto" w:fill="C6EFCE"/>
            <w:noWrap/>
            <w:vAlign w:val="center"/>
          </w:tcPr>
          <w:p w14:paraId="09D5FF1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71A770C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3F9EDD0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4C9177A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03A8516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shd w:val="clear" w:color="auto" w:fill="C6EFCE"/>
            <w:noWrap/>
            <w:vAlign w:val="center"/>
          </w:tcPr>
          <w:p w14:paraId="6B46DEE9"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milestone shall be achieved with the definition of the detailed architecture of the whole ecosystem of the national cybersecurity architecture (that is, a national Information Sharing and Analysis Center (ISAC), a network of Computer emergency response teams (CERTs), a national HyperSOC, the High Performance Computing integrated with the Artificial Intelligence/Machine Learning (AI/ML) tools to analyse national level cybersecurity incidents).</w:t>
            </w:r>
          </w:p>
        </w:tc>
      </w:tr>
      <w:tr w:rsidR="0039681A" w:rsidRPr="0070054C" w14:paraId="4A641801" w14:textId="77777777" w:rsidTr="00351087">
        <w:trPr>
          <w:trHeight w:val="309"/>
        </w:trPr>
        <w:tc>
          <w:tcPr>
            <w:tcW w:w="1135" w:type="dxa"/>
            <w:shd w:val="clear" w:color="auto" w:fill="C6EFCE"/>
            <w:noWrap/>
            <w:vAlign w:val="center"/>
          </w:tcPr>
          <w:p w14:paraId="456E96E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w:t>
            </w:r>
          </w:p>
        </w:tc>
        <w:tc>
          <w:tcPr>
            <w:tcW w:w="1417" w:type="dxa"/>
            <w:shd w:val="clear" w:color="auto" w:fill="C6EFCE"/>
            <w:noWrap/>
            <w:vAlign w:val="center"/>
          </w:tcPr>
          <w:p w14:paraId="3EA0F42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Investment 1.5: Cybersecurity</w:t>
            </w:r>
          </w:p>
        </w:tc>
        <w:tc>
          <w:tcPr>
            <w:tcW w:w="992" w:type="dxa"/>
            <w:shd w:val="clear" w:color="auto" w:fill="C6EFCE"/>
            <w:noWrap/>
            <w:vAlign w:val="center"/>
          </w:tcPr>
          <w:p w14:paraId="3FC2CE1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2F6906FF"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Startup of the network of cybersecurity screening and certification laboratories</w:t>
            </w:r>
          </w:p>
        </w:tc>
        <w:tc>
          <w:tcPr>
            <w:tcW w:w="1559" w:type="dxa"/>
            <w:shd w:val="clear" w:color="auto" w:fill="C6EFCE"/>
            <w:noWrap/>
            <w:vAlign w:val="center"/>
          </w:tcPr>
          <w:p w14:paraId="6B3E38C7"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Documentation provided demonstrating the identified processes and procedures to be shared among labs and reporting provided demonstrating the activation of at least one lab</w:t>
            </w:r>
          </w:p>
        </w:tc>
        <w:tc>
          <w:tcPr>
            <w:tcW w:w="1276" w:type="dxa"/>
            <w:shd w:val="clear" w:color="auto" w:fill="C6EFCE"/>
            <w:noWrap/>
            <w:vAlign w:val="center"/>
          </w:tcPr>
          <w:p w14:paraId="4D1529D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3FF23D1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4B1FB45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1A554A0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5506277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shd w:val="clear" w:color="auto" w:fill="C6EFCE"/>
            <w:noWrap/>
            <w:vAlign w:val="center"/>
          </w:tcPr>
          <w:p w14:paraId="6824E528"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milestone shall be achieved with the:</w:t>
            </w:r>
          </w:p>
          <w:p w14:paraId="6A782312" w14:textId="77777777" w:rsidR="0039681A" w:rsidRPr="0039681A" w:rsidRDefault="0039681A" w:rsidP="00351087">
            <w:pP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 Identification by the National Cybersecurity Agency of where the screening and certification laboratories and centers will be created, the experts’ profiles to be recruited, the full definition of processes and procedures to be shared among labs.</w:t>
            </w:r>
          </w:p>
          <w:p w14:paraId="1DE646D4" w14:textId="77777777" w:rsidR="0039681A" w:rsidRPr="0039681A" w:rsidRDefault="0039681A" w:rsidP="00351087">
            <w:pPr>
              <w:spacing w:before="120"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(ii) Activation of one lab.</w:t>
            </w:r>
          </w:p>
          <w:p w14:paraId="2637EBF7" w14:textId="77777777" w:rsidR="0039681A" w:rsidRPr="0039681A" w:rsidRDefault="0039681A" w:rsidP="00351087">
            <w:pPr>
              <w:spacing w:after="120"/>
              <w:rPr>
                <w:rFonts w:ascii="Arial Narrow" w:eastAsia="Aptos" w:hAnsi="Arial Narrow" w:cs="Arial"/>
                <w:noProof/>
                <w:color w:val="FF0000"/>
                <w:sz w:val="20"/>
                <w:szCs w:val="20"/>
                <w:lang w:val="en-IE"/>
              </w:rPr>
            </w:pPr>
            <w:r w:rsidRPr="0039681A">
              <w:rPr>
                <w:rFonts w:ascii="Arial Narrow" w:eastAsia="Aptos" w:hAnsi="Arial Narrow" w:cs="Times New Roman"/>
                <w:noProof/>
                <w:color w:val="006100"/>
                <w:sz w:val="20"/>
                <w:szCs w:val="20"/>
                <w:lang w:val="en-IE"/>
              </w:rPr>
              <w:t>The activities created to the constitution and activation of the scrutiny labs shall be supervised by Ministero dello Sviluppo Economico (MISE) with the CVCN (National cybersecurity screening and certification laboratory) and integrated with the Evaluation Center (CV) by the Ministry of Interior and the Ministry of Defence.</w:t>
            </w:r>
          </w:p>
        </w:tc>
      </w:tr>
      <w:tr w:rsidR="0039681A" w:rsidRPr="0070054C" w14:paraId="572DFE64" w14:textId="77777777" w:rsidTr="00351087">
        <w:trPr>
          <w:trHeight w:val="309"/>
        </w:trPr>
        <w:tc>
          <w:tcPr>
            <w:tcW w:w="1135" w:type="dxa"/>
            <w:shd w:val="clear" w:color="auto" w:fill="C6EFCE"/>
            <w:noWrap/>
            <w:vAlign w:val="center"/>
          </w:tcPr>
          <w:p w14:paraId="7CF9BDD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M1C1-8</w:t>
            </w:r>
          </w:p>
        </w:tc>
        <w:tc>
          <w:tcPr>
            <w:tcW w:w="1417" w:type="dxa"/>
            <w:shd w:val="clear" w:color="auto" w:fill="C6EFCE"/>
            <w:noWrap/>
            <w:vAlign w:val="center"/>
          </w:tcPr>
          <w:p w14:paraId="13F40AD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Investment 1.5: Cybersecurity</w:t>
            </w:r>
          </w:p>
        </w:tc>
        <w:tc>
          <w:tcPr>
            <w:tcW w:w="992" w:type="dxa"/>
            <w:shd w:val="clear" w:color="auto" w:fill="C6EFCE"/>
            <w:noWrap/>
            <w:vAlign w:val="center"/>
          </w:tcPr>
          <w:p w14:paraId="1451979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1930D3B2"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Activation of a Central Audit Unit for PSNC &amp; NIS security measures</w:t>
            </w:r>
          </w:p>
        </w:tc>
        <w:tc>
          <w:tcPr>
            <w:tcW w:w="1559" w:type="dxa"/>
            <w:shd w:val="clear" w:color="auto" w:fill="C6EFCE"/>
            <w:noWrap/>
            <w:vAlign w:val="center"/>
          </w:tcPr>
          <w:p w14:paraId="01361FB8"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Reporting provided demonstrating the launch of the Central Audit Unit</w:t>
            </w:r>
          </w:p>
        </w:tc>
        <w:tc>
          <w:tcPr>
            <w:tcW w:w="1276" w:type="dxa"/>
            <w:shd w:val="clear" w:color="auto" w:fill="C6EFCE"/>
            <w:noWrap/>
            <w:vAlign w:val="center"/>
          </w:tcPr>
          <w:p w14:paraId="146B975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7E99684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5E424D5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309CCC4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0A56A8C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shd w:val="clear" w:color="auto" w:fill="C6EFCE"/>
            <w:noWrap/>
            <w:vAlign w:val="center"/>
          </w:tcPr>
          <w:p w14:paraId="3996797E"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An internal unit shall be appointed within the National Cybersecurity Agency, with the mandate for performing the activities of the Central Audit Unit that will account for the PSNC &amp; NIS Security measures.</w:t>
            </w:r>
          </w:p>
          <w:p w14:paraId="5CBFB961"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processes, logistics and operation arrangements shall be formalized into adequate documentation with specific focus on the operating processes, i.e. rules of engagement, auditing and reporting procedures.</w:t>
            </w:r>
          </w:p>
          <w:p w14:paraId="42379993"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IT tools shall gather, manage and analyse the audit data and shall be developed and used by the Audit Unit.</w:t>
            </w:r>
          </w:p>
          <w:p w14:paraId="6A0B8659"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Documentation reporting the completion of the development of the tools shall be provided.</w:t>
            </w:r>
          </w:p>
        </w:tc>
      </w:tr>
      <w:tr w:rsidR="0039681A" w:rsidRPr="0070054C" w14:paraId="283E3A16" w14:textId="77777777" w:rsidTr="00351087">
        <w:trPr>
          <w:trHeight w:val="309"/>
        </w:trPr>
        <w:tc>
          <w:tcPr>
            <w:tcW w:w="1135" w:type="dxa"/>
            <w:shd w:val="clear" w:color="auto" w:fill="C6EFCE"/>
            <w:noWrap/>
            <w:vAlign w:val="center"/>
          </w:tcPr>
          <w:p w14:paraId="1A85180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M1C1-9</w:t>
            </w:r>
          </w:p>
        </w:tc>
        <w:tc>
          <w:tcPr>
            <w:tcW w:w="1417" w:type="dxa"/>
            <w:shd w:val="clear" w:color="auto" w:fill="C6EFCE"/>
            <w:noWrap/>
            <w:vAlign w:val="center"/>
          </w:tcPr>
          <w:p w14:paraId="7EF8566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Investment 1.5: Cybersecurity</w:t>
            </w:r>
          </w:p>
        </w:tc>
        <w:tc>
          <w:tcPr>
            <w:tcW w:w="992" w:type="dxa"/>
            <w:shd w:val="clear" w:color="auto" w:fill="C6EFCE"/>
            <w:noWrap/>
            <w:vAlign w:val="center"/>
          </w:tcPr>
          <w:p w14:paraId="1817A9A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shd w:val="clear" w:color="auto" w:fill="C6EFCE"/>
            <w:noWrap/>
            <w:vAlign w:val="center"/>
          </w:tcPr>
          <w:p w14:paraId="5ED42570"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Support to the upgrade of security structures T1</w:t>
            </w:r>
          </w:p>
        </w:tc>
        <w:tc>
          <w:tcPr>
            <w:tcW w:w="1559" w:type="dxa"/>
            <w:shd w:val="clear" w:color="auto" w:fill="C6EFCE"/>
            <w:noWrap/>
            <w:vAlign w:val="center"/>
          </w:tcPr>
          <w:p w14:paraId="0BAD154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vAlign w:val="center"/>
          </w:tcPr>
          <w:p w14:paraId="0A1510B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shd w:val="clear" w:color="auto" w:fill="C6EFCE"/>
            <w:noWrap/>
            <w:vAlign w:val="center"/>
          </w:tcPr>
          <w:p w14:paraId="6530105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shd w:val="clear" w:color="auto" w:fill="C6EFCE"/>
            <w:noWrap/>
            <w:vAlign w:val="center"/>
          </w:tcPr>
          <w:p w14:paraId="7FF049E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5</w:t>
            </w:r>
          </w:p>
        </w:tc>
        <w:tc>
          <w:tcPr>
            <w:tcW w:w="992" w:type="dxa"/>
            <w:shd w:val="clear" w:color="auto" w:fill="C6EFCE"/>
            <w:noWrap/>
            <w:vAlign w:val="center"/>
          </w:tcPr>
          <w:p w14:paraId="404FEA6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54E02FF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shd w:val="clear" w:color="auto" w:fill="C6EFCE"/>
            <w:noWrap/>
            <w:vAlign w:val="center"/>
          </w:tcPr>
          <w:p w14:paraId="379DA3B9"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At least five strengthening interventions upgrading security structures completed in the National Security Perimeter for Cyber (PSNC) and Network and Information Systems (NIS) sectors.</w:t>
            </w:r>
          </w:p>
          <w:p w14:paraId="359ECD7E"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Intervention types include upgrades to Security Operating Centers (SOCs), Cyber boundary defence improvements and Internal monitoring and control capabilities. Interventions shall focus on Healthcare, Energy and Environmental (Drinking Water Supply) sectors.</w:t>
            </w:r>
          </w:p>
        </w:tc>
      </w:tr>
      <w:tr w:rsidR="0039681A" w:rsidRPr="0070054C" w14:paraId="5869B7E6" w14:textId="77777777" w:rsidTr="00351087">
        <w:trPr>
          <w:trHeight w:val="309"/>
        </w:trPr>
        <w:tc>
          <w:tcPr>
            <w:tcW w:w="1135" w:type="dxa"/>
            <w:shd w:val="clear" w:color="auto" w:fill="C6EFCE"/>
            <w:noWrap/>
            <w:vAlign w:val="center"/>
          </w:tcPr>
          <w:p w14:paraId="7647134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M1C1-10</w:t>
            </w:r>
          </w:p>
        </w:tc>
        <w:tc>
          <w:tcPr>
            <w:tcW w:w="1417" w:type="dxa"/>
            <w:shd w:val="clear" w:color="auto" w:fill="C6EFCE"/>
            <w:noWrap/>
            <w:vAlign w:val="center"/>
          </w:tcPr>
          <w:p w14:paraId="1FBAF72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Reform 1.2: Transformation support</w:t>
            </w:r>
          </w:p>
        </w:tc>
        <w:tc>
          <w:tcPr>
            <w:tcW w:w="992" w:type="dxa"/>
            <w:shd w:val="clear" w:color="auto" w:fill="C6EFCE"/>
            <w:noWrap/>
            <w:vAlign w:val="center"/>
          </w:tcPr>
          <w:p w14:paraId="62A8C99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004B978E"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Entry into force of the setup of Transformation Team and NewCo</w:t>
            </w:r>
          </w:p>
        </w:tc>
        <w:tc>
          <w:tcPr>
            <w:tcW w:w="1559" w:type="dxa"/>
            <w:shd w:val="clear" w:color="auto" w:fill="C6EFCE"/>
            <w:noWrap/>
            <w:vAlign w:val="center"/>
          </w:tcPr>
          <w:p w14:paraId="6F01DE4D"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legal act indicating the entry into force of legal act to create the Transformation Office and entry into force of legal act to create the NewCo</w:t>
            </w:r>
          </w:p>
        </w:tc>
        <w:tc>
          <w:tcPr>
            <w:tcW w:w="1276" w:type="dxa"/>
            <w:shd w:val="clear" w:color="auto" w:fill="C6EFCE"/>
            <w:noWrap/>
            <w:vAlign w:val="center"/>
          </w:tcPr>
          <w:p w14:paraId="35BA274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4180FDC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0C95476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55E0775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1F4FC87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shd w:val="clear" w:color="auto" w:fill="C6EFCE"/>
            <w:noWrap/>
            <w:vAlign w:val="center"/>
          </w:tcPr>
          <w:p w14:paraId="52CA07A5"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For the setup of the Transformation office,</w:t>
            </w:r>
            <w:r w:rsidRPr="0039681A">
              <w:rPr>
                <w:rFonts w:ascii="Arial Narrow" w:eastAsia="Aptos" w:hAnsi="Arial Narrow" w:cs="Times New Roman"/>
                <w:noProof/>
                <w:sz w:val="20"/>
                <w:lang w:val="en-IE"/>
              </w:rPr>
              <w:t xml:space="preserve"> </w:t>
            </w:r>
            <w:r w:rsidRPr="0039681A">
              <w:rPr>
                <w:rFonts w:ascii="Arial Narrow" w:eastAsia="Aptos" w:hAnsi="Arial Narrow" w:cs="Times New Roman"/>
                <w:noProof/>
                <w:color w:val="006100"/>
                <w:sz w:val="20"/>
                <w:lang w:val="en-IE"/>
              </w:rPr>
              <w:t>the necessary legal acts shall include:</w:t>
            </w:r>
          </w:p>
          <w:p w14:paraId="2B94284C" w14:textId="77777777" w:rsidR="0039681A" w:rsidRPr="0039681A" w:rsidRDefault="0039681A" w:rsidP="00351087">
            <w:pPr>
              <w:numPr>
                <w:ilvl w:val="0"/>
                <w:numId w:val="24"/>
              </w:numPr>
              <w:spacing w:before="120" w:after="120" w:line="240" w:lineRule="auto"/>
              <w:ind w:left="314" w:hanging="232"/>
              <w:contextualSpacing/>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Publication of the Law Decree “reclutamento” (already approved by the Council of Ministers n. 22 of June 4</w:t>
            </w:r>
            <w:r w:rsidRPr="0039681A">
              <w:rPr>
                <w:rFonts w:ascii="Arial Narrow" w:eastAsia="Aptos" w:hAnsi="Arial Narrow" w:cs="Times New Roman"/>
                <w:noProof/>
                <w:color w:val="006100"/>
                <w:sz w:val="20"/>
                <w:szCs w:val="20"/>
                <w:vertAlign w:val="superscript"/>
                <w:lang w:val="en-IE"/>
              </w:rPr>
              <w:t>th</w:t>
            </w:r>
            <w:r w:rsidRPr="0039681A">
              <w:rPr>
                <w:rFonts w:ascii="Arial Narrow" w:eastAsia="Aptos" w:hAnsi="Arial Narrow" w:cs="Times New Roman"/>
                <w:noProof/>
                <w:color w:val="006100"/>
                <w:sz w:val="20"/>
                <w:szCs w:val="20"/>
                <w:lang w:val="en-IE"/>
              </w:rPr>
              <w:t xml:space="preserve"> 2021 and published on the Official Journal (“Gazzetta Ufficiale”) on June 10</w:t>
            </w:r>
            <w:r w:rsidRPr="0039681A">
              <w:rPr>
                <w:rFonts w:ascii="Arial Narrow" w:eastAsia="Aptos" w:hAnsi="Arial Narrow" w:cs="Times New Roman"/>
                <w:noProof/>
                <w:color w:val="006100"/>
                <w:sz w:val="20"/>
                <w:szCs w:val="20"/>
                <w:vertAlign w:val="superscript"/>
                <w:lang w:val="en-IE"/>
              </w:rPr>
              <w:t>th</w:t>
            </w:r>
            <w:r w:rsidRPr="0039681A">
              <w:rPr>
                <w:rFonts w:ascii="Arial Narrow" w:eastAsia="Aptos" w:hAnsi="Arial Narrow" w:cs="Times New Roman"/>
                <w:noProof/>
                <w:color w:val="006100"/>
                <w:sz w:val="20"/>
                <w:szCs w:val="20"/>
                <w:lang w:val="en-IE"/>
              </w:rPr>
              <w:t xml:space="preserve"> 2021);</w:t>
            </w:r>
          </w:p>
          <w:p w14:paraId="6DDABFE7" w14:textId="77777777" w:rsidR="0039681A" w:rsidRPr="0039681A" w:rsidRDefault="0039681A" w:rsidP="00351087">
            <w:pPr>
              <w:numPr>
                <w:ilvl w:val="0"/>
                <w:numId w:val="24"/>
              </w:numPr>
              <w:spacing w:before="120" w:after="120" w:line="240" w:lineRule="auto"/>
              <w:ind w:left="314" w:hanging="232"/>
              <w:contextualSpacing/>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publication of a call for expression of interest;</w:t>
            </w:r>
          </w:p>
          <w:p w14:paraId="7C00E804" w14:textId="77777777" w:rsidR="0039681A" w:rsidRPr="0039681A" w:rsidRDefault="0039681A" w:rsidP="00351087">
            <w:pPr>
              <w:numPr>
                <w:ilvl w:val="0"/>
                <w:numId w:val="24"/>
              </w:numPr>
              <w:spacing w:before="120" w:after="120" w:line="240" w:lineRule="auto"/>
              <w:ind w:left="314" w:hanging="232"/>
              <w:contextualSpacing/>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selection and conferment of the assignment to the experts (on a temporary basis for the duration of the RRF).</w:t>
            </w:r>
          </w:p>
          <w:p w14:paraId="49D1DF42"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For the NewCo, the key steps required shall include:</w:t>
            </w:r>
          </w:p>
          <w:p w14:paraId="136EBFEB" w14:textId="77777777" w:rsidR="0039681A" w:rsidRPr="00030506" w:rsidRDefault="0039681A" w:rsidP="00351087">
            <w:pPr>
              <w:numPr>
                <w:ilvl w:val="0"/>
                <w:numId w:val="24"/>
              </w:numPr>
              <w:spacing w:before="120" w:after="120" w:line="240" w:lineRule="auto"/>
              <w:ind w:left="314" w:hanging="232"/>
              <w:contextualSpacing/>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Legislative authorization;</w:t>
            </w:r>
          </w:p>
          <w:p w14:paraId="1AC56527" w14:textId="77777777" w:rsidR="0039681A" w:rsidRPr="0039681A" w:rsidRDefault="0039681A" w:rsidP="00351087">
            <w:pPr>
              <w:numPr>
                <w:ilvl w:val="0"/>
                <w:numId w:val="24"/>
              </w:numPr>
              <w:spacing w:before="120" w:after="120" w:line="240" w:lineRule="auto"/>
              <w:ind w:left="314" w:hanging="232"/>
              <w:contextualSpacing/>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Decreto del Presidente del Consiglio dei Ministri (DPCM) authorizing the establishment of the company and setting the objectives, share capital, duration and directors to the company;</w:t>
            </w:r>
          </w:p>
          <w:p w14:paraId="21C64749" w14:textId="77777777" w:rsidR="0039681A" w:rsidRPr="0039681A" w:rsidRDefault="0039681A" w:rsidP="00351087">
            <w:pPr>
              <w:numPr>
                <w:ilvl w:val="0"/>
                <w:numId w:val="24"/>
              </w:numPr>
              <w:spacing w:before="120" w:after="120" w:line="240" w:lineRule="auto"/>
              <w:ind w:left="314" w:hanging="232"/>
              <w:contextualSpacing/>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Institution of the company with notarial deed;</w:t>
            </w:r>
          </w:p>
          <w:p w14:paraId="4EA98540" w14:textId="77777777" w:rsidR="0039681A" w:rsidRPr="0039681A" w:rsidRDefault="0039681A" w:rsidP="00351087">
            <w:pPr>
              <w:numPr>
                <w:ilvl w:val="0"/>
                <w:numId w:val="24"/>
              </w:numPr>
              <w:spacing w:before="120" w:after="120" w:line="240" w:lineRule="auto"/>
              <w:ind w:left="314" w:hanging="232"/>
              <w:contextualSpacing/>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Acts required to make the company operational - articles of association and various regulations.</w:t>
            </w:r>
          </w:p>
        </w:tc>
      </w:tr>
      <w:tr w:rsidR="0039681A" w:rsidRPr="0070054C" w14:paraId="28FB54FC" w14:textId="77777777" w:rsidTr="00351087">
        <w:trPr>
          <w:trHeight w:val="309"/>
        </w:trPr>
        <w:tc>
          <w:tcPr>
            <w:tcW w:w="1135" w:type="dxa"/>
            <w:shd w:val="clear" w:color="auto" w:fill="C6EFCE"/>
            <w:noWrap/>
            <w:vAlign w:val="center"/>
          </w:tcPr>
          <w:p w14:paraId="6AC0CF9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M1C1-11</w:t>
            </w:r>
          </w:p>
        </w:tc>
        <w:tc>
          <w:tcPr>
            <w:tcW w:w="1417" w:type="dxa"/>
            <w:shd w:val="clear" w:color="auto" w:fill="C6EFCE"/>
            <w:noWrap/>
            <w:vAlign w:val="center"/>
          </w:tcPr>
          <w:p w14:paraId="01E9AACE"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1.6.6: Digitization of the Finance Police</w:t>
            </w:r>
          </w:p>
        </w:tc>
        <w:tc>
          <w:tcPr>
            <w:tcW w:w="992" w:type="dxa"/>
            <w:shd w:val="clear" w:color="auto" w:fill="C6EFCE"/>
            <w:noWrap/>
            <w:vAlign w:val="center"/>
          </w:tcPr>
          <w:p w14:paraId="7C4A627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shd w:val="clear" w:color="auto" w:fill="C6EFCE"/>
            <w:noWrap/>
            <w:vAlign w:val="center"/>
          </w:tcPr>
          <w:p w14:paraId="4CB09A4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Finance Police - Purchase of professional data science services T1</w:t>
            </w:r>
          </w:p>
        </w:tc>
        <w:tc>
          <w:tcPr>
            <w:tcW w:w="1559" w:type="dxa"/>
            <w:shd w:val="clear" w:color="auto" w:fill="C6EFCE"/>
            <w:noWrap/>
            <w:vAlign w:val="center"/>
          </w:tcPr>
          <w:p w14:paraId="2E1C140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vAlign w:val="center"/>
          </w:tcPr>
          <w:p w14:paraId="06390FC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shd w:val="clear" w:color="auto" w:fill="C6EFCE"/>
            <w:noWrap/>
            <w:vAlign w:val="center"/>
          </w:tcPr>
          <w:p w14:paraId="561F512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shd w:val="clear" w:color="auto" w:fill="C6EFCE"/>
            <w:noWrap/>
            <w:vAlign w:val="center"/>
          </w:tcPr>
          <w:p w14:paraId="0A7A56A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5</w:t>
            </w:r>
          </w:p>
        </w:tc>
        <w:tc>
          <w:tcPr>
            <w:tcW w:w="992" w:type="dxa"/>
            <w:shd w:val="clear" w:color="auto" w:fill="C6EFCE"/>
            <w:noWrap/>
            <w:vAlign w:val="center"/>
          </w:tcPr>
          <w:p w14:paraId="125A678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shd w:val="clear" w:color="auto" w:fill="C6EFCE"/>
            <w:noWrap/>
            <w:vAlign w:val="center"/>
          </w:tcPr>
          <w:p w14:paraId="3142AEB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shd w:val="clear" w:color="auto" w:fill="C6EFCE"/>
            <w:noWrap/>
            <w:vAlign w:val="center"/>
          </w:tcPr>
          <w:p w14:paraId="663561F1"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Purchase of professional data science services by contracting with a consulting service provider involving five human resources in total responsible both for designing the data architecture and for writing the algorithms of the Big Data Analysis unit. Publication of awarded contract for the purchase of data science services in compliance with the ’Do no significant harm’ Technical Guidance (2021/C58/01) through the use of an exclusion list and the requirement of compliance with the relevant EU and national environmental legislation and release on a nationwide scale of new tools on the first analysis module (IT backbone).</w:t>
            </w:r>
          </w:p>
        </w:tc>
      </w:tr>
      <w:tr w:rsidR="0039681A" w:rsidRPr="0070054C" w14:paraId="36E289B4" w14:textId="77777777" w:rsidTr="00351087">
        <w:trPr>
          <w:trHeight w:val="309"/>
        </w:trPr>
        <w:tc>
          <w:tcPr>
            <w:tcW w:w="1135" w:type="dxa"/>
            <w:shd w:val="clear" w:color="auto" w:fill="C6EFCE"/>
            <w:noWrap/>
            <w:vAlign w:val="center"/>
          </w:tcPr>
          <w:p w14:paraId="4CF819B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M1C1-12</w:t>
            </w:r>
          </w:p>
        </w:tc>
        <w:tc>
          <w:tcPr>
            <w:tcW w:w="1417" w:type="dxa"/>
            <w:shd w:val="clear" w:color="auto" w:fill="C6EFCE"/>
            <w:noWrap/>
            <w:vAlign w:val="center"/>
          </w:tcPr>
          <w:p w14:paraId="650071D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Investment 1.3.2:Single Digital Gateway</w:t>
            </w:r>
          </w:p>
        </w:tc>
        <w:tc>
          <w:tcPr>
            <w:tcW w:w="992" w:type="dxa"/>
            <w:shd w:val="clear" w:color="auto" w:fill="C6EFCE"/>
            <w:noWrap/>
            <w:vAlign w:val="center"/>
          </w:tcPr>
          <w:p w14:paraId="5D1BA9C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shd w:val="clear" w:color="auto" w:fill="C6EFCE"/>
            <w:noWrap/>
            <w:vAlign w:val="center"/>
          </w:tcPr>
          <w:p w14:paraId="094C45D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Single Digital Gateway</w:t>
            </w:r>
          </w:p>
        </w:tc>
        <w:tc>
          <w:tcPr>
            <w:tcW w:w="1559" w:type="dxa"/>
            <w:shd w:val="clear" w:color="auto" w:fill="C6EFCE"/>
            <w:noWrap/>
            <w:vAlign w:val="center"/>
          </w:tcPr>
          <w:p w14:paraId="4E2095E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vAlign w:val="center"/>
          </w:tcPr>
          <w:p w14:paraId="5322E93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shd w:val="clear" w:color="auto" w:fill="C6EFCE"/>
            <w:noWrap/>
            <w:vAlign w:val="center"/>
          </w:tcPr>
          <w:p w14:paraId="7D592B2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shd w:val="clear" w:color="auto" w:fill="C6EFCE"/>
            <w:noWrap/>
            <w:vAlign w:val="center"/>
          </w:tcPr>
          <w:p w14:paraId="60D9915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19</w:t>
            </w:r>
          </w:p>
        </w:tc>
        <w:tc>
          <w:tcPr>
            <w:tcW w:w="992" w:type="dxa"/>
            <w:shd w:val="clear" w:color="auto" w:fill="C6EFCE"/>
            <w:noWrap/>
            <w:vAlign w:val="center"/>
          </w:tcPr>
          <w:p w14:paraId="15AABC7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520CB14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shd w:val="clear" w:color="auto" w:fill="C6EFCE"/>
            <w:noWrap/>
            <w:vAlign w:val="center"/>
          </w:tcPr>
          <w:p w14:paraId="4BF95299"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19 prioritized administrative procedures applicable in Italy out of the 21 defined in EU Regulation 2018/1724 are fully compliant with the requirements defined in Article 6 of the EU Regulation 2018/1724. More specifically: (a) the identification of users, the provision of information and supporting evidence, signature and final submission shall all be carried out electronically at a distance, through a service channel which enables users to fulfil the requirements related to the procedure in a user-friendly and structured way; (b) users shall be provided with an automatic acknowledgement of receipt, unless the output of the procedure is delivered immediately; (c) the output of the procedure shall be delivered electronically, or where necessary to comply with applicable Union or national law, delivered by physical means; (d) users shall be provided with an electronic notification of completion of the procedure.</w:t>
            </w:r>
          </w:p>
        </w:tc>
      </w:tr>
      <w:tr w:rsidR="0039681A" w:rsidRPr="0070054C" w14:paraId="576D386A" w14:textId="77777777" w:rsidTr="00351087">
        <w:trPr>
          <w:trHeight w:val="309"/>
        </w:trPr>
        <w:tc>
          <w:tcPr>
            <w:tcW w:w="1135" w:type="dxa"/>
            <w:shd w:val="clear" w:color="auto" w:fill="C6EFCE"/>
            <w:noWrap/>
            <w:vAlign w:val="center"/>
          </w:tcPr>
          <w:p w14:paraId="2BC99B3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M1C1-13</w:t>
            </w:r>
          </w:p>
        </w:tc>
        <w:tc>
          <w:tcPr>
            <w:tcW w:w="1417" w:type="dxa"/>
            <w:shd w:val="clear" w:color="auto" w:fill="C6EFCE"/>
            <w:noWrap/>
            <w:vAlign w:val="center"/>
          </w:tcPr>
          <w:p w14:paraId="7054DBEE"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1.4.6:</w:t>
            </w:r>
          </w:p>
          <w:p w14:paraId="02862DD4"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Mobility as a Service for Italy</w:t>
            </w:r>
          </w:p>
        </w:tc>
        <w:tc>
          <w:tcPr>
            <w:tcW w:w="992" w:type="dxa"/>
            <w:shd w:val="clear" w:color="auto" w:fill="C6EFCE"/>
            <w:noWrap/>
            <w:vAlign w:val="center"/>
          </w:tcPr>
          <w:p w14:paraId="7098D4E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322DDA80"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Mobility as a Service solutions M1</w:t>
            </w:r>
          </w:p>
        </w:tc>
        <w:tc>
          <w:tcPr>
            <w:tcW w:w="1559" w:type="dxa"/>
            <w:shd w:val="clear" w:color="auto" w:fill="C6EFCE"/>
            <w:noWrap/>
            <w:vAlign w:val="center"/>
          </w:tcPr>
          <w:p w14:paraId="24242CDB"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Report by Ministero delle Infrastrutture e della Mobilità Sostenibili (MIMS) in collaboration with universities describing the implementation and assessing the results of the three pilot projects</w:t>
            </w:r>
          </w:p>
        </w:tc>
        <w:tc>
          <w:tcPr>
            <w:tcW w:w="1276" w:type="dxa"/>
            <w:shd w:val="clear" w:color="auto" w:fill="C6EFCE"/>
            <w:noWrap/>
            <w:vAlign w:val="center"/>
          </w:tcPr>
          <w:p w14:paraId="1AD9848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25BF21D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3082F2C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2AA9824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43F8D06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shd w:val="clear" w:color="auto" w:fill="C6EFCE"/>
            <w:noWrap/>
            <w:vAlign w:val="center"/>
          </w:tcPr>
          <w:p w14:paraId="3B5F4EF1"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Three pilot projects aimed at testing Mobility as a Service solutions in technologically advanced metropolitan cities have been implemented.</w:t>
            </w:r>
          </w:p>
          <w:p w14:paraId="52643962"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Each solution has been used by at least 1 000 users during the pilot period.</w:t>
            </w:r>
          </w:p>
          <w:p w14:paraId="69FA4987"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Each pilot project shall be open to a minimum of 1 000 users, who shall be able to access it on a voluntary basis and at their own expense and give the individual assessment, with the possibility to choose and purchase mobility services among those available on the platform.</w:t>
            </w:r>
          </w:p>
          <w:p w14:paraId="41E3B395"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MaaS service, through a single technological platform, shall suggest to the citizen-user the best travel solution based on his needs, exploiting the integration between the different mobility options available (local public transport, sharing, cab, car rental) to optimize the travel experience both in terms of planning (intermodal route planner and real-time information on times and distances), and in terms of utilization (booking and payment of services).</w:t>
            </w:r>
          </w:p>
        </w:tc>
      </w:tr>
      <w:tr w:rsidR="0039681A" w:rsidRPr="0070054C" w14:paraId="11BC1CF1"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1A19D2"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M1C1-14bis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D4290" w14:textId="77777777" w:rsidR="0039681A" w:rsidRPr="0039681A" w:rsidRDefault="0039681A" w:rsidP="00351087">
            <w:pPr>
              <w:jc w:val="center"/>
              <w:rPr>
                <w:rFonts w:ascii="Arial Narrow" w:eastAsia="Aptos" w:hAnsi="Arial Narrow" w:cs="Arial"/>
                <w:noProof/>
                <w:color w:val="006100"/>
                <w:sz w:val="20"/>
                <w:lang w:val="en-IE"/>
              </w:rPr>
            </w:pPr>
            <w:r w:rsidRPr="0039681A">
              <w:rPr>
                <w:rFonts w:ascii="Arial Narrow" w:eastAsia="Aptos" w:hAnsi="Arial Narrow" w:cs="Times New Roman"/>
                <w:noProof/>
                <w:color w:val="006100"/>
                <w:sz w:val="20"/>
                <w:lang w:val="en-IE"/>
              </w:rPr>
              <w:t>Reform 1.9bis: Reform for accelerating the implementation of cohesion policy</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CF6DC6"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 xml:space="preserve">Milestone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30823" w14:textId="77777777" w:rsidR="0039681A" w:rsidRPr="0039681A" w:rsidRDefault="0039681A" w:rsidP="00351087">
            <w:pPr>
              <w:jc w:val="center"/>
              <w:rPr>
                <w:rFonts w:ascii="Arial Narrow" w:eastAsia="Aptos" w:hAnsi="Arial Narrow" w:cs="Arial"/>
                <w:noProof/>
                <w:color w:val="006100"/>
                <w:sz w:val="20"/>
                <w:lang w:val="en-IE"/>
              </w:rPr>
            </w:pPr>
            <w:r w:rsidRPr="0039681A">
              <w:rPr>
                <w:rFonts w:ascii="Arial Narrow" w:eastAsia="Aptos" w:hAnsi="Arial Narrow" w:cs="Times New Roman"/>
                <w:noProof/>
                <w:color w:val="006100"/>
                <w:sz w:val="20"/>
                <w:lang w:val="en-IE"/>
              </w:rPr>
              <w:t>Entry into force of the national legislation for accelerating the implementation of cohesion policy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4C244B"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xml:space="preserve">Provision in the law indicating the entry into force of the national legislation for accelerating the implementation of cohesion policy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193B92"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0F2049"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567EF6"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519987"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7BBB0B"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C35728"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xml:space="preserve">Entry into force of national legislation that identifies, within the framework of the Partnership Agreement and for all the current Programmes, the arrangements necessary to accelerate and improve the implementation of cohesion policy. </w:t>
            </w:r>
          </w:p>
          <w:p w14:paraId="14F38249"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In order to ensure the institutional dialogue and cooperation, as well as a shared understanding of the necessary actions, by 31 December 2023, the Government shall set up a technical working group with the managing authorities of all regional and national programmes within the Cabina di regia PNRR, without prejudice to national legislation on the Unified Conference.</w:t>
            </w:r>
          </w:p>
          <w:p w14:paraId="5CD9DB72" w14:textId="77777777" w:rsidR="0039681A" w:rsidRPr="0039681A" w:rsidRDefault="0039681A" w:rsidP="00351087">
            <w:pPr>
              <w:spacing w:after="0" w:line="240" w:lineRule="auto"/>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legislation shall set out the arrangements necessary to prioritise interventions in the following strategic sectors, in strict coherence with the planning documents defined for the relevant enabling conditions and to concretely implement them, including intervening specifically to strengthen administrative capacity, in these sectors:</w:t>
            </w:r>
          </w:p>
          <w:p w14:paraId="2CC495B5" w14:textId="77777777" w:rsidR="0039681A" w:rsidRPr="0039681A" w:rsidRDefault="0039681A" w:rsidP="00351087">
            <w:pPr>
              <w:tabs>
                <w:tab w:val="left" w:pos="195"/>
              </w:tabs>
              <w:spacing w:after="0" w:line="240" w:lineRule="auto"/>
              <w:rPr>
                <w:rFonts w:ascii="Arial Narrow" w:eastAsia="Aptos" w:hAnsi="Arial Narrow" w:cs="Arial"/>
                <w:noProof/>
                <w:color w:val="006100"/>
                <w:sz w:val="20"/>
                <w:lang w:val="en-IE"/>
              </w:rPr>
            </w:pPr>
            <w:r w:rsidRPr="0039681A">
              <w:rPr>
                <w:rFonts w:ascii="Arial Narrow" w:eastAsia="Aptos" w:hAnsi="Arial Narrow" w:cs="Times New Roman"/>
                <w:noProof/>
                <w:color w:val="006100"/>
                <w:sz w:val="20"/>
                <w:lang w:val="en-IE"/>
              </w:rPr>
              <w:t>-</w:t>
            </w:r>
            <w:r w:rsidRPr="0039681A">
              <w:rPr>
                <w:rFonts w:ascii="Arial Narrow" w:eastAsia="Times New Roman" w:hAnsi="Arial Narrow" w:cs="Times New Roman"/>
                <w:noProof/>
                <w:color w:val="006100"/>
                <w:sz w:val="20"/>
                <w:lang w:val="en-IE" w:eastAsia="en-GB"/>
              </w:rPr>
              <w:tab/>
            </w:r>
            <w:r w:rsidRPr="0039681A">
              <w:rPr>
                <w:rFonts w:ascii="Arial Narrow" w:eastAsia="Aptos" w:hAnsi="Arial Narrow" w:cs="Times New Roman"/>
                <w:noProof/>
                <w:color w:val="006100"/>
                <w:sz w:val="20"/>
                <w:lang w:val="en-IE"/>
              </w:rPr>
              <w:t>Water;</w:t>
            </w:r>
          </w:p>
          <w:p w14:paraId="0CB00CCF" w14:textId="77777777" w:rsidR="0039681A" w:rsidRPr="0039681A" w:rsidRDefault="0039681A" w:rsidP="00351087">
            <w:pPr>
              <w:tabs>
                <w:tab w:val="left" w:pos="195"/>
              </w:tabs>
              <w:spacing w:after="0" w:line="240" w:lineRule="auto"/>
              <w:rPr>
                <w:rFonts w:ascii="Arial Narrow" w:eastAsia="Aptos" w:hAnsi="Arial Narrow" w:cs="Arial"/>
                <w:noProof/>
                <w:color w:val="006100"/>
                <w:sz w:val="20"/>
                <w:lang w:val="en-IE"/>
              </w:rPr>
            </w:pPr>
            <w:r w:rsidRPr="0039681A">
              <w:rPr>
                <w:rFonts w:ascii="Arial Narrow" w:eastAsia="Aptos" w:hAnsi="Arial Narrow" w:cs="Times New Roman"/>
                <w:noProof/>
                <w:color w:val="006100"/>
                <w:sz w:val="20"/>
                <w:lang w:val="en-IE"/>
              </w:rPr>
              <w:t>-</w:t>
            </w:r>
            <w:r w:rsidRPr="0039681A">
              <w:rPr>
                <w:rFonts w:ascii="Arial Narrow" w:eastAsia="Times New Roman" w:hAnsi="Arial Narrow" w:cs="Times New Roman"/>
                <w:noProof/>
                <w:color w:val="006100"/>
                <w:sz w:val="20"/>
                <w:lang w:val="en-IE" w:eastAsia="en-GB"/>
              </w:rPr>
              <w:tab/>
            </w:r>
            <w:r w:rsidRPr="0039681A">
              <w:rPr>
                <w:rFonts w:ascii="Arial Narrow" w:eastAsia="Aptos" w:hAnsi="Arial Narrow" w:cs="Times New Roman"/>
                <w:noProof/>
                <w:color w:val="006100"/>
                <w:sz w:val="20"/>
                <w:lang w:val="en-IE"/>
              </w:rPr>
              <w:t>infrastructures for hydrogeological risk and environmental protection;</w:t>
            </w:r>
          </w:p>
          <w:p w14:paraId="58E822AF" w14:textId="77777777" w:rsidR="0039681A" w:rsidRPr="0039681A" w:rsidRDefault="0039681A" w:rsidP="00351087">
            <w:pPr>
              <w:tabs>
                <w:tab w:val="left" w:pos="195"/>
              </w:tabs>
              <w:spacing w:after="0" w:line="240" w:lineRule="auto"/>
              <w:rPr>
                <w:rFonts w:ascii="Arial Narrow" w:eastAsia="Aptos" w:hAnsi="Arial Narrow" w:cs="Arial"/>
                <w:noProof/>
                <w:color w:val="006100"/>
                <w:sz w:val="20"/>
                <w:lang w:val="en-IE"/>
              </w:rPr>
            </w:pPr>
            <w:r w:rsidRPr="0039681A">
              <w:rPr>
                <w:rFonts w:ascii="Arial Narrow" w:eastAsia="Times New Roman" w:hAnsi="Arial Narrow" w:cs="Times New Roman"/>
                <w:noProof/>
                <w:color w:val="006100"/>
                <w:sz w:val="20"/>
                <w:lang w:val="en-IE" w:eastAsia="en-GB"/>
              </w:rPr>
              <w:t>-</w:t>
            </w:r>
            <w:r w:rsidRPr="0039681A">
              <w:rPr>
                <w:rFonts w:ascii="Arial Narrow" w:eastAsia="Times New Roman" w:hAnsi="Arial Narrow" w:cs="Times New Roman"/>
                <w:noProof/>
                <w:color w:val="006100"/>
                <w:sz w:val="20"/>
                <w:lang w:val="en-IE" w:eastAsia="en-GB"/>
              </w:rPr>
              <w:tab/>
            </w:r>
            <w:r w:rsidRPr="0039681A">
              <w:rPr>
                <w:rFonts w:ascii="Arial Narrow" w:eastAsia="Aptos" w:hAnsi="Arial Narrow" w:cs="Times New Roman"/>
                <w:noProof/>
                <w:color w:val="006100"/>
                <w:sz w:val="20"/>
                <w:lang w:val="en-IE"/>
              </w:rPr>
              <w:t>Waste;</w:t>
            </w:r>
          </w:p>
          <w:p w14:paraId="5C878A56" w14:textId="77777777" w:rsidR="0039681A" w:rsidRPr="0039681A" w:rsidRDefault="0039681A" w:rsidP="00351087">
            <w:pPr>
              <w:tabs>
                <w:tab w:val="left" w:pos="195"/>
              </w:tabs>
              <w:spacing w:after="0" w:line="240" w:lineRule="auto"/>
              <w:rPr>
                <w:rFonts w:ascii="Arial Narrow" w:eastAsia="Aptos" w:hAnsi="Arial Narrow" w:cs="Arial"/>
                <w:noProof/>
                <w:color w:val="006100"/>
                <w:sz w:val="20"/>
                <w:lang w:val="en-IE"/>
              </w:rPr>
            </w:pPr>
            <w:r w:rsidRPr="0039681A">
              <w:rPr>
                <w:rFonts w:ascii="Arial Narrow" w:eastAsia="Times New Roman" w:hAnsi="Arial Narrow" w:cs="Times New Roman"/>
                <w:noProof/>
                <w:color w:val="006100"/>
                <w:sz w:val="20"/>
                <w:lang w:val="en-IE" w:eastAsia="en-GB"/>
              </w:rPr>
              <w:t>-</w:t>
            </w:r>
            <w:r w:rsidRPr="0039681A">
              <w:rPr>
                <w:rFonts w:ascii="Arial Narrow" w:eastAsia="Times New Roman" w:hAnsi="Arial Narrow" w:cs="Times New Roman"/>
                <w:noProof/>
                <w:color w:val="006100"/>
                <w:sz w:val="20"/>
                <w:lang w:val="en-IE" w:eastAsia="en-GB"/>
              </w:rPr>
              <w:tab/>
            </w:r>
            <w:r w:rsidRPr="0039681A">
              <w:rPr>
                <w:rFonts w:ascii="Arial Narrow" w:eastAsia="Aptos" w:hAnsi="Arial Narrow" w:cs="Times New Roman"/>
                <w:noProof/>
                <w:color w:val="006100"/>
                <w:sz w:val="20"/>
                <w:lang w:val="en-IE"/>
              </w:rPr>
              <w:t>Transport and sustainable mobility;</w:t>
            </w:r>
          </w:p>
          <w:p w14:paraId="56D2DB42" w14:textId="77777777" w:rsidR="0039681A" w:rsidRPr="0039681A" w:rsidRDefault="0039681A" w:rsidP="00351087">
            <w:pPr>
              <w:tabs>
                <w:tab w:val="left" w:pos="195"/>
              </w:tabs>
              <w:spacing w:after="0" w:line="240" w:lineRule="auto"/>
              <w:rPr>
                <w:rFonts w:ascii="Arial Narrow" w:eastAsia="Aptos" w:hAnsi="Arial Narrow" w:cs="Arial"/>
                <w:noProof/>
                <w:color w:val="006100"/>
                <w:sz w:val="20"/>
                <w:lang w:val="en-IE"/>
              </w:rPr>
            </w:pPr>
            <w:r w:rsidRPr="0039681A">
              <w:rPr>
                <w:rFonts w:ascii="Arial Narrow" w:eastAsia="Times New Roman" w:hAnsi="Arial Narrow" w:cs="Times New Roman"/>
                <w:noProof/>
                <w:color w:val="006100"/>
                <w:sz w:val="20"/>
                <w:lang w:val="en-IE" w:eastAsia="en-GB"/>
              </w:rPr>
              <w:t>-</w:t>
            </w:r>
            <w:r w:rsidRPr="0039681A">
              <w:rPr>
                <w:rFonts w:ascii="Arial Narrow" w:eastAsia="Times New Roman" w:hAnsi="Arial Narrow" w:cs="Times New Roman"/>
                <w:noProof/>
                <w:color w:val="006100"/>
                <w:sz w:val="20"/>
                <w:lang w:val="en-IE" w:eastAsia="en-GB"/>
              </w:rPr>
              <w:tab/>
            </w:r>
            <w:r w:rsidRPr="0039681A">
              <w:rPr>
                <w:rFonts w:ascii="Arial Narrow" w:eastAsia="Aptos" w:hAnsi="Arial Narrow" w:cs="Times New Roman"/>
                <w:noProof/>
                <w:color w:val="006100"/>
                <w:sz w:val="20"/>
                <w:lang w:val="en-IE"/>
              </w:rPr>
              <w:t>Energy;</w:t>
            </w:r>
          </w:p>
          <w:p w14:paraId="723260E5" w14:textId="77777777" w:rsidR="0039681A" w:rsidRPr="0039681A" w:rsidRDefault="0039681A" w:rsidP="00351087">
            <w:pPr>
              <w:tabs>
                <w:tab w:val="left" w:pos="195"/>
              </w:tabs>
              <w:spacing w:after="0" w:line="240" w:lineRule="auto"/>
              <w:rPr>
                <w:rFonts w:ascii="Arial Narrow" w:eastAsia="Aptos" w:hAnsi="Arial Narrow" w:cs="Arial"/>
                <w:noProof/>
                <w:color w:val="006100"/>
                <w:sz w:val="20"/>
                <w:lang w:val="en-IE"/>
              </w:rPr>
            </w:pPr>
            <w:r w:rsidRPr="0039681A">
              <w:rPr>
                <w:rFonts w:ascii="Arial Narrow" w:eastAsia="Aptos" w:hAnsi="Arial Narrow" w:cs="Times New Roman"/>
                <w:noProof/>
                <w:color w:val="006100"/>
                <w:sz w:val="20"/>
                <w:lang w:val="en-IE"/>
              </w:rPr>
              <w:t>-</w:t>
            </w:r>
            <w:r w:rsidRPr="0039681A">
              <w:rPr>
                <w:rFonts w:ascii="Arial Narrow" w:eastAsia="Times New Roman" w:hAnsi="Arial Narrow" w:cs="Times New Roman"/>
                <w:noProof/>
                <w:color w:val="006100"/>
                <w:sz w:val="20"/>
                <w:lang w:val="en-IE" w:eastAsia="en-GB"/>
              </w:rPr>
              <w:tab/>
            </w:r>
            <w:r w:rsidRPr="0039681A">
              <w:rPr>
                <w:rFonts w:ascii="Arial Narrow" w:eastAsia="Aptos" w:hAnsi="Arial Narrow" w:cs="Times New Roman"/>
                <w:noProof/>
                <w:color w:val="006100"/>
                <w:sz w:val="20"/>
                <w:lang w:val="en-IE"/>
              </w:rPr>
              <w:t>Support to business development and attractiveness, also for the digital and green transitions.</w:t>
            </w:r>
          </w:p>
        </w:tc>
      </w:tr>
      <w:tr w:rsidR="0039681A" w:rsidRPr="0070054C" w14:paraId="0A0AF8CC" w14:textId="77777777" w:rsidTr="00351087">
        <w:trPr>
          <w:trHeight w:val="309"/>
        </w:trPr>
        <w:tc>
          <w:tcPr>
            <w:tcW w:w="1135" w:type="dxa"/>
            <w:shd w:val="clear" w:color="auto" w:fill="C6EFCE"/>
            <w:noWrap/>
            <w:vAlign w:val="center"/>
          </w:tcPr>
          <w:p w14:paraId="78AF04D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M1C1-15</w:t>
            </w:r>
          </w:p>
        </w:tc>
        <w:tc>
          <w:tcPr>
            <w:tcW w:w="1417" w:type="dxa"/>
            <w:shd w:val="clear" w:color="auto" w:fill="C6EFCE"/>
            <w:noWrap/>
            <w:vAlign w:val="center"/>
          </w:tcPr>
          <w:p w14:paraId="6D58B9C3"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1.6.6: Digitization of the Finance Police</w:t>
            </w:r>
          </w:p>
        </w:tc>
        <w:tc>
          <w:tcPr>
            <w:tcW w:w="992" w:type="dxa"/>
            <w:shd w:val="clear" w:color="auto" w:fill="C6EFCE"/>
            <w:noWrap/>
            <w:vAlign w:val="center"/>
          </w:tcPr>
          <w:p w14:paraId="7FDB672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shd w:val="clear" w:color="auto" w:fill="C6EFCE"/>
            <w:noWrap/>
            <w:vAlign w:val="center"/>
          </w:tcPr>
          <w:p w14:paraId="1F10F9A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Finance Police - Purchase of professional data science services T2</w:t>
            </w:r>
          </w:p>
        </w:tc>
        <w:tc>
          <w:tcPr>
            <w:tcW w:w="1559" w:type="dxa"/>
            <w:shd w:val="clear" w:color="auto" w:fill="C6EFCE"/>
            <w:noWrap/>
            <w:vAlign w:val="center"/>
          </w:tcPr>
          <w:p w14:paraId="6945E48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vAlign w:val="center"/>
          </w:tcPr>
          <w:p w14:paraId="395C70E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shd w:val="clear" w:color="auto" w:fill="C6EFCE"/>
            <w:noWrap/>
            <w:vAlign w:val="center"/>
          </w:tcPr>
          <w:p w14:paraId="2A64E6D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5</w:t>
            </w:r>
          </w:p>
        </w:tc>
        <w:tc>
          <w:tcPr>
            <w:tcW w:w="1418" w:type="dxa"/>
            <w:shd w:val="clear" w:color="auto" w:fill="C6EFCE"/>
            <w:noWrap/>
            <w:vAlign w:val="center"/>
          </w:tcPr>
          <w:p w14:paraId="7BF8055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w:t>
            </w:r>
          </w:p>
        </w:tc>
        <w:tc>
          <w:tcPr>
            <w:tcW w:w="992" w:type="dxa"/>
            <w:shd w:val="clear" w:color="auto" w:fill="C6EFCE"/>
            <w:noWrap/>
            <w:vAlign w:val="center"/>
          </w:tcPr>
          <w:p w14:paraId="74F2C36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shd w:val="clear" w:color="auto" w:fill="C6EFCE"/>
            <w:noWrap/>
            <w:vAlign w:val="center"/>
          </w:tcPr>
          <w:p w14:paraId="203E778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shd w:val="clear" w:color="auto" w:fill="C6EFCE"/>
            <w:noWrap/>
            <w:vAlign w:val="center"/>
          </w:tcPr>
          <w:p w14:paraId="177BF8F8"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Purchase of professional data science services by contracting with a consulting service provider involving five additional human resources (ten in total) responsible both for designing the data architecture and for writing the algorithms of the Big Data Analysis unit. Publication of awarded contract for the purchase of data science services in compliance with the ’Do no significant harm’ Technical Guidance (2021/C58/01) through the use of an exclusion list and the requirement of compliance with the relevant EU and national environmental legislation and release on a nationwide scale of new tools on the first analysis module (IT backbone).</w:t>
            </w:r>
          </w:p>
        </w:tc>
      </w:tr>
      <w:tr w:rsidR="0039681A" w:rsidRPr="0070054C" w14:paraId="70EEA141" w14:textId="77777777" w:rsidTr="00351087">
        <w:trPr>
          <w:trHeight w:val="309"/>
        </w:trPr>
        <w:tc>
          <w:tcPr>
            <w:tcW w:w="1135" w:type="dxa"/>
            <w:shd w:val="clear" w:color="auto" w:fill="C6EFCE"/>
            <w:noWrap/>
            <w:vAlign w:val="center"/>
            <w:hideMark/>
          </w:tcPr>
          <w:p w14:paraId="61F74E2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M1C1-17</w:t>
            </w:r>
          </w:p>
        </w:tc>
        <w:tc>
          <w:tcPr>
            <w:tcW w:w="1417" w:type="dxa"/>
            <w:shd w:val="clear" w:color="auto" w:fill="C6EFCE"/>
            <w:noWrap/>
            <w:vAlign w:val="center"/>
            <w:hideMark/>
          </w:tcPr>
          <w:p w14:paraId="677DEFC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Investment 1.1: Digital infrastructure</w:t>
            </w:r>
          </w:p>
        </w:tc>
        <w:tc>
          <w:tcPr>
            <w:tcW w:w="992" w:type="dxa"/>
            <w:shd w:val="clear" w:color="auto" w:fill="C6EFCE"/>
            <w:noWrap/>
            <w:vAlign w:val="center"/>
            <w:hideMark/>
          </w:tcPr>
          <w:p w14:paraId="6565902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shd w:val="clear" w:color="auto" w:fill="C6EFCE"/>
            <w:noWrap/>
            <w:vAlign w:val="center"/>
            <w:hideMark/>
          </w:tcPr>
          <w:p w14:paraId="0458B5C4" w14:textId="77777777" w:rsidR="0039681A" w:rsidRPr="00030506" w:rsidRDefault="0039681A" w:rsidP="00351087">
            <w:pPr>
              <w:jc w:val="center"/>
              <w:rPr>
                <w:rFonts w:ascii="Arial Narrow" w:eastAsia="Aptos" w:hAnsi="Arial Narrow" w:cs="Arial"/>
                <w:noProof/>
                <w:color w:val="006100"/>
                <w:sz w:val="20"/>
                <w:szCs w:val="20"/>
                <w:lang w:val="it-IT"/>
              </w:rPr>
            </w:pPr>
            <w:r w:rsidRPr="00030506">
              <w:rPr>
                <w:rFonts w:ascii="Arial Narrow" w:eastAsia="Aptos" w:hAnsi="Arial Narrow" w:cs="Times New Roman"/>
                <w:noProof/>
                <w:color w:val="006100"/>
                <w:sz w:val="20"/>
                <w:szCs w:val="20"/>
                <w:lang w:val="it-IT"/>
              </w:rPr>
              <w:t>Migration to the Polo Strategico Nazionale T1</w:t>
            </w:r>
          </w:p>
        </w:tc>
        <w:tc>
          <w:tcPr>
            <w:tcW w:w="1559" w:type="dxa"/>
            <w:shd w:val="clear" w:color="auto" w:fill="C6EFCE"/>
            <w:noWrap/>
            <w:vAlign w:val="center"/>
          </w:tcPr>
          <w:p w14:paraId="5A41C22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vAlign w:val="center"/>
            <w:hideMark/>
          </w:tcPr>
          <w:p w14:paraId="27C1EA2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shd w:val="clear" w:color="auto" w:fill="C6EFCE"/>
            <w:noWrap/>
            <w:vAlign w:val="center"/>
            <w:hideMark/>
          </w:tcPr>
          <w:p w14:paraId="55406C1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shd w:val="clear" w:color="auto" w:fill="C6EFCE"/>
            <w:noWrap/>
            <w:vAlign w:val="center"/>
            <w:hideMark/>
          </w:tcPr>
          <w:p w14:paraId="237EFE8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100</w:t>
            </w:r>
          </w:p>
        </w:tc>
        <w:tc>
          <w:tcPr>
            <w:tcW w:w="992" w:type="dxa"/>
            <w:shd w:val="clear" w:color="auto" w:fill="C6EFCE"/>
            <w:noWrap/>
            <w:vAlign w:val="center"/>
            <w:hideMark/>
          </w:tcPr>
          <w:p w14:paraId="59F8456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Q3</w:t>
            </w:r>
          </w:p>
        </w:tc>
        <w:tc>
          <w:tcPr>
            <w:tcW w:w="852" w:type="dxa"/>
            <w:shd w:val="clear" w:color="auto" w:fill="C6EFCE"/>
            <w:noWrap/>
            <w:vAlign w:val="center"/>
            <w:hideMark/>
          </w:tcPr>
          <w:p w14:paraId="248B8CF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shd w:val="clear" w:color="auto" w:fill="C6EFCE"/>
            <w:noWrap/>
            <w:vAlign w:val="center"/>
            <w:hideMark/>
          </w:tcPr>
          <w:p w14:paraId="18AC7019"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At least 100 Central Public Administrations and Local Healthcare Authorities (Aziende Sanitarie Locali/Aziende ospedaliere) shall fully migrate at least one service of the administration (systems, dataset and applications included) to the infrastructure (Polo Strategico Nazionale). Fully migrated can imply for each institution a mix of: not-cloud-ready in pure hosting, lift-and-shift migrations, upgrade to Infrastructure-as-a-Service (IaaS), Platform-as-a-Service (Paas) or Software-as-a-Service (SaaS). The migration to the Polo Strategico Nazionale can be executed in different ways according to the state of art of on-premise software’s IT architecture owned by each migrating public administration. These strategies can vary from pure hosting and lift-and-shift migrations for not-cloud-ready software to a migration to IaaS, PaaS or SaaS for cloud-ready software. The PSN shall offer to each migrating public administration all of the migration strategies that are eligible to consider the target “migration to the Polo Strategico Nazionale” achieved.</w:t>
            </w:r>
          </w:p>
          <w:p w14:paraId="2A552CAD" w14:textId="77777777" w:rsidR="0039681A" w:rsidRPr="0039681A" w:rsidRDefault="0039681A" w:rsidP="00351087">
            <w:pP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Total public administrations "in scope" include:</w:t>
            </w:r>
          </w:p>
          <w:p w14:paraId="209FA82A" w14:textId="77777777" w:rsidR="0039681A" w:rsidRPr="0039681A" w:rsidRDefault="0039681A" w:rsidP="00351087">
            <w:pP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Central Public Administrations accounting for the largest share of Information and Communication Technologies (ICT) spending (such as National Institute of Social Security and Ministry of Justice);</w:t>
            </w:r>
          </w:p>
          <w:p w14:paraId="28031964" w14:textId="77777777" w:rsidR="0039681A" w:rsidRPr="0039681A" w:rsidRDefault="0039681A" w:rsidP="00351087">
            <w:pP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Central Public Administrations hosting data in outdated data centers as per survey recently run on "cloud readiness";</w:t>
            </w:r>
          </w:p>
          <w:p w14:paraId="19F1EBC5" w14:textId="77777777" w:rsidR="0039681A" w:rsidRPr="0039681A" w:rsidRDefault="0039681A" w:rsidP="00351087">
            <w:pP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Local Healthcare Authorities (Aziende Sanitarie Locali/Aziende Ospedaliere) primarily located in Central and Southern Italy lacking adequate infrastructure to ensure data security.</w:t>
            </w:r>
          </w:p>
        </w:tc>
      </w:tr>
      <w:tr w:rsidR="0039681A" w:rsidRPr="0070054C" w14:paraId="39E54FE0" w14:textId="77777777" w:rsidTr="00351087">
        <w:trPr>
          <w:trHeight w:val="309"/>
        </w:trPr>
        <w:tc>
          <w:tcPr>
            <w:tcW w:w="1135" w:type="dxa"/>
            <w:shd w:val="clear" w:color="auto" w:fill="C6EFCE"/>
            <w:noWrap/>
            <w:vAlign w:val="center"/>
          </w:tcPr>
          <w:p w14:paraId="0DAD3FC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M1C1-18</w:t>
            </w:r>
          </w:p>
        </w:tc>
        <w:tc>
          <w:tcPr>
            <w:tcW w:w="1417" w:type="dxa"/>
            <w:shd w:val="clear" w:color="auto" w:fill="C6EFCE"/>
            <w:noWrap/>
            <w:vAlign w:val="center"/>
          </w:tcPr>
          <w:p w14:paraId="4A73ED23"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1.3.1: National Digital Data Platform</w:t>
            </w:r>
          </w:p>
        </w:tc>
        <w:tc>
          <w:tcPr>
            <w:tcW w:w="992" w:type="dxa"/>
            <w:shd w:val="clear" w:color="auto" w:fill="C6EFCE"/>
            <w:noWrap/>
            <w:vAlign w:val="center"/>
          </w:tcPr>
          <w:p w14:paraId="5C5D34A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shd w:val="clear" w:color="auto" w:fill="C6EFCE"/>
            <w:noWrap/>
            <w:vAlign w:val="center"/>
          </w:tcPr>
          <w:p w14:paraId="7EB8C0F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APIs in National Digital Data Platform T1</w:t>
            </w:r>
          </w:p>
        </w:tc>
        <w:tc>
          <w:tcPr>
            <w:tcW w:w="1559" w:type="dxa"/>
            <w:shd w:val="clear" w:color="auto" w:fill="C6EFCE"/>
            <w:noWrap/>
            <w:vAlign w:val="center"/>
          </w:tcPr>
          <w:p w14:paraId="10CF40E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vAlign w:val="center"/>
          </w:tcPr>
          <w:p w14:paraId="79F8FBD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shd w:val="clear" w:color="auto" w:fill="C6EFCE"/>
            <w:noWrap/>
            <w:vAlign w:val="center"/>
          </w:tcPr>
          <w:p w14:paraId="5FE2237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shd w:val="clear" w:color="auto" w:fill="C6EFCE"/>
            <w:noWrap/>
            <w:vAlign w:val="center"/>
          </w:tcPr>
          <w:p w14:paraId="0178A89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3 000</w:t>
            </w:r>
          </w:p>
        </w:tc>
        <w:tc>
          <w:tcPr>
            <w:tcW w:w="992" w:type="dxa"/>
            <w:shd w:val="clear" w:color="auto" w:fill="C6EFCE"/>
            <w:noWrap/>
            <w:vAlign w:val="center"/>
          </w:tcPr>
          <w:p w14:paraId="0CE7659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2431446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shd w:val="clear" w:color="auto" w:fill="C6EFCE"/>
            <w:noWrap/>
            <w:vAlign w:val="center"/>
          </w:tcPr>
          <w:p w14:paraId="111ABE2A"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This target consists of reaching at least 3 000 Application Programming Interfaces (APIs) created by the public administrations, published in the API catalogue and integrated with the National Digital Data Platform. The published APIs shall impact several areas which may include but are not limited to:</w:t>
            </w:r>
          </w:p>
          <w:p w14:paraId="49FE01B3"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 Social security and welfare services,</w:t>
            </w:r>
            <w:r w:rsidRPr="0039681A">
              <w:rPr>
                <w:rFonts w:ascii="Aptos" w:eastAsia="Aptos" w:hAnsi="Aptos" w:cs="Times New Roman"/>
                <w:noProof/>
                <w:lang w:val="en-IE"/>
              </w:rPr>
              <w:t xml:space="preserve"> </w:t>
            </w:r>
            <w:r w:rsidRPr="0039681A">
              <w:rPr>
                <w:rFonts w:ascii="Arial Narrow" w:eastAsia="Aptos" w:hAnsi="Arial Narrow" w:cs="Times New Roman"/>
                <w:noProof/>
                <w:color w:val="006100"/>
                <w:sz w:val="20"/>
                <w:szCs w:val="20"/>
                <w:lang w:val="en-IE"/>
              </w:rPr>
              <w:t>procurement service management, or core national registries (for example Population Registry and Car Licence Registry);</w:t>
            </w:r>
          </w:p>
          <w:p w14:paraId="30940735"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Each API implementation and documentation shall comply with the national interoperability standards. The National Digital Data Platform framework shall provide functionalities to assess that compliance.</w:t>
            </w:r>
          </w:p>
        </w:tc>
      </w:tr>
      <w:tr w:rsidR="0039681A" w:rsidRPr="0070054C" w14:paraId="0131B502" w14:textId="77777777" w:rsidTr="00351087">
        <w:trPr>
          <w:trHeight w:val="309"/>
        </w:trPr>
        <w:tc>
          <w:tcPr>
            <w:tcW w:w="1135" w:type="dxa"/>
            <w:shd w:val="clear" w:color="auto" w:fill="C6EFCE"/>
            <w:noWrap/>
            <w:vAlign w:val="center"/>
          </w:tcPr>
          <w:p w14:paraId="2D36132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M1C1-19</w:t>
            </w:r>
          </w:p>
        </w:tc>
        <w:tc>
          <w:tcPr>
            <w:tcW w:w="1417" w:type="dxa"/>
            <w:shd w:val="clear" w:color="auto" w:fill="C6EFCE"/>
            <w:noWrap/>
            <w:vAlign w:val="center"/>
          </w:tcPr>
          <w:p w14:paraId="0E8888C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Investment 1.5: Cybersecurity</w:t>
            </w:r>
          </w:p>
        </w:tc>
        <w:tc>
          <w:tcPr>
            <w:tcW w:w="992" w:type="dxa"/>
            <w:shd w:val="clear" w:color="auto" w:fill="C6EFCE"/>
            <w:noWrap/>
            <w:vAlign w:val="center"/>
          </w:tcPr>
          <w:p w14:paraId="26F4A93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shd w:val="clear" w:color="auto" w:fill="C6EFCE"/>
            <w:noWrap/>
            <w:vAlign w:val="center"/>
          </w:tcPr>
          <w:p w14:paraId="130D6CAB"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Support to the upgrade of security structures T2</w:t>
            </w:r>
          </w:p>
        </w:tc>
        <w:tc>
          <w:tcPr>
            <w:tcW w:w="1559" w:type="dxa"/>
            <w:shd w:val="clear" w:color="auto" w:fill="C6EFCE"/>
            <w:noWrap/>
            <w:vAlign w:val="center"/>
          </w:tcPr>
          <w:p w14:paraId="050E97F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vAlign w:val="center"/>
          </w:tcPr>
          <w:p w14:paraId="1BE9A3C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shd w:val="clear" w:color="auto" w:fill="C6EFCE"/>
            <w:noWrap/>
            <w:vAlign w:val="center"/>
          </w:tcPr>
          <w:p w14:paraId="6D3C94C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5</w:t>
            </w:r>
          </w:p>
        </w:tc>
        <w:tc>
          <w:tcPr>
            <w:tcW w:w="1418" w:type="dxa"/>
            <w:shd w:val="clear" w:color="auto" w:fill="C6EFCE"/>
            <w:noWrap/>
            <w:vAlign w:val="center"/>
          </w:tcPr>
          <w:p w14:paraId="4823A84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50</w:t>
            </w:r>
          </w:p>
        </w:tc>
        <w:tc>
          <w:tcPr>
            <w:tcW w:w="992" w:type="dxa"/>
            <w:shd w:val="clear" w:color="auto" w:fill="C6EFCE"/>
            <w:noWrap/>
            <w:vAlign w:val="center"/>
          </w:tcPr>
          <w:p w14:paraId="1AFC52F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5D06872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shd w:val="clear" w:color="auto" w:fill="C6EFCE"/>
            <w:noWrap/>
            <w:vAlign w:val="center"/>
          </w:tcPr>
          <w:p w14:paraId="5E7C6F7C"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At least 50 strengthening interventions completed in the National Security Perimeter for Cyber (PSNC) and Network and Information Systems (NIS) sectors.</w:t>
            </w:r>
          </w:p>
          <w:p w14:paraId="66CDD358"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Intervention types include, for example, Security Operating Centers (SOCs), Cyber boundary defence improvements and Internal monitoring and control capabilities in compliance with NIS and PSNC requirements. Interventions in the NIS sectors shall pose particular focus on Healthcare, Energy and Environmental (Drinking Water Supply and waste management) sectors.</w:t>
            </w:r>
          </w:p>
        </w:tc>
      </w:tr>
      <w:tr w:rsidR="0039681A" w:rsidRPr="0070054C" w14:paraId="03FEDDEC" w14:textId="77777777" w:rsidTr="00351087">
        <w:trPr>
          <w:trHeight w:val="309"/>
        </w:trPr>
        <w:tc>
          <w:tcPr>
            <w:tcW w:w="1135" w:type="dxa"/>
            <w:shd w:val="clear" w:color="auto" w:fill="C6EFCE"/>
            <w:noWrap/>
            <w:vAlign w:val="center"/>
          </w:tcPr>
          <w:p w14:paraId="6AF9BFA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M1C1-20</w:t>
            </w:r>
          </w:p>
        </w:tc>
        <w:tc>
          <w:tcPr>
            <w:tcW w:w="1417" w:type="dxa"/>
            <w:shd w:val="clear" w:color="auto" w:fill="C6EFCE"/>
            <w:noWrap/>
            <w:vAlign w:val="center"/>
          </w:tcPr>
          <w:p w14:paraId="0A395C4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Investment 1.5: Cybersecurity</w:t>
            </w:r>
          </w:p>
        </w:tc>
        <w:tc>
          <w:tcPr>
            <w:tcW w:w="992" w:type="dxa"/>
            <w:shd w:val="clear" w:color="auto" w:fill="C6EFCE"/>
            <w:noWrap/>
            <w:vAlign w:val="center"/>
          </w:tcPr>
          <w:p w14:paraId="5595FE9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7655994F"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Full deployment of national cybersecurity services</w:t>
            </w:r>
          </w:p>
        </w:tc>
        <w:tc>
          <w:tcPr>
            <w:tcW w:w="1559" w:type="dxa"/>
            <w:shd w:val="clear" w:color="auto" w:fill="C6EFCE"/>
            <w:noWrap/>
            <w:vAlign w:val="center"/>
          </w:tcPr>
          <w:p w14:paraId="4CE76874"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Report demonstrating the complete activation of the national cybersecurity services</w:t>
            </w:r>
          </w:p>
        </w:tc>
        <w:tc>
          <w:tcPr>
            <w:tcW w:w="1276" w:type="dxa"/>
            <w:shd w:val="clear" w:color="auto" w:fill="C6EFCE"/>
            <w:noWrap/>
            <w:vAlign w:val="center"/>
          </w:tcPr>
          <w:p w14:paraId="649F149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45E6A92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3CF3CFA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7072F48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051B4F8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shd w:val="clear" w:color="auto" w:fill="C6EFCE"/>
            <w:noWrap/>
            <w:vAlign w:val="center"/>
          </w:tcPr>
          <w:p w14:paraId="03C6FDAF"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This milestone shall be completed with the activation of territorial Computer emergency response teams (CERTs) which shall be interconnected with the Italian Computer Security Incident Response Team (CSIRT), the activation of the Information Sharing and Analysis Center (ISAC), the integration of at least 5 Security Operating Centers (SOCs) with the national HyperSOC, the full operation of the cybersecurity risk management services, including those for supply chain analysis and cyber risk insurance services.</w:t>
            </w:r>
          </w:p>
        </w:tc>
      </w:tr>
      <w:tr w:rsidR="0039681A" w:rsidRPr="0070054C" w14:paraId="2E7C0A34" w14:textId="77777777" w:rsidTr="00351087">
        <w:trPr>
          <w:trHeight w:val="309"/>
        </w:trPr>
        <w:tc>
          <w:tcPr>
            <w:tcW w:w="1135" w:type="dxa"/>
            <w:shd w:val="clear" w:color="auto" w:fill="C6EFCE"/>
            <w:noWrap/>
            <w:vAlign w:val="center"/>
          </w:tcPr>
          <w:p w14:paraId="639454D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M1C1-21</w:t>
            </w:r>
          </w:p>
        </w:tc>
        <w:tc>
          <w:tcPr>
            <w:tcW w:w="1417" w:type="dxa"/>
            <w:shd w:val="clear" w:color="auto" w:fill="C6EFCE"/>
            <w:noWrap/>
            <w:vAlign w:val="center"/>
          </w:tcPr>
          <w:p w14:paraId="4C86A49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Investment 1.5: Cybersecurity</w:t>
            </w:r>
          </w:p>
        </w:tc>
        <w:tc>
          <w:tcPr>
            <w:tcW w:w="992" w:type="dxa"/>
            <w:shd w:val="clear" w:color="auto" w:fill="C6EFCE"/>
            <w:noWrap/>
            <w:vAlign w:val="center"/>
          </w:tcPr>
          <w:p w14:paraId="6465772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2398A00F"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Completion of the network of cybersecurity screening and certification laboratories, Evaluation Centers</w:t>
            </w:r>
          </w:p>
        </w:tc>
        <w:tc>
          <w:tcPr>
            <w:tcW w:w="1559" w:type="dxa"/>
            <w:shd w:val="clear" w:color="auto" w:fill="C6EFCE"/>
            <w:noWrap/>
            <w:vAlign w:val="center"/>
          </w:tcPr>
          <w:p w14:paraId="31411C38"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Reporting provided, demonstrating the full activation of at least 10 laboratories and of 2 Evaluation Centers (CV)</w:t>
            </w:r>
          </w:p>
        </w:tc>
        <w:tc>
          <w:tcPr>
            <w:tcW w:w="1276" w:type="dxa"/>
            <w:shd w:val="clear" w:color="auto" w:fill="C6EFCE"/>
            <w:noWrap/>
            <w:vAlign w:val="center"/>
          </w:tcPr>
          <w:p w14:paraId="29E44FB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36D3AC6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71899B5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471A6EF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5C1EEEE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shd w:val="clear" w:color="auto" w:fill="C6EFCE"/>
            <w:noWrap/>
            <w:vAlign w:val="center"/>
          </w:tcPr>
          <w:p w14:paraId="29BF646A"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Activation of at least 10 screening and certification laboratories and of 2 Evaluation Centers (CV).</w:t>
            </w:r>
          </w:p>
        </w:tc>
      </w:tr>
      <w:tr w:rsidR="0039681A" w:rsidRPr="0070054C" w14:paraId="118C1C7E" w14:textId="77777777" w:rsidTr="00351087">
        <w:trPr>
          <w:trHeight w:val="309"/>
        </w:trPr>
        <w:tc>
          <w:tcPr>
            <w:tcW w:w="1135" w:type="dxa"/>
            <w:shd w:val="clear" w:color="auto" w:fill="C6EFCE"/>
            <w:noWrap/>
            <w:vAlign w:val="center"/>
          </w:tcPr>
          <w:p w14:paraId="67A0429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M1C1-22</w:t>
            </w:r>
          </w:p>
        </w:tc>
        <w:tc>
          <w:tcPr>
            <w:tcW w:w="1417" w:type="dxa"/>
            <w:shd w:val="clear" w:color="auto" w:fill="C6EFCE"/>
            <w:noWrap/>
            <w:vAlign w:val="center"/>
          </w:tcPr>
          <w:p w14:paraId="0A282CB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Investment 1.5: Cybersecurity</w:t>
            </w:r>
          </w:p>
        </w:tc>
        <w:tc>
          <w:tcPr>
            <w:tcW w:w="992" w:type="dxa"/>
            <w:shd w:val="clear" w:color="auto" w:fill="C6EFCE"/>
            <w:noWrap/>
            <w:vAlign w:val="center"/>
          </w:tcPr>
          <w:p w14:paraId="424864B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6E4C7A19"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Full operation of the Central Audit Unit for PSNC &amp; NIS security measures with at least 30 inspections completed</w:t>
            </w:r>
          </w:p>
        </w:tc>
        <w:tc>
          <w:tcPr>
            <w:tcW w:w="1559" w:type="dxa"/>
            <w:shd w:val="clear" w:color="auto" w:fill="C6EFCE"/>
            <w:noWrap/>
            <w:vAlign w:val="center"/>
          </w:tcPr>
          <w:p w14:paraId="06F5051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Reporting provided, Inspection reports</w:t>
            </w:r>
          </w:p>
        </w:tc>
        <w:tc>
          <w:tcPr>
            <w:tcW w:w="1276" w:type="dxa"/>
            <w:shd w:val="clear" w:color="auto" w:fill="C6EFCE"/>
            <w:noWrap/>
            <w:vAlign w:val="center"/>
          </w:tcPr>
          <w:p w14:paraId="00D0644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55A3980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000B88F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5592B49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vAlign w:val="center"/>
          </w:tcPr>
          <w:p w14:paraId="7827C40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shd w:val="clear" w:color="auto" w:fill="C6EFCE"/>
            <w:noWrap/>
            <w:vAlign w:val="center"/>
          </w:tcPr>
          <w:p w14:paraId="2899061C"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Full operation of the Central Auditing Unit with at least 30 inspections completed.</w:t>
            </w:r>
          </w:p>
        </w:tc>
      </w:tr>
      <w:tr w:rsidR="0039681A" w:rsidRPr="0070054C" w14:paraId="16196EAC" w14:textId="77777777" w:rsidTr="00351087">
        <w:trPr>
          <w:trHeight w:val="309"/>
        </w:trPr>
        <w:tc>
          <w:tcPr>
            <w:tcW w:w="1135" w:type="dxa"/>
            <w:shd w:val="clear" w:color="auto" w:fill="C6EFCE"/>
            <w:noWrap/>
            <w:vAlign w:val="center"/>
          </w:tcPr>
          <w:p w14:paraId="472DC9B7" w14:textId="77777777" w:rsidR="0039681A" w:rsidRPr="00030506" w:rsidRDefault="0039681A" w:rsidP="00351087">
            <w:pPr>
              <w:jc w:val="center"/>
              <w:rPr>
                <w:rFonts w:ascii="Arial Narrow" w:eastAsia="Aptos" w:hAnsi="Arial Narrow" w:cs="Arial"/>
                <w:noProof/>
                <w:color w:val="006100"/>
                <w:sz w:val="20"/>
                <w:szCs w:val="20"/>
                <w:highlight w:val="yellow"/>
              </w:rPr>
            </w:pPr>
            <w:r w:rsidRPr="00030506">
              <w:rPr>
                <w:rFonts w:ascii="Arial Narrow" w:eastAsia="Aptos" w:hAnsi="Arial Narrow" w:cs="Times New Roman"/>
                <w:noProof/>
                <w:color w:val="006100"/>
                <w:sz w:val="20"/>
                <w:szCs w:val="20"/>
              </w:rPr>
              <w:t>M1C1-23</w:t>
            </w:r>
          </w:p>
        </w:tc>
        <w:tc>
          <w:tcPr>
            <w:tcW w:w="1417" w:type="dxa"/>
            <w:shd w:val="clear" w:color="auto" w:fill="C6EFCE"/>
            <w:noWrap/>
            <w:vAlign w:val="center"/>
          </w:tcPr>
          <w:p w14:paraId="42A0574F"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1.4.6: Mobility as a Service for Italy</w:t>
            </w:r>
          </w:p>
        </w:tc>
        <w:tc>
          <w:tcPr>
            <w:tcW w:w="992" w:type="dxa"/>
            <w:shd w:val="clear" w:color="auto" w:fill="C6EFCE"/>
            <w:noWrap/>
            <w:vAlign w:val="center"/>
          </w:tcPr>
          <w:p w14:paraId="1C4245C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357B68C4"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Mobility as a Service solutions M2</w:t>
            </w:r>
          </w:p>
        </w:tc>
        <w:tc>
          <w:tcPr>
            <w:tcW w:w="1559" w:type="dxa"/>
            <w:shd w:val="clear" w:color="auto" w:fill="C6EFCE"/>
            <w:noWrap/>
            <w:vAlign w:val="center"/>
          </w:tcPr>
          <w:p w14:paraId="5A6EE4A5"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xml:space="preserve">Mobility as a Service pilot projects </w:t>
            </w:r>
          </w:p>
        </w:tc>
        <w:tc>
          <w:tcPr>
            <w:tcW w:w="1276" w:type="dxa"/>
            <w:shd w:val="clear" w:color="auto" w:fill="C6EFCE"/>
            <w:noWrap/>
            <w:vAlign w:val="center"/>
          </w:tcPr>
          <w:p w14:paraId="6B4665A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06B7B8F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513F1C1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7D267C9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Q2</w:t>
            </w:r>
          </w:p>
        </w:tc>
        <w:tc>
          <w:tcPr>
            <w:tcW w:w="852" w:type="dxa"/>
            <w:shd w:val="clear" w:color="auto" w:fill="C6EFCE"/>
            <w:noWrap/>
            <w:vAlign w:val="center"/>
          </w:tcPr>
          <w:p w14:paraId="4885C66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2025</w:t>
            </w:r>
          </w:p>
        </w:tc>
        <w:tc>
          <w:tcPr>
            <w:tcW w:w="3259" w:type="dxa"/>
            <w:shd w:val="clear" w:color="auto" w:fill="C6EFCE"/>
            <w:noWrap/>
            <w:vAlign w:val="center"/>
          </w:tcPr>
          <w:p w14:paraId="4F1A3843"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Seven pilot projects, of which at least three in the South, shall test Mobility as a Service (MaaS) solutions.</w:t>
            </w:r>
          </w:p>
          <w:p w14:paraId="3BED3510"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Mobility as a Service shall provide users, through a single technological platform, with the best travel options based on their needs, by integrating different mobility options (for example, public transport, sharing services, taxis, car rental) and optimising travel planning and the overall user experience.</w:t>
            </w:r>
          </w:p>
        </w:tc>
      </w:tr>
      <w:tr w:rsidR="0039681A" w:rsidRPr="00030506" w14:paraId="485F2D47" w14:textId="77777777" w:rsidTr="00351087">
        <w:trPr>
          <w:trHeight w:val="309"/>
        </w:trPr>
        <w:tc>
          <w:tcPr>
            <w:tcW w:w="1135" w:type="dxa"/>
            <w:shd w:val="clear" w:color="auto" w:fill="C6EFCE"/>
            <w:noWrap/>
          </w:tcPr>
          <w:p w14:paraId="68B7776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M1C1-24</w:t>
            </w:r>
          </w:p>
        </w:tc>
        <w:tc>
          <w:tcPr>
            <w:tcW w:w="1417" w:type="dxa"/>
            <w:shd w:val="clear" w:color="auto" w:fill="C6EFCE"/>
            <w:noWrap/>
          </w:tcPr>
          <w:p w14:paraId="616B953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Investment 1.7.1: Digital Civil Service</w:t>
            </w:r>
          </w:p>
        </w:tc>
        <w:tc>
          <w:tcPr>
            <w:tcW w:w="992" w:type="dxa"/>
            <w:shd w:val="clear" w:color="auto" w:fill="C6EFCE"/>
            <w:noWrap/>
          </w:tcPr>
          <w:p w14:paraId="7749063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shd w:val="clear" w:color="auto" w:fill="C6EFCE"/>
            <w:noWrap/>
          </w:tcPr>
          <w:p w14:paraId="477F9F7B" w14:textId="77777777" w:rsidR="0039681A" w:rsidRPr="0039681A" w:rsidRDefault="0039681A" w:rsidP="00351087">
            <w:pPr>
              <w:jc w:val="center"/>
              <w:rPr>
                <w:rFonts w:ascii="Arial Narrow" w:eastAsia="Aptos" w:hAnsi="Arial Narrow" w:cs="Times New Roman"/>
                <w:noProof/>
                <w:color w:val="006100"/>
                <w:sz w:val="20"/>
                <w:szCs w:val="20"/>
                <w:lang w:val="en-IE"/>
              </w:rPr>
            </w:pPr>
            <w:r w:rsidRPr="0039681A">
              <w:rPr>
                <w:rFonts w:ascii="Arial Narrow" w:eastAsia="Aptos" w:hAnsi="Arial Narrow" w:cs="Times New Roman"/>
                <w:noProof/>
                <w:color w:val="006100"/>
                <w:sz w:val="20"/>
                <w:szCs w:val="20"/>
                <w:lang w:val="en-IE"/>
              </w:rPr>
              <w:t>Individuals participated in the Digital Civil Service</w:t>
            </w:r>
          </w:p>
        </w:tc>
        <w:tc>
          <w:tcPr>
            <w:tcW w:w="1559" w:type="dxa"/>
            <w:shd w:val="clear" w:color="auto" w:fill="C6EFCE"/>
            <w:noWrap/>
          </w:tcPr>
          <w:p w14:paraId="0615FA2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tcPr>
          <w:p w14:paraId="142A035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shd w:val="clear" w:color="auto" w:fill="C6EFCE"/>
            <w:noWrap/>
          </w:tcPr>
          <w:p w14:paraId="2ACF907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shd w:val="clear" w:color="auto" w:fill="C6EFCE"/>
            <w:noWrap/>
          </w:tcPr>
          <w:p w14:paraId="77E5762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8 300</w:t>
            </w:r>
          </w:p>
        </w:tc>
        <w:tc>
          <w:tcPr>
            <w:tcW w:w="992" w:type="dxa"/>
            <w:shd w:val="clear" w:color="auto" w:fill="C6EFCE"/>
            <w:noWrap/>
          </w:tcPr>
          <w:p w14:paraId="38F3737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shd w:val="clear" w:color="auto" w:fill="C6EFCE"/>
            <w:noWrap/>
          </w:tcPr>
          <w:p w14:paraId="6EA265D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2025</w:t>
            </w:r>
          </w:p>
        </w:tc>
        <w:tc>
          <w:tcPr>
            <w:tcW w:w="3259" w:type="dxa"/>
            <w:shd w:val="clear" w:color="auto" w:fill="C6EFCE"/>
            <w:noWrap/>
            <w:vAlign w:val="center"/>
          </w:tcPr>
          <w:p w14:paraId="6729C45E" w14:textId="77777777" w:rsidR="0039681A" w:rsidRPr="00030506" w:rsidRDefault="0039681A" w:rsidP="00351087">
            <w:pPr>
              <w:rPr>
                <w:rFonts w:ascii="Arial Narrow" w:eastAsia="Aptos" w:hAnsi="Arial Narrow" w:cs="Arial"/>
                <w:noProof/>
                <w:color w:val="006100"/>
                <w:sz w:val="20"/>
                <w:szCs w:val="20"/>
              </w:rPr>
            </w:pPr>
            <w:r w:rsidRPr="0039681A">
              <w:rPr>
                <w:rFonts w:ascii="Arial Narrow" w:eastAsia="Aptos" w:hAnsi="Arial Narrow" w:cs="Times New Roman"/>
                <w:noProof/>
                <w:color w:val="006100"/>
                <w:sz w:val="20"/>
                <w:szCs w:val="20"/>
                <w:lang w:val="en-IE"/>
              </w:rPr>
              <w:t xml:space="preserve">At least 8 300 individuals participated in the Digital Civil Service within organizations registered in the national register of Universal Civil Service organizations. </w:t>
            </w:r>
            <w:r w:rsidRPr="00030506">
              <w:rPr>
                <w:rFonts w:ascii="Arial Narrow" w:eastAsia="Aptos" w:hAnsi="Arial Narrow" w:cs="Times New Roman"/>
                <w:noProof/>
                <w:color w:val="006100"/>
                <w:sz w:val="20"/>
                <w:szCs w:val="20"/>
              </w:rPr>
              <w:t>The Digital Civil Service focuses on digital education and/ or digital facilitation activities.</w:t>
            </w:r>
          </w:p>
        </w:tc>
      </w:tr>
      <w:tr w:rsidR="0039681A" w:rsidRPr="0070054C" w14:paraId="63B8870E" w14:textId="77777777" w:rsidTr="00351087">
        <w:trPr>
          <w:trHeight w:val="309"/>
        </w:trPr>
        <w:tc>
          <w:tcPr>
            <w:tcW w:w="1135" w:type="dxa"/>
            <w:shd w:val="clear" w:color="auto" w:fill="C6EFCE"/>
            <w:noWrap/>
            <w:vAlign w:val="center"/>
          </w:tcPr>
          <w:p w14:paraId="0658E28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M1C1-25</w:t>
            </w:r>
          </w:p>
        </w:tc>
        <w:tc>
          <w:tcPr>
            <w:tcW w:w="1417" w:type="dxa"/>
            <w:shd w:val="clear" w:color="auto" w:fill="C6EFCE"/>
            <w:noWrap/>
            <w:vAlign w:val="center"/>
          </w:tcPr>
          <w:p w14:paraId="1AF7E1F7"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1.6.6: Digitization of the Finance Police</w:t>
            </w:r>
          </w:p>
        </w:tc>
        <w:tc>
          <w:tcPr>
            <w:tcW w:w="992" w:type="dxa"/>
            <w:shd w:val="clear" w:color="auto" w:fill="C6EFCE"/>
            <w:noWrap/>
            <w:vAlign w:val="center"/>
          </w:tcPr>
          <w:p w14:paraId="32A470B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shd w:val="clear" w:color="auto" w:fill="C6EFCE"/>
            <w:noWrap/>
            <w:vAlign w:val="center"/>
          </w:tcPr>
          <w:p w14:paraId="6983CD00"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Evolve the information systems in use for fighting economic crime</w:t>
            </w:r>
          </w:p>
        </w:tc>
        <w:tc>
          <w:tcPr>
            <w:tcW w:w="1559" w:type="dxa"/>
            <w:shd w:val="clear" w:color="auto" w:fill="C6EFCE"/>
            <w:noWrap/>
            <w:vAlign w:val="center"/>
          </w:tcPr>
          <w:p w14:paraId="005C7AA1"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IT systems with new functionalities</w:t>
            </w:r>
          </w:p>
        </w:tc>
        <w:tc>
          <w:tcPr>
            <w:tcW w:w="1276" w:type="dxa"/>
            <w:shd w:val="clear" w:color="auto" w:fill="C6EFCE"/>
            <w:noWrap/>
            <w:vAlign w:val="center"/>
          </w:tcPr>
          <w:p w14:paraId="76D92F1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04F0F6A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shd w:val="clear" w:color="auto" w:fill="C6EFCE"/>
            <w:noWrap/>
            <w:vAlign w:val="center"/>
          </w:tcPr>
          <w:p w14:paraId="2B323BD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shd w:val="clear" w:color="auto" w:fill="C6EFCE"/>
            <w:noWrap/>
            <w:vAlign w:val="center"/>
          </w:tcPr>
          <w:p w14:paraId="412F115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shd w:val="clear" w:color="auto" w:fill="C6EFCE"/>
            <w:noWrap/>
            <w:vAlign w:val="center"/>
          </w:tcPr>
          <w:p w14:paraId="45B8BC6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2025</w:t>
            </w:r>
          </w:p>
        </w:tc>
        <w:tc>
          <w:tcPr>
            <w:tcW w:w="3259" w:type="dxa"/>
            <w:shd w:val="clear" w:color="auto" w:fill="C6EFCE"/>
            <w:noWrap/>
            <w:vAlign w:val="center"/>
          </w:tcPr>
          <w:p w14:paraId="5B1F8830" w14:textId="77777777" w:rsidR="0039681A" w:rsidRPr="0039681A" w:rsidRDefault="0039681A" w:rsidP="00351087">
            <w:pP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Release of new functionalities of the information systems in use for fighting economic crime.</w:t>
            </w:r>
          </w:p>
        </w:tc>
      </w:tr>
      <w:tr w:rsidR="0039681A" w:rsidRPr="0070054C" w14:paraId="7284FCDF" w14:textId="77777777" w:rsidTr="00351087">
        <w:trPr>
          <w:trHeight w:val="309"/>
        </w:trPr>
        <w:tc>
          <w:tcPr>
            <w:tcW w:w="1135" w:type="dxa"/>
            <w:shd w:val="clear" w:color="auto" w:fill="C6EFCE"/>
            <w:noWrap/>
            <w:vAlign w:val="center"/>
          </w:tcPr>
          <w:p w14:paraId="73485D8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M1C1-27</w:t>
            </w:r>
          </w:p>
        </w:tc>
        <w:tc>
          <w:tcPr>
            <w:tcW w:w="1417" w:type="dxa"/>
            <w:shd w:val="clear" w:color="auto" w:fill="C6EFCE"/>
            <w:noWrap/>
            <w:vAlign w:val="center"/>
          </w:tcPr>
          <w:p w14:paraId="3A38EAFF"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1.3.1: National Digital Data Platform</w:t>
            </w:r>
          </w:p>
        </w:tc>
        <w:tc>
          <w:tcPr>
            <w:tcW w:w="992" w:type="dxa"/>
            <w:shd w:val="clear" w:color="auto" w:fill="C6EFCE"/>
            <w:noWrap/>
            <w:vAlign w:val="center"/>
          </w:tcPr>
          <w:p w14:paraId="349C024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shd w:val="clear" w:color="auto" w:fill="C6EFCE"/>
            <w:noWrap/>
            <w:vAlign w:val="center"/>
          </w:tcPr>
          <w:p w14:paraId="6010BFE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APIs in National Digital Data Platform T2</w:t>
            </w:r>
          </w:p>
        </w:tc>
        <w:tc>
          <w:tcPr>
            <w:tcW w:w="1559" w:type="dxa"/>
            <w:shd w:val="clear" w:color="auto" w:fill="C6EFCE"/>
            <w:noWrap/>
            <w:vAlign w:val="center"/>
          </w:tcPr>
          <w:p w14:paraId="7D9FC84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vAlign w:val="center"/>
          </w:tcPr>
          <w:p w14:paraId="75D33C2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shd w:val="clear" w:color="auto" w:fill="C6EFCE"/>
            <w:noWrap/>
            <w:vAlign w:val="center"/>
          </w:tcPr>
          <w:p w14:paraId="43B8C29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3 000</w:t>
            </w:r>
          </w:p>
        </w:tc>
        <w:tc>
          <w:tcPr>
            <w:tcW w:w="1418" w:type="dxa"/>
            <w:shd w:val="clear" w:color="auto" w:fill="C6EFCE"/>
            <w:noWrap/>
            <w:vAlign w:val="center"/>
          </w:tcPr>
          <w:p w14:paraId="220E343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7 000</w:t>
            </w:r>
          </w:p>
        </w:tc>
        <w:tc>
          <w:tcPr>
            <w:tcW w:w="992" w:type="dxa"/>
            <w:shd w:val="clear" w:color="auto" w:fill="C6EFCE"/>
            <w:noWrap/>
            <w:vAlign w:val="center"/>
          </w:tcPr>
          <w:p w14:paraId="15F6B4A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Q4</w:t>
            </w:r>
          </w:p>
        </w:tc>
        <w:tc>
          <w:tcPr>
            <w:tcW w:w="852" w:type="dxa"/>
            <w:shd w:val="clear" w:color="auto" w:fill="C6EFCE"/>
            <w:noWrap/>
            <w:vAlign w:val="center"/>
          </w:tcPr>
          <w:p w14:paraId="347DD9E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2025</w:t>
            </w:r>
          </w:p>
        </w:tc>
        <w:tc>
          <w:tcPr>
            <w:tcW w:w="3259" w:type="dxa"/>
            <w:shd w:val="clear" w:color="auto" w:fill="C6EFCE"/>
            <w:noWrap/>
            <w:vAlign w:val="center"/>
          </w:tcPr>
          <w:p w14:paraId="5B1DBF05"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xml:space="preserve">This target consists of </w:t>
            </w:r>
            <w:r w:rsidRPr="0039681A" w:rsidDel="011E9FBC">
              <w:rPr>
                <w:rFonts w:ascii="Arial Narrow" w:eastAsia="Aptos" w:hAnsi="Arial Narrow" w:cs="Times New Roman"/>
                <w:noProof/>
                <w:color w:val="006100"/>
                <w:sz w:val="20"/>
                <w:szCs w:val="20"/>
                <w:lang w:val="en-IE"/>
              </w:rPr>
              <w:t xml:space="preserve">reaching </w:t>
            </w:r>
            <w:r w:rsidRPr="0039681A">
              <w:rPr>
                <w:rFonts w:ascii="Arial Narrow" w:eastAsia="Aptos" w:hAnsi="Arial Narrow" w:cs="Times New Roman"/>
                <w:noProof/>
                <w:color w:val="006100"/>
                <w:sz w:val="20"/>
                <w:szCs w:val="20"/>
                <w:lang w:val="en-IE"/>
              </w:rPr>
              <w:t xml:space="preserve">at least </w:t>
            </w:r>
            <w:r w:rsidRPr="0039681A" w:rsidDel="011E9FBC">
              <w:rPr>
                <w:rFonts w:ascii="Arial Narrow" w:eastAsia="Aptos" w:hAnsi="Arial Narrow" w:cs="Times New Roman"/>
                <w:noProof/>
                <w:color w:val="006100"/>
                <w:sz w:val="20"/>
                <w:szCs w:val="20"/>
                <w:lang w:val="en-IE"/>
              </w:rPr>
              <w:t xml:space="preserve">an additional </w:t>
            </w:r>
            <w:r w:rsidRPr="0039681A">
              <w:rPr>
                <w:rFonts w:ascii="Arial Narrow" w:eastAsia="Aptos" w:hAnsi="Arial Narrow" w:cs="Times New Roman"/>
                <w:noProof/>
                <w:color w:val="006100"/>
                <w:sz w:val="20"/>
                <w:szCs w:val="20"/>
                <w:lang w:val="en-IE"/>
              </w:rPr>
              <w:t>4 000 Application Programming Interfaces (APIs) published in the API catalogue</w:t>
            </w:r>
            <w:r w:rsidRPr="0039681A" w:rsidDel="011E9FBC">
              <w:rPr>
                <w:rFonts w:ascii="Arial Narrow" w:eastAsia="Aptos" w:hAnsi="Arial Narrow" w:cs="Times New Roman"/>
                <w:noProof/>
                <w:color w:val="006100"/>
                <w:sz w:val="20"/>
                <w:szCs w:val="20"/>
                <w:lang w:val="en-IE"/>
              </w:rPr>
              <w:t xml:space="preserve"> (for a total of </w:t>
            </w:r>
            <w:r w:rsidRPr="0039681A">
              <w:rPr>
                <w:rFonts w:ascii="Arial Narrow" w:eastAsia="Aptos" w:hAnsi="Arial Narrow" w:cs="Times New Roman"/>
                <w:noProof/>
                <w:color w:val="006100"/>
                <w:sz w:val="20"/>
                <w:szCs w:val="20"/>
                <w:lang w:val="en-IE"/>
              </w:rPr>
              <w:t>7</w:t>
            </w:r>
            <w:r w:rsidRPr="0039681A" w:rsidDel="011E9FBC">
              <w:rPr>
                <w:rFonts w:ascii="Arial Narrow" w:eastAsia="Aptos" w:hAnsi="Arial Narrow" w:cs="Times New Roman"/>
                <w:noProof/>
                <w:color w:val="006100"/>
                <w:sz w:val="20"/>
                <w:szCs w:val="20"/>
                <w:lang w:val="en-IE"/>
              </w:rPr>
              <w:t> 000)</w:t>
            </w:r>
            <w:r w:rsidRPr="0039681A">
              <w:rPr>
                <w:rFonts w:ascii="Arial Narrow" w:eastAsia="Aptos" w:hAnsi="Arial Narrow" w:cs="Times New Roman"/>
                <w:noProof/>
                <w:color w:val="006100"/>
                <w:sz w:val="20"/>
                <w:szCs w:val="20"/>
                <w:lang w:val="en-IE"/>
              </w:rPr>
              <w:t>.</w:t>
            </w:r>
          </w:p>
          <w:p w14:paraId="1F361AEE"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published APIs shall impact several areas which may include but are not limited to:</w:t>
            </w:r>
          </w:p>
          <w:p w14:paraId="79B3D674" w14:textId="77777777" w:rsidR="0039681A" w:rsidRPr="0039681A" w:rsidRDefault="0039681A" w:rsidP="00351087">
            <w:pPr>
              <w:spacing w:after="120"/>
              <w:ind w:right="-62"/>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 national data related to recruitment, retirement, school and university enrolment (for example, National Student Registry and Public Administration Registry), fiscal compliance, or national information system for medical data and sanitary emergencies.</w:t>
            </w:r>
          </w:p>
          <w:p w14:paraId="0337109D" w14:textId="77777777" w:rsidR="0039681A" w:rsidRPr="0039681A" w:rsidRDefault="0039681A" w:rsidP="00351087">
            <w:pPr>
              <w:spacing w:after="120"/>
              <w:ind w:right="-62"/>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Each API implementation and documentation shall comply with the national interoperability standards.</w:t>
            </w:r>
            <w:r w:rsidRPr="0039681A" w:rsidDel="011E9FBC">
              <w:rPr>
                <w:rFonts w:ascii="Arial Narrow" w:eastAsia="Aptos" w:hAnsi="Arial Narrow" w:cs="Times New Roman"/>
                <w:noProof/>
                <w:color w:val="006100"/>
                <w:sz w:val="20"/>
                <w:szCs w:val="20"/>
                <w:lang w:val="en-IE"/>
              </w:rPr>
              <w:t xml:space="preserve"> </w:t>
            </w:r>
            <w:r w:rsidRPr="0039681A">
              <w:rPr>
                <w:rFonts w:ascii="Arial Narrow" w:eastAsia="Aptos" w:hAnsi="Arial Narrow" w:cs="Times New Roman"/>
                <w:noProof/>
                <w:color w:val="006100"/>
                <w:sz w:val="20"/>
                <w:szCs w:val="20"/>
                <w:lang w:val="en-IE"/>
              </w:rPr>
              <w:t>The National Digital Data Platform framework shall provide functionalities to assess that compliance.</w:t>
            </w:r>
          </w:p>
        </w:tc>
      </w:tr>
      <w:tr w:rsidR="0039681A" w:rsidRPr="0070054C" w14:paraId="2317C45A" w14:textId="77777777" w:rsidTr="00351087">
        <w:trPr>
          <w:trHeight w:val="309"/>
        </w:trPr>
        <w:tc>
          <w:tcPr>
            <w:tcW w:w="1135" w:type="dxa"/>
            <w:shd w:val="clear" w:color="auto" w:fill="C6EFCE"/>
            <w:noWrap/>
            <w:vAlign w:val="center"/>
          </w:tcPr>
          <w:p w14:paraId="72E5ECC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M1C1-28</w:t>
            </w:r>
          </w:p>
        </w:tc>
        <w:tc>
          <w:tcPr>
            <w:tcW w:w="1417" w:type="dxa"/>
            <w:shd w:val="clear" w:color="auto" w:fill="C6EFCE"/>
            <w:noWrap/>
            <w:vAlign w:val="center"/>
          </w:tcPr>
          <w:p w14:paraId="79BA53B4"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1.7.2: Network of digital facilitation services</w:t>
            </w:r>
          </w:p>
        </w:tc>
        <w:tc>
          <w:tcPr>
            <w:tcW w:w="992" w:type="dxa"/>
            <w:shd w:val="clear" w:color="auto" w:fill="C6EFCE"/>
            <w:noWrap/>
            <w:vAlign w:val="center"/>
          </w:tcPr>
          <w:p w14:paraId="7C2A1B7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shd w:val="clear" w:color="auto" w:fill="C6EFCE"/>
            <w:noWrap/>
            <w:vAlign w:val="center"/>
          </w:tcPr>
          <w:p w14:paraId="766DC1C2"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Number of citizens participating in digital education and/or facilitation initiatives provided by digital facilitation centres</w:t>
            </w:r>
          </w:p>
        </w:tc>
        <w:tc>
          <w:tcPr>
            <w:tcW w:w="1559" w:type="dxa"/>
            <w:shd w:val="clear" w:color="auto" w:fill="C6EFCE"/>
            <w:noWrap/>
            <w:vAlign w:val="center"/>
          </w:tcPr>
          <w:p w14:paraId="6BAF1B9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vAlign w:val="center"/>
          </w:tcPr>
          <w:p w14:paraId="37C29A9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shd w:val="clear" w:color="auto" w:fill="C6EFCE"/>
            <w:noWrap/>
            <w:vAlign w:val="center"/>
          </w:tcPr>
          <w:p w14:paraId="3FB277B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shd w:val="clear" w:color="auto" w:fill="C6EFCE"/>
            <w:noWrap/>
            <w:vAlign w:val="center"/>
          </w:tcPr>
          <w:p w14:paraId="3CA86D6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2 000 000</w:t>
            </w:r>
          </w:p>
        </w:tc>
        <w:tc>
          <w:tcPr>
            <w:tcW w:w="992" w:type="dxa"/>
            <w:shd w:val="clear" w:color="auto" w:fill="C6EFCE"/>
            <w:noWrap/>
            <w:vAlign w:val="center"/>
          </w:tcPr>
          <w:p w14:paraId="247A80F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shd w:val="clear" w:color="auto" w:fill="C6EFCE"/>
            <w:noWrap/>
            <w:vAlign w:val="center"/>
          </w:tcPr>
          <w:p w14:paraId="0AB1FDB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shd w:val="clear" w:color="auto" w:fill="C6EFCE"/>
            <w:noWrap/>
            <w:vAlign w:val="center"/>
          </w:tcPr>
          <w:p w14:paraId="6960011E"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At least 2 000 000 citizens, of which 30% located in the South of Italy, participated in digital education and/or facilitation initiatives as per registration on the ‘Facilita’ platform of the Department of Digital Transformation.</w:t>
            </w:r>
          </w:p>
        </w:tc>
      </w:tr>
      <w:tr w:rsidR="0039681A" w:rsidRPr="0070054C" w14:paraId="42AFFD57"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D46C1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M1C1-29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446FF3"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1.4: Reform of the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8787D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72C5F4"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enabling legislation for the civil Justice reform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20F7BB"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enabling legislation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CCB5D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6820E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C392D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60AA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4088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38FF89" w14:textId="77777777" w:rsidR="0039681A" w:rsidRPr="0039681A" w:rsidRDefault="0039681A" w:rsidP="00351087">
            <w:pP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Enabling legislation shall include at least the following measures: i) Introduction of simplified procedure at first instance/trial level and strengthening the application of 'filtering procedures’ at appeal level, including the extended use of simplified procedures and the range of cases where a single judge is competent to adjudicate; ii) secure the actual implementation of binding timeframes for procedures and a calendar for gathering of evidence and filing electronically any relevant act and document; iii) reform the use of mediation and alternative dispute resolution together with assisted mediation, arbitration and any other possible alternative to make these institutes more effective in deflating pressure on the civil justice system, including through incentives; iv) reform the procedure for forced execution to reduce the existing average time including making the enforcement of amounts declared due faster and less expensive; reform the current system of quantification and recoverability of legal fees to reduce frivolous litigations ; v) introduce a monitoring system at Court level and increase the productivity of civil courts through incentives to ensure reasonable length of proceedings and uniform performances across courts.</w:t>
            </w:r>
          </w:p>
        </w:tc>
      </w:tr>
      <w:tr w:rsidR="0039681A" w:rsidRPr="0070054C" w14:paraId="69F72784"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96D2E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M1C1-30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2537F6"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1.5: Reform of criminal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0CEF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713B43"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enabling legislation for criminal justice reform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FB6F81"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enabling legislation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16C7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C2CA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A382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38BAE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648F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A15E8"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Enabling legislation which shall include at least the following measures: i) a reviewed notification system, ii) a broader use of simplified procedures, iii) a broader use of electronic filing of documents, iv) simplified rules on evidence, v) the definition of time limits for the duration of preliminary investigation and measures to avoid stagnation in the investigative phase, vi) extension of the possibility to extinguish the crime if damages have been repaid, vii) introduction of a monitoring system at Court level and increase the productivity of criminal courts through incentives to ensure reasonable length of proceedings and uniform performances across courts.</w:t>
            </w:r>
          </w:p>
        </w:tc>
      </w:tr>
      <w:tr w:rsidR="0039681A" w:rsidRPr="00030506" w14:paraId="3ACF6223"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B3E2A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M1C1-31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BB3A8"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1.6: Reform of insolvency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F7FF5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0B4EC6"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enabling legislation for insolvency reform framework</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9D52D"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enabling legislation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D3F19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E9252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43DCA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5D4E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6978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9F4964" w14:textId="77777777" w:rsidR="0039681A" w:rsidRPr="00030506" w:rsidRDefault="0039681A" w:rsidP="00351087">
            <w:pPr>
              <w:spacing w:after="120"/>
              <w:rPr>
                <w:rFonts w:ascii="Arial Narrow" w:eastAsia="Aptos" w:hAnsi="Arial Narrow" w:cs="Arial"/>
                <w:noProof/>
                <w:color w:val="006100"/>
                <w:sz w:val="20"/>
                <w:szCs w:val="20"/>
              </w:rPr>
            </w:pPr>
            <w:r w:rsidRPr="0039681A">
              <w:rPr>
                <w:rFonts w:ascii="Arial Narrow" w:eastAsia="Aptos" w:hAnsi="Arial Narrow" w:cs="Times New Roman"/>
                <w:noProof/>
                <w:color w:val="006100"/>
                <w:sz w:val="20"/>
                <w:szCs w:val="20"/>
                <w:lang w:val="en-IE"/>
              </w:rPr>
              <w:t xml:space="preserve">The insolvency reform shall include at least the following measures: i) review out-of-court settlement arrangements to identify areas in which further improvements may be necessary in order to incentivise the concerned parties to make enhanced use of such proceedings; ii) put in place early warning mechanisms and access to information prior to the insolvency phase; iii) shift towards specialisation of courts (commercial law, insolvency division/chamber) as well as pre-court institutions to manage insolvency proceedings in insolvency; iv) allow secured creditors to be paid first (before tax claims and employee claims); v) allow businesses to grant a non-possessory security right. As complement to the reform of insolvency, training and specialisation for members of the judicial and administrative authorities dealing with procedures concerning restructuring shall be ensured, as well as the overall digitalisation of restructuring and insolvency proceedings and the creation of an online platform for the out-of-court resolution of disputes, particularly in the pre-insolvency phase, the use of which shall be incentivised to reduce the burden of the judiciary (pre-insolvency restructuring applications, promoting multilateral restructurings and allowing for pre-approved automated restructuring procedures and resolutions for low value cases) shall be ensured. Such an online platform shall also ensure interoperability with banks’ IT systems, as well as other public authorities and databases, so as to ensure a swift, electronic exchange of documentation and data between debtors and creditors. To this purpose, the applicant (the debtor) would give consent to exchange their personal data in compliance with GDPR and this provision should be included in the law. </w:t>
            </w:r>
            <w:r w:rsidRPr="00030506">
              <w:rPr>
                <w:rFonts w:ascii="Arial Narrow" w:eastAsia="Aptos" w:hAnsi="Arial Narrow" w:cs="Times New Roman"/>
                <w:noProof/>
                <w:color w:val="006100"/>
                <w:sz w:val="20"/>
                <w:szCs w:val="20"/>
              </w:rPr>
              <w:t>The reform shall set up a collateral registry.</w:t>
            </w:r>
          </w:p>
        </w:tc>
      </w:tr>
      <w:tr w:rsidR="0039681A" w:rsidRPr="0070054C" w14:paraId="78D2D3F0"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4A64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M1C1-32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B5879"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Investment 1.8: Recruitment procedures for civil, criminal and administrative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DBE4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9A471E"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special legislation governing National Recovery and Resilience Plan recruitment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73E1D"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special legislation governing National Recovery and Resilience Plan recruitment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6ADE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99EA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58478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DF91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9AD6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4E8F0D"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Approve special legislation governing National Recovery and Resilience Plan recruitment with authorisation to advertise and recruit.</w:t>
            </w:r>
          </w:p>
        </w:tc>
      </w:tr>
      <w:tr w:rsidR="0039681A" w:rsidRPr="0070054C" w14:paraId="47A8175A"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19A5E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M1C1-33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FDA725"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1.8: Recruitment procedures for administrative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01FA5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ED31B8"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Start of the recruitment procedures for administrative courts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994B84"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F2E17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07C4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6BA44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168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8A096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9713D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E05EF7" w14:textId="47E89FF2"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Start the recruitment procedures of at least 168 units of personnel for the Trial office and Administrative Courts and place units into service. The baseline shall be the number of personnel in service on 31</w:t>
            </w:r>
            <w:r w:rsidR="00AB2C7D" w:rsidRPr="0039681A">
              <w:rPr>
                <w:rFonts w:ascii="Arial Narrow" w:eastAsia="Aptos" w:hAnsi="Arial Narrow" w:cs="Times New Roman"/>
                <w:noProof/>
                <w:color w:val="006100"/>
                <w:sz w:val="20"/>
                <w:lang w:val="en-IE"/>
              </w:rPr>
              <w:t> </w:t>
            </w:r>
            <w:r w:rsidRPr="0039681A">
              <w:rPr>
                <w:rFonts w:ascii="Arial Narrow" w:eastAsia="Aptos" w:hAnsi="Arial Narrow" w:cs="Times New Roman"/>
                <w:noProof/>
                <w:color w:val="006100"/>
                <w:sz w:val="20"/>
                <w:lang w:val="en-IE"/>
              </w:rPr>
              <w:t>December</w:t>
            </w:r>
            <w:r w:rsidR="00AB2C7D" w:rsidRPr="0039681A">
              <w:rPr>
                <w:rFonts w:ascii="Arial Narrow" w:eastAsia="Aptos" w:hAnsi="Arial Narrow" w:cs="Times New Roman"/>
                <w:noProof/>
                <w:color w:val="006100"/>
                <w:sz w:val="20"/>
                <w:lang w:val="en-IE"/>
              </w:rPr>
              <w:t> </w:t>
            </w:r>
            <w:r w:rsidRPr="0039681A">
              <w:rPr>
                <w:rFonts w:ascii="Arial Narrow" w:eastAsia="Aptos" w:hAnsi="Arial Narrow" w:cs="Times New Roman"/>
                <w:noProof/>
                <w:color w:val="006100"/>
                <w:sz w:val="20"/>
                <w:lang w:val="en-IE"/>
              </w:rPr>
              <w:t>2021.</w:t>
            </w:r>
          </w:p>
        </w:tc>
      </w:tr>
      <w:tr w:rsidR="0039681A" w:rsidRPr="0070054C" w14:paraId="2124E96E"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94A7A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M1C1-34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F03783"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1.8: Recruitment procedures for the office of trial for civil and criminal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8E7CE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96082"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Start of the recruitment procedures for civil and criminal courts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D851D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86D4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147A1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9D44B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8 764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60D67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0C52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698520"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Start the recruitment procedures of at least 8 764 units of personnel for the office of trial for civil and criminal Courts and place units into service. The baseline shall be the number of personnel at the end of 2021.</w:t>
            </w:r>
          </w:p>
        </w:tc>
      </w:tr>
      <w:tr w:rsidR="0039681A" w:rsidRPr="0070054C" w14:paraId="095BA20C"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1BDB6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M1C1-35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CF254"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1.7: Reform of tax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980A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B904A5"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Comprehensive reform of tax courts of first and second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F40B74"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revised legal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682EF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DF958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78FC7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95A0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0D79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DB1258"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revised legal framework shall make the enforcement of tax law more effective and decrease the high amount of appeals at the Court of Cassation.</w:t>
            </w:r>
          </w:p>
        </w:tc>
      </w:tr>
      <w:tr w:rsidR="0039681A" w:rsidRPr="0070054C" w14:paraId="0DFAF66C"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64654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M1C1-36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8F04A0"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Reforms 1.4, 1.5 and 1.6: Reform of civil and criminal justice and insolvency reform</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B15D2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501BF4"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delegated acts for the civil and criminal justice reforms and of the insolvency reform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D379C"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delegated acts indicating the entry into force of the delegated 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B189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CB262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849DE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ABB0E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ADF73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F1D166"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Entry into force of all delegated acts whose contents are indicated in the enabling legislation for the civil and criminal justice reforms and for the insolvency reform.</w:t>
            </w:r>
          </w:p>
        </w:tc>
      </w:tr>
      <w:tr w:rsidR="0039681A" w:rsidRPr="0070054C" w14:paraId="24259FE4"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CC41D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M1C1-37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0675DA"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Reforms 1.4 and 1.5: Reform of civil and criminal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3EE3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364212"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the civil and criminal justice reform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9165B5"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secondary acts indicating the entry into force of the secondary 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F7C14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BF53B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B0B1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E53E0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88A59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45B461"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Complete the adoption of all regulations and secondary sources of legislation necessary for the effective application of the enabling laws for justice reforms.</w:t>
            </w:r>
          </w:p>
        </w:tc>
      </w:tr>
      <w:tr w:rsidR="0039681A" w:rsidRPr="0070054C" w14:paraId="72B6CEDB"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73BF9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M1C1-38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8961C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Reform 1.8: Digitalisation of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785D3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DE079"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Digitalisation of the justice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B970B5"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primary and secondary acts indicating the entry into force of the corresponding 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56EB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14A38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D2E62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D4847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BA84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33861"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mandatory electronic filing of all documents and full electronic workflow for civil proceedings shall be established. First instance criminal proceedings digitalised (excluding preliminary hearing office). Creation of a free, fully accessible and searchable database of civil decision according to the legislation.</w:t>
            </w:r>
          </w:p>
        </w:tc>
      </w:tr>
      <w:tr w:rsidR="0039681A" w:rsidRPr="00030506" w14:paraId="6F3659F1"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2A9DCB"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M1C1-38bis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F466D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Reform 1.8: Digitalisation of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AF843"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3035F"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Digitalisation of the justice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9535F8"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First instance criminal proceedings are digitalised and the PNR, PDP and APP are interoperable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44387E"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82BF6"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B75AD"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DE4A9C"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E11791" w14:textId="77777777" w:rsidR="0039681A" w:rsidRPr="00030506" w:rsidRDefault="0039681A" w:rsidP="00351087">
            <w:pPr>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1E7CC" w14:textId="77777777" w:rsidR="0039681A" w:rsidRPr="00030506" w:rsidRDefault="0039681A" w:rsidP="00351087">
            <w:pPr>
              <w:spacing w:after="120"/>
              <w:rPr>
                <w:rFonts w:ascii="Arial Narrow" w:eastAsia="Aptos" w:hAnsi="Arial Narrow" w:cs="Arial"/>
                <w:noProof/>
                <w:color w:val="006100"/>
                <w:sz w:val="20"/>
                <w:szCs w:val="20"/>
              </w:rPr>
            </w:pPr>
            <w:r w:rsidRPr="003E08AD">
              <w:rPr>
                <w:rFonts w:ascii="Arial Narrow" w:eastAsia="Aptos" w:hAnsi="Arial Narrow" w:cs="Times New Roman"/>
                <w:noProof/>
                <w:color w:val="006100"/>
                <w:sz w:val="20"/>
                <w:szCs w:val="20"/>
              </w:rPr>
              <w:t xml:space="preserve">Digitalization of first instance criminal proceedings up to the concluding act through the “portale delle notizie di reato” (PNR), “portale dei depositi penali” (PDP) and “applicativo processo penale” (APP). </w:t>
            </w:r>
            <w:r w:rsidRPr="00030506">
              <w:rPr>
                <w:rFonts w:ascii="Arial Narrow" w:eastAsia="Aptos" w:hAnsi="Arial Narrow" w:cs="Times New Roman"/>
                <w:noProof/>
                <w:color w:val="006100"/>
                <w:sz w:val="20"/>
                <w:szCs w:val="20"/>
              </w:rPr>
              <w:t>The platforms shall be interoperable with each other.</w:t>
            </w:r>
          </w:p>
        </w:tc>
      </w:tr>
      <w:tr w:rsidR="0039681A" w:rsidRPr="0070054C" w14:paraId="26DA9824"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574C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M1C1-39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DC472"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1.8: Recruitment procedures for civil and criminal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660E3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3B8AA0"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Recruitment or extension procedures for civil and criminal courts and territorial and central services of the Ministry of Justice responsible for the implementation of the RRP</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41FCA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85AAE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F9D71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BCE37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6F5E4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0313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CF501"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Complete the recruitment or the extension procedures of at least 10 000 units of personnel for the office of trial and the technical administrative personnel and place them in service.</w:t>
            </w:r>
          </w:p>
          <w:p w14:paraId="01800208"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Only recruitments or extension procedures that have been completed since 1 January 2022 shall count towards this target.</w:t>
            </w:r>
          </w:p>
        </w:tc>
      </w:tr>
      <w:tr w:rsidR="0039681A" w:rsidRPr="0070054C" w14:paraId="22591F87"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0B6F8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M1C1-40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15F58" w14:textId="77777777" w:rsidR="0039681A" w:rsidRPr="0039681A" w:rsidRDefault="0039681A" w:rsidP="00351087">
            <w:pPr>
              <w:jc w:val="center"/>
              <w:rPr>
                <w:rFonts w:ascii="Arial Narrow" w:eastAsia="Aptos" w:hAnsi="Arial Narrow" w:cs="Arial"/>
                <w:noProof/>
                <w:color w:val="006100"/>
                <w:sz w:val="20"/>
                <w:szCs w:val="20"/>
                <w:lang w:val="en-IE"/>
              </w:rPr>
            </w:pPr>
            <w:bookmarkStart w:id="2" w:name="_Hlk160473086"/>
            <w:r w:rsidRPr="0039681A">
              <w:rPr>
                <w:rFonts w:ascii="Arial Narrow" w:eastAsia="Aptos" w:hAnsi="Arial Narrow" w:cs="Times New Roman"/>
                <w:noProof/>
                <w:color w:val="006100"/>
                <w:sz w:val="20"/>
                <w:lang w:val="en-IE"/>
              </w:rPr>
              <w:t>Investment 1.8: Recruitment procedures for administrative courts</w:t>
            </w:r>
            <w:bookmarkEnd w:id="2"/>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73B35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B4A060"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Recruitment or extension procedures for administrative courts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792F1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018E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98A32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7AFF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158</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E745D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6E32A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99EE55"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Complete the recruitment or the extension procedures of at least 158 units of personnel for the Trial office and Administrative Courts and place units into service. Only recruitments or extension procedures that have been completed since 1 January 2022 shall count towards this target.</w:t>
            </w:r>
          </w:p>
        </w:tc>
      </w:tr>
      <w:tr w:rsidR="0039681A" w:rsidRPr="0070054C" w14:paraId="7BE75291"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B403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M1C1-41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7AF3A4"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1.8: Recruitment procedures for administrative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E1B1D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7182F1"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Reduction of backlog cases for Administrative Regional Courts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B9239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97B2C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B30CA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96CF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75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6E53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4A83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55AD55"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Reduce by 25% the number of pending cases in 2019 (109 029) in Administrative Regional Courts (administrative courts of first instance).</w:t>
            </w:r>
          </w:p>
        </w:tc>
      </w:tr>
      <w:tr w:rsidR="0039681A" w:rsidRPr="0070054C" w14:paraId="23F3FE9C"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5789D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M1C1-42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4F34F3"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1.8: Recruitment procedures for administrative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AF2B4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1B9323"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Reduction of backlog cases for the Council of State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E891D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F9CB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9B76B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51AE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86B98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8828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45314"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Reduce by 35% the number of pending cases in 2019 (24 010) at the Council of State (second instance).</w:t>
            </w:r>
          </w:p>
        </w:tc>
      </w:tr>
      <w:tr w:rsidR="0039681A" w:rsidRPr="0070054C" w14:paraId="282924E9"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7B601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M1C1-43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214B43"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1.4: Reform of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1101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E26E5D"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Reduction of backlog cases for Civil Ordinary Courts (first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0A7E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4F7C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43022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B6A97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F705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D602C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35CDE9"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Reduce by 95% the number of pending cases on 31 January 2020 (333 218) in the Civil Ordinary Courts (first instance). The baseline shall be the number of cases pending for more than three years in front of the Civil Ordinary courts (on 31 January 2020).</w:t>
            </w:r>
          </w:p>
        </w:tc>
      </w:tr>
      <w:tr w:rsidR="0039681A" w:rsidRPr="0070054C" w14:paraId="0F37DA1F"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79BA2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M1C1-44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6B318"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1.4: Reform of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718C8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2873E8"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Reduction of backlog cases for the Civil Court of Appeal (second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3377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A496B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5EDC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0A1B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8FE4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02CA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EFA35"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xml:space="preserve">Reduce by 95% the number of pending cases on 31 January 2020 (97 251) in the Civil Courts of Appeal (second instance). </w:t>
            </w:r>
          </w:p>
          <w:p w14:paraId="2351ABC8" w14:textId="3D0D3B9C"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baseline shall be the number of cases pending for more than two years in front the Civil Courts of Appeal (</w:t>
            </w:r>
            <w:r w:rsidRPr="0039681A">
              <w:rPr>
                <w:rFonts w:ascii="Arial Narrow" w:eastAsia="Aptos" w:hAnsi="Arial Narrow" w:cs="Times New Roman"/>
                <w:noProof/>
                <w:color w:val="006100"/>
                <w:sz w:val="20"/>
                <w:szCs w:val="20"/>
                <w:lang w:val="en-IE"/>
              </w:rPr>
              <w:t>on 31</w:t>
            </w:r>
            <w:r w:rsidR="00AB2C7D" w:rsidRPr="0039681A">
              <w:rPr>
                <w:rFonts w:ascii="Arial Narrow" w:eastAsia="Aptos" w:hAnsi="Arial Narrow" w:cs="Times New Roman"/>
                <w:noProof/>
                <w:color w:val="006100"/>
                <w:sz w:val="20"/>
                <w:lang w:val="en-IE"/>
              </w:rPr>
              <w:t> </w:t>
            </w:r>
            <w:r w:rsidRPr="0039681A">
              <w:rPr>
                <w:rFonts w:ascii="Arial Narrow" w:eastAsia="Aptos" w:hAnsi="Arial Narrow" w:cs="Times New Roman"/>
                <w:noProof/>
                <w:color w:val="006100"/>
                <w:sz w:val="20"/>
                <w:szCs w:val="20"/>
                <w:lang w:val="en-IE"/>
              </w:rPr>
              <w:t>January</w:t>
            </w:r>
            <w:r w:rsidR="00AB2C7D" w:rsidRPr="0039681A">
              <w:rPr>
                <w:rFonts w:ascii="Arial Narrow" w:eastAsia="Aptos" w:hAnsi="Arial Narrow" w:cs="Times New Roman"/>
                <w:noProof/>
                <w:color w:val="006100"/>
                <w:sz w:val="20"/>
                <w:lang w:val="en-IE"/>
              </w:rPr>
              <w:t> </w:t>
            </w:r>
            <w:r w:rsidRPr="0039681A">
              <w:rPr>
                <w:rFonts w:ascii="Arial Narrow" w:eastAsia="Aptos" w:hAnsi="Arial Narrow" w:cs="Times New Roman"/>
                <w:noProof/>
                <w:color w:val="006100"/>
                <w:sz w:val="20"/>
                <w:szCs w:val="20"/>
                <w:lang w:val="en-IE"/>
              </w:rPr>
              <w:t>2020</w:t>
            </w:r>
            <w:r w:rsidRPr="0039681A">
              <w:rPr>
                <w:rFonts w:ascii="Arial Narrow" w:eastAsia="Aptos" w:hAnsi="Arial Narrow" w:cs="Times New Roman"/>
                <w:noProof/>
                <w:color w:val="006100"/>
                <w:sz w:val="20"/>
                <w:lang w:val="en-IE"/>
              </w:rPr>
              <w:t>).</w:t>
            </w:r>
          </w:p>
        </w:tc>
      </w:tr>
      <w:tr w:rsidR="0039681A" w:rsidRPr="0070054C" w14:paraId="5855FF67"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B78F2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M1C1-37bis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FBDEB3"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1.4: Reform of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9B6BE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6F520"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measures aimed at reducing backlog</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76AAAA" w14:textId="77777777" w:rsidR="0039681A" w:rsidRPr="0039681A" w:rsidRDefault="0039681A" w:rsidP="00351087">
            <w:pPr>
              <w:jc w:val="center"/>
              <w:rPr>
                <w:rFonts w:ascii="Arial Narrow" w:eastAsia="Aptos" w:hAnsi="Arial Narrow" w:cs="Arial"/>
                <w:noProof/>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primary legislation and secondary acts to reduce backlog</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DEDA9" w14:textId="77777777" w:rsidR="0039681A" w:rsidRPr="0039681A" w:rsidRDefault="0039681A" w:rsidP="00351087">
            <w:pPr>
              <w:jc w:val="center"/>
              <w:rPr>
                <w:rFonts w:ascii="Arial Narrow" w:eastAsia="Aptos" w:hAnsi="Arial Narrow" w:cs="Arial"/>
                <w:noProof/>
                <w:color w:val="006100"/>
                <w:sz w:val="20"/>
                <w:szCs w:val="20"/>
                <w:lang w:val="en-IE"/>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13452E" w14:textId="77777777" w:rsidR="0039681A" w:rsidRPr="0039681A" w:rsidRDefault="0039681A" w:rsidP="00351087">
            <w:pPr>
              <w:jc w:val="center"/>
              <w:rPr>
                <w:rFonts w:ascii="Arial Narrow" w:eastAsia="Aptos" w:hAnsi="Arial Narrow" w:cs="Arial"/>
                <w:noProof/>
                <w:color w:val="006100"/>
                <w:sz w:val="20"/>
                <w:szCs w:val="20"/>
                <w:lang w:val="en-IE"/>
              </w:rPr>
            </w:pP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51FF48" w14:textId="77777777" w:rsidR="0039681A" w:rsidRPr="0039681A" w:rsidRDefault="0039681A" w:rsidP="00351087">
            <w:pPr>
              <w:jc w:val="center"/>
              <w:rPr>
                <w:rFonts w:ascii="Arial Narrow" w:eastAsia="Aptos" w:hAnsi="Arial Narrow" w:cs="Arial"/>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B338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B417E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070284" w14:textId="77777777" w:rsidR="0039681A" w:rsidRPr="0039681A" w:rsidRDefault="0039681A" w:rsidP="00351087">
            <w:pP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primary legislation and secondary sources of legislation to allow for the:</w:t>
            </w:r>
          </w:p>
          <w:p w14:paraId="2CF861DD" w14:textId="77777777" w:rsidR="0039681A" w:rsidRPr="0039681A" w:rsidRDefault="0039681A" w:rsidP="00351087">
            <w:pPr>
              <w:numPr>
                <w:ilvl w:val="0"/>
                <w:numId w:val="25"/>
              </w:numPr>
              <w:spacing w:before="120" w:after="120" w:line="240" w:lineRule="auto"/>
              <w:ind w:left="304" w:hanging="142"/>
              <w:contextualSpacing/>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Strengthening of the trial offices, including by means of incentives, to attract and retain the units of personnel hired on the basis of the recruitment scheme for the National Recovery and Resilience Plan;</w:t>
            </w:r>
          </w:p>
          <w:p w14:paraId="4FCF21F1" w14:textId="77777777" w:rsidR="0039681A" w:rsidRPr="0039681A" w:rsidRDefault="0039681A" w:rsidP="00351087">
            <w:pPr>
              <w:numPr>
                <w:ilvl w:val="0"/>
                <w:numId w:val="25"/>
              </w:numPr>
              <w:spacing w:before="120" w:after="120" w:line="240" w:lineRule="auto"/>
              <w:ind w:left="304" w:hanging="142"/>
              <w:contextualSpacing/>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Creation of incentives to: (1) support less efficient courts in reducing the civil justice backlog; (2) reward judicial offices that achieve the specific annual objectives of reducing the number of pending cases in the civil justice system.</w:t>
            </w:r>
          </w:p>
        </w:tc>
      </w:tr>
      <w:tr w:rsidR="0039681A" w:rsidRPr="0070054C" w14:paraId="7CF78F84"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33FEF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M1C1-45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CA1151"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Reforms 1.4: Reform of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72F5C" w14:textId="19FF77F7" w:rsidR="0039681A" w:rsidRPr="00030506" w:rsidRDefault="0039681A" w:rsidP="00351087">
            <w:pPr>
              <w:jc w:val="center"/>
              <w:rPr>
                <w:rFonts w:ascii="Arial Narrow" w:eastAsia="Aptos" w:hAnsi="Arial Narrow" w:cs="Arial"/>
                <w:noProof/>
                <w:color w:val="006100"/>
                <w:sz w:val="20"/>
                <w:szCs w:val="20"/>
              </w:rPr>
            </w:pPr>
            <w:r w:rsidRPr="035FAE31">
              <w:rPr>
                <w:rFonts w:ascii="Arial Narrow" w:eastAsia="Aptos" w:hAnsi="Arial Narrow" w:cs="Times New Roman"/>
                <w:noProof/>
                <w:color w:val="006100"/>
                <w:sz w:val="20"/>
                <w:szCs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B0BB95"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Reduction in the length of civil proceedings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1910D4" w14:textId="2F3B7932" w:rsidR="0039681A" w:rsidRPr="00AF5341" w:rsidRDefault="0039681A" w:rsidP="00351087">
            <w:pPr>
              <w:jc w:val="center"/>
              <w:rPr>
                <w:rFonts w:ascii="Arial Narrow" w:eastAsia="Aptos" w:hAnsi="Arial Narrow" w:cs="Arial"/>
                <w:noProof/>
                <w:color w:val="006100"/>
                <w:sz w:val="20"/>
                <w:szCs w:val="20"/>
                <w:lang w:val="en-IE"/>
              </w:rPr>
            </w:pPr>
            <w:r w:rsidRPr="00AF5341">
              <w:rPr>
                <w:rFonts w:ascii="Arial Narrow" w:eastAsia="Aptos" w:hAnsi="Arial Narrow" w:cs="Times New Roman"/>
                <w:noProof/>
                <w:color w:val="006100"/>
                <w:sz w:val="20"/>
                <w:szCs w:val="20"/>
                <w:lang w:val="en-IE"/>
              </w:rPr>
              <w:t>Publication of a report by the Italian National Institute</w:t>
            </w:r>
            <w:r w:rsidRPr="0039681A">
              <w:rPr>
                <w:rFonts w:ascii="Arial Narrow" w:eastAsia="Aptos" w:hAnsi="Arial Narrow" w:cs="Times New Roman"/>
                <w:noProof/>
                <w:color w:val="006100"/>
                <w:sz w:val="20"/>
                <w:szCs w:val="20"/>
                <w:lang w:val="en-IE"/>
              </w:rPr>
              <w:t xml:space="preserve"> of Statistics</w:t>
            </w:r>
            <w:r w:rsidRPr="00AF5341">
              <w:rPr>
                <w:rFonts w:ascii="Arial Narrow" w:eastAsia="Aptos" w:hAnsi="Arial Narrow" w:cs="Times New Roman"/>
                <w:noProof/>
                <w:color w:val="006100"/>
                <w:sz w:val="20"/>
                <w:szCs w:val="20"/>
                <w:lang w:val="en-IE"/>
              </w:rPr>
              <w:t xml:space="preserve"> (ISTAT)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A77CB7" w14:textId="3BAA6F7C" w:rsidR="0039681A" w:rsidRPr="00030506" w:rsidRDefault="0039681A" w:rsidP="00351087">
            <w:pPr>
              <w:jc w:val="center"/>
              <w:rPr>
                <w:rFonts w:ascii="Arial Narrow" w:eastAsia="Aptos" w:hAnsi="Arial Narrow" w:cs="Arial"/>
                <w:noProof/>
                <w:color w:val="006100"/>
                <w:sz w:val="20"/>
                <w:szCs w:val="20"/>
              </w:rPr>
            </w:pPr>
            <w:r w:rsidRPr="38980014">
              <w:rPr>
                <w:rFonts w:ascii="Arial Narrow" w:eastAsia="Aptos" w:hAnsi="Arial Narrow" w:cs="Times New Roman"/>
                <w:noProof/>
                <w:color w:val="006100"/>
                <w:sz w:val="20"/>
                <w:szCs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8614D" w14:textId="1483B65A" w:rsidR="0039681A" w:rsidRPr="00030506" w:rsidRDefault="0039681A" w:rsidP="00351087">
            <w:pPr>
              <w:jc w:val="center"/>
              <w:rPr>
                <w:rFonts w:ascii="Arial Narrow" w:eastAsia="Aptos" w:hAnsi="Arial Narrow" w:cs="Arial"/>
                <w:noProof/>
                <w:color w:val="006100"/>
                <w:sz w:val="20"/>
                <w:szCs w:val="20"/>
              </w:rPr>
            </w:pPr>
            <w:r w:rsidRPr="274D4869">
              <w:rPr>
                <w:rFonts w:ascii="Arial Narrow" w:eastAsia="Aptos" w:hAnsi="Arial Narrow" w:cs="Times New Roman"/>
                <w:noProof/>
                <w:color w:val="006100"/>
                <w:sz w:val="20"/>
                <w:szCs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69CBAC" w14:textId="1BF7470E" w:rsidR="0039681A" w:rsidRPr="00030506" w:rsidRDefault="0039681A" w:rsidP="00351087">
            <w:pPr>
              <w:jc w:val="center"/>
              <w:rPr>
                <w:rFonts w:ascii="Arial Narrow" w:eastAsia="Aptos" w:hAnsi="Arial Narrow" w:cs="Arial"/>
                <w:noProof/>
                <w:color w:val="006100"/>
                <w:sz w:val="20"/>
                <w:szCs w:val="20"/>
              </w:rPr>
            </w:pPr>
            <w:r w:rsidRPr="274D4869">
              <w:rPr>
                <w:rFonts w:ascii="Arial Narrow" w:eastAsia="Aptos" w:hAnsi="Arial Narrow" w:cs="Times New Roman"/>
                <w:noProof/>
                <w:color w:val="006100"/>
                <w:sz w:val="20"/>
                <w:szCs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B7535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04D98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97DAF" w14:textId="7B84A84E" w:rsidR="0039681A" w:rsidRPr="0039681A" w:rsidRDefault="0039681A" w:rsidP="00351087">
            <w:pPr>
              <w:spacing w:after="120"/>
              <w:rPr>
                <w:rFonts w:ascii="Arial Narrow" w:eastAsia="Aptos" w:hAnsi="Arial Narrow" w:cs="Times New Roman"/>
                <w:noProof/>
                <w:color w:val="006100"/>
                <w:sz w:val="20"/>
                <w:szCs w:val="20"/>
                <w:lang w:val="en-IE"/>
              </w:rPr>
            </w:pPr>
            <w:r w:rsidRPr="0039681A">
              <w:rPr>
                <w:rFonts w:ascii="Arial Narrow" w:eastAsia="Aptos" w:hAnsi="Arial Narrow" w:cs="Times New Roman"/>
                <w:noProof/>
                <w:color w:val="006100"/>
                <w:sz w:val="20"/>
                <w:szCs w:val="20"/>
                <w:lang w:val="en-IE"/>
              </w:rPr>
              <w:t>Report by the Italian National Institute of Statistics (ISTAT) confirming a reduction of the disposition time by 40% of all instances of civil and commercial litigious cases compared to 31 December 2019 (2 512 days). The report shall be accompanied by an Annex containing the underlying data.</w:t>
            </w:r>
          </w:p>
        </w:tc>
      </w:tr>
      <w:tr w:rsidR="0039681A" w:rsidRPr="0070054C" w14:paraId="3D3BA538"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9BF34" w14:textId="77777777" w:rsidR="0039681A" w:rsidRPr="00030506" w:rsidRDefault="0039681A" w:rsidP="00351087">
            <w:pPr>
              <w:jc w:val="center"/>
              <w:rPr>
                <w:rFonts w:ascii="Arial Narrow" w:eastAsia="Aptos" w:hAnsi="Arial Narrow" w:cs="Arial"/>
                <w:noProof/>
                <w:color w:val="006100"/>
                <w:sz w:val="20"/>
                <w:szCs w:val="20"/>
              </w:rPr>
            </w:pPr>
            <w:r w:rsidRPr="11D8D078">
              <w:rPr>
                <w:rFonts w:ascii="Arial Narrow" w:eastAsia="Aptos" w:hAnsi="Arial Narrow" w:cs="Times New Roman"/>
                <w:noProof/>
                <w:color w:val="006100"/>
                <w:sz w:val="20"/>
                <w:szCs w:val="20"/>
              </w:rPr>
              <w:t>M1C1-46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38F84B"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1.5: Reform of criminal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9A3D3F" w14:textId="2B39A369" w:rsidR="0039681A" w:rsidRPr="00030506" w:rsidRDefault="0039681A" w:rsidP="00351087">
            <w:pPr>
              <w:jc w:val="center"/>
              <w:rPr>
                <w:rFonts w:ascii="Arial Narrow" w:eastAsia="Aptos" w:hAnsi="Arial Narrow" w:cs="Arial"/>
                <w:noProof/>
                <w:color w:val="006100"/>
                <w:sz w:val="20"/>
                <w:szCs w:val="20"/>
              </w:rPr>
            </w:pPr>
            <w:r w:rsidRPr="035FAE31">
              <w:rPr>
                <w:rFonts w:ascii="Arial Narrow" w:eastAsia="Aptos" w:hAnsi="Arial Narrow" w:cs="Times New Roman"/>
                <w:noProof/>
                <w:color w:val="006100"/>
                <w:sz w:val="20"/>
                <w:szCs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C7838"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Reduction in the length of criminal proceedings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0CF08E" w14:textId="246DB702" w:rsidR="0039681A" w:rsidRPr="00AF5341" w:rsidRDefault="0039681A" w:rsidP="00351087">
            <w:pPr>
              <w:jc w:val="center"/>
              <w:rPr>
                <w:rFonts w:ascii="Arial Narrow" w:eastAsia="Aptos" w:hAnsi="Arial Narrow" w:cs="Arial"/>
                <w:noProof/>
                <w:color w:val="006100"/>
                <w:sz w:val="20"/>
                <w:szCs w:val="20"/>
                <w:lang w:val="en-IE"/>
              </w:rPr>
            </w:pPr>
            <w:r w:rsidRPr="00AF5341">
              <w:rPr>
                <w:rFonts w:ascii="Arial Narrow" w:eastAsia="Aptos" w:hAnsi="Arial Narrow" w:cs="Times New Roman"/>
                <w:noProof/>
                <w:color w:val="006100"/>
                <w:sz w:val="20"/>
                <w:szCs w:val="20"/>
                <w:lang w:val="en-IE"/>
              </w:rPr>
              <w:t xml:space="preserve">Publication of a report by the Italian National Institute </w:t>
            </w:r>
            <w:r w:rsidRPr="0039681A">
              <w:rPr>
                <w:rFonts w:ascii="Arial Narrow" w:eastAsia="Aptos" w:hAnsi="Arial Narrow" w:cs="Times New Roman"/>
                <w:noProof/>
                <w:color w:val="006100"/>
                <w:sz w:val="20"/>
                <w:szCs w:val="20"/>
                <w:lang w:val="en-IE"/>
              </w:rPr>
              <w:t xml:space="preserve">of Statistics </w:t>
            </w:r>
            <w:r w:rsidRPr="00AF5341">
              <w:rPr>
                <w:rFonts w:ascii="Arial Narrow" w:eastAsia="Aptos" w:hAnsi="Arial Narrow" w:cs="Times New Roman"/>
                <w:noProof/>
                <w:color w:val="006100"/>
                <w:sz w:val="20"/>
                <w:szCs w:val="20"/>
                <w:lang w:val="en-IE"/>
              </w:rPr>
              <w:t xml:space="preserve">(ISTAT)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56D4D" w14:textId="20128F83" w:rsidR="0039681A" w:rsidRPr="00030506" w:rsidRDefault="0039681A" w:rsidP="00351087">
            <w:pPr>
              <w:jc w:val="center"/>
              <w:rPr>
                <w:rFonts w:ascii="Arial Narrow" w:eastAsia="Aptos" w:hAnsi="Arial Narrow" w:cs="Arial"/>
                <w:noProof/>
                <w:color w:val="006100"/>
                <w:sz w:val="20"/>
                <w:szCs w:val="20"/>
              </w:rPr>
            </w:pPr>
            <w:r w:rsidRPr="76EA3AD0">
              <w:rPr>
                <w:rFonts w:ascii="Arial Narrow" w:eastAsia="Aptos" w:hAnsi="Arial Narrow" w:cs="Times New Roman"/>
                <w:noProof/>
                <w:color w:val="006100"/>
                <w:sz w:val="20"/>
                <w:szCs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EE42A" w14:textId="03184885" w:rsidR="0039681A" w:rsidRPr="00030506" w:rsidRDefault="0039681A" w:rsidP="00351087">
            <w:pPr>
              <w:jc w:val="center"/>
              <w:rPr>
                <w:rFonts w:ascii="Arial Narrow" w:eastAsia="Aptos" w:hAnsi="Arial Narrow" w:cs="Arial"/>
                <w:noProof/>
                <w:color w:val="006100"/>
                <w:sz w:val="20"/>
                <w:szCs w:val="20"/>
              </w:rPr>
            </w:pPr>
            <w:r w:rsidRPr="274D4869">
              <w:rPr>
                <w:rFonts w:ascii="Arial Narrow" w:eastAsia="Aptos" w:hAnsi="Arial Narrow" w:cs="Times New Roman"/>
                <w:noProof/>
                <w:color w:val="006100"/>
                <w:sz w:val="20"/>
                <w:szCs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B3D3C9" w14:textId="55A2C512" w:rsidR="0039681A" w:rsidRPr="00030506" w:rsidRDefault="0039681A" w:rsidP="00351087">
            <w:pPr>
              <w:jc w:val="center"/>
              <w:rPr>
                <w:rFonts w:ascii="Arial Narrow" w:eastAsia="Aptos" w:hAnsi="Arial Narrow" w:cs="Arial"/>
                <w:noProof/>
                <w:color w:val="006100"/>
                <w:sz w:val="20"/>
                <w:szCs w:val="20"/>
              </w:rPr>
            </w:pPr>
            <w:r w:rsidRPr="274D4869">
              <w:rPr>
                <w:rFonts w:ascii="Arial Narrow" w:eastAsia="Aptos" w:hAnsi="Arial Narrow" w:cs="Times New Roman"/>
                <w:noProof/>
                <w:color w:val="006100"/>
                <w:sz w:val="20"/>
                <w:szCs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D0862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B798F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739C30" w14:textId="39FD8017" w:rsidR="0039681A" w:rsidRPr="0039681A" w:rsidRDefault="0039681A" w:rsidP="00351087">
            <w:pPr>
              <w:spacing w:after="120"/>
              <w:rPr>
                <w:rFonts w:ascii="Arial Narrow" w:eastAsia="Aptos" w:hAnsi="Arial Narrow" w:cs="Times New Roman"/>
                <w:noProof/>
                <w:color w:val="006100"/>
                <w:sz w:val="20"/>
                <w:szCs w:val="20"/>
                <w:lang w:val="en-IE"/>
              </w:rPr>
            </w:pPr>
            <w:r w:rsidRPr="0039681A">
              <w:rPr>
                <w:rFonts w:ascii="Arial Narrow" w:eastAsia="Aptos" w:hAnsi="Arial Narrow" w:cs="Times New Roman"/>
                <w:noProof/>
                <w:color w:val="006100"/>
                <w:sz w:val="20"/>
                <w:szCs w:val="20"/>
                <w:lang w:val="en-IE"/>
              </w:rPr>
              <w:t>Report by the Italian National Institute of Statistics (ISTAT) confirming the reduction by 31 December 2025 of the disposition time by 25% of all instances of criminal cases compared to 31 December 2019 (1 398 days). The report shall be accompanied by an Annex containing the underlying data.</w:t>
            </w:r>
          </w:p>
        </w:tc>
      </w:tr>
      <w:tr w:rsidR="0039681A" w:rsidRPr="0070054C" w14:paraId="5177D032"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3E2FA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M1C1-47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62EF8"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1.4: Reform of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34C71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C7C0BD"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Reduction of backlog cases for the Civil Ordinary Courts (first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9C96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F178B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B0288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103B3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BC2A8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B7AE4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A650D5" w14:textId="0B180A08"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Reduce by 90% the number of pending cases that had been opened between 1</w:t>
            </w:r>
            <w:r w:rsidR="00AB2C7D" w:rsidRPr="0039681A">
              <w:rPr>
                <w:rFonts w:ascii="Arial Narrow" w:eastAsia="Aptos" w:hAnsi="Arial Narrow" w:cs="Times New Roman"/>
                <w:noProof/>
                <w:color w:val="006100"/>
                <w:sz w:val="20"/>
                <w:lang w:val="en-IE"/>
              </w:rPr>
              <w:t> </w:t>
            </w:r>
            <w:r w:rsidRPr="0039681A">
              <w:rPr>
                <w:rFonts w:ascii="Arial Narrow" w:eastAsia="Aptos" w:hAnsi="Arial Narrow" w:cs="Times New Roman"/>
                <w:noProof/>
                <w:color w:val="006100"/>
                <w:sz w:val="20"/>
                <w:lang w:val="en-IE"/>
              </w:rPr>
              <w:t>February 2017 and 31 December 2022 and that were still open as of 31</w:t>
            </w:r>
            <w:r w:rsidR="00AB2C7D" w:rsidRPr="0039681A">
              <w:rPr>
                <w:rFonts w:ascii="Arial Narrow" w:eastAsia="Aptos" w:hAnsi="Arial Narrow" w:cs="Times New Roman"/>
                <w:noProof/>
                <w:color w:val="006100"/>
                <w:sz w:val="20"/>
                <w:lang w:val="en-IE"/>
              </w:rPr>
              <w:t> </w:t>
            </w:r>
            <w:r w:rsidRPr="0039681A">
              <w:rPr>
                <w:rFonts w:ascii="Arial Narrow" w:eastAsia="Aptos" w:hAnsi="Arial Narrow" w:cs="Times New Roman"/>
                <w:noProof/>
                <w:color w:val="006100"/>
                <w:sz w:val="20"/>
                <w:lang w:val="en-IE"/>
              </w:rPr>
              <w:t xml:space="preserve">December 2022 in the Civil Ordinary Courts (first instance). </w:t>
            </w:r>
          </w:p>
        </w:tc>
      </w:tr>
      <w:tr w:rsidR="0039681A" w:rsidRPr="0070054C" w14:paraId="1477F830"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AFFA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M1C1-48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AF972C"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1.4: Reform of civil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47284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04B70"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Reduction of backlog cases for the Civil Court of Appeal (second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BACAE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06B0C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B85FE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437E0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45ADA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22B4F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85E390" w14:textId="6B76BECC"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Reduce by 90% the number of pending cases that had been opened between 1</w:t>
            </w:r>
            <w:r w:rsidR="00AB2C7D" w:rsidRPr="0039681A">
              <w:rPr>
                <w:rFonts w:ascii="Arial Narrow" w:eastAsia="Aptos" w:hAnsi="Arial Narrow" w:cs="Times New Roman"/>
                <w:noProof/>
                <w:color w:val="006100"/>
                <w:sz w:val="20"/>
                <w:lang w:val="en-IE"/>
              </w:rPr>
              <w:t> </w:t>
            </w:r>
            <w:r w:rsidRPr="0039681A">
              <w:rPr>
                <w:rFonts w:ascii="Arial Narrow" w:eastAsia="Aptos" w:hAnsi="Arial Narrow" w:cs="Times New Roman"/>
                <w:noProof/>
                <w:color w:val="006100"/>
                <w:sz w:val="20"/>
                <w:lang w:val="en-IE"/>
              </w:rPr>
              <w:t>February 2018 and 31 December 2022 and that were still open as of 31</w:t>
            </w:r>
            <w:r w:rsidR="00D96B72" w:rsidRPr="00D72865">
              <w:rPr>
                <w:rFonts w:ascii="Arial Narrow" w:hAnsi="Arial Narrow"/>
                <w:noProof/>
                <w:color w:val="006100"/>
                <w:sz w:val="20"/>
                <w:lang w:val="en-IE"/>
              </w:rPr>
              <w:t> </w:t>
            </w:r>
            <w:r w:rsidRPr="0039681A">
              <w:rPr>
                <w:rFonts w:ascii="Arial Narrow" w:eastAsia="Aptos" w:hAnsi="Arial Narrow" w:cs="Times New Roman"/>
                <w:noProof/>
                <w:color w:val="006100"/>
                <w:sz w:val="20"/>
                <w:lang w:val="en-IE"/>
              </w:rPr>
              <w:t xml:space="preserve">December 2022 in the Civil Courts of Appeal (second instance). </w:t>
            </w:r>
          </w:p>
        </w:tc>
      </w:tr>
      <w:tr w:rsidR="0039681A" w:rsidRPr="0070054C" w14:paraId="26BE8D1E"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8FA1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M1C1-49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1E3399"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1.8: Recruitment procedures for administrative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AE2AC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B1478"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Reduction of backlog cases for Administrative Regional Courts (first instance)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3CF7B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F8033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9F553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95778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17274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A68D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A5EE95" w14:textId="09BFAFEB" w:rsidR="0039681A" w:rsidRPr="0039681A" w:rsidRDefault="0039681A" w:rsidP="00351087">
            <w:pPr>
              <w:spacing w:after="120"/>
              <w:rPr>
                <w:rFonts w:ascii="Arial Narrow" w:eastAsia="Aptos" w:hAnsi="Arial Narrow" w:cs="Arial"/>
                <w:noProof/>
                <w:color w:val="006100"/>
                <w:sz w:val="20"/>
                <w:szCs w:val="20"/>
                <w:lang w:val="en-IE"/>
              </w:rPr>
            </w:pPr>
            <w:r w:rsidRPr="0039681A" w:rsidDel="6681DCAA">
              <w:rPr>
                <w:rFonts w:ascii="Arial Narrow" w:eastAsia="Aptos" w:hAnsi="Arial Narrow" w:cs="Times New Roman"/>
                <w:noProof/>
                <w:color w:val="006100"/>
                <w:sz w:val="20"/>
                <w:szCs w:val="20"/>
                <w:lang w:val="en-IE"/>
              </w:rPr>
              <w:t xml:space="preserve">Reduce by </w:t>
            </w:r>
            <w:r w:rsidRPr="0039681A">
              <w:rPr>
                <w:rFonts w:ascii="Arial Narrow" w:eastAsia="Aptos" w:hAnsi="Arial Narrow" w:cs="Times New Roman"/>
                <w:noProof/>
                <w:color w:val="006100"/>
                <w:sz w:val="20"/>
                <w:szCs w:val="20"/>
                <w:lang w:val="en-IE"/>
              </w:rPr>
              <w:t>8</w:t>
            </w:r>
            <w:r w:rsidRPr="0039681A" w:rsidDel="6681DCAA">
              <w:rPr>
                <w:rFonts w:ascii="Arial Narrow" w:eastAsia="Aptos" w:hAnsi="Arial Narrow" w:cs="Times New Roman"/>
                <w:noProof/>
                <w:color w:val="006100"/>
                <w:sz w:val="20"/>
                <w:szCs w:val="20"/>
                <w:lang w:val="en-IE"/>
              </w:rPr>
              <w:t xml:space="preserve">0% the </w:t>
            </w:r>
            <w:r w:rsidRPr="0039681A">
              <w:rPr>
                <w:rFonts w:ascii="Arial Narrow" w:eastAsia="Aptos" w:hAnsi="Arial Narrow" w:cs="Times New Roman"/>
                <w:noProof/>
                <w:color w:val="006100"/>
                <w:sz w:val="20"/>
                <w:szCs w:val="20"/>
                <w:lang w:val="en-IE"/>
              </w:rPr>
              <w:t>overall</w:t>
            </w:r>
            <w:r w:rsidRPr="0039681A" w:rsidDel="6681DCAA">
              <w:rPr>
                <w:rFonts w:ascii="Arial Narrow" w:eastAsia="Aptos" w:hAnsi="Arial Narrow" w:cs="Times New Roman"/>
                <w:noProof/>
                <w:color w:val="006100"/>
                <w:sz w:val="20"/>
                <w:szCs w:val="20"/>
                <w:lang w:val="en-IE"/>
              </w:rPr>
              <w:t xml:space="preserve"> number of pending cases </w:t>
            </w:r>
            <w:r w:rsidRPr="0039681A">
              <w:rPr>
                <w:rFonts w:ascii="Arial Narrow" w:eastAsia="Aptos" w:hAnsi="Arial Narrow" w:cs="Times New Roman"/>
                <w:noProof/>
                <w:color w:val="006100"/>
                <w:sz w:val="20"/>
                <w:szCs w:val="20"/>
                <w:lang w:val="en-IE"/>
              </w:rPr>
              <w:t>that are still open as of 30</w:t>
            </w:r>
            <w:r w:rsidR="00D96B72" w:rsidRPr="00D72865">
              <w:rPr>
                <w:rFonts w:ascii="Arial Narrow" w:hAnsi="Arial Narrow"/>
                <w:noProof/>
                <w:color w:val="006100"/>
                <w:sz w:val="20"/>
                <w:lang w:val="en-IE"/>
              </w:rPr>
              <w:t> </w:t>
            </w:r>
            <w:r w:rsidRPr="0039681A">
              <w:rPr>
                <w:rFonts w:ascii="Arial Narrow" w:eastAsia="Aptos" w:hAnsi="Arial Narrow" w:cs="Times New Roman"/>
                <w:noProof/>
                <w:color w:val="006100"/>
                <w:sz w:val="20"/>
                <w:szCs w:val="20"/>
                <w:lang w:val="en-IE"/>
              </w:rPr>
              <w:t>June 2023 across all</w:t>
            </w:r>
            <w:r w:rsidRPr="0039681A" w:rsidDel="6681DCAA">
              <w:rPr>
                <w:rFonts w:ascii="Arial Narrow" w:eastAsia="Aptos" w:hAnsi="Arial Narrow" w:cs="Times New Roman"/>
                <w:noProof/>
                <w:color w:val="006100"/>
                <w:sz w:val="20"/>
                <w:szCs w:val="20"/>
                <w:lang w:val="en-IE"/>
              </w:rPr>
              <w:t xml:space="preserve"> Administrative Regional Courts (administrative court of first instance)</w:t>
            </w:r>
            <w:r w:rsidRPr="0039681A">
              <w:rPr>
                <w:rFonts w:ascii="Arial Narrow" w:eastAsia="Aptos" w:hAnsi="Arial Narrow" w:cs="Times New Roman"/>
                <w:noProof/>
                <w:color w:val="006100"/>
                <w:sz w:val="20"/>
                <w:szCs w:val="20"/>
                <w:lang w:val="en-IE"/>
              </w:rPr>
              <w:t xml:space="preserve"> (102 144</w:t>
            </w:r>
            <w:r w:rsidRPr="0039681A" w:rsidDel="6681DCAA">
              <w:rPr>
                <w:rFonts w:ascii="Arial Narrow" w:eastAsia="Aptos" w:hAnsi="Arial Narrow" w:cs="Times New Roman"/>
                <w:noProof/>
                <w:color w:val="006100"/>
                <w:sz w:val="20"/>
                <w:szCs w:val="20"/>
                <w:lang w:val="en-IE"/>
              </w:rPr>
              <w:t>).</w:t>
            </w:r>
          </w:p>
        </w:tc>
      </w:tr>
      <w:tr w:rsidR="0039681A" w:rsidRPr="0070054C" w14:paraId="2002DD0C"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387A3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M1C1-50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539F1"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Investment 1.8: Recruitment procedures for administrative courts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7CA19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05C9F"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Reduction of backlog cases for the Council of State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FE2B2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C99C5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80233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35B0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5907C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8BE8A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6A4C6E" w14:textId="2B672EF0" w:rsidR="0039681A" w:rsidRPr="0039681A" w:rsidRDefault="0039681A" w:rsidP="00351087">
            <w:pPr>
              <w:spacing w:after="120"/>
              <w:rPr>
                <w:rFonts w:ascii="Arial Narrow" w:eastAsia="Aptos" w:hAnsi="Arial Narrow" w:cs="Arial"/>
                <w:noProof/>
                <w:color w:val="006100"/>
                <w:sz w:val="20"/>
                <w:szCs w:val="20"/>
                <w:lang w:val="en-IE"/>
              </w:rPr>
            </w:pPr>
            <w:r w:rsidRPr="0039681A" w:rsidDel="6681DCAA">
              <w:rPr>
                <w:rFonts w:ascii="Arial Narrow" w:eastAsia="Aptos" w:hAnsi="Arial Narrow" w:cs="Times New Roman"/>
                <w:noProof/>
                <w:color w:val="006100"/>
                <w:sz w:val="20"/>
                <w:szCs w:val="20"/>
                <w:lang w:val="en-IE"/>
              </w:rPr>
              <w:t xml:space="preserve">Reduce by 70% the number of pending cases </w:t>
            </w:r>
            <w:r w:rsidRPr="0039681A">
              <w:rPr>
                <w:rFonts w:ascii="Arial Narrow" w:eastAsia="Aptos" w:hAnsi="Arial Narrow" w:cs="Times New Roman"/>
                <w:noProof/>
                <w:color w:val="006100"/>
                <w:sz w:val="20"/>
                <w:szCs w:val="20"/>
                <w:lang w:val="en-IE"/>
              </w:rPr>
              <w:t>that are still open as of 30</w:t>
            </w:r>
            <w:r w:rsidR="00AB2C7D" w:rsidRPr="0039681A">
              <w:rPr>
                <w:rFonts w:ascii="Arial Narrow" w:eastAsia="Aptos" w:hAnsi="Arial Narrow" w:cs="Times New Roman"/>
                <w:noProof/>
                <w:color w:val="006100"/>
                <w:sz w:val="20"/>
                <w:lang w:val="en-IE"/>
              </w:rPr>
              <w:t> </w:t>
            </w:r>
            <w:r w:rsidRPr="0039681A">
              <w:rPr>
                <w:rFonts w:ascii="Arial Narrow" w:eastAsia="Aptos" w:hAnsi="Arial Narrow" w:cs="Times New Roman"/>
                <w:noProof/>
                <w:color w:val="006100"/>
                <w:sz w:val="20"/>
                <w:szCs w:val="20"/>
                <w:lang w:val="en-IE"/>
              </w:rPr>
              <w:t>June</w:t>
            </w:r>
            <w:r w:rsidR="00AB2C7D" w:rsidRPr="0039681A">
              <w:rPr>
                <w:rFonts w:ascii="Arial Narrow" w:eastAsia="Aptos" w:hAnsi="Arial Narrow" w:cs="Times New Roman"/>
                <w:noProof/>
                <w:color w:val="006100"/>
                <w:sz w:val="20"/>
                <w:lang w:val="en-IE"/>
              </w:rPr>
              <w:t> </w:t>
            </w:r>
            <w:r w:rsidRPr="0039681A">
              <w:rPr>
                <w:rFonts w:ascii="Arial Narrow" w:eastAsia="Aptos" w:hAnsi="Arial Narrow" w:cs="Times New Roman"/>
                <w:noProof/>
                <w:color w:val="006100"/>
                <w:sz w:val="20"/>
                <w:szCs w:val="20"/>
                <w:lang w:val="en-IE"/>
              </w:rPr>
              <w:t>2024</w:t>
            </w:r>
            <w:r w:rsidRPr="0039681A" w:rsidDel="6681DCAA">
              <w:rPr>
                <w:rFonts w:ascii="Arial Narrow" w:eastAsia="Aptos" w:hAnsi="Arial Narrow" w:cs="Times New Roman"/>
                <w:noProof/>
                <w:color w:val="006100"/>
                <w:sz w:val="20"/>
                <w:szCs w:val="20"/>
                <w:lang w:val="en-IE"/>
              </w:rPr>
              <w:t xml:space="preserve"> in the Council of State (second instance)</w:t>
            </w:r>
            <w:r w:rsidRPr="0039681A">
              <w:rPr>
                <w:rFonts w:ascii="Arial Narrow" w:eastAsia="Aptos" w:hAnsi="Arial Narrow" w:cs="Times New Roman"/>
                <w:noProof/>
                <w:color w:val="006100"/>
                <w:sz w:val="20"/>
                <w:szCs w:val="20"/>
                <w:lang w:val="en-IE"/>
              </w:rPr>
              <w:t xml:space="preserve"> (12 287</w:t>
            </w:r>
            <w:r w:rsidRPr="0039681A" w:rsidDel="6681DCAA">
              <w:rPr>
                <w:rFonts w:ascii="Arial Narrow" w:eastAsia="Aptos" w:hAnsi="Arial Narrow" w:cs="Times New Roman"/>
                <w:noProof/>
                <w:color w:val="006100"/>
                <w:sz w:val="20"/>
                <w:szCs w:val="20"/>
                <w:lang w:val="en-IE"/>
              </w:rPr>
              <w:t>).</w:t>
            </w:r>
          </w:p>
        </w:tc>
      </w:tr>
      <w:tr w:rsidR="0039681A" w:rsidRPr="0070054C" w14:paraId="612F1FF4"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6DAF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M1C1-51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6B2C1E"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88547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1C28DA"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primary legislation on the governance of the Italian recovery and resilience plan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57F6B5"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law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A04A7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62A8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AA286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DDBDF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CD2A1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D5404C"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primary legislation shall concern, as a minimum:</w:t>
            </w:r>
          </w:p>
          <w:p w14:paraId="5610926D"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1) Coordination and monitoring of the Italian recovery and resilience plan projects at central level;</w:t>
            </w:r>
          </w:p>
          <w:p w14:paraId="54CE5250"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2) Definition and separation of competences and endorsement of the relevant mandates of the different bodies and administrations involved in the coordination, monitoring and implementation of the Italian recovery and resilience plan;</w:t>
            </w:r>
          </w:p>
          <w:p w14:paraId="0A38A46D"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3) Definition of a system for the early detection of implementation issues;</w:t>
            </w:r>
          </w:p>
          <w:p w14:paraId="3A08A983"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4) Ex-ante definition of an enforcement mechanism to solve implementation issues and avoid delays, in particular vis-à-vis the different levels of administrations;</w:t>
            </w:r>
          </w:p>
          <w:p w14:paraId="795BDE1A"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5) Definition of the staff (number and expertise) dedicated to the coordination, monitoring and implementation of the Italian recovery and resilience plan in the administrations involved;</w:t>
            </w:r>
          </w:p>
          <w:p w14:paraId="546491A4"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6) The definition of technical assistance provided to the administrations involved in Italian recovery and resilience plan implementation, notably at the local level, ensuring the build-up of administrative capacity within the public administration;</w:t>
            </w:r>
          </w:p>
          <w:p w14:paraId="313426B5"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7) A delineation of “fast-track” procedures for the implementation of the Italian recovery and resilience plan and the timely absorption of funds;</w:t>
            </w:r>
          </w:p>
          <w:p w14:paraId="38BDB756"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8) Audit and control organization and procedures for the Italian recovery and resilience plan.</w:t>
            </w:r>
          </w:p>
        </w:tc>
      </w:tr>
      <w:tr w:rsidR="0039681A" w:rsidRPr="0070054C" w14:paraId="70C6FEB6"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E9B8F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M1C1-52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68E592"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3BDAB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42A607"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primary legislation on simplification of administrative procedures for the implementation of the Italian recovery and resilience plan.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82492"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law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CFE09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E6C0E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82B6B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A8FDD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F467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DF653A"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measures shall include:</w:t>
            </w:r>
          </w:p>
          <w:p w14:paraId="633B30AB"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1) the removal of critical bottlenecks concerning in particular the state and regional Environmental Impact Evaluation, the authorization of new waste recycling plants, the authorization procedures for renewable energy and those necessary to achieve energy efficiency of buildings (so called Super Bonus) and urban regeneration. Specific actions shall be devoted to simplifying procedures within the ‘Conferenza di servizi’ (a formal agreement amongst two or more public administrations.</w:t>
            </w:r>
          </w:p>
        </w:tc>
      </w:tr>
      <w:tr w:rsidR="0039681A" w:rsidRPr="0070054C" w14:paraId="2B2B09AC"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26903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M1C1-53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770CF"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Investment 1.9: Provide technical assistance and strengthen capacity building for the implementation of the Italian recovery and resilience plan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FA57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ABDCA"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Entry into force of primary legislation to provide technical assistance and strengthen capacity building for the implementation of the Italian recovery and resilience plan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FAAC7"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law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7573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69479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EC8D0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B143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73778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BDE91D"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Measures shall include the provision to allow for the temporary recruitment of:</w:t>
            </w:r>
          </w:p>
          <w:p w14:paraId="1BA4BA4E"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 2 800 technical figures to strengthen the public administrations of the South paid by the national budget;</w:t>
            </w:r>
          </w:p>
          <w:p w14:paraId="198C01BA"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ii) a pool of 1 000 experts to be deployed for three years to support administrations in the management of the new procedures providing technical assistance.</w:t>
            </w:r>
          </w:p>
        </w:tc>
      </w:tr>
      <w:tr w:rsidR="0039681A" w:rsidRPr="0070054C" w14:paraId="67EBF22C"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1EE1C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M1C1-54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C958E8"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Investment 1.9: Provide technical assistance and strengthen capacity building for the implementation of the Italian recovery and resilience plan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64712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56D4B1"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Completed recruitment of experts for the implementation of the Italian recovery and resilience plan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A621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2EE3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A961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DCDAF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994D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0DFA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706C00"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Complete the recruitment procedures of the pool of 1 000 experts to be deployed for three years to support administrations in the management of the new procedures providing technical assistance.</w:t>
            </w:r>
          </w:p>
        </w:tc>
      </w:tr>
      <w:tr w:rsidR="0039681A" w:rsidRPr="0070054C" w14:paraId="44948CE1"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6685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M1C1-55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D89BA"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29804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2B3095"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Extending the methodology applied to the Italian recovery and resilience plan to national budget to increase absorption of investment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F3A995"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extension of the methodology</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BD90D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6B896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8274C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C7D48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30589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C473A1"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Set up a simplified system of milestones and targets similar to the RRF for the planning, execution and financing of projects under the Complementary Investment Fund (EUR 30,5 billion).</w:t>
            </w:r>
          </w:p>
        </w:tc>
      </w:tr>
      <w:tr w:rsidR="0039681A" w:rsidRPr="0070054C" w14:paraId="5EBA2A4A"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D5FB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M1C1-56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7DD05D"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F544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4209FC"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the enabling legislation for the reform of public employment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85AD43"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law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54BD5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01F2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E6DFC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237DE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A1F1F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CD667B"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enabling legislation shall include the following measures:</w:t>
            </w:r>
          </w:p>
          <w:p w14:paraId="6BE141EA"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 define job profiles specific for the public sector to attract the competences and skills needed;</w:t>
            </w:r>
          </w:p>
          <w:p w14:paraId="3BAAA7EB"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creation of a single recruiting platform to centralise public hiring procedures for all central public administrations, with a commitment to extend the use of the platform also to local administrations;</w:t>
            </w:r>
          </w:p>
          <w:p w14:paraId="1CF8AA3B"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reform of the recruitment process to: i) move from a purely knowledge-based system to a system primarily based on competences and appropriate aptitudes; ii) assess competences to be performing civil servants; iii) differentiate the recruitment processes between entry-level recruitment, which shall be purely competence-based, and the recruitment of specialised profiles, which should combine competences with relevant work experience and would lead to accessing the career at a higher level. The Ministry for Public Administration shall ensure the consistent implementation of the new process across the administrations;</w:t>
            </w:r>
          </w:p>
          <w:p w14:paraId="0AA75455"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reform of the senior civil service to homogenise appointment procedures across the public administration, defining the job profiles and the evaluation of their performance;</w:t>
            </w:r>
          </w:p>
          <w:p w14:paraId="505AEB83"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 strengthen the link between life-long learning and training opportunities for employees and incentives to participation, for example by envisaging rewarding mechanisms or specific career paths, with a particular attention to the twin transitions;</w:t>
            </w:r>
          </w:p>
          <w:p w14:paraId="4B09E7FE"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 define or update ethics principles of public administrations through clear rules, codes of conduct, and training modules on the topic;</w:t>
            </w:r>
          </w:p>
          <w:p w14:paraId="5615C839"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 strengthen the commitment to gender balance;</w:t>
            </w:r>
          </w:p>
          <w:p w14:paraId="1CAF2174"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overhaul the regulatory framework on vertical mobility, reforming the career paths to create and access middle management positions (“quadri”), and access senior civil positions (“dirigenti di prima e seconda fascia”) from within the administration. This includes the reform of the performance evaluation system, and the strengthening of the link between career progression and performance evaluation;</w:t>
            </w:r>
          </w:p>
          <w:p w14:paraId="05A32474" w14:textId="77777777" w:rsidR="0039681A" w:rsidRPr="0039681A" w:rsidRDefault="0039681A" w:rsidP="00351087">
            <w:pP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overhaul the regulatory framework on horizontal mobility to achieve an efficient job market in public administrations including (a) the creation of a transparent single advertisement system for all vacant positions across the central and local administrations (b) the possibility to apply for any available position anywhere, (c) the abolition of the authorisation to mobility from the administration of origin, and (d) the introduction of significant restrictions to the use of alternative means of mobility not leading to transfers (i.e. “comandi” and “distacchi”), to make them exceptional and strictly time-limited.</w:t>
            </w:r>
          </w:p>
        </w:tc>
      </w:tr>
      <w:tr w:rsidR="0039681A" w:rsidRPr="0070054C" w14:paraId="512F8FB8"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F542E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M1C1-57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1498F2"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3C4D8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66D02"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administrative procedures for the simplification reform aimed at implementing the RRF</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40DE70"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secondary legislation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23A2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9D4D8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4BED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0AF74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BE4F1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C1006"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Entry into force of all related delegated acts, ministerial decrees. secondary legislation, and all other regulations necessary for the effective implementation of the simplification including agreements with Regions in case of exclusive and concurrent regional competence.</w:t>
            </w:r>
          </w:p>
        </w:tc>
      </w:tr>
      <w:tr w:rsidR="0039681A" w:rsidRPr="0070054C" w14:paraId="6B21FD76"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A9620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M1C1-58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1AA3E"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8CB2E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7884D"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legal acts for the reform of public employment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F4EA14"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indicating the entry into force of the legal acts for the reform of public employment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5081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D31EF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57925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5FEA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58225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A483C"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Entry into force of all related delegated acts, ministerial decrees, secondary legislation, and all other regulations necessary for the effective implementation of the reform.</w:t>
            </w:r>
          </w:p>
        </w:tc>
      </w:tr>
      <w:tr w:rsidR="0039681A" w:rsidRPr="0070054C" w14:paraId="2D9E1C18"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0585A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M1C1-59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E49C19"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455BC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DE9BF7"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strategic human resource management in the Public Administration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D261EE" w14:textId="152B1CE5" w:rsidR="0039681A" w:rsidRPr="0039681A" w:rsidRDefault="0039681A" w:rsidP="00775AC6">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indicating the entry into force of the legislation for the introduction of strategic human resource management in the Public Administration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03945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EC63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7FCE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F307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52542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73A56D"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legislation and delegated acts for the introduction of strategic human resource management in the Public Administration shall include: the definition, in the context of the Integrated Activity and Organisation Plan (PIAO), of HR strategic plans, for recruitment, career development and training, for all central and regional administrations, supported by an integrated database with skills and profiles; creation of a central Delivery Unit coordinating and supporting the Human Resource planning system. In a second phase, HR strategic plans shall be extended to large municipalities, while small and medium municipalities are the object of specific capacity building investments.</w:t>
            </w:r>
          </w:p>
        </w:tc>
      </w:tr>
      <w:tr w:rsidR="0039681A" w:rsidRPr="0070054C" w14:paraId="62764B4D"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881D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M1C1-59BIS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A13208" w14:textId="320042CD" w:rsidR="0039681A" w:rsidRPr="0039681A" w:rsidRDefault="0039681A" w:rsidP="00775AC6">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90EB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7141F"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Implementation of strategic human resource management in the Public Administration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BB5B0"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Publication of the first semi-annual report on KPIs.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6054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4E3D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646D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775E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1E3D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0DDA23" w14:textId="77777777" w:rsidR="0039681A" w:rsidRPr="0039681A" w:rsidRDefault="0039681A" w:rsidP="00351087">
            <w:pP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first semi-annual report on KPIs shall be published.</w:t>
            </w:r>
          </w:p>
        </w:tc>
      </w:tr>
      <w:tr w:rsidR="0039681A" w:rsidRPr="0070054C" w14:paraId="606CA478"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33B9F6"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M1C1-59ter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C0C279" w14:textId="4F0F827F" w:rsidR="0039681A" w:rsidRPr="0039681A" w:rsidRDefault="0039681A" w:rsidP="00775AC6">
            <w:pPr>
              <w:jc w:val="center"/>
              <w:rPr>
                <w:rFonts w:ascii="Arial Narrow" w:eastAsia="Aptos" w:hAnsi="Arial Narrow" w:cs="Times New Roman"/>
                <w:noProof/>
                <w:color w:val="006100"/>
                <w:sz w:val="20"/>
                <w:lang w:val="en-IE"/>
              </w:rPr>
            </w:pPr>
            <w:r w:rsidRPr="0039681A">
              <w:rPr>
                <w:rFonts w:ascii="Arial Narrow" w:eastAsia="Aptos" w:hAnsi="Arial Narrow" w:cs="Times New Roman"/>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F19830"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68496B" w14:textId="77777777" w:rsidR="0039681A" w:rsidRPr="0039681A" w:rsidRDefault="0039681A" w:rsidP="00351087">
            <w:pPr>
              <w:jc w:val="center"/>
              <w:rPr>
                <w:rFonts w:ascii="Arial Narrow" w:eastAsia="Aptos" w:hAnsi="Arial Narrow" w:cs="Times New Roman"/>
                <w:noProof/>
                <w:color w:val="006100"/>
                <w:sz w:val="20"/>
                <w:szCs w:val="20"/>
                <w:lang w:val="en-IE"/>
              </w:rPr>
            </w:pPr>
            <w:r w:rsidRPr="0039681A">
              <w:rPr>
                <w:rFonts w:ascii="Arial Narrow" w:eastAsia="Aptos" w:hAnsi="Arial Narrow" w:cs="Times New Roman"/>
                <w:noProof/>
                <w:color w:val="006100"/>
                <w:sz w:val="20"/>
                <w:szCs w:val="20"/>
                <w:lang w:val="en-IE"/>
              </w:rPr>
              <w:t>Implementation of strategic human resource management in the Public Administration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D581DD" w14:textId="4D27B69D" w:rsidR="0039681A" w:rsidRPr="0039681A" w:rsidRDefault="0039681A" w:rsidP="00351087">
            <w:pPr>
              <w:jc w:val="center"/>
              <w:rPr>
                <w:rFonts w:ascii="Arial Narrow" w:eastAsia="Aptos" w:hAnsi="Arial Narrow" w:cs="Times New Roman"/>
                <w:noProof/>
                <w:color w:val="006100"/>
                <w:sz w:val="20"/>
                <w:szCs w:val="20"/>
                <w:lang w:val="en-IE"/>
              </w:rPr>
            </w:pPr>
            <w:r w:rsidRPr="0039681A">
              <w:rPr>
                <w:rFonts w:ascii="Arial Narrow" w:eastAsia="Arial Narrow" w:hAnsi="Arial Narrow" w:cs="Arial Narrow"/>
                <w:noProof/>
                <w:color w:val="006100"/>
                <w:sz w:val="20"/>
                <w:szCs w:val="20"/>
                <w:lang w:val="en-IE"/>
              </w:rPr>
              <w:t>“Toolkit HRM-Minerva”</w:t>
            </w:r>
            <w:r w:rsidRPr="0039681A">
              <w:rPr>
                <w:rFonts w:ascii="Arial Narrow" w:eastAsia="Aptos" w:hAnsi="Arial Narrow" w:cs="Times New Roman"/>
                <w:noProof/>
                <w:color w:val="006100"/>
                <w:sz w:val="20"/>
                <w:szCs w:val="20"/>
                <w:lang w:val="en-IE"/>
              </w:rPr>
              <w:t xml:space="preserve"> operational, interoperable with inPA, Syllabus and with the PIAO digital platform, and examination of the HR strategic plans.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E3B5A7"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BCB49E"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69C8EC"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DD011"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33EDD9"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38773A" w14:textId="0E19723E" w:rsidR="0039681A" w:rsidRPr="00030506" w:rsidRDefault="0039681A" w:rsidP="00351087">
            <w:pPr>
              <w:spacing w:before="120"/>
              <w:contextualSpacing/>
              <w:rPr>
                <w:rFonts w:ascii="Arial Narrow" w:eastAsia="Aptos" w:hAnsi="Arial Narrow" w:cs="Times New Roman"/>
                <w:noProof/>
                <w:color w:val="006100"/>
                <w:sz w:val="20"/>
                <w:szCs w:val="20"/>
                <w:lang w:val="en-US"/>
              </w:rPr>
            </w:pPr>
            <w:r w:rsidRPr="00030506">
              <w:rPr>
                <w:rFonts w:ascii="Arial Narrow" w:eastAsia="Aptos" w:hAnsi="Arial Narrow" w:cs="Times New Roman"/>
                <w:i/>
                <w:iCs/>
                <w:noProof/>
                <w:color w:val="006100"/>
                <w:sz w:val="20"/>
                <w:szCs w:val="20"/>
                <w:lang w:val="en-US"/>
              </w:rPr>
              <w:t>“Verifica di conformità”</w:t>
            </w:r>
            <w:r w:rsidRPr="00030506">
              <w:rPr>
                <w:rFonts w:ascii="Arial Narrow" w:eastAsia="Aptos" w:hAnsi="Arial Narrow" w:cs="Times New Roman"/>
                <w:noProof/>
                <w:color w:val="006100"/>
                <w:sz w:val="20"/>
                <w:szCs w:val="20"/>
                <w:lang w:val="en-US"/>
              </w:rPr>
              <w:t xml:space="preserve"> proving (i) that the “Toolkit HRM-Minerva" is operational and (ii) is interoperable with the recruitment platform (inPA), the platform “Syllabus” and the PIAO digital platform</w:t>
            </w:r>
            <w:r w:rsidRPr="5A3C94CD">
              <w:rPr>
                <w:rFonts w:ascii="Arial Narrow" w:eastAsia="Aptos" w:hAnsi="Arial Narrow" w:cs="Times New Roman"/>
                <w:noProof/>
                <w:color w:val="006100"/>
                <w:sz w:val="20"/>
                <w:szCs w:val="20"/>
                <w:lang w:val="en-US"/>
              </w:rPr>
              <w:t xml:space="preserve">. </w:t>
            </w:r>
          </w:p>
          <w:p w14:paraId="114293EF" w14:textId="77777777" w:rsidR="0039681A" w:rsidRPr="00030506" w:rsidRDefault="0039681A" w:rsidP="00351087">
            <w:pPr>
              <w:spacing w:before="120"/>
              <w:contextualSpacing/>
              <w:rPr>
                <w:rFonts w:ascii="Arial Narrow" w:eastAsia="Aptos" w:hAnsi="Arial Narrow" w:cs="Times New Roman"/>
                <w:noProof/>
                <w:color w:val="006100"/>
                <w:sz w:val="20"/>
                <w:szCs w:val="20"/>
                <w:lang w:val="en-US"/>
              </w:rPr>
            </w:pPr>
          </w:p>
          <w:p w14:paraId="7346064D" w14:textId="49B81C7A" w:rsidR="0039681A" w:rsidRPr="0039681A" w:rsidRDefault="0039681A" w:rsidP="00351087">
            <w:pPr>
              <w:rPr>
                <w:rFonts w:ascii="Arial Narrow" w:eastAsia="Aptos" w:hAnsi="Arial Narrow" w:cs="Times New Roman"/>
                <w:noProof/>
                <w:color w:val="006100"/>
                <w:sz w:val="20"/>
                <w:szCs w:val="20"/>
                <w:lang w:val="en-IE"/>
              </w:rPr>
            </w:pPr>
            <w:r w:rsidRPr="0039681A">
              <w:rPr>
                <w:rFonts w:ascii="Arial Narrow" w:eastAsia="Aptos" w:hAnsi="Arial Narrow" w:cs="Times New Roman"/>
                <w:noProof/>
                <w:color w:val="006100"/>
                <w:sz w:val="20"/>
                <w:szCs w:val="20"/>
                <w:lang w:val="en-IE"/>
              </w:rPr>
              <w:t>An analysis by the Department of Public Function covering a pilot of at least 200 national and subnational administrations, shall:(i) examine the content of the HR strategic plans (Programma Triennale dei Fabbisogni del Personale) included in the PIAO,(ii) present the extent to which the findings of the semi-annual KPI reports have been taken into account,(iii) mention follow-up actions recommended by the DFP.</w:t>
            </w:r>
          </w:p>
        </w:tc>
      </w:tr>
      <w:tr w:rsidR="0039681A" w:rsidRPr="0070054C" w14:paraId="330D0825"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E6A0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M1C1-60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6697F6"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E0972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38465"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Simplification and/or digitalization of 200 critical procedures affecting citizens and business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CAC64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52C0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16855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57BE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6EE99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051BA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3AE6A" w14:textId="77777777" w:rsidR="0039681A" w:rsidRPr="0039681A" w:rsidRDefault="0039681A" w:rsidP="00351087">
            <w:pPr>
              <w:spacing w:before="120"/>
              <w:contextualSpacing/>
              <w:rPr>
                <w:rFonts w:ascii="Arial Narrow" w:eastAsia="Aptos" w:hAnsi="Arial Narrow" w:cs="Times New Roman"/>
                <w:noProof/>
                <w:color w:val="006100"/>
                <w:sz w:val="20"/>
                <w:szCs w:val="20"/>
                <w:lang w:val="en-IE"/>
              </w:rPr>
            </w:pPr>
            <w:r w:rsidRPr="0039681A">
              <w:rPr>
                <w:rFonts w:ascii="Arial Narrow" w:eastAsia="Aptos" w:hAnsi="Arial Narrow" w:cs="Times New Roman"/>
                <w:noProof/>
                <w:color w:val="006100"/>
                <w:sz w:val="20"/>
                <w:szCs w:val="20"/>
                <w:lang w:val="en-IE"/>
              </w:rPr>
              <w:t>Simplification and/or digitalisation of procedures shall concern at least the following area:</w:t>
            </w:r>
          </w:p>
          <w:p w14:paraId="6746E7EE" w14:textId="77777777" w:rsidR="0039681A" w:rsidRPr="0039681A" w:rsidRDefault="0039681A" w:rsidP="00351087">
            <w:pPr>
              <w:rPr>
                <w:rFonts w:ascii="Arial Narrow" w:eastAsia="Aptos" w:hAnsi="Arial Narrow" w:cs="Times New Roman"/>
                <w:noProof/>
                <w:color w:val="006100"/>
                <w:sz w:val="20"/>
                <w:szCs w:val="20"/>
                <w:lang w:val="en-IE"/>
              </w:rPr>
            </w:pPr>
            <w:r w:rsidRPr="0039681A">
              <w:rPr>
                <w:rFonts w:ascii="Arial Narrow" w:eastAsia="Aptos" w:hAnsi="Arial Narrow" w:cs="Times New Roman"/>
                <w:noProof/>
                <w:color w:val="006100"/>
                <w:sz w:val="20"/>
                <w:szCs w:val="20"/>
                <w:lang w:val="en-IE"/>
              </w:rPr>
              <w:t>1) Environment and energy, renewables and green economy;</w:t>
            </w:r>
          </w:p>
          <w:p w14:paraId="263C83FB" w14:textId="77777777" w:rsidR="0039681A" w:rsidRPr="0039681A" w:rsidRDefault="0039681A" w:rsidP="00351087">
            <w:pPr>
              <w:rPr>
                <w:rFonts w:ascii="Arial Narrow" w:eastAsia="Aptos" w:hAnsi="Arial Narrow" w:cs="Times New Roman"/>
                <w:noProof/>
                <w:color w:val="006100"/>
                <w:sz w:val="20"/>
                <w:szCs w:val="20"/>
                <w:lang w:val="en-IE"/>
              </w:rPr>
            </w:pPr>
            <w:r w:rsidRPr="0039681A">
              <w:rPr>
                <w:rFonts w:ascii="Arial Narrow" w:eastAsia="Aptos" w:hAnsi="Arial Narrow" w:cs="Times New Roman"/>
                <w:noProof/>
                <w:color w:val="006100"/>
                <w:sz w:val="20"/>
                <w:szCs w:val="20"/>
                <w:lang w:val="en-IE"/>
              </w:rPr>
              <w:t xml:space="preserve">2) Construction and urban requalification; </w:t>
            </w:r>
          </w:p>
          <w:p w14:paraId="7AA00AF3" w14:textId="77777777" w:rsidR="0039681A" w:rsidRPr="0039681A" w:rsidRDefault="0039681A" w:rsidP="00351087">
            <w:pPr>
              <w:rPr>
                <w:rFonts w:ascii="Aptos" w:eastAsia="Aptos" w:hAnsi="Aptos" w:cs="Times New Roman"/>
                <w:noProof/>
                <w:lang w:val="en-IE"/>
              </w:rPr>
            </w:pPr>
            <w:r w:rsidRPr="0039681A">
              <w:rPr>
                <w:rFonts w:ascii="Arial Narrow" w:eastAsia="Aptos" w:hAnsi="Arial Narrow" w:cs="Times New Roman"/>
                <w:noProof/>
                <w:color w:val="006100"/>
                <w:sz w:val="20"/>
                <w:szCs w:val="20"/>
                <w:lang w:val="en-IE"/>
              </w:rPr>
              <w:t>3) Electronic communications infrastructure;</w:t>
            </w:r>
          </w:p>
          <w:p w14:paraId="68D0F327" w14:textId="77777777" w:rsidR="0039681A" w:rsidRPr="0039681A" w:rsidRDefault="0039681A" w:rsidP="00351087">
            <w:pPr>
              <w:rPr>
                <w:rFonts w:ascii="Aptos" w:eastAsia="Aptos" w:hAnsi="Aptos" w:cs="Arial"/>
                <w:noProof/>
                <w:szCs w:val="20"/>
                <w:lang w:val="en-IE"/>
              </w:rPr>
            </w:pPr>
            <w:r w:rsidRPr="0039681A">
              <w:rPr>
                <w:rFonts w:ascii="Arial Narrow" w:eastAsia="Aptos" w:hAnsi="Arial Narrow" w:cs="Times New Roman"/>
                <w:noProof/>
                <w:color w:val="006100"/>
                <w:sz w:val="20"/>
                <w:szCs w:val="20"/>
                <w:lang w:val="en-IE"/>
              </w:rPr>
              <w:t xml:space="preserve">4) </w:t>
            </w:r>
            <w:r w:rsidRPr="0039681A">
              <w:rPr>
                <w:rFonts w:ascii="Arial Narrow" w:eastAsia="Times New Roman" w:hAnsi="Arial Narrow" w:cs="Times New Roman"/>
                <w:noProof/>
                <w:color w:val="006100"/>
                <w:sz w:val="20"/>
                <w:szCs w:val="20"/>
                <w:lang w:val="en-IE" w:eastAsia="en-GB"/>
              </w:rPr>
              <w:t>Establishment and operation of economic activities</w:t>
            </w:r>
            <w:r w:rsidRPr="0039681A">
              <w:rPr>
                <w:rFonts w:ascii="Arial Narrow" w:eastAsia="Aptos" w:hAnsi="Arial Narrow" w:cs="Times New Roman"/>
                <w:noProof/>
                <w:color w:val="006100"/>
                <w:sz w:val="20"/>
                <w:szCs w:val="20"/>
                <w:lang w:val="en-IE"/>
              </w:rPr>
              <w:t>.</w:t>
            </w:r>
          </w:p>
        </w:tc>
      </w:tr>
      <w:tr w:rsidR="0039681A" w:rsidRPr="0070054C" w14:paraId="391D5283"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FE394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M1C1-62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E8175B" w14:textId="77777777" w:rsidR="0039681A" w:rsidRPr="0039681A" w:rsidRDefault="0039681A" w:rsidP="00351087">
            <w:pPr>
              <w:jc w:val="center"/>
              <w:rPr>
                <w:rFonts w:ascii="Arial Narrow" w:eastAsia="Aptos" w:hAnsi="Arial Narrow" w:cs="Arial"/>
                <w:noProof/>
                <w:color w:val="006100"/>
                <w:sz w:val="20"/>
                <w:szCs w:val="20"/>
                <w:lang w:val="en-IE"/>
              </w:rPr>
            </w:pPr>
            <w:bookmarkStart w:id="3" w:name="_Hlk160472673"/>
            <w:r w:rsidRPr="0039681A">
              <w:rPr>
                <w:rFonts w:ascii="Arial Narrow" w:eastAsia="Aptos" w:hAnsi="Arial Narrow" w:cs="Times New Roman"/>
                <w:noProof/>
                <w:color w:val="006100"/>
                <w:sz w:val="20"/>
                <w:lang w:val="en-IE"/>
              </w:rPr>
              <w:t>Reform 1.9: Reform of the public administration</w:t>
            </w:r>
            <w:bookmarkEnd w:id="3"/>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D4F19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557D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Increase absorption of investment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8BEF6"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Publication of a report by the Ministry of finance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298A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6AB0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C61D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272B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068DE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7E80BB"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Publication of a report measuring the absorption of resources of the Complementary Fund allocated until 2024.</w:t>
            </w:r>
          </w:p>
        </w:tc>
      </w:tr>
      <w:tr w:rsidR="0039681A" w:rsidRPr="0070054C" w14:paraId="62506CD5"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3377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M1C1-63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4B6AF"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01569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63411B" w14:textId="37294A30"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xml:space="preserve">Publication of a repository of simplified and/or digitalised procedures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C5A4BE"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Publication of the repository on the website of the Department of Public Function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DD12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5CE37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F051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38B1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CBB1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6330BC" w14:textId="460FF36C" w:rsidR="0039681A" w:rsidRPr="0039681A" w:rsidRDefault="0039681A" w:rsidP="00351087">
            <w:pP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The repository of the simplified and/or digitalised procedures shall be available on the website managed by the Department of the Public Function (www.italiasemplice.gov.it).</w:t>
            </w:r>
          </w:p>
          <w:p w14:paraId="3A517709" w14:textId="6CFA43DC" w:rsidR="0039681A" w:rsidRPr="0039681A" w:rsidRDefault="0039681A" w:rsidP="00351087">
            <w:pP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Data on Sportello Unico Attività Produttive (SUAP) and Sportello Unico Edilizia (SUE) availability throughout the national territory shall be accessible on the website www.impresainungiorno.gov.it.</w:t>
            </w:r>
          </w:p>
        </w:tc>
      </w:tr>
      <w:tr w:rsidR="0039681A" w:rsidRPr="0070054C" w14:paraId="00A4113F"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6C1C0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M1C1-66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7CA4B7"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Investment 1.9: Provide technical assistance and strengthen capacity building for the implementation of the Italian recovery and resilience plan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7EEB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D2A49" w14:textId="580A2FA7" w:rsidR="0039681A" w:rsidRPr="00030506" w:rsidRDefault="0039681A" w:rsidP="00351087">
            <w:pPr>
              <w:jc w:val="center"/>
              <w:rPr>
                <w:rFonts w:ascii="Arial Narrow" w:eastAsia="Aptos" w:hAnsi="Arial Narrow" w:cs="Arial"/>
                <w:noProof/>
                <w:color w:val="006100"/>
                <w:sz w:val="20"/>
                <w:szCs w:val="20"/>
              </w:rPr>
            </w:pPr>
            <w:r w:rsidRPr="131522B8">
              <w:rPr>
                <w:rFonts w:ascii="Arial Narrow" w:eastAsia="Aptos" w:hAnsi="Arial Narrow" w:cs="Times New Roman"/>
                <w:noProof/>
                <w:color w:val="006100"/>
                <w:sz w:val="20"/>
                <w:szCs w:val="20"/>
              </w:rPr>
              <w:t xml:space="preserve">Attendance reports on Syllabus platform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C03A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55861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631C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101F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441 750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A4B2E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6F0EE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9C3B84" w14:textId="1B19C468"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At least 441 750 attendance reports</w:t>
            </w:r>
            <w:r w:rsidRPr="0039681A" w:rsidDel="00030506">
              <w:rPr>
                <w:rFonts w:ascii="Arial Narrow" w:eastAsia="Aptos" w:hAnsi="Arial Narrow" w:cs="Times New Roman"/>
                <w:noProof/>
                <w:color w:val="006100"/>
                <w:sz w:val="20"/>
                <w:szCs w:val="20"/>
                <w:lang w:val="en-IE"/>
              </w:rPr>
              <w:t xml:space="preserve"> on the Syllabus platform</w:t>
            </w:r>
            <w:r w:rsidRPr="0039681A">
              <w:rPr>
                <w:rFonts w:ascii="Arial Narrow" w:eastAsia="Aptos" w:hAnsi="Arial Narrow" w:cs="Times New Roman"/>
                <w:noProof/>
                <w:color w:val="006100"/>
                <w:sz w:val="20"/>
                <w:szCs w:val="20"/>
                <w:lang w:val="en-IE"/>
              </w:rPr>
              <w:t xml:space="preserve">. </w:t>
            </w:r>
          </w:p>
        </w:tc>
      </w:tr>
      <w:tr w:rsidR="0039681A" w:rsidRPr="0070054C" w14:paraId="70FCF178"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64CA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M1C1-68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27169C"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1.9: Reform of the public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9B144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65F9CA"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Repository system for Audit and Controls: information for monitoring implementation of RRF</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CA4B5"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Audit report confirming repository system functionalities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783E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4D029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8955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35556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A894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10D3AB"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A repository system for monitoring the implementation of the RRF shall be in place and operational.</w:t>
            </w:r>
          </w:p>
          <w:p w14:paraId="6494F20E"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system shall include, as a minimum, the following functionalities:</w:t>
            </w:r>
          </w:p>
          <w:p w14:paraId="4116DFFF"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(a) collect data and monitor the achievement of milestones and targets;</w:t>
            </w:r>
          </w:p>
          <w:p w14:paraId="259C1C78"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(b) collect, store and ensure access to the data required by Article 22(2)(d)(i) to (iii) of the RRF Regulation.</w:t>
            </w:r>
          </w:p>
        </w:tc>
      </w:tr>
      <w:tr w:rsidR="0039681A" w:rsidRPr="00030506" w14:paraId="6D635030"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C88C8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M1C1-69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48564"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3E1F7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495B9D"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the Decree on simplification of the public procurement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C71E6"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law-decree to simplify the public procurement system.</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A528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FDEEC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EE07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57B8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115D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0394A"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Law-decree shall simplify the public procurement system with at least the following urgent measures:</w:t>
            </w:r>
          </w:p>
          <w:p w14:paraId="6062B7B4"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 Sets up targets to reduce the time between the publication and the contract award.</w:t>
            </w:r>
          </w:p>
          <w:p w14:paraId="462E5CD7"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ii. Sets up targets and a monitoring system to reduce the time between the contract award and the completion of the infrastructure (“fase esecutiva”).</w:t>
            </w:r>
          </w:p>
          <w:p w14:paraId="7BAC85E2"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iii. Requires that the data of all contracts is registered in the anti-corruption database of the national anti-corruption authority (ANAC).</w:t>
            </w:r>
          </w:p>
          <w:p w14:paraId="249930E1"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iv. Implement and incentivize the alternative dispute resolution mechanisms in the execution phase of public contracts.</w:t>
            </w:r>
          </w:p>
          <w:p w14:paraId="23F4F24B"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v. Sets up dedicated offices in charge of public procurement procedures at Ministries, Regions and Metropolitan Cities.</w:t>
            </w:r>
          </w:p>
          <w:p w14:paraId="06FFF6D3"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Further specifications:</w:t>
            </w:r>
          </w:p>
          <w:p w14:paraId="24ACAC62"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 Simplification and digitalization of the procedures of central purchasing bodies (“centrali di committenza”);</w:t>
            </w:r>
          </w:p>
          <w:p w14:paraId="0F5DFA21"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 Implement articles 41 and 44 of the current Public Procurement Code;</w:t>
            </w:r>
          </w:p>
          <w:p w14:paraId="23518541"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 Define how procedures should be digitalized for all public contracts and concessions and define interoperability and interconnectivity requirements;</w:t>
            </w:r>
          </w:p>
          <w:p w14:paraId="0971CA1C" w14:textId="48C867FA" w:rsidR="0039681A" w:rsidRPr="00030506" w:rsidRDefault="0039681A" w:rsidP="00351087">
            <w:pPr>
              <w:spacing w:after="120"/>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 Implement article 44 of the current Public Procurement Code.</w:t>
            </w:r>
          </w:p>
        </w:tc>
      </w:tr>
      <w:tr w:rsidR="0039681A" w:rsidRPr="0070054C" w14:paraId="5115C4C3"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082E3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E283BF"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E508F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57F4A"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Entry into force of the revision of the Code of Public procurement (D.Lgs. n. 50/2016)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0FD05"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Provision in the law indicating the entry into force of the Law of Delegation which reforms the present Code of the Public procurement system (D.Lgs. n. 50/2016)</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37791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C494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0338C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A5EEE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BE2A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1D683"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This Law shall establish all the precise criteria and principles for the systemic reform of the Public Procurement Code.</w:t>
            </w:r>
          </w:p>
          <w:p w14:paraId="4F4F36E1"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The law of delegation shall, at least, dictate the following principles and criteria to:</w:t>
            </w:r>
          </w:p>
          <w:p w14:paraId="2CF94708"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 Reduce the fragmentation of contracting authorities (1) establishing the basic elements of the qualification system, (2) requiring the setting of an e-platform as a basic requirement to participate in the nationwide evaluation of procurement capacity (3) empowering the national anti-corruption authority (ANAC) to review the qualification of contracting authorities in terms of procurement capacity (types and volumes of purchases), (4) providing incentives to use existing professional central purchasing bodies.</w:t>
            </w:r>
          </w:p>
          <w:p w14:paraId="7226C9F5"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szCs w:val="20"/>
                <w:lang w:val="en-IE"/>
              </w:rPr>
              <w:t>ii. Simplify and digitalize the procedures of central purchasing bodies (“centrali di committenza”)</w:t>
            </w:r>
          </w:p>
          <w:p w14:paraId="551EA3DB"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iii. Define how procedures shall be digitalized for all public contracts and concessions and define interoperability and interconnectivity requirements.</w:t>
            </w:r>
          </w:p>
          <w:p w14:paraId="1380D91C" w14:textId="77777777" w:rsidR="0039681A" w:rsidRPr="0039681A" w:rsidRDefault="0039681A" w:rsidP="00351087">
            <w:pPr>
              <w:spacing w:after="120"/>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iv. Reduce restrictions concerning sub-contracting on a progressive basis.</w:t>
            </w:r>
          </w:p>
        </w:tc>
      </w:tr>
      <w:tr w:rsidR="0039681A" w:rsidRPr="0070054C" w14:paraId="60AD828A"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A528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AC7E73"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7BDC3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BC0D09"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all necessary legislation, regulations and implementing acts (including secondary legislation) for the public procurement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CF10F" w14:textId="77777777" w:rsidR="0039681A" w:rsidRPr="0039681A" w:rsidRDefault="0039681A" w:rsidP="00351087">
            <w:pPr>
              <w:jc w:val="center"/>
              <w:rPr>
                <w:rFonts w:ascii="Arial Narrow" w:eastAsia="Aptos" w:hAnsi="Arial Narrow" w:cs="Arial"/>
                <w:noProof/>
                <w:color w:val="006100"/>
                <w:sz w:val="20"/>
                <w:szCs w:val="20"/>
                <w:lang w:val="en-IE"/>
              </w:rPr>
            </w:pPr>
            <w:r w:rsidRPr="0039681A">
              <w:rPr>
                <w:rFonts w:ascii="Arial Narrow" w:eastAsia="Aptos" w:hAnsi="Arial Narrow" w:cs="Times New Roman"/>
                <w:noProof/>
                <w:color w:val="006100"/>
                <w:sz w:val="20"/>
                <w:lang w:val="en-IE"/>
              </w:rPr>
              <w:t>Entry into force of all necessary legislation regulation and implementing acts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C8774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95E7A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E4658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17DBE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5C5AC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12612C"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All necessary legislation, regulations and implementing acts (including secondary legislation, if necessary) shall obtain the following results:</w:t>
            </w:r>
          </w:p>
          <w:p w14:paraId="2526C4A1"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i. The Single Coordination Body for public procurement policy shall have an adequate (to be specified in the Operational Arrangement) level of staffing and financial resources to be fully operational, also due to the support given by a dedicated structure of ANAC.</w:t>
            </w:r>
          </w:p>
          <w:p w14:paraId="5B5220B0"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ii. The Single Coordination Body for public procurement policy adopts the professionalization strategy (cf. linked to Italy’s NRPP proposed reform 2.1.6) containing the types of training at different levels, the special tutoring and the production of operational guidelines, with support of ANAC and the National School of Administration.</w:t>
            </w:r>
          </w:p>
          <w:p w14:paraId="78BCF5B9"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iii. The dynamic purchasing systems are made available by Consip and are in line with Public Procurement Directives.</w:t>
            </w:r>
          </w:p>
          <w:p w14:paraId="042BA8BB"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iv. ANAC completes the exercise of qualification of contracting authorities in terms of procurement capacity further to the implementation of Article 38 of the Public Procurement Code.</w:t>
            </w:r>
          </w:p>
          <w:p w14:paraId="19F4BE6A"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v. The monitoring system for the time between the contract award and the completion of infrastructure works is operational.</w:t>
            </w:r>
          </w:p>
          <w:p w14:paraId="5D39AFFD"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vi. Data of all contracts is registered in the anti-corruption database of the national anti-corruption authority (ANAC).</w:t>
            </w:r>
          </w:p>
          <w:p w14:paraId="092161B1"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vii. All dedicated offices in charge of public procurement procedures at Ministries, Regions and Metropolitan Cities.</w:t>
            </w:r>
          </w:p>
        </w:tc>
      </w:tr>
      <w:tr w:rsidR="0039681A" w:rsidRPr="0070054C" w14:paraId="636A656A"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5CDA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5FAAF4"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E357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C62CE9"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Measures to reduce late payments from the public administration to businesses are approved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B5CB46"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Provision in the law indicating the entry into force of rules to reduce late payments from the PA to businesses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44141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C3CA7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3BFB3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217D1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C7DA5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FAA99"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Entry into force of new rules to reduce late payments from the public administration to businesses.</w:t>
            </w:r>
          </w:p>
          <w:p w14:paraId="10108082"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The measures shall include, at least, the following key elements:</w:t>
            </w:r>
          </w:p>
          <w:p w14:paraId="641EB54B"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i.</w:t>
            </w:r>
            <w:r w:rsidRPr="00077A1F">
              <w:rPr>
                <w:rFonts w:ascii="Arial Narrow" w:eastAsia="Aptos" w:hAnsi="Arial Narrow" w:cs="Times New Roman"/>
                <w:noProof/>
                <w:sz w:val="20"/>
                <w:szCs w:val="20"/>
                <w:lang w:val="en-IE"/>
              </w:rPr>
              <w:t xml:space="preserve"> </w:t>
            </w:r>
            <w:r w:rsidRPr="00077A1F">
              <w:rPr>
                <w:rFonts w:ascii="Arial Narrow" w:eastAsia="Aptos" w:hAnsi="Arial Narrow" w:cs="Times New Roman"/>
                <w:noProof/>
                <w:color w:val="006100"/>
                <w:sz w:val="20"/>
                <w:szCs w:val="20"/>
                <w:lang w:val="en-IE"/>
              </w:rPr>
              <w:t>The System InIT shall be deployed in the central public administration in order to support economic and financial accounting and the execution of public expenditure.</w:t>
            </w:r>
          </w:p>
          <w:p w14:paraId="091DF5AF"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ii.</w:t>
            </w:r>
            <w:r w:rsidRPr="00077A1F">
              <w:rPr>
                <w:rFonts w:ascii="Arial Narrow" w:eastAsia="Aptos" w:hAnsi="Arial Narrow" w:cs="Times New Roman"/>
                <w:noProof/>
                <w:sz w:val="20"/>
                <w:szCs w:val="20"/>
                <w:lang w:val="en-IE"/>
              </w:rPr>
              <w:t xml:space="preserve"> </w:t>
            </w:r>
            <w:r w:rsidRPr="00077A1F">
              <w:rPr>
                <w:rFonts w:ascii="Arial Narrow" w:eastAsia="Aptos" w:hAnsi="Arial Narrow" w:cs="Times New Roman"/>
                <w:noProof/>
                <w:color w:val="006100"/>
                <w:sz w:val="20"/>
                <w:szCs w:val="20"/>
                <w:lang w:val="en-IE"/>
              </w:rPr>
              <w:t>Late payments: the indicators based on the database of the MoF IT system (Commercial Credit Platform - PCC) shall be the weighted average payment time of public authorities to businesses and the weighted average payment delay of public authorities to businesses for each of the following levels of public administration:</w:t>
            </w:r>
          </w:p>
          <w:p w14:paraId="5D670294" w14:textId="77777777" w:rsidR="0039681A" w:rsidRPr="00030506" w:rsidRDefault="0039681A" w:rsidP="00351087">
            <w:pPr>
              <w:numPr>
                <w:ilvl w:val="0"/>
                <w:numId w:val="26"/>
              </w:numPr>
              <w:spacing w:after="120" w:line="240" w:lineRule="auto"/>
              <w:ind w:left="341" w:hanging="283"/>
              <w:rPr>
                <w:rFonts w:ascii="Arial Narrow" w:eastAsia="Aptos" w:hAnsi="Arial Narrow" w:cs="Arial"/>
                <w:noProof/>
                <w:color w:val="006100"/>
                <w:sz w:val="20"/>
                <w:szCs w:val="20"/>
                <w:lang w:val="it-IT"/>
              </w:rPr>
            </w:pPr>
            <w:r w:rsidRPr="00030506">
              <w:rPr>
                <w:rFonts w:ascii="Arial Narrow" w:eastAsia="Aptos" w:hAnsi="Arial Narrow" w:cs="Times New Roman"/>
                <w:noProof/>
                <w:color w:val="006100"/>
                <w:sz w:val="20"/>
                <w:szCs w:val="20"/>
                <w:lang w:val="it-IT"/>
              </w:rPr>
              <w:t>central authorities (Amministrazioni dello Stato, enti pubblici nazionali e altri enti)</w:t>
            </w:r>
          </w:p>
          <w:p w14:paraId="53DAD6F5" w14:textId="77777777" w:rsidR="0039681A" w:rsidRPr="00AF5341" w:rsidRDefault="0039681A" w:rsidP="00351087">
            <w:pPr>
              <w:numPr>
                <w:ilvl w:val="0"/>
                <w:numId w:val="26"/>
              </w:numPr>
              <w:spacing w:after="120" w:line="240" w:lineRule="auto"/>
              <w:ind w:left="341" w:hanging="283"/>
              <w:rPr>
                <w:rFonts w:ascii="Arial Narrow" w:eastAsia="Aptos" w:hAnsi="Arial Narrow" w:cs="Arial"/>
                <w:noProof/>
                <w:color w:val="006100"/>
                <w:sz w:val="20"/>
                <w:szCs w:val="20"/>
                <w:lang w:val="en-IE"/>
              </w:rPr>
            </w:pPr>
            <w:r w:rsidRPr="00AF5341">
              <w:rPr>
                <w:rFonts w:ascii="Arial Narrow" w:eastAsia="Aptos" w:hAnsi="Arial Narrow" w:cs="Times New Roman"/>
                <w:noProof/>
                <w:color w:val="006100"/>
                <w:sz w:val="20"/>
                <w:szCs w:val="20"/>
                <w:lang w:val="en-IE"/>
              </w:rPr>
              <w:t>regional authorities (Regioni and Province Autonome),</w:t>
            </w:r>
          </w:p>
          <w:p w14:paraId="0D756420" w14:textId="77777777" w:rsidR="0039681A" w:rsidRPr="00030506" w:rsidRDefault="0039681A" w:rsidP="00351087">
            <w:pPr>
              <w:numPr>
                <w:ilvl w:val="0"/>
                <w:numId w:val="26"/>
              </w:numPr>
              <w:spacing w:after="120" w:line="240" w:lineRule="auto"/>
              <w:ind w:left="341" w:hanging="283"/>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local authorities (enti locali)</w:t>
            </w:r>
          </w:p>
          <w:p w14:paraId="6B8EE169" w14:textId="77777777" w:rsidR="0039681A" w:rsidRPr="00030506" w:rsidRDefault="0039681A" w:rsidP="00351087">
            <w:pPr>
              <w:numPr>
                <w:ilvl w:val="0"/>
                <w:numId w:val="26"/>
              </w:numPr>
              <w:spacing w:after="120" w:line="240" w:lineRule="auto"/>
              <w:ind w:left="341" w:hanging="283"/>
              <w:rPr>
                <w:rFonts w:ascii="Arial Narrow" w:eastAsia="Aptos" w:hAnsi="Arial Narrow" w:cs="Arial"/>
                <w:noProof/>
                <w:color w:val="006100"/>
                <w:sz w:val="20"/>
                <w:szCs w:val="20"/>
                <w:lang w:val="it-IT"/>
              </w:rPr>
            </w:pPr>
            <w:r w:rsidRPr="00030506">
              <w:rPr>
                <w:rFonts w:ascii="Arial Narrow" w:eastAsia="Aptos" w:hAnsi="Arial Narrow" w:cs="Times New Roman"/>
                <w:noProof/>
                <w:color w:val="006100"/>
                <w:sz w:val="20"/>
                <w:szCs w:val="20"/>
                <w:lang w:val="it-IT"/>
              </w:rPr>
              <w:t>public health authorities (enti del Servizio sanitario nazionale).</w:t>
            </w:r>
          </w:p>
        </w:tc>
      </w:tr>
      <w:tr w:rsidR="0039681A" w:rsidRPr="0070054C" w14:paraId="36AE4EA0"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C17F7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M1C1-72bis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4461B5"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65364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E0B768"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Legislative and specific actions to reduce late payments at central/local levels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E8FAA7"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Provision in the legislation indicating the entry into force, circulars adopted and measures taken to reduce late payments from the public administration to businesses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4CBD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C8B4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275DD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48969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C503C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2DDD1A" w14:textId="77777777" w:rsidR="0039681A" w:rsidRPr="00077A1F" w:rsidRDefault="0039681A" w:rsidP="00351087">
            <w:pPr>
              <w:spacing w:after="120"/>
              <w:rPr>
                <w:rFonts w:ascii="Arial Narrow" w:eastAsia="Aptos" w:hAnsi="Arial Narrow" w:cs="Arial"/>
                <w:noProof/>
                <w:color w:val="006100"/>
                <w:sz w:val="20"/>
                <w:lang w:val="en-IE"/>
              </w:rPr>
            </w:pPr>
            <w:r w:rsidRPr="00077A1F">
              <w:rPr>
                <w:rFonts w:ascii="Arial Narrow" w:eastAsia="Aptos" w:hAnsi="Arial Narrow" w:cs="Times New Roman"/>
                <w:noProof/>
                <w:color w:val="006100"/>
                <w:sz w:val="20"/>
                <w:lang w:val="en-IE"/>
              </w:rPr>
              <w:t>The following acts shall enter into force:</w:t>
            </w:r>
          </w:p>
          <w:p w14:paraId="59880E0D"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xml:space="preserve">- a circular clarifying the scope of commercial and non-commercial transactions in line with the Late Payments Directive; </w:t>
            </w:r>
          </w:p>
          <w:p w14:paraId="5390003B"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a circular clarifying the scope of Article 4(6) of the Late Payments Directive in line with the latter;</w:t>
            </w:r>
          </w:p>
          <w:p w14:paraId="5665CCC5"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legislation to ensure that Ordinary regions and local authorities receive funds to face their invoices on time from the central level;</w:t>
            </w:r>
          </w:p>
          <w:p w14:paraId="1A6D8CA4"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legislation to require public authorities to adopt yearly cash-flow plans ensuring the respect of the legal payment deadlines;</w:t>
            </w:r>
          </w:p>
          <w:p w14:paraId="77B938B4" w14:textId="77777777" w:rsidR="0039681A" w:rsidRPr="00077A1F" w:rsidRDefault="0039681A" w:rsidP="00351087">
            <w:pP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legislation introducing provisions to allow credit assignment to third parties after 30 days of silence/inaction by the public administrations.</w:t>
            </w:r>
          </w:p>
          <w:p w14:paraId="17C15C63" w14:textId="77777777" w:rsidR="0039681A" w:rsidRPr="00077A1F" w:rsidRDefault="0039681A" w:rsidP="00351087">
            <w:pPr>
              <w:rPr>
                <w:rFonts w:ascii="Arial Narrow" w:eastAsia="Aptos" w:hAnsi="Arial Narrow" w:cs="Times New Roman"/>
                <w:b/>
                <w:bCs/>
                <w:noProof/>
                <w:color w:val="006100"/>
                <w:sz w:val="20"/>
                <w:szCs w:val="20"/>
                <w:lang w:val="en-IE"/>
              </w:rPr>
            </w:pPr>
            <w:r w:rsidRPr="00077A1F">
              <w:rPr>
                <w:rFonts w:ascii="Arial Narrow" w:eastAsia="Aptos" w:hAnsi="Arial Narrow" w:cs="Times New Roman"/>
                <w:noProof/>
                <w:color w:val="006100"/>
                <w:sz w:val="20"/>
                <w:lang w:val="en-IE"/>
              </w:rPr>
              <w:t xml:space="preserve">The following actions shall be taken at </w:t>
            </w:r>
            <w:r w:rsidRPr="00077A1F">
              <w:rPr>
                <w:rFonts w:ascii="Arial Narrow" w:eastAsia="Aptos" w:hAnsi="Arial Narrow" w:cs="Times New Roman"/>
                <w:b/>
                <w:noProof/>
                <w:color w:val="006100"/>
                <w:sz w:val="20"/>
                <w:lang w:val="en-IE"/>
              </w:rPr>
              <w:t>central level:</w:t>
            </w:r>
            <w:r w:rsidRPr="00077A1F">
              <w:rPr>
                <w:rFonts w:ascii="Arial Narrow" w:eastAsia="Aptos" w:hAnsi="Arial Narrow" w:cs="Times New Roman"/>
                <w:noProof/>
                <w:color w:val="006100"/>
                <w:sz w:val="20"/>
                <w:lang w:val="en-IE"/>
              </w:rPr>
              <w:t xml:space="preserve"> </w:t>
            </w:r>
          </w:p>
          <w:p w14:paraId="7001F357"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 Entry into force of legislation identifying the late payers at central level and requiring the adoption of measures to ensure that they pay within the 30 days limits; </w:t>
            </w:r>
          </w:p>
          <w:p w14:paraId="15E14559"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Publication of the stock of arrears of the Ministries updated quarterly;</w:t>
            </w:r>
          </w:p>
          <w:p w14:paraId="7E2E1ACE"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 Setting up of task forces where required by legislation . </w:t>
            </w:r>
          </w:p>
          <w:p w14:paraId="49C748DF" w14:textId="77777777" w:rsidR="0039681A" w:rsidRPr="00077A1F" w:rsidRDefault="0039681A" w:rsidP="00351087">
            <w:pPr>
              <w:spacing w:after="120"/>
              <w:rPr>
                <w:rFonts w:ascii="Arial Narrow" w:eastAsia="Aptos" w:hAnsi="Arial Narrow" w:cs="Arial"/>
                <w:b/>
                <w:bCs/>
                <w:noProof/>
                <w:color w:val="006100"/>
                <w:sz w:val="20"/>
                <w:szCs w:val="20"/>
                <w:lang w:val="en-IE"/>
              </w:rPr>
            </w:pPr>
            <w:r w:rsidRPr="00077A1F">
              <w:rPr>
                <w:rFonts w:ascii="Arial Narrow" w:eastAsia="Aptos" w:hAnsi="Arial Narrow" w:cs="Times New Roman"/>
                <w:noProof/>
                <w:color w:val="006100"/>
                <w:sz w:val="20"/>
                <w:lang w:val="en-IE"/>
              </w:rPr>
              <w:t xml:space="preserve">The following actions shall be taken at </w:t>
            </w:r>
            <w:r w:rsidRPr="00077A1F">
              <w:rPr>
                <w:rFonts w:ascii="Arial Narrow" w:eastAsia="Aptos" w:hAnsi="Arial Narrow" w:cs="Times New Roman"/>
                <w:b/>
                <w:noProof/>
                <w:color w:val="006100"/>
                <w:sz w:val="20"/>
                <w:lang w:val="en-IE"/>
              </w:rPr>
              <w:t>local level</w:t>
            </w:r>
            <w:r w:rsidRPr="00077A1F">
              <w:rPr>
                <w:rFonts w:ascii="Arial Narrow" w:eastAsia="Aptos" w:hAnsi="Arial Narrow" w:cs="Times New Roman"/>
                <w:noProof/>
                <w:color w:val="006100"/>
                <w:sz w:val="20"/>
                <w:lang w:val="en-IE"/>
              </w:rPr>
              <w:t>:</w:t>
            </w:r>
            <w:r w:rsidRPr="00077A1F">
              <w:rPr>
                <w:rFonts w:ascii="Arial Narrow" w:eastAsia="Aptos" w:hAnsi="Arial Narrow" w:cs="Times New Roman"/>
                <w:b/>
                <w:noProof/>
                <w:color w:val="006100"/>
                <w:sz w:val="20"/>
                <w:lang w:val="en-IE"/>
              </w:rPr>
              <w:t xml:space="preserve"> </w:t>
            </w:r>
          </w:p>
          <w:p w14:paraId="7D436C8C"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 Entry into force of legislation identifying the late payers at local level and requiring the adoption of measures to ensure that they pay within the 30 days limits; </w:t>
            </w:r>
          </w:p>
          <w:p w14:paraId="1EA83963"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Publication of the stock of arrears of these authorities updated quarterly.</w:t>
            </w:r>
          </w:p>
        </w:tc>
      </w:tr>
      <w:tr w:rsidR="0039681A" w:rsidRPr="0070054C" w14:paraId="3623BEF6"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B2AC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M1C1-72ter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7558FB"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3679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0A77A8"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Increase human resources dealing with payments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9D3369"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Provision indicating the entry into force of legislation providing for the possibility </w:t>
            </w:r>
            <w:r w:rsidRPr="00077A1F" w:rsidDel="6681DCAA">
              <w:rPr>
                <w:rFonts w:ascii="Arial Narrow" w:eastAsia="Aptos" w:hAnsi="Arial Narrow" w:cs="Times New Roman"/>
                <w:noProof/>
                <w:color w:val="006100"/>
                <w:sz w:val="20"/>
                <w:szCs w:val="20"/>
                <w:lang w:val="en-IE"/>
              </w:rPr>
              <w:t>to</w:t>
            </w:r>
            <w:r w:rsidRPr="00077A1F">
              <w:rPr>
                <w:rFonts w:ascii="Arial Narrow" w:eastAsia="Aptos" w:hAnsi="Arial Narrow" w:cs="Times New Roman"/>
                <w:noProof/>
                <w:color w:val="006100"/>
                <w:sz w:val="20"/>
                <w:szCs w:val="20"/>
                <w:lang w:val="en-IE"/>
              </w:rPr>
              <w:t xml:space="preserve"> increase human resources dealing with payments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CA12A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3A131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FA45D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55708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B438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9C937"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Entry into force of legal acts providing for the possibility to increase human resources dealing with payments in:</w:t>
            </w:r>
          </w:p>
          <w:p w14:paraId="6FD9078A" w14:textId="48F200F4"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Ministries identified as late payers that submitted a plan of interventions in accordance with Decree-Law No. 19 of 2</w:t>
            </w:r>
            <w:r w:rsidR="00AB2C7D" w:rsidRPr="0039681A">
              <w:rPr>
                <w:rFonts w:ascii="Arial Narrow" w:eastAsia="Aptos" w:hAnsi="Arial Narrow" w:cs="Times New Roman"/>
                <w:noProof/>
                <w:color w:val="006100"/>
                <w:sz w:val="20"/>
                <w:lang w:val="en-IE"/>
              </w:rPr>
              <w:t> </w:t>
            </w:r>
            <w:r w:rsidRPr="00077A1F">
              <w:rPr>
                <w:rFonts w:ascii="Arial Narrow" w:eastAsia="Aptos" w:hAnsi="Arial Narrow" w:cs="Times New Roman"/>
                <w:noProof/>
                <w:color w:val="006100"/>
                <w:sz w:val="20"/>
                <w:szCs w:val="20"/>
                <w:lang w:val="en-IE"/>
              </w:rPr>
              <w:t>March 2024, as converted by Law No. 56 of 29 April 2024;</w:t>
            </w:r>
          </w:p>
          <w:p w14:paraId="74031AB0"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municipalities above 60 000 inhabitants, provinces and metropolitan cities identified as late payers that submitted a plan of interventions in accordance with Decree-Law No. 19 of 2 March 2024, as converted by Law No. 56 of 29 April 2024.</w:t>
            </w:r>
          </w:p>
        </w:tc>
      </w:tr>
      <w:tr w:rsidR="0039681A" w:rsidRPr="0070054C" w14:paraId="31309E0B"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61A1E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M1C1-72quater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E1B01"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EAC4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44BD4"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Adoption of the Audit Plan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36A379" w14:textId="210E1BAE" w:rsidR="0039681A" w:rsidRPr="00030506" w:rsidRDefault="0039681A" w:rsidP="00775AC6">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szCs w:val="20"/>
              </w:rPr>
              <w:t>Adoption of the Audit Plan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A1CC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E73C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D862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A19A4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7A00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B231E3"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Adoption of an Audit Plan, including a roadmap for its implementation, on the adequacy and timeliness of the existing payment processes of at least 130 public administrations identified as late payers among: (i) central level (including territorial branches of Ministries); (ii) municipalities; and (iii) public health authorities.</w:t>
            </w:r>
          </w:p>
        </w:tc>
      </w:tr>
      <w:tr w:rsidR="0039681A" w:rsidRPr="0070054C" w14:paraId="30270F08"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2BD7E6" w14:textId="77777777" w:rsidR="0039681A" w:rsidRPr="00030506" w:rsidRDefault="0039681A" w:rsidP="00351087">
            <w:pPr>
              <w:jc w:val="center"/>
              <w:rPr>
                <w:rFonts w:ascii="Arial Narrow" w:eastAsia="Aptos" w:hAnsi="Arial Narrow" w:cs="Arial"/>
                <w:noProof/>
                <w:color w:val="006100"/>
                <w:sz w:val="20"/>
                <w:szCs w:val="20"/>
              </w:rPr>
            </w:pPr>
            <w:bookmarkStart w:id="4" w:name="_Hlk160473292"/>
            <w:r w:rsidRPr="00030506">
              <w:rPr>
                <w:rFonts w:ascii="Arial Narrow" w:eastAsia="Aptos" w:hAnsi="Arial Narrow" w:cs="Times New Roman"/>
                <w:noProof/>
                <w:color w:val="006100"/>
                <w:sz w:val="20"/>
                <w:szCs w:val="20"/>
              </w:rPr>
              <w:t>M1C1-72quinquies</w:t>
            </w:r>
            <w:bookmarkEnd w:id="4"/>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66C77" w14:textId="77777777" w:rsidR="0039681A" w:rsidRPr="00077A1F" w:rsidRDefault="0039681A" w:rsidP="00351087">
            <w:pPr>
              <w:jc w:val="center"/>
              <w:rPr>
                <w:rFonts w:ascii="Arial Narrow" w:eastAsia="Aptos" w:hAnsi="Arial Narrow" w:cs="Arial"/>
                <w:noProof/>
                <w:color w:val="006100"/>
                <w:sz w:val="20"/>
                <w:szCs w:val="20"/>
                <w:lang w:val="en-IE"/>
              </w:rPr>
            </w:pPr>
            <w:bookmarkStart w:id="5" w:name="_Hlk160473280"/>
            <w:r w:rsidRPr="00077A1F">
              <w:rPr>
                <w:rFonts w:ascii="Arial Narrow" w:eastAsia="Aptos" w:hAnsi="Arial Narrow" w:cs="Times New Roman"/>
                <w:noProof/>
                <w:color w:val="006100"/>
                <w:sz w:val="20"/>
                <w:szCs w:val="20"/>
                <w:lang w:val="en-IE"/>
              </w:rPr>
              <w:t>Reform 1.11: Reduction of late payments by public administrations and health authorities</w:t>
            </w:r>
            <w:bookmarkEnd w:id="5"/>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C103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7A324"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Publication of information and data on payments made by the public administration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8A71A5"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Publication of information and data on payments made by the public administration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36B16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410D9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445A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0380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20A0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D831A6" w14:textId="77777777" w:rsidR="0039681A" w:rsidRPr="00077A1F" w:rsidDel="00B818E6"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 The following information shall be published in a dedicated webpage:</w:t>
            </w:r>
          </w:p>
          <w:p w14:paraId="0AF56521"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Explanation of the regulatory framework on payment times of commercial invoices of public administrations, including payment deadlines and remedies available for creditors in case of delayed payments;</w:t>
            </w:r>
          </w:p>
          <w:p w14:paraId="033562D5"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Analyses based on the monitoring of the payment times of the public administration;</w:t>
            </w:r>
          </w:p>
          <w:p w14:paraId="321D2F91"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Data on weighted average payment time, weighted average payment delay, ratio between the commercial amount paid and the commercial amount due, amount of commercial invoices, and amount of non-commercial invoices, updated quarterly, at least for spending Ministries, Regions/Autonomous Provinces, Municipalities, and local health authorities;</w:t>
            </w:r>
          </w:p>
          <w:p w14:paraId="24B68B45"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FAQs on payments by the public administration.</w:t>
            </w:r>
          </w:p>
          <w:p w14:paraId="0A09AC63"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The website of all spending Ministries shall have a link to the dedicated webpage.</w:t>
            </w:r>
          </w:p>
        </w:tc>
      </w:tr>
      <w:tr w:rsidR="0039681A" w:rsidRPr="0070054C" w14:paraId="35892EC6"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8812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M1C1-72sexies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00319A"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7BB8C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6BE62E"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 Final audit report of the Audit Plan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6A6EA5"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Transmission of the final audit report of the Audit Plan to the cabinet of the Ministry of Economy and Finance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3743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2DB49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75428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6B1D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61CC7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0F7F07" w14:textId="7A0AEF73" w:rsidR="0039681A" w:rsidRPr="00077A1F" w:rsidRDefault="0039681A" w:rsidP="008277DC">
            <w:pPr>
              <w:spacing w:after="0" w:line="257" w:lineRule="auto"/>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Transmission of the final audit report of the Audit Plan by the State Accountant General to the cabinet of the Ministry of Economy and Finance. The report shall contain the results of the audit activities</w:t>
            </w:r>
            <w:r w:rsidRPr="00077A1F">
              <w:rPr>
                <w:rFonts w:ascii="Arial Narrow" w:eastAsia="Arial Narrow" w:hAnsi="Arial Narrow" w:cs="Arial Narrow"/>
                <w:noProof/>
                <w:color w:val="006100"/>
                <w:sz w:val="20"/>
                <w:szCs w:val="20"/>
                <w:lang w:val="en-IE"/>
              </w:rPr>
              <w:t xml:space="preserve"> carried out by Q4 2025</w:t>
            </w:r>
            <w:r w:rsidRPr="00077A1F">
              <w:rPr>
                <w:rFonts w:ascii="Arial Narrow" w:eastAsia="Aptos" w:hAnsi="Arial Narrow" w:cs="Times New Roman"/>
                <w:noProof/>
                <w:color w:val="006100"/>
                <w:sz w:val="20"/>
                <w:szCs w:val="20"/>
                <w:lang w:val="en-IE"/>
              </w:rPr>
              <w:t>, including the corrective measures implemented by Q4 2025.</w:t>
            </w:r>
          </w:p>
        </w:tc>
      </w:tr>
      <w:tr w:rsidR="0039681A" w:rsidRPr="0070054C" w14:paraId="16DAE5AF"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D425B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8AC42"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54FB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BF32D5"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Entry into force of the reform of the Public Procurement Code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E070B" w14:textId="10910910"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Provision in the law indicating the entry into force of the Legislative-Decree to implement all the previsions of the delegation Law on the Reform of Public Procurement Code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311FF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4210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391E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5264D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F3CFA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72B01C"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Entry into force of the Legislative-Decree to implement all the previsions of the delegation Law to reform the Public Procurement Code.</w:t>
            </w:r>
          </w:p>
        </w:tc>
      </w:tr>
      <w:tr w:rsidR="0039681A" w:rsidRPr="0070054C" w14:paraId="27219E27"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AA374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185ED0"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FA233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268E2F"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Entry into force of all necessary implementing measures and secondary legislation for the reform on simplification of the public procurement code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2995AA"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Entry into force of all necessary implementing measures and secondary legislation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5F668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EC7B9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4D4A8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32247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ADE53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40203D"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Entry into force of all necessary implementing measures and secondary legislation for the reform/simplification of the public procurement system (also stemming from the revision of the Public Procurement Code).</w:t>
            </w:r>
          </w:p>
        </w:tc>
      </w:tr>
      <w:tr w:rsidR="0039681A" w:rsidRPr="0070054C" w14:paraId="6DFD64C6"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BCF76A" w14:textId="77777777" w:rsidR="0039681A" w:rsidRPr="00030506" w:rsidRDefault="0039681A" w:rsidP="00351087">
            <w:pPr>
              <w:spacing w:line="256" w:lineRule="auto"/>
              <w:jc w:val="center"/>
              <w:rPr>
                <w:rFonts w:ascii="Arial Narrow" w:eastAsia="Arial Narrow" w:hAnsi="Arial Narrow" w:cs="Arial Narrow"/>
                <w:noProof/>
                <w:color w:val="006100"/>
                <w:sz w:val="20"/>
                <w:szCs w:val="20"/>
              </w:rPr>
            </w:pPr>
            <w:r w:rsidRPr="00030506">
              <w:rPr>
                <w:rFonts w:ascii="Arial Narrow" w:eastAsia="Aptos" w:hAnsi="Arial Narrow" w:cs="Times New Roman"/>
                <w:noProof/>
                <w:color w:val="006100"/>
                <w:sz w:val="20"/>
              </w:rPr>
              <w:t>M1C1-73bis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6C6EA8" w14:textId="77777777" w:rsidR="0039681A" w:rsidRPr="00077A1F" w:rsidRDefault="0039681A" w:rsidP="00351087">
            <w:pPr>
              <w:spacing w:line="256" w:lineRule="auto"/>
              <w:jc w:val="center"/>
              <w:rPr>
                <w:rFonts w:ascii="Arial Narrow" w:eastAsia="Arial Narrow" w:hAnsi="Arial Narrow" w:cs="Arial Narrow"/>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DDF202" w14:textId="77777777" w:rsidR="0039681A" w:rsidRPr="00030506" w:rsidRDefault="0039681A" w:rsidP="00351087">
            <w:pPr>
              <w:spacing w:line="256" w:lineRule="auto"/>
              <w:jc w:val="center"/>
              <w:rPr>
                <w:rFonts w:ascii="Arial Narrow" w:eastAsia="Arial Narrow" w:hAnsi="Arial Narrow" w:cs="Arial Narrow"/>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99FB6F" w14:textId="77777777" w:rsidR="0039681A" w:rsidRPr="00077A1F" w:rsidRDefault="0039681A" w:rsidP="00351087">
            <w:pPr>
              <w:spacing w:beforeAutospacing="1" w:after="120" w:line="256" w:lineRule="auto"/>
              <w:jc w:val="center"/>
              <w:rPr>
                <w:rFonts w:ascii="Arial Narrow" w:eastAsia="Arial Narrow" w:hAnsi="Arial Narrow" w:cs="Arial Narrow"/>
                <w:noProof/>
                <w:color w:val="006100"/>
                <w:sz w:val="20"/>
                <w:szCs w:val="20"/>
                <w:lang w:val="en-IE"/>
              </w:rPr>
            </w:pPr>
            <w:r w:rsidRPr="00077A1F">
              <w:rPr>
                <w:rFonts w:ascii="Arial Narrow" w:eastAsia="Aptos" w:hAnsi="Arial Narrow" w:cs="Times New Roman"/>
                <w:noProof/>
                <w:color w:val="006100"/>
                <w:sz w:val="20"/>
                <w:lang w:val="en-IE"/>
              </w:rPr>
              <w:t>Adoption of a circular providing guidance on the qualification system for contracting authorities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FC0D1" w14:textId="77777777" w:rsidR="0039681A" w:rsidRPr="00077A1F" w:rsidRDefault="0039681A" w:rsidP="00351087">
            <w:pPr>
              <w:spacing w:beforeAutospacing="1" w:after="120" w:line="256" w:lineRule="auto"/>
              <w:jc w:val="center"/>
              <w:rPr>
                <w:rFonts w:ascii="Arial Narrow" w:eastAsia="Arial Narrow" w:hAnsi="Arial Narrow" w:cs="Arial Narrow"/>
                <w:noProof/>
                <w:color w:val="006100"/>
                <w:sz w:val="20"/>
                <w:szCs w:val="20"/>
                <w:lang w:val="en-IE"/>
              </w:rPr>
            </w:pPr>
            <w:r w:rsidRPr="00077A1F">
              <w:rPr>
                <w:rFonts w:ascii="Arial Narrow" w:eastAsia="Aptos" w:hAnsi="Arial Narrow" w:cs="Times New Roman"/>
                <w:noProof/>
                <w:color w:val="006100"/>
                <w:sz w:val="20"/>
                <w:lang w:val="en-IE"/>
              </w:rPr>
              <w:t>Adoption of a circular providing guidance on the qualification system for contracting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A4F68E" w14:textId="77777777" w:rsidR="0039681A" w:rsidRPr="00030506" w:rsidRDefault="0039681A" w:rsidP="00351087">
            <w:pPr>
              <w:spacing w:line="256" w:lineRule="auto"/>
              <w:jc w:val="center"/>
              <w:rPr>
                <w:rFonts w:ascii="Arial Narrow" w:eastAsia="Arial Narrow" w:hAnsi="Arial Narrow" w:cs="Arial Narrow"/>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937D42" w14:textId="77777777" w:rsidR="0039681A" w:rsidRPr="00030506" w:rsidRDefault="0039681A" w:rsidP="00351087">
            <w:pPr>
              <w:spacing w:line="256" w:lineRule="auto"/>
              <w:jc w:val="center"/>
              <w:rPr>
                <w:rFonts w:ascii="Arial Narrow" w:eastAsia="Arial Narrow" w:hAnsi="Arial Narrow" w:cs="Arial Narrow"/>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38EE06" w14:textId="77777777" w:rsidR="0039681A" w:rsidRPr="00030506" w:rsidRDefault="0039681A" w:rsidP="00351087">
            <w:pPr>
              <w:spacing w:line="256" w:lineRule="auto"/>
              <w:jc w:val="center"/>
              <w:rPr>
                <w:rFonts w:ascii="Arial Narrow" w:eastAsia="Arial Narrow" w:hAnsi="Arial Narrow" w:cs="Arial Narrow"/>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1013A0" w14:textId="77777777" w:rsidR="0039681A" w:rsidRPr="00030506" w:rsidRDefault="0039681A" w:rsidP="00351087">
            <w:pPr>
              <w:spacing w:line="256" w:lineRule="auto"/>
              <w:jc w:val="center"/>
              <w:rPr>
                <w:rFonts w:ascii="Arial Narrow" w:eastAsia="Arial Narrow" w:hAnsi="Arial Narrow" w:cs="Arial Narrow"/>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DCAD9" w14:textId="77777777" w:rsidR="0039681A" w:rsidRPr="00030506" w:rsidRDefault="0039681A" w:rsidP="00351087">
            <w:pPr>
              <w:spacing w:line="256" w:lineRule="auto"/>
              <w:jc w:val="center"/>
              <w:rPr>
                <w:rFonts w:ascii="Arial Narrow" w:eastAsia="Arial Narrow" w:hAnsi="Arial Narrow" w:cs="Arial Narrow"/>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BCBFD" w14:textId="77777777" w:rsidR="0039681A" w:rsidRPr="00077A1F" w:rsidRDefault="0039681A" w:rsidP="00351087">
            <w:pPr>
              <w:spacing w:beforeAutospacing="1" w:after="120" w:line="256" w:lineRule="auto"/>
              <w:rPr>
                <w:rFonts w:ascii="Arial Narrow" w:eastAsia="Arial Narrow" w:hAnsi="Arial Narrow" w:cs="Arial Narrow"/>
                <w:noProof/>
                <w:color w:val="006100"/>
                <w:sz w:val="20"/>
                <w:szCs w:val="20"/>
                <w:lang w:val="en-IE"/>
              </w:rPr>
            </w:pPr>
            <w:r w:rsidRPr="00077A1F">
              <w:rPr>
                <w:rFonts w:ascii="Arial Narrow" w:eastAsia="Aptos" w:hAnsi="Arial Narrow" w:cs="Times New Roman"/>
                <w:noProof/>
                <w:color w:val="006100"/>
                <w:sz w:val="20"/>
                <w:lang w:val="en-IE"/>
              </w:rPr>
              <w:t xml:space="preserve">Adoption, having consulted ANAC, of a circular providing guidance on the current applicable rules on qualification and centralization, to explain that qualification and/or the use of central purchasing bodies also for below thresholds awards are possible and advisable </w:t>
            </w:r>
          </w:p>
        </w:tc>
      </w:tr>
      <w:tr w:rsidR="0039681A" w:rsidRPr="0070054C" w14:paraId="7BF33E23"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10052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M1C1-73ter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A28182"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4F37FD" w14:textId="77777777" w:rsidR="0039681A" w:rsidRPr="00030506" w:rsidRDefault="0039681A" w:rsidP="00351087">
            <w:pPr>
              <w:spacing w:before="100" w:beforeAutospacing="1" w:after="120"/>
              <w:jc w:val="center"/>
              <w:rPr>
                <w:rFonts w:ascii="Arial Narrow" w:eastAsia="Aptos" w:hAnsi="Arial Narrow" w:cs="Arial"/>
                <w:noProof/>
                <w:color w:val="006100"/>
                <w:sz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239DA2" w14:textId="77777777" w:rsidR="0039681A" w:rsidRPr="00077A1F" w:rsidRDefault="0039681A" w:rsidP="00351087">
            <w:pPr>
              <w:spacing w:before="100" w:beforeAutospacing="1" w:after="120"/>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Incentives to qualification and professionalisation of contracting authorities.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631695" w14:textId="77777777" w:rsidR="0039681A" w:rsidRPr="00077A1F" w:rsidRDefault="0039681A" w:rsidP="00351087">
            <w:pPr>
              <w:spacing w:before="100" w:beforeAutospacing="1" w:after="120"/>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Analysis by the Cabina di Regia, publication of results of the participation in training activities and self-assessment exercises and adoption of initiatives and tools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63DF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637BB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8E705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9081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38E4B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AB8324"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Analysis by the Cabina di Regia (pursuant to Art. 221 of the Public Procurement Code), having consulted ANAC, of the effects of the application of the Public Procurement Code on: </w:t>
            </w:r>
          </w:p>
          <w:p w14:paraId="72D2F8AE" w14:textId="77777777" w:rsidR="0039681A" w:rsidRPr="00077A1F" w:rsidRDefault="0039681A" w:rsidP="00351087">
            <w:pPr>
              <w:numPr>
                <w:ilvl w:val="0"/>
                <w:numId w:val="27"/>
              </w:numPr>
              <w:spacing w:before="100" w:beforeAutospacing="1" w:after="120" w:line="240" w:lineRule="auto"/>
              <w:contextualSpacing/>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the number of qualified contracting authorities and centralised purchasing bodies; </w:t>
            </w:r>
          </w:p>
          <w:p w14:paraId="229B2E1D" w14:textId="77777777" w:rsidR="0039681A" w:rsidRPr="00077A1F" w:rsidRDefault="0039681A" w:rsidP="00351087">
            <w:pPr>
              <w:numPr>
                <w:ilvl w:val="0"/>
                <w:numId w:val="27"/>
              </w:numPr>
              <w:spacing w:before="100" w:beforeAutospacing="1" w:after="120" w:line="240" w:lineRule="auto"/>
              <w:contextualSpacing/>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the number and value of the public contracts managed by qualified contracting auhorities on their own behalf and on behalf of non-qualified entities; </w:t>
            </w:r>
          </w:p>
          <w:p w14:paraId="3644CE9A" w14:textId="77777777" w:rsidR="0039681A" w:rsidRPr="00077A1F" w:rsidRDefault="0039681A" w:rsidP="00351087">
            <w:pPr>
              <w:numPr>
                <w:ilvl w:val="0"/>
                <w:numId w:val="27"/>
              </w:numPr>
              <w:spacing w:before="100" w:beforeAutospacing="1" w:after="120" w:line="240" w:lineRule="auto"/>
              <w:contextualSpacing/>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the qualification exercise to improve the decision-making speed for the award of public contracts. </w:t>
            </w:r>
          </w:p>
          <w:p w14:paraId="08B6A90A"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xml:space="preserve">Publication of the results of the mapping of the participation by non-qualified entities to training activities and </w:t>
            </w:r>
            <w:r w:rsidRPr="00077A1F">
              <w:rPr>
                <w:rFonts w:ascii="Arial Narrow" w:eastAsia="Aptos" w:hAnsi="Arial Narrow" w:cs="Times New Roman"/>
                <w:noProof/>
                <w:color w:val="006100"/>
                <w:sz w:val="20"/>
                <w:szCs w:val="20"/>
                <w:lang w:val="en-IE"/>
              </w:rPr>
              <w:t xml:space="preserve">of </w:t>
            </w:r>
            <w:r w:rsidRPr="00077A1F">
              <w:rPr>
                <w:rFonts w:ascii="Arial Narrow" w:eastAsia="Aptos" w:hAnsi="Arial Narrow" w:cs="Times New Roman"/>
                <w:noProof/>
                <w:color w:val="006100"/>
                <w:sz w:val="20"/>
                <w:lang w:val="en-IE"/>
              </w:rPr>
              <w:t xml:space="preserve">self-assessment exercises. </w:t>
            </w:r>
          </w:p>
          <w:p w14:paraId="627F95DC"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Initiatives aimed at improving the qualification of contracting authorities, the reduction in fragmentation and the professionalisation of non-qualified entities, shall be adopted. </w:t>
            </w:r>
          </w:p>
          <w:p w14:paraId="53A4FFB9"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Instruments for technical/administrative support to contracting authorities shall be provided.</w:t>
            </w:r>
          </w:p>
        </w:tc>
      </w:tr>
      <w:tr w:rsidR="0039681A" w:rsidRPr="0070054C" w14:paraId="03E389AA"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A3AE1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M1C1-73quater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984A3"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423F7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89F221" w14:textId="77777777" w:rsidR="0039681A" w:rsidRPr="00077A1F" w:rsidRDefault="0039681A" w:rsidP="00351087">
            <w:pPr>
              <w:spacing w:before="100" w:beforeAutospacing="1" w:after="120"/>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Entry into force of guidelines on below-EU threshold procurement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AA86B" w14:textId="77777777" w:rsidR="0039681A" w:rsidRPr="00077A1F" w:rsidRDefault="0039681A" w:rsidP="00351087">
            <w:pPr>
              <w:spacing w:before="100" w:beforeAutospacing="1" w:after="120"/>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Entry into force of guidelines on below-EU threshold procurement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BBCED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FAC9E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20547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4813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ECFE3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E1F792"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Circular on below-EU threshold procurement adopted and published on the Italian Official Journal. The circular shall clarify that contracting authorities can use open and restricted procedures for below-EU threshold procurement.</w:t>
            </w:r>
          </w:p>
        </w:tc>
      </w:tr>
      <w:tr w:rsidR="0039681A" w:rsidRPr="0070054C" w14:paraId="019C9F35"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4E85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M1C1-73quinquies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24A8A"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2706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3F7C01" w14:textId="77777777" w:rsidR="0039681A" w:rsidRPr="00077A1F" w:rsidRDefault="0039681A" w:rsidP="00351087">
            <w:pPr>
              <w:spacing w:before="100" w:beforeAutospacing="1" w:after="120"/>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Entry into force of new legal provisions on project financing</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8528F9" w14:textId="77777777" w:rsidR="0039681A" w:rsidRPr="00077A1F" w:rsidRDefault="0039681A" w:rsidP="00351087">
            <w:pPr>
              <w:spacing w:before="100" w:beforeAutospacing="1" w:after="120"/>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Provision in the law indicating the entry into force of new legal provisions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81C6F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BB3BA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ECB03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31F8F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7F4C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6CEEA"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Entry into force of new legal provisions on project financing aimed at enhancing efficiency and competition, in particular to increase contestability of concessions.</w:t>
            </w:r>
          </w:p>
        </w:tc>
      </w:tr>
      <w:tr w:rsidR="0039681A" w:rsidRPr="0070054C" w14:paraId="7AA8965A"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94709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AF735A"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E8E85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25FE43"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Full operation of the National eProcurement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983413"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Availability of the functions defined in the feasibility study (to be elaborated as project Task 1)</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2674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123A8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5D64B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EE192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48928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298A39"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The National eProcurement System shall be operational and fully in line with EU Public Procurement Directives and include the full digitalization of procedures up to the contract execution (smart procurement), shall be interoperable with the management systems of the public administration, shall contain a digital habilitation of PO, auction sessions, machine learning to detect trends, CRMs with chatbots, digital engagement and status chain.</w:t>
            </w:r>
          </w:p>
        </w:tc>
      </w:tr>
      <w:tr w:rsidR="0039681A" w:rsidRPr="0070054C" w14:paraId="59FE3BE4"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CFF3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M1C1-75bis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236FE" w14:textId="35489803" w:rsidR="0039681A" w:rsidRPr="00077A1F" w:rsidRDefault="0039681A" w:rsidP="00775AC6">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Investment 1.10: Support to Qualification and eProcurement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6467B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ECCA13"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Support to Qualification and eProcurement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1123E2"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xml:space="preserve">Entry into service of the procurement support function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A349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DFA9F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88734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BB18A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AD786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F23C41"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A procurement support function shall be set up within the framework of the Public Buyers Professionalization Strategy. The procurement support function shall be dedicated to contracting authorities to fulfil the requirements of Annex II.4 of the Public Procurement Code and to support them in the eProcurement process, backing up the acquisition of digital skills and providing technical support in the adoption of the digitalization of public procurement, including the use of dynamic purchasing systems.</w:t>
            </w:r>
          </w:p>
        </w:tc>
      </w:tr>
      <w:tr w:rsidR="0039681A" w:rsidRPr="0070054C" w14:paraId="3A74C878"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C6F1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4EE0AE"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E61C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AF992"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Average number of days for the central public authorities 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D538D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F38CE4"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Weighted average payment time (in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70E46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F78B5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8E0A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FE11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A97E7" w14:textId="77777777" w:rsidR="0039681A" w:rsidRPr="00077A1F" w:rsidRDefault="0039681A" w:rsidP="00351087">
            <w:pPr>
              <w:spacing w:before="100" w:beforeAutospacing="1" w:after="0" w:line="240" w:lineRule="auto"/>
              <w:rPr>
                <w:rFonts w:ascii="Arial Narrow" w:eastAsia="Times New Roman" w:hAnsi="Arial Narrow" w:cs="Times New Roman"/>
                <w:noProof/>
                <w:color w:val="006100"/>
                <w:sz w:val="20"/>
                <w:szCs w:val="20"/>
                <w:lang w:val="en-IE" w:eastAsia="en-GB"/>
              </w:rPr>
            </w:pPr>
            <w:r w:rsidRPr="00077A1F">
              <w:rPr>
                <w:rFonts w:ascii="Arial Narrow" w:eastAsia="Aptos" w:hAnsi="Arial Narrow" w:cs="Times New Roman"/>
                <w:noProof/>
                <w:color w:val="006100"/>
                <w:sz w:val="20"/>
                <w:szCs w:val="20"/>
                <w:lang w:val="en-IE"/>
              </w:rPr>
              <w:t>Based on data from the Commercial Credit Platform (“Piattaforma Crediti Commerciali”) related to invoices issued in 2024, the following indicators for payments from central public authorities (</w:t>
            </w:r>
            <w:r w:rsidRPr="00077A1F">
              <w:rPr>
                <w:rFonts w:ascii="Arial Narrow" w:eastAsia="Aptos" w:hAnsi="Arial Narrow" w:cs="Times New Roman"/>
                <w:i/>
                <w:noProof/>
                <w:color w:val="006100"/>
                <w:sz w:val="20"/>
                <w:szCs w:val="20"/>
                <w:lang w:val="en-IE"/>
              </w:rPr>
              <w:t>Amministrazioni centrali</w:t>
            </w:r>
            <w:r w:rsidRPr="00077A1F">
              <w:rPr>
                <w:rFonts w:ascii="Arial Narrow" w:eastAsia="Aptos" w:hAnsi="Arial Narrow" w:cs="Times New Roman"/>
                <w:noProof/>
                <w:color w:val="006100"/>
                <w:sz w:val="20"/>
                <w:szCs w:val="20"/>
                <w:lang w:val="en-IE"/>
              </w:rPr>
              <w:t xml:space="preserve">) to businesses shall be: </w:t>
            </w:r>
          </w:p>
          <w:p w14:paraId="76125860" w14:textId="77777777" w:rsidR="0039681A" w:rsidRPr="00077A1F" w:rsidRDefault="0039681A" w:rsidP="00351087">
            <w:pPr>
              <w:spacing w:before="100" w:beforeAutospacing="1" w:after="0" w:line="240" w:lineRule="auto"/>
              <w:rPr>
                <w:rFonts w:ascii="Arial Narrow" w:eastAsia="Times New Roman" w:hAnsi="Arial Narrow" w:cs="Times New Roman"/>
                <w:noProof/>
                <w:color w:val="006100"/>
                <w:sz w:val="20"/>
                <w:szCs w:val="20"/>
                <w:lang w:val="en-IE" w:eastAsia="en-GB"/>
              </w:rPr>
            </w:pPr>
            <w:r w:rsidRPr="00077A1F">
              <w:rPr>
                <w:rFonts w:ascii="Arial Narrow" w:eastAsia="Aptos" w:hAnsi="Arial Narrow" w:cs="Times New Roman"/>
                <w:noProof/>
                <w:color w:val="006100"/>
                <w:sz w:val="20"/>
                <w:szCs w:val="20"/>
                <w:lang w:val="en-IE"/>
              </w:rPr>
              <w:t xml:space="preserve">- for the weighted average payment time (“tempo medio di pagamento ponderato”): at most 30 days; </w:t>
            </w:r>
          </w:p>
          <w:p w14:paraId="38D54473" w14:textId="77777777" w:rsidR="0039681A" w:rsidRPr="00077A1F" w:rsidRDefault="0039681A" w:rsidP="00351087">
            <w:pPr>
              <w:spacing w:before="100" w:beforeAutospacing="1" w:after="0" w:line="240" w:lineRule="auto"/>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xml:space="preserve">- for the weighted average payment delay (“tempo medio di ritardo ponderato”): at most 0 days. </w:t>
            </w:r>
          </w:p>
          <w:p w14:paraId="68AFC711" w14:textId="77777777" w:rsidR="0039681A" w:rsidRPr="00077A1F" w:rsidRDefault="0039681A" w:rsidP="00351087">
            <w:pPr>
              <w:spacing w:before="100" w:beforeAutospacing="1" w:after="0" w:line="240" w:lineRule="auto"/>
              <w:rPr>
                <w:rFonts w:ascii="Arial Narrow" w:eastAsia="Times New Roman" w:hAnsi="Arial Narrow" w:cs="Times New Roman"/>
                <w:b/>
                <w:noProof/>
                <w:color w:val="006100"/>
                <w:sz w:val="20"/>
                <w:szCs w:val="20"/>
                <w:lang w:val="en-IE" w:eastAsia="en-GB"/>
              </w:rPr>
            </w:pPr>
            <w:r w:rsidRPr="00077A1F">
              <w:rPr>
                <w:rFonts w:ascii="Arial Narrow" w:eastAsia="Aptos" w:hAnsi="Arial Narrow" w:cs="Times New Roman"/>
                <w:noProof/>
                <w:color w:val="006100"/>
                <w:sz w:val="20"/>
                <w:szCs w:val="20"/>
                <w:lang w:val="en-IE"/>
              </w:rPr>
              <w:t>Furthermore, the difference between the unweighted average payment time (“tempo medio di pagamento semplice”) and the weighted average payment time shall not exceed 20 days, unless the unweighted average payment time is below 30 days.</w:t>
            </w:r>
          </w:p>
        </w:tc>
      </w:tr>
      <w:tr w:rsidR="0039681A" w:rsidRPr="0070054C" w14:paraId="65AA1EF6"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B6FA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36F4CA"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59E02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F8C175"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Average number of days for the regional public authorities</w:t>
            </w:r>
            <w:r w:rsidRPr="00077A1F" w:rsidDel="006109CA">
              <w:rPr>
                <w:rFonts w:ascii="Arial Narrow" w:eastAsia="Aptos" w:hAnsi="Arial Narrow" w:cs="Times New Roman"/>
                <w:noProof/>
                <w:color w:val="006100"/>
                <w:sz w:val="20"/>
                <w:lang w:val="en-IE"/>
              </w:rPr>
              <w:t xml:space="preserve"> </w:t>
            </w:r>
            <w:r w:rsidRPr="00077A1F">
              <w:rPr>
                <w:rFonts w:ascii="Arial Narrow" w:eastAsia="Aptos" w:hAnsi="Arial Narrow" w:cs="Times New Roman"/>
                <w:noProof/>
                <w:color w:val="006100"/>
                <w:sz w:val="20"/>
                <w:lang w:val="en-IE"/>
              </w:rPr>
              <w:t>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2936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7E81FB"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Weighted average payment time (in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D5BA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C26EA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C246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AE847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1D011C" w14:textId="77777777" w:rsidR="0039681A" w:rsidRPr="00077A1F" w:rsidRDefault="0039681A" w:rsidP="00351087">
            <w:pPr>
              <w:spacing w:before="100" w:beforeAutospacing="1" w:after="0" w:line="240" w:lineRule="auto"/>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Based on data from the Commercial Credit Platform (“Piattaforma Crediti Commerciali”) related to invoices issued in 2024, the following indicators for payments from regional public authorities (</w:t>
            </w:r>
            <w:r w:rsidRPr="00077A1F">
              <w:rPr>
                <w:rFonts w:ascii="Arial Narrow" w:eastAsia="Aptos" w:hAnsi="Arial Narrow" w:cs="Times New Roman"/>
                <w:i/>
                <w:noProof/>
                <w:color w:val="006100"/>
                <w:sz w:val="20"/>
                <w:szCs w:val="20"/>
                <w:lang w:val="en-IE"/>
              </w:rPr>
              <w:t>Regioni - Province Autonome</w:t>
            </w:r>
            <w:r w:rsidRPr="00077A1F">
              <w:rPr>
                <w:rFonts w:ascii="Arial Narrow" w:eastAsia="Aptos" w:hAnsi="Arial Narrow" w:cs="Times New Roman"/>
                <w:noProof/>
                <w:color w:val="006100"/>
                <w:sz w:val="20"/>
                <w:szCs w:val="20"/>
                <w:lang w:val="en-IE"/>
              </w:rPr>
              <w:t>) to businesses shall be:</w:t>
            </w:r>
          </w:p>
          <w:p w14:paraId="5BC0390E" w14:textId="77777777" w:rsidR="0039681A" w:rsidRPr="00077A1F" w:rsidRDefault="0039681A" w:rsidP="00351087">
            <w:pPr>
              <w:numPr>
                <w:ilvl w:val="0"/>
                <w:numId w:val="28"/>
              </w:numPr>
              <w:spacing w:before="100" w:beforeAutospacing="1" w:after="0" w:line="240" w:lineRule="auto"/>
              <w:contextualSpacing/>
              <w:jc w:val="both"/>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for the weighted average payment</w:t>
            </w:r>
            <w:r w:rsidRPr="00077A1F">
              <w:rPr>
                <w:rFonts w:ascii="Aptos" w:eastAsia="Aptos" w:hAnsi="Aptos" w:cs="Times New Roman"/>
                <w:noProof/>
                <w:lang w:val="en-IE"/>
              </w:rPr>
              <w:t xml:space="preserve"> </w:t>
            </w:r>
            <w:r w:rsidRPr="00077A1F">
              <w:rPr>
                <w:rFonts w:ascii="Arial Narrow" w:eastAsia="Aptos" w:hAnsi="Arial Narrow" w:cs="Times New Roman"/>
                <w:noProof/>
                <w:color w:val="006100"/>
                <w:sz w:val="20"/>
                <w:lang w:val="en-IE"/>
              </w:rPr>
              <w:t xml:space="preserve">payment time (“tempo medio di pagamento ponderato”): at most 30 days; </w:t>
            </w:r>
          </w:p>
          <w:p w14:paraId="7859BC87" w14:textId="77777777" w:rsidR="0039681A" w:rsidRPr="00077A1F" w:rsidRDefault="0039681A" w:rsidP="00351087">
            <w:pPr>
              <w:numPr>
                <w:ilvl w:val="0"/>
                <w:numId w:val="28"/>
              </w:numPr>
              <w:spacing w:before="100" w:beforeAutospacing="1" w:after="120" w:line="240" w:lineRule="auto"/>
              <w:contextualSpacing/>
              <w:jc w:val="both"/>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for the weighted average payment delay (“tempo medio di ritardo ponderato”): at most 0 days.</w:t>
            </w:r>
          </w:p>
          <w:p w14:paraId="25A27D35" w14:textId="77777777" w:rsidR="0039681A" w:rsidRPr="00077A1F" w:rsidRDefault="0039681A" w:rsidP="00351087">
            <w:pPr>
              <w:spacing w:before="100" w:beforeAutospacing="1"/>
              <w:rPr>
                <w:rFonts w:ascii="Arial Narrow" w:eastAsia="Aptos" w:hAnsi="Arial Narrow" w:cs="Arial"/>
                <w:noProof/>
                <w:color w:val="006100"/>
                <w:sz w:val="20"/>
                <w:szCs w:val="20"/>
                <w:lang w:val="en-IE"/>
              </w:rPr>
            </w:pPr>
            <w:r w:rsidRPr="00077A1F">
              <w:rPr>
                <w:rFonts w:ascii="Arial Narrow" w:eastAsia="Aptos" w:hAnsi="Arial Narrow" w:cs="Arial"/>
                <w:noProof/>
                <w:color w:val="006100"/>
                <w:sz w:val="20"/>
                <w:szCs w:val="20"/>
                <w:lang w:val="en-IE"/>
              </w:rPr>
              <w:t>Furthermore, the difference between the unweighted average payment time (“tempo medio di pagamento semplice”) and the weighted average payment time shall not exceed 20 days, unless the unweighted average payment time is below 30 days.</w:t>
            </w:r>
          </w:p>
        </w:tc>
      </w:tr>
      <w:tr w:rsidR="0039681A" w:rsidRPr="0070054C" w14:paraId="58271CF6"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72B2D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M1C1-78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44868D"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AA6E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1403D"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Average number of days for the local public authorities</w:t>
            </w:r>
            <w:r w:rsidRPr="00077A1F" w:rsidDel="00C54956">
              <w:rPr>
                <w:rFonts w:ascii="Arial Narrow" w:eastAsia="Aptos" w:hAnsi="Arial Narrow" w:cs="Times New Roman"/>
                <w:noProof/>
                <w:color w:val="006100"/>
                <w:sz w:val="20"/>
                <w:lang w:val="en-IE"/>
              </w:rPr>
              <w:t xml:space="preserve"> </w:t>
            </w:r>
            <w:r w:rsidRPr="00077A1F">
              <w:rPr>
                <w:rFonts w:ascii="Arial Narrow" w:eastAsia="Aptos" w:hAnsi="Arial Narrow" w:cs="Times New Roman"/>
                <w:noProof/>
                <w:color w:val="006100"/>
                <w:sz w:val="20"/>
                <w:lang w:val="en-IE"/>
              </w:rPr>
              <w:t>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A1B9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61F307"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Weighted average payment time (in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55F0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0CA4A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16862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25189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D99A6" w14:textId="77777777" w:rsidR="0039681A" w:rsidRPr="00077A1F" w:rsidRDefault="0039681A" w:rsidP="00351087">
            <w:pPr>
              <w:spacing w:before="100" w:beforeAutospacing="1"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Based on data from the Commercial Credit Platform (“Piattaforma Crediti Commerciali”) related to invoices issued in 2024, the following indicators for payments from local public authorities (</w:t>
            </w:r>
            <w:r w:rsidRPr="00077A1F">
              <w:rPr>
                <w:rFonts w:ascii="Arial Narrow" w:eastAsia="Aptos" w:hAnsi="Arial Narrow" w:cs="Times New Roman"/>
                <w:i/>
                <w:noProof/>
                <w:color w:val="006100"/>
                <w:sz w:val="20"/>
                <w:szCs w:val="20"/>
                <w:lang w:val="en-IE"/>
              </w:rPr>
              <w:t>enti locali</w:t>
            </w:r>
            <w:r w:rsidRPr="00077A1F">
              <w:rPr>
                <w:rFonts w:ascii="Arial Narrow" w:eastAsia="Aptos" w:hAnsi="Arial Narrow" w:cs="Times New Roman"/>
                <w:noProof/>
                <w:color w:val="006100"/>
                <w:sz w:val="20"/>
                <w:szCs w:val="20"/>
                <w:lang w:val="en-IE"/>
              </w:rPr>
              <w:t>) to businesses shall be:</w:t>
            </w:r>
          </w:p>
          <w:p w14:paraId="6D6C36A4" w14:textId="77777777" w:rsidR="0039681A" w:rsidRPr="00077A1F" w:rsidRDefault="0039681A" w:rsidP="00351087">
            <w:pPr>
              <w:numPr>
                <w:ilvl w:val="0"/>
                <w:numId w:val="28"/>
              </w:numPr>
              <w:spacing w:before="100" w:beforeAutospacing="1" w:after="120" w:line="240" w:lineRule="auto"/>
              <w:contextualSpacing/>
              <w:jc w:val="both"/>
              <w:rPr>
                <w:rFonts w:ascii="Arial Narrow" w:eastAsia="Aptos" w:hAnsi="Arial Narrow" w:cs="Arial"/>
                <w:noProof/>
                <w:color w:val="006100"/>
                <w:sz w:val="20"/>
                <w:szCs w:val="20"/>
                <w:lang w:val="en-IE"/>
              </w:rPr>
            </w:pPr>
            <w:r w:rsidRPr="00077A1F">
              <w:rPr>
                <w:rFonts w:ascii="Arial Narrow" w:eastAsia="Aptos" w:hAnsi="Arial Narrow" w:cs="Arial"/>
                <w:noProof/>
                <w:color w:val="006100"/>
                <w:sz w:val="20"/>
                <w:szCs w:val="20"/>
                <w:lang w:val="en-IE"/>
              </w:rPr>
              <w:t>For the weighted average payment time (“tempo medio di pagamento ponderato”):</w:t>
            </w:r>
            <w:r w:rsidRPr="00077A1F">
              <w:rPr>
                <w:rFonts w:ascii="Arial Narrow" w:eastAsia="Aptos" w:hAnsi="Arial Narrow" w:cs="Times New Roman"/>
                <w:noProof/>
                <w:color w:val="006100"/>
                <w:sz w:val="20"/>
                <w:lang w:val="en-IE"/>
              </w:rPr>
              <w:t xml:space="preserve"> at most 30 days; </w:t>
            </w:r>
          </w:p>
          <w:p w14:paraId="6B791A67" w14:textId="77777777" w:rsidR="0039681A" w:rsidRPr="00077A1F" w:rsidRDefault="0039681A" w:rsidP="00351087">
            <w:pPr>
              <w:numPr>
                <w:ilvl w:val="0"/>
                <w:numId w:val="28"/>
              </w:numPr>
              <w:spacing w:before="100" w:beforeAutospacing="1" w:after="120" w:line="240" w:lineRule="auto"/>
              <w:contextualSpacing/>
              <w:jc w:val="both"/>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for the weighted average payment delay (“tempo medio di ritardo ponderato”): at most 0 days.</w:t>
            </w:r>
          </w:p>
          <w:p w14:paraId="1FF6BFC1" w14:textId="77777777" w:rsidR="0039681A" w:rsidRPr="00077A1F" w:rsidRDefault="0039681A" w:rsidP="00351087">
            <w:pPr>
              <w:spacing w:before="100" w:beforeAutospacing="1"/>
              <w:rPr>
                <w:rFonts w:ascii="Arial Narrow" w:eastAsia="Aptos" w:hAnsi="Arial Narrow" w:cs="Arial"/>
                <w:noProof/>
                <w:color w:val="006100"/>
                <w:sz w:val="20"/>
                <w:szCs w:val="20"/>
                <w:lang w:val="en-IE"/>
              </w:rPr>
            </w:pPr>
            <w:r w:rsidRPr="00077A1F">
              <w:rPr>
                <w:rFonts w:ascii="Arial Narrow" w:eastAsia="Aptos" w:hAnsi="Arial Narrow" w:cs="Arial"/>
                <w:noProof/>
                <w:color w:val="006100"/>
                <w:sz w:val="20"/>
                <w:szCs w:val="20"/>
                <w:lang w:val="en-IE"/>
              </w:rPr>
              <w:t>Furthermore, the difference between the unweighted average payment time (“tempo medio di pagamento semplice”) and the weighted average payment time shall not exceed 20 days, unless the unweighted average payment time is below 30 days.</w:t>
            </w:r>
          </w:p>
        </w:tc>
      </w:tr>
      <w:tr w:rsidR="0039681A" w:rsidRPr="0070054C" w14:paraId="57431C85"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8EFF01" w14:textId="77777777" w:rsidR="0039681A" w:rsidRPr="00030506" w:rsidRDefault="0039681A" w:rsidP="00351087">
            <w:pPr>
              <w:jc w:val="center"/>
              <w:rPr>
                <w:rFonts w:ascii="Arial Narrow" w:eastAsia="Aptos" w:hAnsi="Arial Narrow" w:cs="Arial"/>
                <w:noProof/>
                <w:color w:val="006100"/>
                <w:sz w:val="20"/>
                <w:szCs w:val="20"/>
              </w:rPr>
            </w:pPr>
            <w:r w:rsidRPr="00030506" w:rsidDel="00C54956">
              <w:rPr>
                <w:rFonts w:ascii="Arial Narrow" w:eastAsia="Aptos" w:hAnsi="Arial Narrow" w:cs="Times New Roman"/>
                <w:noProof/>
                <w:color w:val="006100"/>
                <w:sz w:val="20"/>
              </w:rPr>
              <w:t>M1C1-79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D9A9F2"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sidDel="00C54956">
              <w:rPr>
                <w:rFonts w:ascii="Arial Narrow" w:eastAsia="Aptos" w:hAnsi="Arial Narrow" w:cs="Times New Roman"/>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5987FF" w14:textId="77777777" w:rsidR="0039681A" w:rsidRPr="00030506" w:rsidRDefault="0039681A" w:rsidP="00351087">
            <w:pPr>
              <w:jc w:val="center"/>
              <w:rPr>
                <w:rFonts w:ascii="Arial Narrow" w:eastAsia="Aptos" w:hAnsi="Arial Narrow" w:cs="Arial"/>
                <w:noProof/>
                <w:color w:val="006100"/>
                <w:sz w:val="20"/>
                <w:szCs w:val="20"/>
              </w:rPr>
            </w:pPr>
            <w:r w:rsidRPr="00030506" w:rsidDel="00C5495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32EBC"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sidDel="00C54956">
              <w:rPr>
                <w:rFonts w:ascii="Arial Narrow" w:eastAsia="Aptos" w:hAnsi="Arial Narrow" w:cs="Times New Roman"/>
                <w:noProof/>
                <w:color w:val="006100"/>
                <w:sz w:val="20"/>
                <w:lang w:val="en-IE"/>
              </w:rPr>
              <w:t xml:space="preserve">Average number of days for </w:t>
            </w:r>
            <w:r w:rsidRPr="00077A1F">
              <w:rPr>
                <w:rFonts w:ascii="Arial Narrow" w:eastAsia="Aptos" w:hAnsi="Arial Narrow" w:cs="Times New Roman"/>
                <w:noProof/>
                <w:color w:val="006100"/>
                <w:sz w:val="20"/>
                <w:lang w:val="en-IE"/>
              </w:rPr>
              <w:t xml:space="preserve">public </w:t>
            </w:r>
            <w:r w:rsidRPr="00077A1F" w:rsidDel="00C54956">
              <w:rPr>
                <w:rFonts w:ascii="Arial Narrow" w:eastAsia="Aptos" w:hAnsi="Arial Narrow" w:cs="Times New Roman"/>
                <w:noProof/>
                <w:color w:val="006100"/>
                <w:sz w:val="20"/>
                <w:lang w:val="en-IE"/>
              </w:rPr>
              <w:t xml:space="preserve">health </w:t>
            </w:r>
            <w:r w:rsidRPr="00077A1F">
              <w:rPr>
                <w:rFonts w:ascii="Arial Narrow" w:eastAsia="Aptos" w:hAnsi="Arial Narrow" w:cs="Times New Roman"/>
                <w:noProof/>
                <w:color w:val="006100"/>
                <w:sz w:val="20"/>
                <w:lang w:val="en-IE"/>
              </w:rPr>
              <w:t xml:space="preserve">authorities </w:t>
            </w:r>
            <w:r w:rsidRPr="00077A1F" w:rsidDel="00C54956">
              <w:rPr>
                <w:rFonts w:ascii="Arial Narrow" w:eastAsia="Aptos" w:hAnsi="Arial Narrow" w:cs="Times New Roman"/>
                <w:noProof/>
                <w:color w:val="006100"/>
                <w:sz w:val="20"/>
                <w:lang w:val="en-IE"/>
              </w:rPr>
              <w:t>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E4A7C2" w14:textId="77777777" w:rsidR="0039681A" w:rsidRPr="00030506" w:rsidRDefault="0039681A" w:rsidP="00351087">
            <w:pPr>
              <w:jc w:val="center"/>
              <w:rPr>
                <w:rFonts w:ascii="Arial Narrow" w:eastAsia="Aptos" w:hAnsi="Arial Narrow" w:cs="Arial"/>
                <w:noProof/>
                <w:color w:val="006100"/>
                <w:sz w:val="20"/>
                <w:szCs w:val="20"/>
              </w:rPr>
            </w:pPr>
            <w:r w:rsidRPr="00030506" w:rsidDel="00C5495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47F90" w14:textId="77777777" w:rsidR="0039681A" w:rsidRPr="00077A1F" w:rsidRDefault="0039681A" w:rsidP="00351087">
            <w:pPr>
              <w:rPr>
                <w:rFonts w:ascii="Arial Narrow" w:eastAsia="Aptos" w:hAnsi="Arial Narrow" w:cs="Arial"/>
                <w:noProof/>
                <w:color w:val="006100"/>
                <w:sz w:val="20"/>
                <w:szCs w:val="20"/>
                <w:lang w:val="en-IE"/>
              </w:rPr>
            </w:pPr>
            <w:r w:rsidRPr="00077A1F" w:rsidDel="00C54956">
              <w:rPr>
                <w:rFonts w:ascii="Arial Narrow" w:eastAsia="Aptos" w:hAnsi="Arial Narrow" w:cs="Times New Roman"/>
                <w:noProof/>
                <w:color w:val="006100"/>
                <w:sz w:val="20"/>
                <w:lang w:val="en-IE"/>
              </w:rPr>
              <w:t>Weighted average payment time</w:t>
            </w:r>
            <w:r w:rsidRPr="00077A1F">
              <w:rPr>
                <w:rFonts w:ascii="Arial Narrow" w:eastAsia="Aptos" w:hAnsi="Arial Narrow" w:cs="Times New Roman"/>
                <w:noProof/>
                <w:color w:val="006100"/>
                <w:sz w:val="20"/>
                <w:lang w:val="en-IE"/>
              </w:rPr>
              <w:t xml:space="preserve"> </w:t>
            </w:r>
            <w:r w:rsidRPr="00077A1F" w:rsidDel="00C54956">
              <w:rPr>
                <w:rFonts w:ascii="Arial Narrow" w:eastAsia="Aptos" w:hAnsi="Arial Narrow" w:cs="Times New Roman"/>
                <w:noProof/>
                <w:color w:val="006100"/>
                <w:sz w:val="20"/>
                <w:lang w:val="en-IE"/>
              </w:rPr>
              <w:t>(in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E9918" w14:textId="77777777" w:rsidR="0039681A" w:rsidRPr="00030506" w:rsidRDefault="0039681A" w:rsidP="00351087">
            <w:pPr>
              <w:jc w:val="center"/>
              <w:rPr>
                <w:rFonts w:ascii="Arial Narrow" w:eastAsia="Aptos" w:hAnsi="Arial Narrow" w:cs="Arial"/>
                <w:noProof/>
                <w:color w:val="006100"/>
                <w:sz w:val="20"/>
                <w:szCs w:val="20"/>
              </w:rPr>
            </w:pPr>
            <w:r w:rsidRPr="00030506" w:rsidDel="00C5495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640922" w14:textId="77777777" w:rsidR="0039681A" w:rsidRPr="00030506" w:rsidRDefault="0039681A" w:rsidP="00351087">
            <w:pPr>
              <w:jc w:val="center"/>
              <w:rPr>
                <w:rFonts w:ascii="Arial Narrow" w:eastAsia="Aptos" w:hAnsi="Arial Narrow" w:cs="Arial"/>
                <w:noProof/>
                <w:color w:val="006100"/>
                <w:sz w:val="20"/>
                <w:szCs w:val="20"/>
              </w:rPr>
            </w:pPr>
            <w:r w:rsidRPr="00030506" w:rsidDel="00C54956">
              <w:rPr>
                <w:rFonts w:ascii="Arial Narrow" w:eastAsia="Aptos" w:hAnsi="Arial Narrow" w:cs="Times New Roman"/>
                <w:noProof/>
                <w:color w:val="006100"/>
                <w:sz w:val="20"/>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BF27E7" w14:textId="77777777" w:rsidR="0039681A" w:rsidRPr="00030506" w:rsidRDefault="0039681A" w:rsidP="00351087">
            <w:pPr>
              <w:jc w:val="center"/>
              <w:rPr>
                <w:rFonts w:ascii="Arial Narrow" w:eastAsia="Aptos" w:hAnsi="Arial Narrow" w:cs="Arial"/>
                <w:noProof/>
                <w:color w:val="006100"/>
                <w:sz w:val="20"/>
                <w:szCs w:val="20"/>
              </w:rPr>
            </w:pPr>
            <w:r w:rsidRPr="00030506" w:rsidDel="00C5495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6ABEDB" w14:textId="77777777" w:rsidR="0039681A" w:rsidRPr="00030506" w:rsidRDefault="0039681A" w:rsidP="00351087">
            <w:pPr>
              <w:jc w:val="center"/>
              <w:rPr>
                <w:rFonts w:ascii="Arial Narrow" w:eastAsia="Aptos" w:hAnsi="Arial Narrow" w:cs="Arial"/>
                <w:noProof/>
                <w:color w:val="006100"/>
                <w:sz w:val="20"/>
                <w:szCs w:val="20"/>
              </w:rPr>
            </w:pPr>
            <w:r w:rsidRPr="00030506" w:rsidDel="00C5495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28ADA6" w14:textId="77777777" w:rsidR="0039681A" w:rsidRPr="00077A1F" w:rsidRDefault="0039681A" w:rsidP="00351087">
            <w:pPr>
              <w:spacing w:before="100" w:beforeAutospacing="1" w:after="120"/>
              <w:rPr>
                <w:rFonts w:ascii="Arial Narrow" w:eastAsia="Aptos" w:hAnsi="Arial Narrow" w:cs="Times New Roman"/>
                <w:noProof/>
                <w:color w:val="006100"/>
                <w:sz w:val="20"/>
                <w:szCs w:val="20"/>
                <w:lang w:val="en-IE"/>
              </w:rPr>
            </w:pPr>
            <w:r w:rsidRPr="00077A1F" w:rsidDel="00C54956">
              <w:rPr>
                <w:rFonts w:ascii="Arial Narrow" w:eastAsia="Aptos" w:hAnsi="Arial Narrow" w:cs="Times New Roman"/>
                <w:noProof/>
                <w:color w:val="006100"/>
                <w:sz w:val="20"/>
                <w:szCs w:val="20"/>
                <w:lang w:val="en-IE"/>
              </w:rPr>
              <w:t xml:space="preserve">Based on </w:t>
            </w:r>
            <w:r w:rsidRPr="00077A1F">
              <w:rPr>
                <w:rFonts w:ascii="Arial Narrow" w:eastAsia="Aptos" w:hAnsi="Arial Narrow" w:cs="Times New Roman"/>
                <w:noProof/>
                <w:color w:val="006100"/>
                <w:sz w:val="20"/>
                <w:szCs w:val="20"/>
                <w:lang w:val="en-IE"/>
              </w:rPr>
              <w:t xml:space="preserve">data from the </w:t>
            </w:r>
            <w:r w:rsidRPr="00077A1F" w:rsidDel="00C54956">
              <w:rPr>
                <w:rFonts w:ascii="Arial Narrow" w:eastAsia="Aptos" w:hAnsi="Arial Narrow" w:cs="Times New Roman"/>
                <w:noProof/>
                <w:color w:val="006100"/>
                <w:sz w:val="20"/>
                <w:szCs w:val="20"/>
                <w:lang w:val="en-IE"/>
              </w:rPr>
              <w:t xml:space="preserve">Commercial Credit Platform </w:t>
            </w:r>
            <w:r w:rsidRPr="00077A1F">
              <w:rPr>
                <w:rFonts w:ascii="Arial Narrow" w:eastAsia="Aptos" w:hAnsi="Arial Narrow" w:cs="Times New Roman"/>
                <w:noProof/>
                <w:color w:val="006100"/>
                <w:sz w:val="20"/>
                <w:szCs w:val="20"/>
                <w:lang w:val="en-IE"/>
              </w:rPr>
              <w:t>(“Piattaforma Crediti Commerciali”</w:t>
            </w:r>
            <w:r w:rsidRPr="00077A1F" w:rsidDel="00C54956">
              <w:rPr>
                <w:rFonts w:ascii="Arial Narrow" w:eastAsia="Aptos" w:hAnsi="Arial Narrow" w:cs="Times New Roman"/>
                <w:noProof/>
                <w:color w:val="006100"/>
                <w:sz w:val="20"/>
                <w:szCs w:val="20"/>
                <w:lang w:val="en-IE"/>
              </w:rPr>
              <w:t>)</w:t>
            </w:r>
            <w:r w:rsidRPr="00077A1F">
              <w:rPr>
                <w:rFonts w:ascii="Arial Narrow" w:eastAsia="Aptos" w:hAnsi="Arial Narrow" w:cs="Times New Roman"/>
                <w:noProof/>
                <w:color w:val="006100"/>
                <w:sz w:val="20"/>
                <w:szCs w:val="20"/>
                <w:lang w:val="en-IE"/>
              </w:rPr>
              <w:t xml:space="preserve"> related to invoices issued in 2024</w:t>
            </w:r>
            <w:r w:rsidRPr="00077A1F" w:rsidDel="00C54956">
              <w:rPr>
                <w:rFonts w:ascii="Arial Narrow" w:eastAsia="Aptos" w:hAnsi="Arial Narrow" w:cs="Times New Roman"/>
                <w:noProof/>
                <w:color w:val="006100"/>
                <w:sz w:val="20"/>
                <w:szCs w:val="20"/>
                <w:lang w:val="en-IE"/>
              </w:rPr>
              <w:t xml:space="preserve">, the </w:t>
            </w:r>
            <w:r w:rsidRPr="00077A1F">
              <w:rPr>
                <w:rFonts w:ascii="Arial Narrow" w:eastAsia="Aptos" w:hAnsi="Arial Narrow" w:cs="Times New Roman"/>
                <w:noProof/>
                <w:color w:val="006100"/>
                <w:sz w:val="20"/>
                <w:szCs w:val="20"/>
                <w:lang w:val="en-IE"/>
              </w:rPr>
              <w:t>following indicators for payments from</w:t>
            </w:r>
            <w:r w:rsidRPr="00077A1F" w:rsidDel="00C54956">
              <w:rPr>
                <w:rFonts w:ascii="Arial Narrow" w:eastAsia="Aptos" w:hAnsi="Arial Narrow" w:cs="Times New Roman"/>
                <w:noProof/>
                <w:color w:val="006100"/>
                <w:sz w:val="20"/>
                <w:szCs w:val="20"/>
                <w:lang w:val="en-IE"/>
              </w:rPr>
              <w:t xml:space="preserve"> </w:t>
            </w:r>
            <w:r w:rsidRPr="00077A1F">
              <w:rPr>
                <w:rFonts w:ascii="Arial Narrow" w:eastAsia="Aptos" w:hAnsi="Arial Narrow" w:cs="Times New Roman"/>
                <w:noProof/>
                <w:color w:val="006100"/>
                <w:sz w:val="20"/>
                <w:szCs w:val="20"/>
                <w:lang w:val="en-IE"/>
              </w:rPr>
              <w:t xml:space="preserve">public </w:t>
            </w:r>
            <w:r w:rsidRPr="00077A1F" w:rsidDel="00C54956">
              <w:rPr>
                <w:rFonts w:ascii="Arial Narrow" w:eastAsia="Aptos" w:hAnsi="Arial Narrow" w:cs="Times New Roman"/>
                <w:noProof/>
                <w:color w:val="006100"/>
                <w:sz w:val="20"/>
                <w:szCs w:val="20"/>
                <w:lang w:val="en-IE"/>
              </w:rPr>
              <w:t>health authorities (</w:t>
            </w:r>
            <w:r w:rsidRPr="00077A1F" w:rsidDel="00C54956">
              <w:rPr>
                <w:rFonts w:ascii="Arial Narrow" w:eastAsia="Aptos" w:hAnsi="Arial Narrow" w:cs="Times New Roman"/>
                <w:i/>
                <w:noProof/>
                <w:color w:val="006100"/>
                <w:sz w:val="20"/>
                <w:szCs w:val="20"/>
                <w:lang w:val="en-IE"/>
              </w:rPr>
              <w:t>enti del Servizio sanitario nazionale</w:t>
            </w:r>
            <w:r w:rsidRPr="00077A1F" w:rsidDel="00C54956">
              <w:rPr>
                <w:rFonts w:ascii="Arial Narrow" w:eastAsia="Aptos" w:hAnsi="Arial Narrow" w:cs="Times New Roman"/>
                <w:noProof/>
                <w:color w:val="006100"/>
                <w:sz w:val="20"/>
                <w:szCs w:val="20"/>
                <w:lang w:val="en-IE"/>
              </w:rPr>
              <w:t>) to businesses shall be</w:t>
            </w:r>
            <w:r w:rsidRPr="00077A1F">
              <w:rPr>
                <w:rFonts w:ascii="Arial Narrow" w:eastAsia="Aptos" w:hAnsi="Arial Narrow" w:cs="Times New Roman"/>
                <w:noProof/>
                <w:color w:val="006100"/>
                <w:sz w:val="20"/>
                <w:szCs w:val="20"/>
                <w:lang w:val="en-IE"/>
              </w:rPr>
              <w:t>:</w:t>
            </w:r>
          </w:p>
          <w:p w14:paraId="1D9AAE32" w14:textId="77777777" w:rsidR="0039681A" w:rsidRPr="00077A1F" w:rsidRDefault="0039681A" w:rsidP="00351087">
            <w:pPr>
              <w:spacing w:beforeAutospacing="1"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xml:space="preserve">- for the weighted average payment time (“tempo medio di pagamento ponderato”): at most 60 days; </w:t>
            </w:r>
          </w:p>
          <w:p w14:paraId="5219756D" w14:textId="77777777" w:rsidR="0039681A" w:rsidRPr="00077A1F" w:rsidRDefault="0039681A" w:rsidP="00351087">
            <w:pPr>
              <w:spacing w:beforeAutospacing="1"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xml:space="preserve">- for the weighted average payment delay (“tempo medio di ritardo ponderato”): at most 0 days; </w:t>
            </w:r>
          </w:p>
          <w:p w14:paraId="35BAB874" w14:textId="77777777" w:rsidR="0039681A" w:rsidRPr="00077A1F" w:rsidRDefault="0039681A" w:rsidP="00351087">
            <w:pPr>
              <w:spacing w:beforeAutospacing="1" w:after="120"/>
              <w:rPr>
                <w:rFonts w:ascii="Arial Narrow" w:eastAsia="Aptos" w:hAnsi="Arial Narrow" w:cs="Arial"/>
                <w:noProof/>
                <w:color w:val="006100"/>
                <w:sz w:val="20"/>
                <w:szCs w:val="20"/>
                <w:lang w:val="en-IE"/>
              </w:rPr>
            </w:pPr>
            <w:r w:rsidRPr="00077A1F">
              <w:rPr>
                <w:rFonts w:ascii="Arial Narrow" w:eastAsia="Aptos" w:hAnsi="Arial Narrow" w:cs="Arial"/>
                <w:noProof/>
                <w:color w:val="006100"/>
                <w:sz w:val="20"/>
                <w:szCs w:val="20"/>
                <w:lang w:val="en-IE"/>
              </w:rPr>
              <w:t xml:space="preserve">Furthermore, the difference between </w:t>
            </w:r>
            <w:r w:rsidRPr="00077A1F">
              <w:rPr>
                <w:rFonts w:ascii="Arial Narrow" w:eastAsia="Aptos" w:hAnsi="Arial Narrow" w:cs="Times New Roman"/>
                <w:noProof/>
                <w:color w:val="006100"/>
                <w:sz w:val="20"/>
                <w:szCs w:val="20"/>
                <w:lang w:val="en-IE"/>
              </w:rPr>
              <w:t xml:space="preserve">the unweighted average payment time (“tempo medio di pagamento semplice”) and the weighted average payment time </w:t>
            </w:r>
            <w:r w:rsidRPr="00077A1F">
              <w:rPr>
                <w:rFonts w:ascii="Arial Narrow" w:eastAsia="Aptos" w:hAnsi="Arial Narrow" w:cs="Arial"/>
                <w:noProof/>
                <w:color w:val="006100"/>
                <w:sz w:val="20"/>
                <w:szCs w:val="20"/>
                <w:lang w:val="en-IE"/>
              </w:rPr>
              <w:t>shall not exceed 30 days, unless the unweighted average payment time is below 60 days.</w:t>
            </w:r>
          </w:p>
        </w:tc>
      </w:tr>
      <w:tr w:rsidR="0039681A" w:rsidRPr="0070054C" w14:paraId="2D16754F"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AA071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M1C1-84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DFB37C"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56E9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183AE"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Average time between the publication and the contract award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4593B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407D5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6474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139</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BA521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C965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4FB0B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A352B"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Based on the methods adopted by the EU Official Journal (TED database), using data from IT National database for public contracts (BDNCP), managed by ANAC, the average time between the deadline for the submission of tenders and the contract award shall be reduced to less than 100 days for contracts above the thresholds of the EU public procurement directives. </w:t>
            </w:r>
          </w:p>
        </w:tc>
      </w:tr>
      <w:tr w:rsidR="0039681A" w:rsidRPr="0070054C" w14:paraId="59B2B4FF"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9F248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M1C1-84bis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48234E"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7F5B4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DC8003"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Measures to improve decision speed in contract award of contracting authorities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27E428"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Adoption of measures related to decision speed</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8B00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3663D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A14B1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B2B6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4C7A5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E1B5E"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The Cabina di regia, pursuant to article. 221 of the Code of Public Contracts, having consulted ANAC, shall adopt:</w:t>
            </w:r>
          </w:p>
          <w:p w14:paraId="786CD517"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-an analysis evaluating the impact of the eProcurement on the timeline</w:t>
            </w:r>
            <w:r w:rsidRPr="00077A1F" w:rsidDel="00797973">
              <w:rPr>
                <w:rFonts w:ascii="Arial Narrow" w:eastAsia="Aptos" w:hAnsi="Arial Narrow" w:cs="Times New Roman"/>
                <w:noProof/>
                <w:color w:val="006100"/>
                <w:sz w:val="20"/>
                <w:szCs w:val="20"/>
                <w:lang w:val="en-IE"/>
              </w:rPr>
              <w:t xml:space="preserve"> </w:t>
            </w:r>
            <w:r w:rsidRPr="00077A1F">
              <w:rPr>
                <w:rFonts w:ascii="Arial Narrow" w:eastAsia="Aptos" w:hAnsi="Arial Narrow" w:cs="Times New Roman"/>
                <w:noProof/>
                <w:color w:val="006100"/>
                <w:sz w:val="20"/>
                <w:szCs w:val="20"/>
                <w:lang w:val="en-IE"/>
              </w:rPr>
              <w:t>for contract award, from the deadline for the submission of tenders to the signature of the contract;</w:t>
            </w:r>
          </w:p>
          <w:p w14:paraId="0237BB6F"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-a report on the 2024 data for the TED indicator “Decision speed”; “Decision speed” means the time between the deadline for the submission of tenders and the date of signature of the contract; </w:t>
            </w:r>
          </w:p>
          <w:p w14:paraId="2F1E5057" w14:textId="77777777" w:rsidR="0039681A" w:rsidRPr="00077A1F" w:rsidRDefault="0039681A" w:rsidP="00351087">
            <w:pPr>
              <w:spacing w:before="100" w:beforeAutospacing="1"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a report on contracting authorities’ best practices aimed at shortening contract award timeline and on the initiatives to reduce the decision speed time.</w:t>
            </w:r>
          </w:p>
          <w:p w14:paraId="38FCEA3B"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Qualified contracting authorities whose average decision-making speed is greater than 160 days in TED shall be required to implement corrective actions. </w:t>
            </w:r>
          </w:p>
        </w:tc>
      </w:tr>
      <w:tr w:rsidR="0039681A" w:rsidRPr="0070054C" w14:paraId="2477EFA2"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6732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M1C1-85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B8052"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6A0A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8D2E55"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Average time between the contract award and the realization of the infrastructure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3757A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2AADB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6E53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5A2B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5F1D1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AFAE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94990" w14:textId="5D06108A"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The average time between the award of the contract and the realization of the infrastructure (‘executive phase’) shall be reduced by at least 10% on the basis of a comparison between (i) the works awarded between 1 January and 31</w:t>
            </w:r>
            <w:r w:rsidR="008277DC">
              <w:rPr>
                <w:rFonts w:ascii="Arial Narrow" w:eastAsia="Aptos" w:hAnsi="Arial Narrow" w:cs="Times New Roman"/>
                <w:noProof/>
                <w:color w:val="006100"/>
                <w:sz w:val="20"/>
                <w:szCs w:val="20"/>
                <w:lang w:val="en-IE"/>
              </w:rPr>
              <w:t> </w:t>
            </w:r>
            <w:r w:rsidRPr="00077A1F">
              <w:rPr>
                <w:rFonts w:ascii="Arial Narrow" w:eastAsia="Aptos" w:hAnsi="Arial Narrow" w:cs="Times New Roman"/>
                <w:noProof/>
                <w:color w:val="006100"/>
                <w:sz w:val="20"/>
                <w:szCs w:val="20"/>
                <w:lang w:val="en-IE"/>
              </w:rPr>
              <w:t>December 2019, and concluded by 30</w:t>
            </w:r>
            <w:r w:rsidR="008277DC">
              <w:rPr>
                <w:rFonts w:ascii="Arial Narrow" w:eastAsia="Aptos" w:hAnsi="Arial Narrow" w:cs="Times New Roman"/>
                <w:noProof/>
                <w:color w:val="006100"/>
                <w:sz w:val="20"/>
                <w:szCs w:val="20"/>
                <w:lang w:val="en-IE"/>
              </w:rPr>
              <w:t> </w:t>
            </w:r>
            <w:r w:rsidRPr="00077A1F">
              <w:rPr>
                <w:rFonts w:ascii="Arial Narrow" w:eastAsia="Aptos" w:hAnsi="Arial Narrow" w:cs="Times New Roman"/>
                <w:noProof/>
                <w:color w:val="006100"/>
                <w:sz w:val="20"/>
                <w:szCs w:val="20"/>
                <w:lang w:val="en-IE"/>
              </w:rPr>
              <w:t>June 2021, and (ii) the works awarded between 1 July 2021 and 30 June 2022, and concluded by 31 December 2023.</w:t>
            </w:r>
          </w:p>
        </w:tc>
      </w:tr>
      <w:tr w:rsidR="0039681A" w:rsidRPr="0070054C" w14:paraId="31BFB9A4"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0D6EB"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M1C1-86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B1D0A2" w14:textId="77777777" w:rsidR="0039681A" w:rsidRPr="00077A1F" w:rsidRDefault="0039681A" w:rsidP="00351087">
            <w:pPr>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9DB9D4"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EF846" w14:textId="77777777" w:rsidR="0039681A" w:rsidRPr="00077A1F" w:rsidRDefault="0039681A" w:rsidP="00351087">
            <w:pPr>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Civil servants trained through the Public Buyers Professionalization Strategy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B74B61"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D399AF"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BBB96B"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C53EF9"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0DAF05"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00477C"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30C68" w14:textId="77777777" w:rsidR="0039681A" w:rsidRPr="00077A1F" w:rsidRDefault="0039681A" w:rsidP="00351087">
            <w:pPr>
              <w:spacing w:before="100" w:beforeAutospacing="1" w:after="120"/>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 xml:space="preserve">At least 20 000 civil servants have been trained through the Public Buyers Professionalization Strategy. </w:t>
            </w:r>
          </w:p>
        </w:tc>
      </w:tr>
      <w:tr w:rsidR="0039681A" w:rsidRPr="0070054C" w14:paraId="1BD11DC9"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41837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M1C1-87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D89F5"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823D0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6C9BF2"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Contracting authorities using dynamic purchasing systems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A781A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25F5B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4FD4E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A78BF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B0773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DA4A9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6BE230"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At least 15% of contracting authorities are using dynamic purchasing systems as per EU Directive 2014/24 (two years observation timeframe and taking into account that in Italy the use of the DPS is mainly targeted at above the threshold purchases, given that the below-the-threshold ones are mainly performed using eMarketplaces). The target refers to Central Government Contracting Authorities (250 PA as registered per 30 April 2021 to the National e-Procurement System managed by Consip on behalf of the MEF).</w:t>
            </w:r>
          </w:p>
        </w:tc>
      </w:tr>
      <w:tr w:rsidR="0039681A" w:rsidRPr="0070054C" w14:paraId="7F2C611D"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70736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M1C1-88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7DF8E"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1819B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9F2DC3"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Average number of days for the central public authorities 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B791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514CBC"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Weighted average payment time (in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998EB" w14:textId="77777777" w:rsidR="0039681A" w:rsidRPr="00030506" w:rsidRDefault="0039681A" w:rsidP="00351087">
            <w:pPr>
              <w:jc w:val="center"/>
              <w:rPr>
                <w:rFonts w:ascii="Arial Narrow" w:eastAsia="Aptos" w:hAnsi="Arial Narrow" w:cs="Arial"/>
                <w:noProof/>
                <w:color w:val="006100"/>
                <w:sz w:val="20"/>
                <w:szCs w:val="20"/>
              </w:rPr>
            </w:pPr>
            <w:r w:rsidRPr="00077A1F">
              <w:rPr>
                <w:rFonts w:ascii="Arial Narrow" w:eastAsia="Aptos" w:hAnsi="Arial Narrow" w:cs="Times New Roman"/>
                <w:noProof/>
                <w:color w:val="006100"/>
                <w:sz w:val="20"/>
                <w:lang w:val="en-IE"/>
              </w:rPr>
              <w:t xml:space="preserve"> </w:t>
            </w: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6C5A4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0D0C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E7357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FC07A0" w14:textId="77777777" w:rsidR="0039681A" w:rsidRPr="00077A1F" w:rsidRDefault="0039681A" w:rsidP="00351087">
            <w:pPr>
              <w:spacing w:before="100" w:beforeAutospacing="1" w:after="120"/>
              <w:rPr>
                <w:rFonts w:ascii="Arial Narrow" w:eastAsia="Aptos" w:hAnsi="Arial Narrow" w:cs="Times New Roman"/>
                <w:i/>
                <w:noProof/>
                <w:color w:val="006100"/>
                <w:sz w:val="20"/>
                <w:szCs w:val="20"/>
                <w:lang w:val="en-IE"/>
              </w:rPr>
            </w:pPr>
            <w:r w:rsidRPr="00077A1F">
              <w:rPr>
                <w:rFonts w:ascii="Arial Narrow" w:eastAsia="Aptos" w:hAnsi="Arial Narrow" w:cs="Times New Roman"/>
                <w:noProof/>
                <w:color w:val="006100"/>
                <w:sz w:val="20"/>
                <w:szCs w:val="20"/>
                <w:lang w:val="en-IE"/>
              </w:rPr>
              <w:t>Based on data from the Commercial Credit Platform (“Piattaforma Crediti Commerciali”) related to invoices issued in 2025, the following indicators for payments from central public authorities (</w:t>
            </w:r>
            <w:r w:rsidRPr="00077A1F">
              <w:rPr>
                <w:rFonts w:ascii="Arial Narrow" w:eastAsia="Aptos" w:hAnsi="Arial Narrow" w:cs="Times New Roman"/>
                <w:i/>
                <w:noProof/>
                <w:color w:val="006100"/>
                <w:sz w:val="20"/>
                <w:szCs w:val="20"/>
                <w:lang w:val="en-IE"/>
              </w:rPr>
              <w:t>Amministrazioni centrali</w:t>
            </w:r>
            <w:r w:rsidRPr="00077A1F">
              <w:rPr>
                <w:rFonts w:ascii="Arial Narrow" w:eastAsia="Aptos" w:hAnsi="Arial Narrow" w:cs="Times New Roman"/>
                <w:noProof/>
                <w:color w:val="006100"/>
                <w:sz w:val="20"/>
                <w:szCs w:val="20"/>
                <w:lang w:val="en-IE"/>
              </w:rPr>
              <w:t>) to businesses shall be</w:t>
            </w:r>
            <w:r w:rsidRPr="00077A1F">
              <w:rPr>
                <w:rFonts w:ascii="Aptos" w:eastAsia="Aptos" w:hAnsi="Aptos" w:cs="Times New Roman"/>
                <w:noProof/>
                <w:sz w:val="16"/>
                <w:szCs w:val="16"/>
                <w:lang w:val="en-IE"/>
              </w:rPr>
              <w:t>:</w:t>
            </w:r>
          </w:p>
          <w:p w14:paraId="6DBD71B2" w14:textId="77777777" w:rsidR="0039681A" w:rsidRPr="00077A1F" w:rsidRDefault="0039681A" w:rsidP="00351087">
            <w:pPr>
              <w:spacing w:before="100" w:beforeAutospacing="1" w:after="120"/>
              <w:rPr>
                <w:rFonts w:ascii="Arial Narrow" w:eastAsia="Times New Roman" w:hAnsi="Arial Narrow" w:cs="Times New Roman"/>
                <w:noProof/>
                <w:color w:val="006100"/>
                <w:sz w:val="20"/>
                <w:szCs w:val="20"/>
                <w:lang w:val="en-IE" w:eastAsia="en-GB"/>
              </w:rPr>
            </w:pPr>
            <w:r w:rsidRPr="00077A1F">
              <w:rPr>
                <w:rFonts w:ascii="Arial Narrow" w:eastAsia="Aptos" w:hAnsi="Arial Narrow" w:cs="Times New Roman"/>
                <w:noProof/>
                <w:color w:val="006100"/>
                <w:sz w:val="20"/>
                <w:szCs w:val="20"/>
                <w:lang w:val="en-IE"/>
              </w:rPr>
              <w:t xml:space="preserve">- for the weighted average payment time (“tempo medio di pagamento ponderato”): at most 30 days; </w:t>
            </w:r>
          </w:p>
          <w:p w14:paraId="17BF9B13" w14:textId="77777777" w:rsidR="0039681A" w:rsidRPr="00077A1F" w:rsidRDefault="0039681A" w:rsidP="00351087">
            <w:pPr>
              <w:spacing w:before="100" w:beforeAutospacing="1" w:after="120"/>
              <w:rPr>
                <w:rFonts w:ascii="Aptos" w:eastAsia="Aptos" w:hAnsi="Aptos" w:cs="Times New Roman"/>
                <w:noProof/>
                <w:lang w:val="en-IE"/>
              </w:rPr>
            </w:pPr>
            <w:r w:rsidRPr="00077A1F">
              <w:rPr>
                <w:rFonts w:ascii="Arial Narrow" w:eastAsia="Aptos" w:hAnsi="Arial Narrow" w:cs="Times New Roman"/>
                <w:noProof/>
                <w:color w:val="006100"/>
                <w:sz w:val="20"/>
                <w:szCs w:val="20"/>
                <w:lang w:val="en-IE"/>
              </w:rPr>
              <w:t xml:space="preserve">- for the weighted average payment delay (“tempo medio di ritardo ponderato”): at most 0 days; </w:t>
            </w:r>
          </w:p>
          <w:p w14:paraId="2CACE07A"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Furthermore, the difference between the unweighted average payment time (“tempo medio di pagamento semplice”): and the weighted average payment time shall not exceed 15 days, unless the unweighted average payment time is below 30 days. </w:t>
            </w:r>
          </w:p>
        </w:tc>
      </w:tr>
      <w:tr w:rsidR="0039681A" w:rsidRPr="0070054C" w14:paraId="4DAD008D"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96899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M1C1-89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99A5B"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384D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DC7956"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Average number of days for the regional public authorities</w:t>
            </w:r>
            <w:r w:rsidRPr="00077A1F" w:rsidDel="00CB43E5">
              <w:rPr>
                <w:rFonts w:ascii="Arial Narrow" w:eastAsia="Aptos" w:hAnsi="Arial Narrow" w:cs="Times New Roman"/>
                <w:noProof/>
                <w:color w:val="006100"/>
                <w:sz w:val="20"/>
                <w:lang w:val="en-IE"/>
              </w:rPr>
              <w:t xml:space="preserve"> </w:t>
            </w:r>
            <w:r w:rsidRPr="00077A1F">
              <w:rPr>
                <w:rFonts w:ascii="Arial Narrow" w:eastAsia="Aptos" w:hAnsi="Arial Narrow" w:cs="Times New Roman"/>
                <w:noProof/>
                <w:color w:val="006100"/>
                <w:sz w:val="20"/>
                <w:lang w:val="en-IE"/>
              </w:rPr>
              <w:t>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279F6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1BE182"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Weighted average payment time (in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6E1A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2BFB6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5813D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FE7AF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BF6D5A" w14:textId="77777777" w:rsidR="0039681A" w:rsidRPr="00077A1F" w:rsidRDefault="0039681A" w:rsidP="00351087">
            <w:pPr>
              <w:spacing w:before="100" w:beforeAutospacing="1"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Based on the data from the Commercial Credit Platform (”Piattaforma Crediti Commerciali”) related to invoices issued in 2025, the following indicators for payments from regional public authorities (</w:t>
            </w:r>
            <w:r w:rsidRPr="00077A1F">
              <w:rPr>
                <w:rFonts w:ascii="Arial Narrow" w:eastAsia="Aptos" w:hAnsi="Arial Narrow" w:cs="Times New Roman"/>
                <w:i/>
                <w:noProof/>
                <w:color w:val="006100"/>
                <w:sz w:val="20"/>
                <w:szCs w:val="20"/>
                <w:lang w:val="en-IE"/>
              </w:rPr>
              <w:t>Regioni - Province Autonome</w:t>
            </w:r>
            <w:r w:rsidRPr="00077A1F">
              <w:rPr>
                <w:rFonts w:ascii="Arial Narrow" w:eastAsia="Aptos" w:hAnsi="Arial Narrow" w:cs="Times New Roman"/>
                <w:noProof/>
                <w:color w:val="006100"/>
                <w:sz w:val="20"/>
                <w:szCs w:val="20"/>
                <w:lang w:val="en-IE"/>
              </w:rPr>
              <w:t>) to businesses shall be:</w:t>
            </w:r>
          </w:p>
          <w:p w14:paraId="63D314FF" w14:textId="77777777" w:rsidR="0039681A" w:rsidRPr="00077A1F" w:rsidRDefault="0039681A" w:rsidP="00351087">
            <w:pPr>
              <w:numPr>
                <w:ilvl w:val="0"/>
                <w:numId w:val="29"/>
              </w:numPr>
              <w:spacing w:before="100" w:beforeAutospacing="1" w:after="120" w:line="240" w:lineRule="auto"/>
              <w:contextualSpacing/>
              <w:jc w:val="both"/>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for the weighted average payment time (“tempo medio di pagamento ponderato”): at most 30 days;</w:t>
            </w:r>
          </w:p>
          <w:p w14:paraId="33D96BDB" w14:textId="77777777" w:rsidR="0039681A" w:rsidRPr="00077A1F" w:rsidRDefault="0039681A" w:rsidP="00351087">
            <w:pPr>
              <w:numPr>
                <w:ilvl w:val="0"/>
                <w:numId w:val="29"/>
              </w:numPr>
              <w:spacing w:before="100" w:beforeAutospacing="1" w:after="120" w:line="240" w:lineRule="auto"/>
              <w:contextualSpacing/>
              <w:jc w:val="both"/>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for the weighted average payment delay (“tempo medio di ritardo ponderato”): at most 0 days.</w:t>
            </w:r>
          </w:p>
          <w:p w14:paraId="370B75A5" w14:textId="77777777" w:rsidR="0039681A" w:rsidRPr="00077A1F" w:rsidRDefault="0039681A" w:rsidP="00351087">
            <w:pPr>
              <w:spacing w:before="100" w:beforeAutospacing="1"/>
              <w:rPr>
                <w:rFonts w:ascii="Arial Narrow" w:eastAsia="Aptos" w:hAnsi="Arial Narrow" w:cs="Arial"/>
                <w:noProof/>
                <w:color w:val="006100"/>
                <w:sz w:val="20"/>
                <w:szCs w:val="20"/>
                <w:lang w:val="en-IE"/>
              </w:rPr>
            </w:pPr>
            <w:r w:rsidRPr="00077A1F">
              <w:rPr>
                <w:rFonts w:ascii="Arial Narrow" w:eastAsia="Aptos" w:hAnsi="Arial Narrow" w:cs="Arial"/>
                <w:noProof/>
                <w:color w:val="006100"/>
                <w:sz w:val="20"/>
                <w:szCs w:val="20"/>
                <w:lang w:val="en-IE"/>
              </w:rPr>
              <w:t>Furthermore, the difference between the unweighted average payment time (“tempo medio di pagamento semplice”) and the weighted average payment time shall not exceed 15 days, unless the unweighted average payment time is below 30 days.</w:t>
            </w:r>
          </w:p>
        </w:tc>
      </w:tr>
      <w:tr w:rsidR="0039681A" w:rsidRPr="0070054C" w14:paraId="14E2C2AE"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FAF14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M1C1-90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05D76D"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264CC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5BA3D0"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Average number of days for the local public authorities</w:t>
            </w:r>
            <w:r w:rsidRPr="00077A1F" w:rsidDel="00876DE3">
              <w:rPr>
                <w:rFonts w:ascii="Arial Narrow" w:eastAsia="Aptos" w:hAnsi="Arial Narrow" w:cs="Times New Roman"/>
                <w:noProof/>
                <w:color w:val="006100"/>
                <w:sz w:val="20"/>
                <w:lang w:val="en-IE"/>
              </w:rPr>
              <w:t xml:space="preserve"> </w:t>
            </w:r>
            <w:r w:rsidRPr="00077A1F">
              <w:rPr>
                <w:rFonts w:ascii="Arial Narrow" w:eastAsia="Aptos" w:hAnsi="Arial Narrow" w:cs="Times New Roman"/>
                <w:noProof/>
                <w:color w:val="006100"/>
                <w:sz w:val="20"/>
                <w:lang w:val="en-IE"/>
              </w:rPr>
              <w:t>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A84DA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B72F6C"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Weighted average payment time (in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A3078B" w14:textId="77777777" w:rsidR="0039681A" w:rsidRPr="00030506" w:rsidRDefault="0039681A" w:rsidP="00351087">
            <w:pPr>
              <w:jc w:val="center"/>
              <w:rPr>
                <w:rFonts w:ascii="Arial Narrow" w:eastAsia="Aptos" w:hAnsi="Arial Narrow" w:cs="Arial"/>
                <w:noProof/>
                <w:color w:val="006100"/>
                <w:sz w:val="20"/>
                <w:szCs w:val="20"/>
              </w:rPr>
            </w:pPr>
            <w:r w:rsidRPr="00077A1F">
              <w:rPr>
                <w:rFonts w:ascii="Arial Narrow" w:eastAsia="Aptos" w:hAnsi="Arial Narrow" w:cs="Times New Roman"/>
                <w:noProof/>
                <w:color w:val="006100"/>
                <w:sz w:val="20"/>
                <w:lang w:val="en-IE"/>
              </w:rPr>
              <w:t xml:space="preserve"> </w:t>
            </w: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653A0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F48C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6C87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863BFA" w14:textId="77777777" w:rsidR="0039681A" w:rsidRPr="00077A1F" w:rsidRDefault="0039681A" w:rsidP="00351087">
            <w:pPr>
              <w:spacing w:before="100" w:beforeAutospacing="1"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Based on the data from the Commercial Credit Platform (”Piattaforma Crediti Commerciali”) related to invoices issued in 2025, the following indicators for payments from local public authorities (</w:t>
            </w:r>
            <w:r w:rsidRPr="00077A1F">
              <w:rPr>
                <w:rFonts w:ascii="Arial Narrow" w:eastAsia="Aptos" w:hAnsi="Arial Narrow" w:cs="Times New Roman"/>
                <w:i/>
                <w:noProof/>
                <w:color w:val="006100"/>
                <w:sz w:val="20"/>
                <w:szCs w:val="20"/>
                <w:lang w:val="en-IE"/>
              </w:rPr>
              <w:t>enti locali</w:t>
            </w:r>
            <w:r w:rsidRPr="00077A1F">
              <w:rPr>
                <w:rFonts w:ascii="Arial Narrow" w:eastAsia="Aptos" w:hAnsi="Arial Narrow" w:cs="Times New Roman"/>
                <w:noProof/>
                <w:color w:val="006100"/>
                <w:sz w:val="20"/>
                <w:szCs w:val="20"/>
                <w:lang w:val="en-IE"/>
              </w:rPr>
              <w:t>) to businesses shall be:</w:t>
            </w:r>
          </w:p>
          <w:p w14:paraId="41B7B41F" w14:textId="77777777" w:rsidR="0039681A" w:rsidRPr="00077A1F" w:rsidRDefault="0039681A" w:rsidP="00351087">
            <w:pPr>
              <w:numPr>
                <w:ilvl w:val="0"/>
                <w:numId w:val="30"/>
              </w:numPr>
              <w:spacing w:before="100" w:beforeAutospacing="1" w:after="120" w:line="240" w:lineRule="auto"/>
              <w:contextualSpacing/>
              <w:jc w:val="both"/>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for the weighted average payment time (“tempo medio di pagamento ponderato”): at most 30 days;</w:t>
            </w:r>
          </w:p>
          <w:p w14:paraId="3F85DBFC" w14:textId="77777777" w:rsidR="0039681A" w:rsidRPr="00077A1F" w:rsidRDefault="0039681A" w:rsidP="00351087">
            <w:pPr>
              <w:numPr>
                <w:ilvl w:val="0"/>
                <w:numId w:val="30"/>
              </w:numPr>
              <w:spacing w:before="100" w:beforeAutospacing="1" w:after="120" w:line="240" w:lineRule="auto"/>
              <w:contextualSpacing/>
              <w:jc w:val="both"/>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for the weighted average payment delay (“tempo medio di ritardo ponderato”): at most 0 days.</w:t>
            </w:r>
          </w:p>
          <w:p w14:paraId="0D551A68" w14:textId="77777777" w:rsidR="0039681A" w:rsidRPr="00077A1F" w:rsidRDefault="0039681A" w:rsidP="00351087">
            <w:pPr>
              <w:spacing w:before="100" w:beforeAutospacing="1"/>
              <w:rPr>
                <w:rFonts w:ascii="Arial Narrow" w:eastAsia="Aptos" w:hAnsi="Arial Narrow" w:cs="Arial"/>
                <w:noProof/>
                <w:color w:val="006100"/>
                <w:sz w:val="20"/>
                <w:szCs w:val="20"/>
                <w:lang w:val="en-IE"/>
              </w:rPr>
            </w:pPr>
            <w:r w:rsidRPr="00077A1F">
              <w:rPr>
                <w:rFonts w:ascii="Arial Narrow" w:eastAsia="Aptos" w:hAnsi="Arial Narrow" w:cs="Arial"/>
                <w:noProof/>
                <w:color w:val="006100"/>
                <w:sz w:val="20"/>
                <w:szCs w:val="20"/>
                <w:lang w:val="en-IE"/>
              </w:rPr>
              <w:t>Furthermore, the difference between the unweighted average payment time (“tempo medio di pagamento semplice”) and the weighted average payment time shall not exceed 15 days, unless the unweighted average payment time is below 30 days</w:t>
            </w:r>
            <w:r w:rsidRPr="00077A1F">
              <w:rPr>
                <w:rFonts w:ascii="Arial Narrow" w:eastAsia="Aptos" w:hAnsi="Arial Narrow" w:cs="Times New Roman"/>
                <w:noProof/>
                <w:color w:val="006100"/>
                <w:sz w:val="20"/>
                <w:szCs w:val="20"/>
                <w:lang w:val="en-IE"/>
              </w:rPr>
              <w:t>.</w:t>
            </w:r>
          </w:p>
        </w:tc>
      </w:tr>
      <w:tr w:rsidR="0039681A" w:rsidRPr="0070054C" w14:paraId="6204D387"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337D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M1C1-91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240DF"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Reform 1.11: Reduction of late payments by public administrations and health authorities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F77F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3A071D"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Average number of days for public health authorities to pay businesses is reduced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2FA8D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D40FB"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Weighted average payment time (jn days)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62C73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8116E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5906F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D2A8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04DC4D" w14:textId="77777777" w:rsidR="0039681A" w:rsidRPr="00077A1F" w:rsidRDefault="0039681A" w:rsidP="00351087">
            <w:pPr>
              <w:spacing w:before="100" w:beforeAutospacing="1" w:after="120"/>
              <w:rPr>
                <w:rFonts w:ascii="Arial Narrow" w:eastAsia="Aptos" w:hAnsi="Arial Narrow" w:cs="Times New Roman"/>
                <w:noProof/>
                <w:color w:val="006100"/>
                <w:sz w:val="20"/>
                <w:szCs w:val="20"/>
                <w:lang w:val="en-IE"/>
              </w:rPr>
            </w:pPr>
            <w:r w:rsidRPr="00077A1F" w:rsidDel="00C54956">
              <w:rPr>
                <w:rFonts w:ascii="Arial Narrow" w:eastAsia="Aptos" w:hAnsi="Arial Narrow" w:cs="Times New Roman"/>
                <w:noProof/>
                <w:color w:val="006100"/>
                <w:sz w:val="20"/>
                <w:szCs w:val="20"/>
                <w:lang w:val="en-IE"/>
              </w:rPr>
              <w:t xml:space="preserve">Based on </w:t>
            </w:r>
            <w:r w:rsidRPr="00077A1F">
              <w:rPr>
                <w:rFonts w:ascii="Arial Narrow" w:eastAsia="Aptos" w:hAnsi="Arial Narrow" w:cs="Times New Roman"/>
                <w:noProof/>
                <w:color w:val="006100"/>
                <w:sz w:val="20"/>
                <w:szCs w:val="20"/>
                <w:lang w:val="en-IE"/>
              </w:rPr>
              <w:t xml:space="preserve">the data from the </w:t>
            </w:r>
            <w:r w:rsidRPr="00077A1F" w:rsidDel="00C54956">
              <w:rPr>
                <w:rFonts w:ascii="Arial Narrow" w:eastAsia="Aptos" w:hAnsi="Arial Narrow" w:cs="Times New Roman"/>
                <w:noProof/>
                <w:color w:val="006100"/>
                <w:sz w:val="20"/>
                <w:szCs w:val="20"/>
                <w:lang w:val="en-IE"/>
              </w:rPr>
              <w:t xml:space="preserve">Commercial Credit Platform </w:t>
            </w:r>
            <w:r w:rsidRPr="00077A1F">
              <w:rPr>
                <w:rFonts w:ascii="Arial Narrow" w:eastAsia="Aptos" w:hAnsi="Arial Narrow" w:cs="Times New Roman"/>
                <w:noProof/>
                <w:color w:val="006100"/>
                <w:sz w:val="20"/>
                <w:szCs w:val="20"/>
                <w:lang w:val="en-IE"/>
              </w:rPr>
              <w:t>(“Piattaforma Crediti Commerciali”</w:t>
            </w:r>
            <w:r w:rsidRPr="00077A1F" w:rsidDel="00C54956">
              <w:rPr>
                <w:rFonts w:ascii="Arial Narrow" w:eastAsia="Aptos" w:hAnsi="Arial Narrow" w:cs="Times New Roman"/>
                <w:noProof/>
                <w:color w:val="006100"/>
                <w:sz w:val="20"/>
                <w:szCs w:val="20"/>
                <w:lang w:val="en-IE"/>
              </w:rPr>
              <w:t>)</w:t>
            </w:r>
            <w:r w:rsidRPr="00077A1F">
              <w:rPr>
                <w:rFonts w:ascii="Arial Narrow" w:eastAsia="Aptos" w:hAnsi="Arial Narrow" w:cs="Times New Roman"/>
                <w:noProof/>
                <w:color w:val="006100"/>
                <w:sz w:val="20"/>
                <w:szCs w:val="20"/>
                <w:lang w:val="en-IE"/>
              </w:rPr>
              <w:t xml:space="preserve"> related to invoices issued in 2025</w:t>
            </w:r>
            <w:r w:rsidRPr="00077A1F" w:rsidDel="00C54956">
              <w:rPr>
                <w:rFonts w:ascii="Arial Narrow" w:eastAsia="Aptos" w:hAnsi="Arial Narrow" w:cs="Times New Roman"/>
                <w:noProof/>
                <w:color w:val="006100"/>
                <w:sz w:val="20"/>
                <w:szCs w:val="20"/>
                <w:lang w:val="en-IE"/>
              </w:rPr>
              <w:t xml:space="preserve">, the </w:t>
            </w:r>
            <w:r w:rsidRPr="00077A1F">
              <w:rPr>
                <w:rFonts w:ascii="Arial Narrow" w:eastAsia="Aptos" w:hAnsi="Arial Narrow" w:cs="Times New Roman"/>
                <w:noProof/>
                <w:color w:val="006100"/>
                <w:sz w:val="20"/>
                <w:szCs w:val="20"/>
                <w:lang w:val="en-IE"/>
              </w:rPr>
              <w:t>following indicators for payments from</w:t>
            </w:r>
            <w:r w:rsidRPr="00077A1F" w:rsidDel="00C54956">
              <w:rPr>
                <w:rFonts w:ascii="Arial Narrow" w:eastAsia="Aptos" w:hAnsi="Arial Narrow" w:cs="Times New Roman"/>
                <w:noProof/>
                <w:color w:val="006100"/>
                <w:sz w:val="20"/>
                <w:szCs w:val="20"/>
                <w:lang w:val="en-IE"/>
              </w:rPr>
              <w:t xml:space="preserve"> </w:t>
            </w:r>
            <w:r w:rsidRPr="00077A1F">
              <w:rPr>
                <w:rFonts w:ascii="Arial Narrow" w:eastAsia="Aptos" w:hAnsi="Arial Narrow" w:cs="Times New Roman"/>
                <w:noProof/>
                <w:color w:val="006100"/>
                <w:sz w:val="20"/>
                <w:szCs w:val="20"/>
                <w:lang w:val="en-IE"/>
              </w:rPr>
              <w:t xml:space="preserve">public </w:t>
            </w:r>
            <w:r w:rsidRPr="00077A1F" w:rsidDel="00C54956">
              <w:rPr>
                <w:rFonts w:ascii="Arial Narrow" w:eastAsia="Aptos" w:hAnsi="Arial Narrow" w:cs="Times New Roman"/>
                <w:noProof/>
                <w:color w:val="006100"/>
                <w:sz w:val="20"/>
                <w:szCs w:val="20"/>
                <w:lang w:val="en-IE"/>
              </w:rPr>
              <w:t>health authorities (</w:t>
            </w:r>
            <w:r w:rsidRPr="00077A1F" w:rsidDel="00C54956">
              <w:rPr>
                <w:rFonts w:ascii="Arial Narrow" w:eastAsia="Aptos" w:hAnsi="Arial Narrow" w:cs="Times New Roman"/>
                <w:i/>
                <w:noProof/>
                <w:color w:val="006100"/>
                <w:sz w:val="20"/>
                <w:szCs w:val="20"/>
                <w:lang w:val="en-IE"/>
              </w:rPr>
              <w:t>enti del Servizio sanitario nazionale</w:t>
            </w:r>
            <w:r w:rsidRPr="00077A1F" w:rsidDel="00C54956">
              <w:rPr>
                <w:rFonts w:ascii="Arial Narrow" w:eastAsia="Aptos" w:hAnsi="Arial Narrow" w:cs="Times New Roman"/>
                <w:noProof/>
                <w:color w:val="006100"/>
                <w:sz w:val="20"/>
                <w:szCs w:val="20"/>
                <w:lang w:val="en-IE"/>
              </w:rPr>
              <w:t>) to businesses shall be</w:t>
            </w:r>
            <w:r w:rsidRPr="00077A1F">
              <w:rPr>
                <w:rFonts w:ascii="Arial Narrow" w:eastAsia="Aptos" w:hAnsi="Arial Narrow" w:cs="Times New Roman"/>
                <w:noProof/>
                <w:color w:val="006100"/>
                <w:sz w:val="20"/>
                <w:szCs w:val="20"/>
                <w:lang w:val="en-IE"/>
              </w:rPr>
              <w:t>:</w:t>
            </w:r>
          </w:p>
          <w:p w14:paraId="5384415A" w14:textId="77777777" w:rsidR="0039681A" w:rsidRPr="00077A1F" w:rsidRDefault="0039681A" w:rsidP="00351087">
            <w:pPr>
              <w:spacing w:beforeAutospacing="1"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xml:space="preserve">- for the weighted average payment time (“tempo medio di pagamento ponderato”): at most 60 days; </w:t>
            </w:r>
          </w:p>
          <w:p w14:paraId="13CBE932" w14:textId="77777777" w:rsidR="0039681A" w:rsidRPr="00077A1F" w:rsidRDefault="0039681A" w:rsidP="00351087">
            <w:pPr>
              <w:spacing w:beforeAutospacing="1"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xml:space="preserve">- for the weighted average payment delay (“tempo medio di ritardo ponderato”): at most 0 days; </w:t>
            </w:r>
          </w:p>
          <w:p w14:paraId="10BDF24B" w14:textId="77777777" w:rsidR="0039681A" w:rsidRPr="00077A1F" w:rsidRDefault="0039681A" w:rsidP="00351087">
            <w:pPr>
              <w:spacing w:before="100" w:beforeAutospacing="1" w:after="120"/>
              <w:rPr>
                <w:rFonts w:ascii="Arial Narrow" w:eastAsia="Aptos" w:hAnsi="Arial Narrow" w:cs="Times New Roman"/>
                <w:noProof/>
                <w:color w:val="006100"/>
                <w:sz w:val="20"/>
                <w:szCs w:val="20"/>
                <w:lang w:val="en-IE"/>
              </w:rPr>
            </w:pPr>
            <w:r w:rsidRPr="00077A1F">
              <w:rPr>
                <w:rFonts w:ascii="Arial Narrow" w:eastAsia="Aptos" w:hAnsi="Arial Narrow" w:cs="Arial"/>
                <w:noProof/>
                <w:color w:val="006100"/>
                <w:sz w:val="20"/>
                <w:szCs w:val="20"/>
                <w:lang w:val="en-IE"/>
              </w:rPr>
              <w:t>Furthermore, the difference between the unweighted average payment time (“tempo medio di pagamento semplice”) and the weighted average payment time shall not exceed 20 days, unless the unweighted average payment time is below 60 days</w:t>
            </w:r>
            <w:r w:rsidRPr="00077A1F">
              <w:rPr>
                <w:rFonts w:ascii="Arial Narrow" w:eastAsia="Aptos" w:hAnsi="Arial Narrow" w:cs="Times New Roman"/>
                <w:noProof/>
                <w:color w:val="006100"/>
                <w:sz w:val="20"/>
                <w:szCs w:val="20"/>
                <w:lang w:val="en-IE"/>
              </w:rPr>
              <w:t>.</w:t>
            </w:r>
          </w:p>
        </w:tc>
      </w:tr>
      <w:tr w:rsidR="0039681A" w:rsidRPr="0070054C" w14:paraId="4A150948"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3C94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M1C1-96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BE27A0"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2F5D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D6B2F"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Average time between the time limit for receipt of tenders and the date of signature of the contract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5A12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A3F5B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15345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85811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60B8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E4E80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A7026E"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Based on the data extracted from the </w:t>
            </w:r>
            <w:r w:rsidRPr="00077A1F">
              <w:rPr>
                <w:rFonts w:ascii="Arial Narrow" w:eastAsia="Arial Narrow" w:hAnsi="Arial Narrow" w:cs="Arial Narrow"/>
                <w:noProof/>
                <w:color w:val="006100"/>
                <w:sz w:val="20"/>
                <w:szCs w:val="20"/>
                <w:lang w:val="en-IE"/>
              </w:rPr>
              <w:t xml:space="preserve">ANAC’s Banca Dati Nazionale Contratti Pubblici, as IT national eSender, the </w:t>
            </w:r>
            <w:r w:rsidRPr="00077A1F">
              <w:rPr>
                <w:rFonts w:ascii="Arial Narrow" w:eastAsia="Aptos" w:hAnsi="Arial Narrow" w:cs="Times New Roman"/>
                <w:noProof/>
                <w:color w:val="006100"/>
                <w:sz w:val="20"/>
                <w:szCs w:val="20"/>
                <w:lang w:val="en-IE"/>
              </w:rPr>
              <w:t xml:space="preserve">average time between the </w:t>
            </w:r>
            <w:r w:rsidRPr="00077A1F">
              <w:rPr>
                <w:rFonts w:ascii="Arial Narrow" w:eastAsia="Arial Narrow" w:hAnsi="Arial Narrow" w:cs="Arial Narrow"/>
                <w:noProof/>
                <w:color w:val="006100"/>
                <w:sz w:val="20"/>
                <w:szCs w:val="20"/>
                <w:lang w:val="en-IE"/>
              </w:rPr>
              <w:t>time limit for receipt of tenders</w:t>
            </w:r>
            <w:r w:rsidRPr="00077A1F">
              <w:rPr>
                <w:rFonts w:ascii="Arial Narrow" w:eastAsia="Aptos" w:hAnsi="Arial Narrow" w:cs="Times New Roman"/>
                <w:noProof/>
                <w:color w:val="006100"/>
                <w:sz w:val="20"/>
                <w:szCs w:val="20"/>
                <w:lang w:val="en-IE"/>
              </w:rPr>
              <w:t xml:space="preserve"> and the date of signature of the contract </w:t>
            </w:r>
            <w:r w:rsidRPr="00077A1F">
              <w:rPr>
                <w:rFonts w:ascii="Arial Narrow" w:eastAsia="Arial Narrow" w:hAnsi="Arial Narrow" w:cs="Arial Narrow"/>
                <w:noProof/>
                <w:color w:val="006100"/>
                <w:sz w:val="20"/>
                <w:szCs w:val="20"/>
                <w:lang w:val="en-IE"/>
              </w:rPr>
              <w:t>over a 12-month period taking as reference the date of signature of the contract starting not earlier than 1</w:t>
            </w:r>
            <w:r w:rsidRPr="00077A1F">
              <w:rPr>
                <w:rFonts w:ascii="Arial Narrow" w:eastAsia="Arial Narrow" w:hAnsi="Arial Narrow" w:cs="Arial Narrow"/>
                <w:noProof/>
                <w:color w:val="006100"/>
                <w:sz w:val="20"/>
                <w:szCs w:val="20"/>
                <w:vertAlign w:val="superscript"/>
                <w:lang w:val="en-IE"/>
              </w:rPr>
              <w:t>st</w:t>
            </w:r>
            <w:r w:rsidRPr="00077A1F">
              <w:rPr>
                <w:rFonts w:ascii="Arial Narrow" w:eastAsia="Arial Narrow" w:hAnsi="Arial Narrow" w:cs="Arial Narrow"/>
                <w:noProof/>
                <w:color w:val="006100"/>
                <w:sz w:val="20"/>
                <w:szCs w:val="20"/>
                <w:lang w:val="en-IE"/>
              </w:rPr>
              <w:t xml:space="preserve"> September 2024,</w:t>
            </w:r>
            <w:r w:rsidRPr="00077A1F">
              <w:rPr>
                <w:rFonts w:ascii="Arial Narrow" w:eastAsia="Aptos" w:hAnsi="Arial Narrow" w:cs="Times New Roman"/>
                <w:noProof/>
                <w:color w:val="006100"/>
                <w:sz w:val="20"/>
                <w:szCs w:val="20"/>
                <w:lang w:val="en-IE"/>
              </w:rPr>
              <w:t xml:space="preserve"> shall be reduced of at least 20 per cent compared to 2018 decision speed indicator as published on the EU single market scoreboard for contracts above the threshold of the EU public procurement directives.</w:t>
            </w:r>
          </w:p>
        </w:tc>
      </w:tr>
      <w:tr w:rsidR="0039681A" w:rsidRPr="0070054C" w14:paraId="4CC1DA81"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11E86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M1C1-97ter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0D5157"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F670F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szCs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587EF5"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Measures related to execution speed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B64EF"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Adoption of measures related to execution speed</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2BD5E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B9D7C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97FDD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F1969D"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2BF4C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96348" w14:textId="77777777" w:rsidR="0039681A" w:rsidRPr="00077A1F" w:rsidRDefault="0039681A" w:rsidP="00351087">
            <w:pPr>
              <w:numPr>
                <w:ilvl w:val="0"/>
                <w:numId w:val="31"/>
              </w:numPr>
              <w:spacing w:before="100" w:beforeAutospacing="1" w:after="120" w:line="240" w:lineRule="auto"/>
              <w:ind w:left="245" w:hanging="284"/>
              <w:contextualSpacing/>
              <w:jc w:val="both"/>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Publication on Agenzia per l’Italia Digitale (AGID)’s website of new technical rules enabling the collection of information for the digital monitoring of the execution of public contracts.</w:t>
            </w:r>
          </w:p>
          <w:p w14:paraId="1B42B2D3" w14:textId="77777777" w:rsidR="0039681A" w:rsidRPr="00077A1F" w:rsidRDefault="0039681A" w:rsidP="00351087">
            <w:pPr>
              <w:spacing w:before="100" w:beforeAutospacing="1"/>
              <w:ind w:left="245"/>
              <w:contextualSpacing/>
              <w:rPr>
                <w:rFonts w:ascii="Arial Narrow" w:eastAsia="Aptos" w:hAnsi="Arial Narrow" w:cs="Times New Roman"/>
                <w:noProof/>
                <w:color w:val="006100"/>
                <w:sz w:val="20"/>
                <w:szCs w:val="20"/>
                <w:lang w:val="en-IE"/>
              </w:rPr>
            </w:pPr>
          </w:p>
          <w:p w14:paraId="68D3112E" w14:textId="77777777" w:rsidR="0039681A" w:rsidRPr="00077A1F" w:rsidRDefault="0039681A" w:rsidP="00351087">
            <w:pPr>
              <w:numPr>
                <w:ilvl w:val="0"/>
                <w:numId w:val="31"/>
              </w:numPr>
              <w:spacing w:before="100" w:beforeAutospacing="1" w:after="120" w:line="240" w:lineRule="auto"/>
              <w:ind w:left="245" w:hanging="284"/>
              <w:contextualSpacing/>
              <w:jc w:val="both"/>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Signature of a memorandum of understanding between the Ministry of the Economy and Finance and Autorità Nazionale Anticorruzione (ANAC) introducing technical rules on the interoperability of data relating to public finances and public works payments with the ANAC’s database (Banca Dati Nazionale dei Contratti Pubblici).</w:t>
            </w:r>
          </w:p>
          <w:p w14:paraId="04470B53" w14:textId="77777777" w:rsidR="0039681A" w:rsidRPr="00077A1F" w:rsidRDefault="0039681A" w:rsidP="00351087">
            <w:pPr>
              <w:ind w:left="720"/>
              <w:contextualSpacing/>
              <w:rPr>
                <w:rFonts w:ascii="Arial Narrow" w:eastAsia="Aptos" w:hAnsi="Arial Narrow" w:cs="Times New Roman"/>
                <w:noProof/>
                <w:color w:val="006100"/>
                <w:sz w:val="20"/>
                <w:szCs w:val="20"/>
                <w:lang w:val="en-IE"/>
              </w:rPr>
            </w:pPr>
          </w:p>
          <w:p w14:paraId="348A1B10" w14:textId="77777777" w:rsidR="0039681A" w:rsidRPr="00077A1F" w:rsidRDefault="0039681A" w:rsidP="00351087">
            <w:pPr>
              <w:numPr>
                <w:ilvl w:val="0"/>
                <w:numId w:val="31"/>
              </w:numPr>
              <w:spacing w:before="100" w:beforeAutospacing="1" w:after="120" w:line="240" w:lineRule="auto"/>
              <w:ind w:left="245" w:hanging="284"/>
              <w:contextualSpacing/>
              <w:jc w:val="both"/>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xml:space="preserve">Entry into force of legal acts allowing contracting authorities to foresee and use the savings resulting from awards below the base price to finance bonuses for early completion of the works. </w:t>
            </w:r>
          </w:p>
          <w:p w14:paraId="313CF939" w14:textId="77777777" w:rsidR="0039681A" w:rsidRPr="00077A1F" w:rsidRDefault="0039681A" w:rsidP="00351087">
            <w:pPr>
              <w:ind w:left="720"/>
              <w:contextualSpacing/>
              <w:rPr>
                <w:rFonts w:ascii="Arial Narrow" w:eastAsia="Aptos" w:hAnsi="Arial Narrow" w:cs="Times New Roman"/>
                <w:noProof/>
                <w:color w:val="006100"/>
                <w:sz w:val="20"/>
                <w:szCs w:val="20"/>
                <w:lang w:val="en-IE"/>
              </w:rPr>
            </w:pPr>
          </w:p>
          <w:p w14:paraId="0B31D355" w14:textId="77777777" w:rsidR="0039681A" w:rsidRPr="00077A1F" w:rsidRDefault="0039681A" w:rsidP="00351087">
            <w:pPr>
              <w:numPr>
                <w:ilvl w:val="0"/>
                <w:numId w:val="31"/>
              </w:numPr>
              <w:spacing w:before="100" w:beforeAutospacing="1" w:after="120" w:line="240" w:lineRule="auto"/>
              <w:ind w:left="245" w:hanging="284"/>
              <w:contextualSpacing/>
              <w:jc w:val="both"/>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xml:space="preserve">Publication on Ministry of Infrastructures and Transport (MIT)’s website of guidelines, adopted by MIT having consulted ANAC, on early-completion bonuses clauses and on templated content of cooperation agreements pursuant to article 82bis of Legislative Decree 36/2023 (Public Procurement Code), to reduce works’ completion time. </w:t>
            </w:r>
          </w:p>
          <w:p w14:paraId="11850C45" w14:textId="77777777" w:rsidR="0039681A" w:rsidRPr="00077A1F" w:rsidRDefault="0039681A" w:rsidP="00351087">
            <w:pPr>
              <w:ind w:left="720"/>
              <w:contextualSpacing/>
              <w:rPr>
                <w:rFonts w:ascii="Arial Narrow" w:eastAsia="Aptos" w:hAnsi="Arial Narrow" w:cs="Times New Roman"/>
                <w:noProof/>
                <w:color w:val="006100"/>
                <w:sz w:val="20"/>
                <w:szCs w:val="20"/>
                <w:lang w:val="en-IE"/>
              </w:rPr>
            </w:pPr>
          </w:p>
          <w:p w14:paraId="383462DF" w14:textId="77777777" w:rsidR="0039681A" w:rsidRPr="00077A1F" w:rsidRDefault="0039681A" w:rsidP="00351087">
            <w:pPr>
              <w:numPr>
                <w:ilvl w:val="0"/>
                <w:numId w:val="31"/>
              </w:numPr>
              <w:spacing w:before="100" w:beforeAutospacing="1" w:after="120" w:line="240" w:lineRule="auto"/>
              <w:ind w:left="245" w:hanging="284"/>
              <w:contextualSpacing/>
              <w:jc w:val="both"/>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Publication on MIT’s website of guidelines to support contracting authorities in the use of the Building Information Modeling (BIM) for public works.</w:t>
            </w:r>
          </w:p>
        </w:tc>
      </w:tr>
      <w:tr w:rsidR="0039681A" w:rsidRPr="0070054C" w14:paraId="67B30C7E"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E86A5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M1C1-98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457A61"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74BA1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142947"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Civil servants trained through the Public Buyers Professionalization Strategy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80345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4427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560EA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7C93C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40 000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D155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68E70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4B0E5"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At least 40 000 civil servants have been trained through the Public Buyers Professionalization Strategy.</w:t>
            </w:r>
          </w:p>
        </w:tc>
      </w:tr>
      <w:tr w:rsidR="0039681A" w:rsidRPr="0070054C" w14:paraId="7EBA6DBF"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F32CA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M1C1-98bis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56F5E"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8E3B6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A62A4"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Civil servants trained through the Public Buyers Professionalization Strategy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F727A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86E0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611BD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40 000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74F9B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60 000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9CC4C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353A2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5487A" w14:textId="77777777" w:rsidR="0039681A" w:rsidRPr="00077A1F" w:rsidRDefault="0039681A" w:rsidP="00351087">
            <w:pPr>
              <w:spacing w:before="100" w:beforeAutospacing="1"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At least 60 000 civil servants have been trained through the Public Buyers Professionalization Strategy. The total number may include civil servants who have already been trained in previous years and whose training has been reported for the M1C1-86 and M1C1-98 targets, only if they have obtained a higher-level, specialized or advanced training</w:t>
            </w:r>
          </w:p>
        </w:tc>
      </w:tr>
      <w:tr w:rsidR="0039681A" w:rsidRPr="0070054C" w14:paraId="23FB8E9B"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113B4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M1C1-99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C45F3"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1.10: Reform of the public procurement legislative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B43A5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2FFFBC"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Contracting authorities using dynamic purchasing systems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72DC76"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Percentage of Central Government Contracting Authorities using dynamic purchasing systems as per EU Directive 2014/24</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807CC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40877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15</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997C2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3DC10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23455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72678"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At least 20% of contracting authorities are using dynamic purchasing systems as per Directive 2014/24 (observation timeframe starting from 1 January 2022). The Central Government Contracting Authorities are 250 Public Administrations (as registered per 30 April 2021 to the National e-Procurement System managed by Consip on behalf of the MEF).</w:t>
            </w:r>
          </w:p>
        </w:tc>
      </w:tr>
      <w:tr w:rsidR="0039681A" w:rsidRPr="0070054C" w14:paraId="09227B9A"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A8EF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6AD46C"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640C6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3C84BE"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Entry into force of legislative provisions improving the effectiveness of the spending review - Reinforcement of Finance Ministry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BD1EDA"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Provision in the law indicating the entry into force of the law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5630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C477C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33F9A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FCD51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74B9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6AB159"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The revised framework for spending reviews in central state administrations (Ministries) shall improve its effectiveness by reinforcing the role of the Ministry of Economy and Finance. In particular, it shall provide for a reinforced role of the Ministry of Economy and Finance in the ex-ante evaluation, monitoring processes and ex-post evaluation, allowing to enforce the thoroughly execution of the reviews and the achievement of the intended goals.</w:t>
            </w:r>
          </w:p>
        </w:tc>
      </w:tr>
      <w:tr w:rsidR="0039681A" w:rsidRPr="0070054C" w14:paraId="05D1FBD8"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EC756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M1C1-101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5FA0B8"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1.12:</w:t>
            </w:r>
          </w:p>
          <w:p w14:paraId="462788DF" w14:textId="3CFC6E9A" w:rsidR="0039681A" w:rsidRPr="00077A1F" w:rsidRDefault="0039681A" w:rsidP="00775AC6">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BAA9D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2FE0B"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Adoption of a review of possible actions to reduce tax evasion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A8AA9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Publication of the review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A4237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F24FB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E83EF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C4B21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F1224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2021</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BBE1CB"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Adopt a report to inform government actions for reducing tax evasion from omitted invoicing, especially in the sectors most exposed to tax evasion, including through targeted incentives to consumers.</w:t>
            </w:r>
          </w:p>
        </w:tc>
      </w:tr>
      <w:tr w:rsidR="0039681A" w:rsidRPr="0070054C" w14:paraId="205B7368"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B751C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M1C1-102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A187E"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1A464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70DF3"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Adoption of a report on the effectiveness of practices used by selected public administrations for formulating and implementing saving plans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AEFC4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Publication of the report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119AF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73E2A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CA2B1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E484E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CA459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DC7EE2"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The report shall be prepared by the Accounting Department of the Finance Ministry in cooperation with selected administrations to:</w:t>
            </w:r>
          </w:p>
          <w:p w14:paraId="4EFC7373" w14:textId="77777777" w:rsidR="0039681A" w:rsidRPr="00077A1F" w:rsidRDefault="0039681A" w:rsidP="00351087">
            <w:pPr>
              <w:numPr>
                <w:ilvl w:val="0"/>
                <w:numId w:val="32"/>
              </w:numPr>
              <w:spacing w:before="120" w:after="120" w:line="240" w:lineRule="auto"/>
              <w:ind w:left="324" w:hanging="283"/>
              <w:contextualSpacing/>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Assess their practices in the formulation and implementation of saving plans.</w:t>
            </w:r>
          </w:p>
          <w:p w14:paraId="45E5EA54" w14:textId="77777777" w:rsidR="0039681A" w:rsidRPr="00077A1F" w:rsidRDefault="0039681A" w:rsidP="00351087">
            <w:pPr>
              <w:numPr>
                <w:ilvl w:val="0"/>
                <w:numId w:val="32"/>
              </w:numPr>
              <w:spacing w:before="120" w:after="120" w:line="240" w:lineRule="auto"/>
              <w:ind w:left="324" w:hanging="283"/>
              <w:contextualSpacing/>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Define guidelines for all public administrations.</w:t>
            </w:r>
          </w:p>
        </w:tc>
      </w:tr>
      <w:tr w:rsidR="0039681A" w:rsidRPr="0070054C" w14:paraId="41D6E275"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71CE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M1C1-103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CD4FCA"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7AF24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ADEF07"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Entry into force of primary and secondary legislation and regulatory provisions and completion of administrative processes for encouraging tax compliance and improving audits and controls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7B9D5"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Provisions in the law and regulatory provisions indicating the entry into force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60F57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6F02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284BB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E21E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981E2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CA43BE"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The provisions shall include:</w:t>
            </w:r>
          </w:p>
          <w:p w14:paraId="5A95ADFB"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i) full operationalisation of the database and the dedicated IT infrastructure for the release of pre-populated VAT tax return, as provided for by art. 4, paragraph 1, of the legislative decree n. 127/2015.</w:t>
            </w:r>
          </w:p>
          <w:p w14:paraId="3B406DD8"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(ii) the database used for the “compliance letters” (providing early communications to taxpayers for which anomalies are detected) is enhanced with a view of reducing the incidence of false-positive and increasing the number of communications sent out to taxpayers.</w:t>
            </w:r>
          </w:p>
          <w:p w14:paraId="31C2D462"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(iii) entry into force of reformed legislation in order to ensure effective administrative sanctions in case of refusal of private providers to accept electronic payments (original article 23 of decree-law 124/2019, which had been abrogated upon conversion into law, represents a reference).</w:t>
            </w:r>
          </w:p>
          <w:p w14:paraId="1A5A7012"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(iv) Completion of the process of data pseudonymization provided for by art. 1, paragraphs 681-686, of the law n.160/2019 and set up of digital infrastructure for the analysis of big data generated through the interoperability of databases fully pseudonymized, with a view to increase the effectiveness of the risk analysis underlying the selection process.</w:t>
            </w:r>
          </w:p>
          <w:p w14:paraId="1A8A2C6C"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(v) Entry into force of primary and secondary legislation implementing additional effective actions based on the findings of the review of possible measures to reduce tax evasion from omitted invoicing.</w:t>
            </w:r>
          </w:p>
        </w:tc>
      </w:tr>
      <w:tr w:rsidR="0039681A" w:rsidRPr="0070054C" w14:paraId="344F7E16"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A775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M1C1-104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80764E"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476F5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884BAD"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Adoption of savings targets for spending reviews for the years 2023-2025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CC2695"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Quantitative savings target for the aggregate central state administrations defined in the Document of Economy and Finance - in euro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F0E9D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478A1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88610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0166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734D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641A3D"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On the basis of the decree-laws 90 and 93 of 2016 and law 163/2016, set targets in the Economic Financial Document for yearly spending reviews for the aggregate central state administrations for the years 2023, 2024, 2025. The saving targets shall reflect an adequate level of ambition.</w:t>
            </w:r>
          </w:p>
        </w:tc>
      </w:tr>
      <w:tr w:rsidR="0039681A" w:rsidRPr="0070054C" w14:paraId="49920D8F"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A4E96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M1C1-105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9C2031"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8BBB9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A93846"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Higher number of "compliance letters"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E09EC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38583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9C1B4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2 150 908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E631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2 581 090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BBE7A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B204F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74A2B0"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The number of “compliance letters”, providing early communication to taxpayers for which anomalies are detected, shall be increased by at least 20% compared to 2019.</w:t>
            </w:r>
          </w:p>
        </w:tc>
      </w:tr>
      <w:tr w:rsidR="0039681A" w:rsidRPr="0070054C" w14:paraId="1911F657"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1EF5B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M1C1-106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4AA32"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215A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C5C88A"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Reducing the number of false positive "compliance letters”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AB2F5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45362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3BBD4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126 500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831D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132 825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FCED0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E235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3EE632"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The number of false-positive “compliance letters” (providing an early communication to taxpayers for which anomalies are detected, but for which no frauds are detected ex post) shall be reduced by at least 5% with respect to 2019.</w:t>
            </w:r>
          </w:p>
        </w:tc>
      </w:tr>
      <w:tr w:rsidR="0039681A" w:rsidRPr="0070054C" w14:paraId="25F60F3B"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2429D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M1C1-107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660CD3"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6CDD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2E2F4"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Increase in the tax revenue generated by "compliance letters"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99998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3F00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Euro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B9BC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2 130 000 000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D4D2D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2 449 500 000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A9C4B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BC6C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2022</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362353"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Tax revenue generated by “compliance letters” shall increase by 15% with respect to 2019.</w:t>
            </w:r>
          </w:p>
        </w:tc>
      </w:tr>
      <w:tr w:rsidR="0039681A" w:rsidRPr="0070054C" w14:paraId="5495C0CA"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3095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M1C1-108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7B7187"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1.15: Reform of public accounting rules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BF372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B4080B"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Approval of the Conceptual framework, the Set of accrual accounting standards and the Multidimensional Chart of Accounts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A57A6A"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Resolution of the Accounting Department of the Finance Ministry approving the Accrual Accounting Governance Structure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562E6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3F86B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06ED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88C0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30367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A74CBA" w14:textId="53A6CA2C" w:rsidR="0039681A" w:rsidRPr="00077A1F" w:rsidRDefault="0039681A" w:rsidP="00351087">
            <w:pPr>
              <w:spacing w:before="100" w:beforeAutospacing="1" w:after="120"/>
              <w:rPr>
                <w:rFonts w:ascii="Aptos" w:eastAsia="Aptos" w:hAnsi="Aptos" w:cs="Times New Roman"/>
                <w:noProof/>
                <w:lang w:val="en-IE"/>
              </w:rPr>
            </w:pPr>
            <w:r w:rsidRPr="00077A1F">
              <w:rPr>
                <w:rFonts w:ascii="Arial Narrow" w:eastAsia="Aptos" w:hAnsi="Arial Narrow" w:cs="Times New Roman"/>
                <w:noProof/>
                <w:color w:val="006100"/>
                <w:sz w:val="20"/>
                <w:lang w:val="en-IE"/>
              </w:rPr>
              <w:t>Completion of a conceptual framework as reference for the accrual accounting system according to the qualitative features defined by Eurostat (EPSAS Working Group);</w:t>
            </w:r>
            <w:r w:rsidR="00381DB1">
              <w:rPr>
                <w:rFonts w:ascii="Arial Narrow" w:eastAsia="Aptos" w:hAnsi="Arial Narrow" w:cs="Times New Roman"/>
                <w:noProof/>
                <w:sz w:val="20"/>
                <w:lang w:val="en-IE"/>
              </w:rPr>
              <w:t xml:space="preserve"> </w:t>
            </w:r>
          </w:p>
          <w:p w14:paraId="093743F4" w14:textId="77777777" w:rsidR="0039681A" w:rsidRPr="00077A1F" w:rsidRDefault="0039681A" w:rsidP="00351087">
            <w:pPr>
              <w:spacing w:before="100" w:beforeAutospacing="1" w:after="120"/>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 xml:space="preserve">Setting of accrual accounting standards based on IPSAS; </w:t>
            </w:r>
          </w:p>
          <w:p w14:paraId="2836ACF3"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Design a multidimensional and multi-level chart of accounts.</w:t>
            </w:r>
          </w:p>
        </w:tc>
      </w:tr>
      <w:tr w:rsidR="0039681A" w:rsidRPr="0070054C" w14:paraId="3657A764"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11EF6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M1C1-109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1A4372"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9A3E0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9CB84"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Sending first pre-populated VAT tax returns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1132E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BEC9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F462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3FB7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2 300 000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3239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09BDA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BDD9C1"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At least 2 300 000 taxpayers shall receive pre-populated VAT tax returns for the tax year 2022.</w:t>
            </w:r>
          </w:p>
        </w:tc>
      </w:tr>
      <w:tr w:rsidR="0039681A" w:rsidRPr="0070054C" w14:paraId="2D7366BB"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BD7ED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M1C1-110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8044E"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89E40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FDA328"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Re-classification of the general State budget, with reference to the environmental expenditure and to the expenditure that promotes gender equality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68FB5D"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Inclusion of the re-classification of the general State budget with reference to the environmental expenditure and to the expenditure that promotes gender equality in the 2024 Budget Law</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8003B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1B50A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21A5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E874B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D32BF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494F49"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The 2024 Budget Law shall provide the Parliament with a Sustainable Development Budget consisting in the classification of the general State budget with reference to the environmental expenditure and to the expenditure that promotes gender equality. The classification shall be consistent with the criteria underlying the definition of Sustainable Development Goals and the targets of the Agenda 2030.</w:t>
            </w:r>
          </w:p>
        </w:tc>
      </w:tr>
      <w:tr w:rsidR="0039681A" w:rsidRPr="0070054C" w14:paraId="57885610"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38EB2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M1C1-111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1FB22"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2BF12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F995F"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Completion of the yearly spending review for 2023, with reference to the saving target set in 2022 for 2023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3BA56E"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Adoption of the Finance Ministry report on the spending review in 2023, certifying the completion of the process and the achievement of the 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46579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9ADB2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7245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99F30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D09B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3A97D5"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The Finance Ministry report to be transmitted to the Council of Ministers as provided for by decree-laws 90 and 93 of 2016 and law 163/2016 shall:</w:t>
            </w:r>
          </w:p>
          <w:p w14:paraId="52DFA4DD"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-certify the completion of the spending review process for 2023 in respect of the provision for the spending review framework.</w:t>
            </w:r>
          </w:p>
          <w:p w14:paraId="68C48DFF"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-certify the achievement of the target set in 2022.</w:t>
            </w:r>
          </w:p>
        </w:tc>
      </w:tr>
      <w:tr w:rsidR="0039681A" w:rsidRPr="0070054C" w14:paraId="3D5C9AAA"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5A894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M1C1-112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0CD4B"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E09D0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F5B74B"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Improve the operational capacity of the tax administration in line with the hiring objectives of the “Performance plan 2021-2023” of the Revenue Agency</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857B4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D84EF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 of hirings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5ABF6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6D086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4 113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7AC7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D0E7D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2024</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59FD70"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4 113 new staff units shall be hired by the Revenue Agency in line with the hiring objectives of the “Performance plan 2021-2023”.</w:t>
            </w:r>
          </w:p>
        </w:tc>
      </w:tr>
      <w:tr w:rsidR="0039681A" w:rsidRPr="0070054C" w14:paraId="3D9F1DC1"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6319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M1C1-113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C952C9"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79B63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4F7974"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Higher number of "compliance letters"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F3101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BCF7A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4BAF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2 150 908</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34BF7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3 011 271</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A2F5A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 xml:space="preserve"> 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B5E57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03CF4"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The number of “compliance letters”, providing early communication to taxpayers for which anomalies are detected, shall be increased by at least 40% compared to 2019.</w:t>
            </w:r>
          </w:p>
        </w:tc>
      </w:tr>
      <w:tr w:rsidR="0039681A" w:rsidRPr="0070054C" w14:paraId="5AB4408D"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45490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M1C1-114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0FA288"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DB011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5A65A"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Increase in the tax revenue generated by "compliance letters"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B79C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CA974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Euro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1AB1D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2 130 000 000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6967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2 769 000 000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6861D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 xml:space="preserve"> 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EA84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2023</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09D16D"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Tax revenue generated by “compliance letters” shall increase by 30% with respect to 2019.</w:t>
            </w:r>
          </w:p>
        </w:tc>
      </w:tr>
      <w:tr w:rsidR="0039681A" w:rsidRPr="0070054C" w14:paraId="202F67E4"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D53A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M1C1-115</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1E7C12"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8A689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DAA56B"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Completion of the yearly spending review for 2024, with reference to the saving target set in 2022 and 2023 for 2024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08E7CB"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Adoption of the Finance Ministry report on the spending review in 2024, certifying the completion of the process and the achievement of the 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B11C2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0FF7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5849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DBB70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0A115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70E9E"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The Finance Ministry report to be transmitted to the Council of Ministers as provided for by decree-laws 90 and 93 of 2016 and law 163/2016 shall:</w:t>
            </w:r>
          </w:p>
          <w:p w14:paraId="5F08943F"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certify the completion of the spending review process for 2024 in respect of the provision for the spending review framework.</w:t>
            </w:r>
          </w:p>
          <w:p w14:paraId="672C0E59"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certify the achievement of the target set in 2022 and 2023.</w:t>
            </w:r>
          </w:p>
        </w:tc>
      </w:tr>
      <w:tr w:rsidR="0039681A" w:rsidRPr="0070054C" w14:paraId="09EC0DFF"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15D7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M1C1-116</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5B4439"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1.12: Reform of the tax administration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4F5B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2E0AC"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Reduction of tax evasion as defined by the indicator "propensity to evade"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51D7A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CA680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067A6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930E2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919E64"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76481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81AE1" w14:textId="77777777" w:rsidR="0039681A" w:rsidRPr="00077A1F" w:rsidRDefault="0039681A" w:rsidP="00351087">
            <w:pPr>
              <w:spacing w:before="100" w:beforeAutospacing="1"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The updated government report on the shadow economy published in 2025 pursuant to art. 2 of the legislative decree n. 160/2015 shall certify a 10</w:t>
            </w:r>
            <w:bookmarkStart w:id="6" w:name="_Hlk212534320"/>
            <w:r w:rsidRPr="00077A1F">
              <w:rPr>
                <w:rFonts w:ascii="Arial Narrow" w:eastAsia="Aptos" w:hAnsi="Arial Narrow" w:cs="Times New Roman"/>
                <w:noProof/>
                <w:color w:val="006100"/>
                <w:sz w:val="20"/>
                <w:szCs w:val="20"/>
                <w:lang w:val="en-IE"/>
              </w:rPr>
              <w:t>%</w:t>
            </w:r>
            <w:bookmarkEnd w:id="6"/>
            <w:r w:rsidRPr="00077A1F">
              <w:rPr>
                <w:rFonts w:ascii="Arial Narrow" w:eastAsia="Aptos" w:hAnsi="Arial Narrow" w:cs="Times New Roman"/>
                <w:noProof/>
                <w:color w:val="006100"/>
                <w:sz w:val="20"/>
                <w:szCs w:val="20"/>
                <w:lang w:val="en-IE"/>
              </w:rPr>
              <w:t xml:space="preserve"> reduction on average in 2022-2023 in the “Propensity to evade” in all taxes excluding property taxes (“Imposta Municipale Unica”) and excises compared to 2019.</w:t>
            </w:r>
          </w:p>
        </w:tc>
      </w:tr>
      <w:tr w:rsidR="0039681A" w:rsidRPr="0070054C" w14:paraId="3BD38EB6"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1A47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M1C1-117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6F1EE1" w14:textId="77777777" w:rsidR="0039681A" w:rsidRPr="00077A1F" w:rsidRDefault="0039681A" w:rsidP="00351087">
            <w:pPr>
              <w:spacing w:line="276" w:lineRule="auto"/>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1.15:</w:t>
            </w:r>
          </w:p>
          <w:p w14:paraId="180079AE" w14:textId="77777777" w:rsidR="0039681A" w:rsidRPr="00077A1F" w:rsidRDefault="0039681A" w:rsidP="00351087">
            <w:pPr>
              <w:spacing w:line="276" w:lineRule="auto"/>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of public accounting rules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8B6D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9A4904"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xml:space="preserve">Representatives of public entities trained </w:t>
            </w:r>
            <w:r w:rsidRPr="00077A1F">
              <w:rPr>
                <w:rFonts w:ascii="Arial Narrow" w:eastAsia="Aptos" w:hAnsi="Arial Narrow" w:cs="Times New Roman"/>
                <w:noProof/>
                <w:color w:val="006100"/>
                <w:sz w:val="20"/>
                <w:szCs w:val="20"/>
                <w:lang w:val="en-IE"/>
              </w:rPr>
              <w:t>on</w:t>
            </w:r>
            <w:r w:rsidRPr="00077A1F">
              <w:rPr>
                <w:rFonts w:ascii="Arial Narrow" w:eastAsia="Aptos" w:hAnsi="Arial Narrow" w:cs="Times New Roman"/>
                <w:noProof/>
                <w:color w:val="006100"/>
                <w:sz w:val="20"/>
                <w:lang w:val="en-IE"/>
              </w:rPr>
              <w:t xml:space="preserve"> the new accrual accounting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EFF72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A08DC"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 xml:space="preserve">Percentage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62AA6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2FFA0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979265"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Q1</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D7FAD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BEF540" w14:textId="34103163" w:rsidR="0039681A" w:rsidRPr="00077A1F" w:rsidRDefault="0039681A" w:rsidP="00351087">
            <w:pP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Based on data from the central digital platform for trainings on the new accounting system, the basic training on the new accrual accounting system shall be completed by representatives of public sector entities covering at least 90% of primary expenditure of the whole public sector (net of State-owned companies).</w:t>
            </w:r>
          </w:p>
        </w:tc>
      </w:tr>
      <w:tr w:rsidR="0039681A" w:rsidRPr="0070054C" w14:paraId="42CAFE0B"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16BCA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M1C1-118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F1E2B" w14:textId="77777777" w:rsidR="0039681A" w:rsidRPr="00077A1F" w:rsidRDefault="0039681A" w:rsidP="00351087">
            <w:pPr>
              <w:spacing w:line="276" w:lineRule="auto"/>
              <w:jc w:val="center"/>
              <w:rPr>
                <w:rFonts w:ascii="Arial Narrow" w:eastAsia="Aptos" w:hAnsi="Arial Narrow" w:cs="Arial"/>
                <w:noProof/>
                <w:color w:val="006100"/>
                <w:sz w:val="20"/>
                <w:szCs w:val="20"/>
                <w:lang w:val="en-IE"/>
              </w:rPr>
            </w:pPr>
            <w:bookmarkStart w:id="7" w:name="_Hlk160472732"/>
            <w:r w:rsidRPr="00077A1F">
              <w:rPr>
                <w:rFonts w:ascii="Arial Narrow" w:eastAsia="Aptos" w:hAnsi="Arial Narrow" w:cs="Times New Roman"/>
                <w:noProof/>
                <w:color w:val="006100"/>
                <w:sz w:val="20"/>
                <w:lang w:val="en-IE"/>
              </w:rPr>
              <w:t>Reform 1.15:</w:t>
            </w:r>
          </w:p>
          <w:p w14:paraId="3B451B82" w14:textId="77777777" w:rsidR="0039681A" w:rsidRPr="00077A1F" w:rsidRDefault="0039681A" w:rsidP="00351087">
            <w:pPr>
              <w:spacing w:line="276" w:lineRule="auto"/>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of public accounting rules</w:t>
            </w:r>
            <w:bookmarkEnd w:id="7"/>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3D136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1F4E8E"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Issuance of financial statements and entry into force of the legislative act on the accrual accounting reform for public sector entities covering at least 90% of the primary expenditure of the whole public sector, net of State-owned companies.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5977F"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 xml:space="preserve">Provision in the legislative act indicating the entry into force of the legislative act.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1AAF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E9B38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99396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C0BD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9E443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ACC6E7"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As a pilot phase</w:t>
            </w:r>
            <w:r w:rsidRPr="00077A1F" w:rsidDel="00DB39BB">
              <w:rPr>
                <w:rFonts w:ascii="Arial Narrow" w:eastAsia="Aptos" w:hAnsi="Arial Narrow" w:cs="Times New Roman"/>
                <w:noProof/>
                <w:color w:val="006100"/>
                <w:sz w:val="20"/>
                <w:szCs w:val="20"/>
                <w:lang w:val="en-IE"/>
              </w:rPr>
              <w:t xml:space="preserve"> for the legislative act of public accounting rules</w:t>
            </w:r>
            <w:r w:rsidRPr="00077A1F">
              <w:rPr>
                <w:rFonts w:ascii="Arial Narrow" w:eastAsia="Aptos" w:hAnsi="Arial Narrow" w:cs="Times New Roman"/>
                <w:noProof/>
                <w:color w:val="006100"/>
                <w:sz w:val="20"/>
                <w:szCs w:val="20"/>
                <w:lang w:val="en-IE"/>
              </w:rPr>
              <w:t>, public administration financial statements for public sector entities covering at least 90% of the primary expenditure of the whole public sector, net of State-owned companies, shall be prepared.</w:t>
            </w:r>
          </w:p>
          <w:p w14:paraId="2F577797" w14:textId="2DCD9C2E"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Furthermore, a legislative act shall enter into force and contain provisions mandating the adoption of the new accrual accounting system by 2030 (financial year) by public sector entities covering at least 90% of the primary expenditure of the whole public sector, net of State-owned companies.</w:t>
            </w:r>
            <w:r w:rsidRPr="00077A1F">
              <w:rPr>
                <w:noProof/>
                <w:lang w:val="en-IE"/>
              </w:rPr>
              <w:br/>
            </w:r>
            <w:r w:rsidRPr="00077A1F">
              <w:rPr>
                <w:rFonts w:ascii="Arial Narrow" w:eastAsia="Aptos" w:hAnsi="Arial Narrow" w:cs="Arial"/>
                <w:noProof/>
                <w:color w:val="006100"/>
                <w:sz w:val="20"/>
                <w:szCs w:val="20"/>
                <w:lang w:val="en-IE"/>
              </w:rPr>
              <w:t>The legislative act shall also require the organisation of</w:t>
            </w:r>
            <w:r w:rsidRPr="00077A1F">
              <w:rPr>
                <w:rFonts w:ascii="Arial Narrow" w:eastAsia="Aptos" w:hAnsi="Arial Narrow" w:cs="Times New Roman"/>
                <w:noProof/>
                <w:color w:val="006100"/>
                <w:sz w:val="20"/>
                <w:szCs w:val="20"/>
                <w:lang w:val="en-IE"/>
              </w:rPr>
              <w:t xml:space="preserve"> training programmes for the transition to the new accrual accounting system.</w:t>
            </w:r>
          </w:p>
          <w:p w14:paraId="4993B672"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Additionally, guidelines for the application of each accounting standard shall be published on the website of the Ministry of Economy and Finance.</w:t>
            </w:r>
          </w:p>
        </w:tc>
      </w:tr>
      <w:tr w:rsidR="0039681A" w:rsidRPr="0070054C" w14:paraId="687A10A7"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0C28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M1C1-119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B3FA1A" w14:textId="77777777" w:rsidR="0039681A" w:rsidRPr="00077A1F" w:rsidRDefault="0039681A" w:rsidP="00351087">
            <w:pPr>
              <w:spacing w:line="276" w:lineRule="auto"/>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1.14:</w:t>
            </w:r>
          </w:p>
          <w:p w14:paraId="218EACB6" w14:textId="77777777" w:rsidR="0039681A" w:rsidRPr="00077A1F" w:rsidRDefault="0039681A" w:rsidP="00351087">
            <w:pPr>
              <w:spacing w:line="276" w:lineRule="auto"/>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of the subnational fiscal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848B5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E1B462"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Definition of the parameters for the regional fiscal federalism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D20D83" w14:textId="104F997C"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xml:space="preserve">Entry into force of primary legislation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D2271"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F50A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C6A7A2"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9C0D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749B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A42DB3" w14:textId="58BFDB46"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Entry into force of primary legislation that shall define the essential levels of services (“livelli essenziali delle prestazioni”) for the fiscal federalism for regions with ordinary status in at least two policy areas, pursuant to legislative decree n. 68 of 6 May 2011.</w:t>
            </w:r>
          </w:p>
        </w:tc>
      </w:tr>
      <w:tr w:rsidR="0039681A" w:rsidRPr="0070054C" w14:paraId="13C25964"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DD4B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M1C1-120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359E6F" w14:textId="77777777" w:rsidR="0039681A" w:rsidRPr="00077A1F" w:rsidRDefault="0039681A" w:rsidP="00351087">
            <w:pPr>
              <w:spacing w:line="276" w:lineRule="auto"/>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1.14:</w:t>
            </w:r>
          </w:p>
          <w:p w14:paraId="4E0BE622" w14:textId="77777777" w:rsidR="0039681A" w:rsidRPr="00077A1F" w:rsidRDefault="0039681A" w:rsidP="00351087">
            <w:pPr>
              <w:spacing w:line="276" w:lineRule="auto"/>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of the subnational fiscal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88901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0C0E0E"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Entry into force of the legal acts defining the fiscal federalism for provinces and metropolitan cities.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4112B" w14:textId="77777777"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Entry into force of the legal acts defining the fiscal federalism for provinces and metropolitan cities.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36F8B"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B07EE"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DC0688"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37DC7"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szCs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D041F"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040861" w14:textId="534BF33B" w:rsidR="0039681A" w:rsidRPr="00077A1F" w:rsidRDefault="0039681A" w:rsidP="00351087">
            <w:pP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Entry into force of legal acts defining the fiscal federalism for provinces and metropolitan cities.</w:t>
            </w:r>
          </w:p>
        </w:tc>
      </w:tr>
      <w:tr w:rsidR="0039681A" w:rsidRPr="0070054C" w14:paraId="5F4411BD"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EC1763"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M1C1-121 bis</w:t>
            </w:r>
            <w:r w:rsidRPr="00030506">
              <w:rPr>
                <w:rFonts w:ascii="Arial Narrow" w:eastAsia="Aptos" w:hAnsi="Arial Narrow" w:cs="Times New Roman" w:hint="eastAsia"/>
                <w:noProof/>
                <w:color w:val="006100"/>
                <w:sz w:val="20"/>
              </w:rPr>
              <w:t>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A046F" w14:textId="77777777" w:rsidR="0039681A" w:rsidRPr="00077A1F" w:rsidRDefault="0039681A" w:rsidP="00351087">
            <w:pPr>
              <w:spacing w:after="200" w:line="276" w:lineRule="auto"/>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Reform 1.12:</w:t>
            </w:r>
          </w:p>
          <w:p w14:paraId="2798FD81" w14:textId="77777777" w:rsidR="0039681A" w:rsidRPr="00077A1F" w:rsidRDefault="0039681A" w:rsidP="00351087">
            <w:pPr>
              <w:spacing w:line="276" w:lineRule="auto"/>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Reform of the tax administration</w:t>
            </w:r>
            <w:r w:rsidRPr="00077A1F">
              <w:rPr>
                <w:rFonts w:ascii="Arial Narrow" w:eastAsia="Aptos" w:hAnsi="Arial Narrow" w:cs="Times New Roman" w:hint="eastAsia"/>
                <w:noProof/>
                <w:color w:val="006100"/>
                <w:sz w:val="20"/>
                <w:lang w:val="en-IE"/>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41F5FC"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86A043"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Entry into force of legal act(s) for improving tax collection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EEA67"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xml:space="preserve">Provisions in legal act(s) indicating the entry into force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3356DF"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8809B"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A7ABF"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93D351"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1EB3C7"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E39B9B" w14:textId="77777777" w:rsidR="0039681A" w:rsidRPr="00077A1F" w:rsidRDefault="0039681A" w:rsidP="00351087">
            <w:pP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Entry into force of legal act(s) providing that:</w:t>
            </w:r>
          </w:p>
          <w:p w14:paraId="4AD559A2" w14:textId="77777777" w:rsidR="0039681A" w:rsidRPr="00077A1F" w:rsidRDefault="0039681A" w:rsidP="00351087">
            <w:pP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1. Data from electronic invoicing shall be made available to the Agency responsible for collecting unpaid tax liability (“Agenzia Entrate Riscossione”);</w:t>
            </w:r>
          </w:p>
          <w:p w14:paraId="75DC6AE6" w14:textId="77777777" w:rsidR="0039681A" w:rsidRPr="00077A1F" w:rsidRDefault="0039681A" w:rsidP="00351087">
            <w:pP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2. Tax offsettings shall be only allowed in case unpaid tax liabilities do not exceed EUR 50 000.</w:t>
            </w:r>
          </w:p>
          <w:p w14:paraId="23FDEB99" w14:textId="77777777" w:rsidR="0039681A" w:rsidRPr="00077A1F" w:rsidRDefault="0039681A" w:rsidP="00351087">
            <w:pP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3. The Revenue Agency shall be allowed to send communications to taxpayers in case electronic invoices were issued but no VAT declaration were presented for the same period.</w:t>
            </w:r>
          </w:p>
        </w:tc>
      </w:tr>
      <w:tr w:rsidR="0039681A" w:rsidRPr="0070054C" w14:paraId="386B5087"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697299"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M1C1-122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E49D9" w14:textId="77777777" w:rsidR="0039681A" w:rsidRPr="00077A1F" w:rsidRDefault="0039681A" w:rsidP="00351087">
            <w:pPr>
              <w:spacing w:line="276" w:lineRule="auto"/>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Reform 1.13: Reform of the spending review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43E3C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Milestone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84EF07" w14:textId="2CBEE592"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Completion of the yearly spending review for 2025, with reference to the saving target set in 2022, 2023 and 2024 for 2025.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2B4D0" w14:textId="3279D999" w:rsidR="0039681A" w:rsidRPr="00077A1F" w:rsidRDefault="0039681A" w:rsidP="00351087">
            <w:pPr>
              <w:jc w:val="center"/>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szCs w:val="20"/>
                <w:lang w:val="en-IE"/>
              </w:rPr>
              <w:t>Transmission to the Council of Ministers of the Finance Ministry report on the spending review in 2025</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6F5E2A"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7C397D"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64E26"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0C433"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D39B70" w14:textId="77777777" w:rsidR="0039681A" w:rsidRPr="00030506" w:rsidRDefault="0039681A" w:rsidP="00351087">
            <w:pPr>
              <w:jc w:val="center"/>
              <w:rPr>
                <w:rFonts w:ascii="Arial Narrow" w:eastAsia="Aptos" w:hAnsi="Arial Narrow" w:cs="Arial"/>
                <w:noProof/>
                <w:color w:val="006100"/>
                <w:sz w:val="20"/>
                <w:szCs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FEF965"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The Finance Ministry report to be transmitted to the Council of Ministers as provided for by decree-laws 90 and 93 of 2016 and law 163/2016 shall:</w:t>
            </w:r>
          </w:p>
          <w:p w14:paraId="40B26C23"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certify the conclusion of the spending review process for 2025 in respect of the provision for the spending review framework.</w:t>
            </w:r>
          </w:p>
          <w:p w14:paraId="17EB4964" w14:textId="77777777" w:rsidR="0039681A" w:rsidRPr="00077A1F" w:rsidRDefault="0039681A" w:rsidP="00351087">
            <w:pPr>
              <w:spacing w:after="120"/>
              <w:rPr>
                <w:rFonts w:ascii="Arial Narrow" w:eastAsia="Aptos" w:hAnsi="Arial Narrow" w:cs="Arial"/>
                <w:noProof/>
                <w:color w:val="006100"/>
                <w:sz w:val="20"/>
                <w:szCs w:val="20"/>
                <w:lang w:val="en-IE"/>
              </w:rPr>
            </w:pPr>
            <w:r w:rsidRPr="00077A1F">
              <w:rPr>
                <w:rFonts w:ascii="Arial Narrow" w:eastAsia="Aptos" w:hAnsi="Arial Narrow" w:cs="Times New Roman"/>
                <w:noProof/>
                <w:color w:val="006100"/>
                <w:sz w:val="20"/>
                <w:lang w:val="en-IE"/>
              </w:rPr>
              <w:t>- certify the achievement of the target set in 2022, 2023 and 2024.</w:t>
            </w:r>
          </w:p>
        </w:tc>
      </w:tr>
      <w:tr w:rsidR="0039681A" w:rsidRPr="0070054C" w14:paraId="3C576A44"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FD24A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szCs w:val="20"/>
              </w:rPr>
              <w:t>M1C1-144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74242A" w14:textId="77777777" w:rsidR="0039681A" w:rsidRPr="00077A1F" w:rsidRDefault="0039681A" w:rsidP="00351087">
            <w:pPr>
              <w:spacing w:line="276" w:lineRule="auto"/>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 xml:space="preserve">Investment </w:t>
            </w:r>
            <w:bookmarkStart w:id="8" w:name="_Hlk197447732"/>
            <w:r w:rsidRPr="00077A1F">
              <w:rPr>
                <w:rFonts w:ascii="Arial Narrow" w:eastAsia="Aptos" w:hAnsi="Arial Narrow" w:cs="Times New Roman"/>
                <w:noProof/>
                <w:color w:val="006100"/>
                <w:sz w:val="20"/>
                <w:lang w:val="en-IE"/>
              </w:rPr>
              <w:t>1.4.2 - Citizen inclusion - Accessibility improvement of digital public services</w:t>
            </w:r>
            <w:bookmarkEnd w:id="8"/>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9C1EA6"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509368" w14:textId="77777777" w:rsidR="0039681A" w:rsidRPr="00077A1F" w:rsidRDefault="0039681A" w:rsidP="00351087">
            <w:pPr>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szCs w:val="20"/>
                <w:lang w:val="en-IE"/>
              </w:rPr>
              <w:t>Increased accessibility of digital public services/interventions implemented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3D31A"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364983"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F01DA"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6EB2D"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55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8F53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szCs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45017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szCs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65067"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Final reports confirming that at least 55 public administrations have implemented actions envisaged under legal agreements between each of them and Agenzia per l’Italia Digitale (AgID) to i) reduce the types of errors identified on at least 2 digital services, and ii) provide assistive technologies to PA workers with disabilities.</w:t>
            </w:r>
          </w:p>
        </w:tc>
      </w:tr>
      <w:tr w:rsidR="0039681A" w:rsidRPr="0070054C" w14:paraId="5BCF6420"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948D4C"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M1C1-147</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D40E0" w14:textId="77777777" w:rsidR="0039681A" w:rsidRPr="00077A1F" w:rsidRDefault="0039681A" w:rsidP="00351087">
            <w:pPr>
              <w:spacing w:line="276" w:lineRule="auto"/>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Investment 1.2 - Cloud enablement for local PA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AEA7EB"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6CBFCE"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Cloud enablement for local Public Administration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072F16"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A60C07"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282263"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4 083</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BC1E00"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12 464</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D7A2C5"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8C1EF5"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C6A1B" w14:textId="77777777" w:rsidR="0039681A" w:rsidRPr="00077A1F" w:rsidRDefault="0039681A" w:rsidP="00351087">
            <w:pPr>
              <w:spacing w:after="120"/>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The migration of 12</w:t>
            </w:r>
            <w:r w:rsidRPr="00077A1F">
              <w:rPr>
                <w:rFonts w:ascii="Aptos" w:eastAsia="Aptos" w:hAnsi="Aptos" w:cs="Times New Roman" w:hint="eastAsia"/>
                <w:noProof/>
                <w:color w:val="006100"/>
                <w:sz w:val="20"/>
                <w:lang w:val="en-IE"/>
              </w:rPr>
              <w:t> </w:t>
            </w:r>
            <w:r w:rsidRPr="00077A1F">
              <w:rPr>
                <w:rFonts w:ascii="Arial Narrow" w:eastAsia="Aptos" w:hAnsi="Arial Narrow" w:cs="Times New Roman"/>
                <w:noProof/>
                <w:color w:val="006100"/>
                <w:sz w:val="20"/>
                <w:lang w:val="en-IE"/>
              </w:rPr>
              <w:t>464 Local Public Administrations towards certified cloud environments shall be considered achieved when the testing of all the systems, datasets and applications’ migration included in each migration plan are successful.</w:t>
            </w:r>
          </w:p>
        </w:tc>
      </w:tr>
      <w:tr w:rsidR="0039681A" w:rsidRPr="0070054C" w14:paraId="4B7D32D0"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1030E"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M1C1-148</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1F0B59" w14:textId="77777777" w:rsidR="0039681A" w:rsidRPr="00077A1F" w:rsidRDefault="0039681A" w:rsidP="00351087">
            <w:pPr>
              <w:spacing w:line="276" w:lineRule="auto"/>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Investment 1.4.1 - Citizen experience - Improvement of the quality and the usability of digital public services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033850"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942CE1" w14:textId="77777777" w:rsidR="0039681A" w:rsidRPr="00077A1F" w:rsidRDefault="0039681A" w:rsidP="00351087">
            <w:pPr>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szCs w:val="20"/>
                <w:lang w:val="en-IE"/>
              </w:rPr>
              <w:t>Increase in the quality and the usability of digital public services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8A8914"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B9C033"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Percentage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0F28CA"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40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9C9311"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80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C2CA2C"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D2A909"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ABC12B"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Administrations (municipalities, primary and secondary of 1</w:t>
            </w:r>
            <w:r w:rsidRPr="00077A1F">
              <w:rPr>
                <w:rFonts w:ascii="Arial Narrow" w:eastAsia="Aptos" w:hAnsi="Arial Narrow" w:cs="Times New Roman"/>
                <w:noProof/>
                <w:color w:val="006100"/>
                <w:sz w:val="20"/>
                <w:szCs w:val="20"/>
                <w:vertAlign w:val="superscript"/>
                <w:lang w:val="en-IE"/>
              </w:rPr>
              <w:t>st</w:t>
            </w:r>
            <w:r w:rsidRPr="00077A1F">
              <w:rPr>
                <w:rFonts w:ascii="Arial Narrow" w:eastAsia="Aptos" w:hAnsi="Arial Narrow" w:cs="Times New Roman"/>
                <w:noProof/>
                <w:color w:val="006100"/>
                <w:sz w:val="20"/>
                <w:szCs w:val="20"/>
                <w:lang w:val="en-IE"/>
              </w:rPr>
              <w:t xml:space="preserve"> and 2</w:t>
            </w:r>
            <w:r w:rsidRPr="00077A1F">
              <w:rPr>
                <w:rFonts w:ascii="Arial Narrow" w:eastAsia="Aptos" w:hAnsi="Arial Narrow" w:cs="Times New Roman"/>
                <w:noProof/>
                <w:color w:val="006100"/>
                <w:sz w:val="20"/>
                <w:szCs w:val="20"/>
                <w:vertAlign w:val="superscript"/>
                <w:lang w:val="en-IE"/>
              </w:rPr>
              <w:t>nd</w:t>
            </w:r>
            <w:r w:rsidRPr="00077A1F">
              <w:rPr>
                <w:rFonts w:ascii="Arial Narrow" w:eastAsia="Aptos" w:hAnsi="Arial Narrow" w:cs="Times New Roman"/>
                <w:noProof/>
                <w:color w:val="006100"/>
                <w:sz w:val="20"/>
                <w:szCs w:val="20"/>
                <w:lang w:val="en-IE"/>
              </w:rPr>
              <w:t xml:space="preserve"> grade educational institutions) shall adhere to a common model and design system for websites and digital services, simplifying user interaction and easing maintenance.</w:t>
            </w:r>
          </w:p>
          <w:p w14:paraId="201E750D" w14:textId="4175F036" w:rsidR="0039681A" w:rsidRPr="00077A1F" w:rsidRDefault="0039681A" w:rsidP="00351087">
            <w:pPr>
              <w:spacing w:after="120"/>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szCs w:val="20"/>
                <w:lang w:val="en-IE"/>
              </w:rPr>
              <w:t>Municipalities contributing to the target shall adhere to the common model and design system for at least 3.5 services on average.</w:t>
            </w:r>
          </w:p>
        </w:tc>
      </w:tr>
      <w:tr w:rsidR="0039681A" w:rsidRPr="0070054C" w14:paraId="0A75E861"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132D28"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szCs w:val="20"/>
              </w:rPr>
              <w:t>M1C1-149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817F9" w14:textId="77777777" w:rsidR="0039681A" w:rsidRPr="00077A1F" w:rsidRDefault="0039681A" w:rsidP="00351087">
            <w:pPr>
              <w:spacing w:line="276" w:lineRule="auto"/>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szCs w:val="20"/>
                <w:lang w:val="en-IE"/>
              </w:rPr>
              <w:t>Investment 1.4.3 - Adoption scale up of PagoPA platform services and the “IO” app</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7C6706"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93A87"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Adoption scale up of PagoPA platform services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9735B8"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F4A42B"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4AD4AB"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szCs w:val="20"/>
              </w:rPr>
              <w:t>11 450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CD962A"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14 100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068E45"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8CABB6"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A412E7"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At least 14 100 public administrations shall be present on the PagoPA platform, offering a number of services: on average 35 services for municipalities, 15 for Regions, 15 for health authorities and 8 for schools and universities.</w:t>
            </w:r>
          </w:p>
        </w:tc>
      </w:tr>
      <w:tr w:rsidR="0039681A" w:rsidRPr="0070054C" w14:paraId="49E287AD"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084F0" w14:textId="77777777" w:rsidR="0039681A" w:rsidRPr="00030506" w:rsidRDefault="0039681A">
            <w:pPr>
              <w:jc w:val="center"/>
              <w:rPr>
                <w:rFonts w:ascii="Arial Narrow" w:eastAsia="Aptos" w:hAnsi="Arial Narrow" w:cs="Times New Roman"/>
                <w:noProof/>
                <w:color w:val="006100"/>
                <w:sz w:val="20"/>
                <w:szCs w:val="20"/>
              </w:rPr>
            </w:pPr>
            <w:r w:rsidRPr="00EA1358">
              <w:rPr>
                <w:rFonts w:ascii="Arial Narrow" w:eastAsia="Aptos" w:hAnsi="Arial Narrow" w:cs="Times New Roman"/>
                <w:noProof/>
                <w:color w:val="006100"/>
                <w:sz w:val="20"/>
                <w:szCs w:val="20"/>
              </w:rPr>
              <w:t>M1C1-151</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D8D1C3" w14:textId="77777777" w:rsidR="0039681A" w:rsidRPr="00077A1F" w:rsidRDefault="0039681A" w:rsidP="00351087">
            <w:pPr>
              <w:spacing w:line="276" w:lineRule="auto"/>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Investment 1.4.5 - Digitization of public notices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F4193A" w14:textId="77777777" w:rsidR="0039681A" w:rsidRPr="00EA1358" w:rsidRDefault="0039681A">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78BBC8" w14:textId="77777777" w:rsidR="0039681A" w:rsidRPr="00077A1F" w:rsidRDefault="0039681A">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Adoption of the Digital Notification Platform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8CF48" w14:textId="77777777" w:rsidR="0039681A" w:rsidRPr="00EA1358" w:rsidRDefault="0039681A">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C4DF03" w14:textId="77777777" w:rsidR="0039681A" w:rsidRPr="00EA1358" w:rsidRDefault="0039681A">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AC5878" w14:textId="77777777" w:rsidR="0039681A" w:rsidRPr="00030506" w:rsidRDefault="0039681A">
            <w:pPr>
              <w:jc w:val="center"/>
              <w:rPr>
                <w:rFonts w:ascii="Arial Narrow" w:eastAsia="Aptos" w:hAnsi="Arial Narrow" w:cs="Times New Roman"/>
                <w:noProof/>
                <w:color w:val="006100"/>
                <w:sz w:val="20"/>
                <w:szCs w:val="20"/>
              </w:rPr>
            </w:pPr>
            <w:r w:rsidRPr="00EA1358">
              <w:rPr>
                <w:rFonts w:ascii="Arial Narrow" w:eastAsia="Aptos" w:hAnsi="Arial Narrow" w:cs="Times New Roman"/>
                <w:noProof/>
                <w:color w:val="006100"/>
                <w:sz w:val="20"/>
                <w:szCs w:val="20"/>
              </w:rPr>
              <w:t>800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CAE064" w14:textId="77777777" w:rsidR="0039681A" w:rsidRPr="00EA1358" w:rsidRDefault="0039681A">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6 400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F2C47" w14:textId="77777777" w:rsidR="0039681A" w:rsidRPr="00EA1358" w:rsidRDefault="0039681A">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22725E" w14:textId="77777777" w:rsidR="0039681A" w:rsidRPr="00EA1358" w:rsidRDefault="0039681A">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8A3A11" w14:textId="77777777" w:rsidR="0039681A" w:rsidRPr="00077A1F" w:rsidRDefault="0039681A">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At least 6 400 public administrations shall use the Digital Notification Platform (DNP) to send legally binding digital notices to addressees.</w:t>
            </w:r>
          </w:p>
        </w:tc>
      </w:tr>
      <w:tr w:rsidR="0039681A" w:rsidRPr="0070054C" w14:paraId="364F0F9A"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7BC819"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M1C1-150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B82F2A" w14:textId="77777777" w:rsidR="0039681A" w:rsidRPr="00077A1F" w:rsidRDefault="0039681A" w:rsidP="00351087">
            <w:pPr>
              <w:spacing w:line="276" w:lineRule="auto"/>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szCs w:val="20"/>
                <w:lang w:val="en-IE"/>
              </w:rPr>
              <w:t>Investment 1.4.3 - Adoption scale up of PagoPA platform services and the “IO” app</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F62E10"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51BA15"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Adoption scale up of “IO” app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5CA028"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78F7EB"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CBE6F6"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7 000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68371E"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14 100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176C3E"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0410B"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EC1786"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At least 14 100 public administrations shall be present on the “IO" app, offering a number of services: on average 35 services for municipalities, 15 for regions, 15 for health authorities and 8 for schools and universities.</w:t>
            </w:r>
          </w:p>
        </w:tc>
      </w:tr>
      <w:tr w:rsidR="0039681A" w:rsidRPr="0070054C" w14:paraId="621A33B6"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1648F6"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M1C1-152</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F9D0D1" w14:textId="77777777" w:rsidR="0039681A" w:rsidRPr="00077A1F" w:rsidRDefault="0039681A" w:rsidP="00351087">
            <w:pPr>
              <w:spacing w:line="276" w:lineRule="auto"/>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1.6.1 - Digitization of the Ministry of the Interior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CCDEC2"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8A83A2" w14:textId="648D2D85"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Ministry of Interior - re-engineered or digitized processes or services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E89871"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2D28E7"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6F785"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7</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D25560"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45</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221638"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BB5415"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959FA5" w14:textId="13EACB23"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Processes or services of the Ministry of the Interior are re-engineered or digitized.</w:t>
            </w:r>
          </w:p>
        </w:tc>
      </w:tr>
      <w:tr w:rsidR="0039681A" w:rsidRPr="0070054C" w14:paraId="68995412"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EC4DB"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M1C1-153</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12C313" w14:textId="77777777" w:rsidR="0039681A" w:rsidRPr="00077A1F" w:rsidRDefault="0039681A" w:rsidP="00351087">
            <w:pPr>
              <w:spacing w:line="276" w:lineRule="auto"/>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Investment 1.6.2 - Digitization of the Ministry of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D28E9D"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B5E74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Digitized judicial files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76DBF2"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E0B97E"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38E3E0"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3 500 000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8ADEB2"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7 750 000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8E0FBA"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Q4</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FE5432"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2025</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F0E54B"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Digitalization of 7</w:t>
            </w:r>
            <w:r w:rsidRPr="00077A1F">
              <w:rPr>
                <w:rFonts w:ascii="Aptos" w:eastAsia="Aptos" w:hAnsi="Aptos" w:cs="Times New Roman" w:hint="eastAsia"/>
                <w:noProof/>
                <w:color w:val="006100"/>
                <w:sz w:val="20"/>
                <w:szCs w:val="20"/>
                <w:lang w:val="en-IE"/>
              </w:rPr>
              <w:t> </w:t>
            </w:r>
            <w:r w:rsidRPr="00077A1F">
              <w:rPr>
                <w:rFonts w:ascii="Arial Narrow" w:eastAsia="Aptos" w:hAnsi="Arial Narrow" w:cs="Times New Roman"/>
                <w:noProof/>
                <w:color w:val="006100"/>
                <w:sz w:val="20"/>
                <w:szCs w:val="20"/>
                <w:lang w:val="en-IE"/>
              </w:rPr>
              <w:t>750</w:t>
            </w:r>
            <w:r w:rsidRPr="00077A1F">
              <w:rPr>
                <w:rFonts w:ascii="Aptos" w:eastAsia="Aptos" w:hAnsi="Aptos" w:cs="Times New Roman" w:hint="eastAsia"/>
                <w:noProof/>
                <w:color w:val="006100"/>
                <w:sz w:val="20"/>
                <w:szCs w:val="20"/>
                <w:lang w:val="en-IE"/>
              </w:rPr>
              <w:t> </w:t>
            </w:r>
            <w:r w:rsidRPr="00077A1F">
              <w:rPr>
                <w:rFonts w:ascii="Arial Narrow" w:eastAsia="Aptos" w:hAnsi="Arial Narrow" w:cs="Times New Roman"/>
                <w:noProof/>
                <w:color w:val="006100"/>
                <w:sz w:val="20"/>
                <w:szCs w:val="20"/>
                <w:lang w:val="en-IE"/>
              </w:rPr>
              <w:t>000 judicial files pertaining to the last 20 years (01/01/2006 - 30/06/2026) related to completed or ongoing trials of judicial courts.</w:t>
            </w:r>
          </w:p>
        </w:tc>
      </w:tr>
      <w:tr w:rsidR="0039681A" w:rsidRPr="0070054C" w14:paraId="41069FB0"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3B30F8"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M1C1-154</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D292A7" w14:textId="77777777" w:rsidR="0039681A" w:rsidRPr="00077A1F" w:rsidRDefault="0039681A" w:rsidP="00351087">
            <w:pPr>
              <w:spacing w:line="276" w:lineRule="auto"/>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Investment 1.6.2 - Digitization of the Ministry of Justice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50F479"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Target</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BF9DB2"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Justice Data Lake knowledge systems T2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11AA68"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30B42"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Number</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93B4A6"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0</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861DB1"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6</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2E03E4"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Q2</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580D94"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2026</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0DD91B" w14:textId="317FBB88"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Implementation of six new Data Lake knowledge systems:</w:t>
            </w:r>
          </w:p>
          <w:p w14:paraId="764EC1B0" w14:textId="77777777" w:rsidR="0039681A" w:rsidRPr="00077A1F" w:rsidRDefault="0039681A" w:rsidP="00351087">
            <w:pPr>
              <w:numPr>
                <w:ilvl w:val="0"/>
                <w:numId w:val="33"/>
              </w:numPr>
              <w:spacing w:after="0" w:line="240" w:lineRule="auto"/>
              <w:ind w:left="357" w:hanging="357"/>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Anonymization system of civil and criminal sentences</w:t>
            </w:r>
          </w:p>
          <w:p w14:paraId="466977D2" w14:textId="77777777" w:rsidR="0039681A" w:rsidRPr="00030506" w:rsidRDefault="0039681A" w:rsidP="00351087">
            <w:pPr>
              <w:numPr>
                <w:ilvl w:val="0"/>
                <w:numId w:val="33"/>
              </w:numPr>
              <w:spacing w:after="0" w:line="240" w:lineRule="auto"/>
              <w:ind w:left="357" w:hanging="357"/>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Integrated management system</w:t>
            </w:r>
          </w:p>
          <w:p w14:paraId="572688EE" w14:textId="77777777" w:rsidR="0039681A" w:rsidRPr="00077A1F" w:rsidRDefault="0039681A" w:rsidP="00351087">
            <w:pPr>
              <w:numPr>
                <w:ilvl w:val="0"/>
                <w:numId w:val="33"/>
              </w:numPr>
              <w:spacing w:after="0" w:line="240" w:lineRule="auto"/>
              <w:ind w:left="357" w:hanging="357"/>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Management and analysis system for civil trials</w:t>
            </w:r>
          </w:p>
          <w:p w14:paraId="7C6003E6" w14:textId="77777777" w:rsidR="0039681A" w:rsidRPr="00077A1F" w:rsidRDefault="0039681A" w:rsidP="00351087">
            <w:pPr>
              <w:numPr>
                <w:ilvl w:val="0"/>
                <w:numId w:val="33"/>
              </w:numPr>
              <w:spacing w:after="0" w:line="240" w:lineRule="auto"/>
              <w:ind w:left="357" w:hanging="357"/>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Management and analysis system for criminal trials</w:t>
            </w:r>
          </w:p>
          <w:p w14:paraId="0A828EE9" w14:textId="77777777" w:rsidR="0039681A" w:rsidRPr="00077A1F" w:rsidRDefault="0039681A" w:rsidP="00351087">
            <w:pPr>
              <w:numPr>
                <w:ilvl w:val="0"/>
                <w:numId w:val="33"/>
              </w:numPr>
              <w:spacing w:after="0" w:line="240" w:lineRule="auto"/>
              <w:ind w:left="357" w:hanging="357"/>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Advanced statistics system on civil and criminal trials</w:t>
            </w:r>
          </w:p>
          <w:p w14:paraId="230990D9" w14:textId="6BE1A09E" w:rsidR="0039681A" w:rsidRPr="00077A1F" w:rsidRDefault="0039681A" w:rsidP="00D65011">
            <w:pPr>
              <w:numPr>
                <w:ilvl w:val="0"/>
                <w:numId w:val="33"/>
              </w:numPr>
              <w:spacing w:after="0" w:line="240" w:lineRule="auto"/>
              <w:ind w:left="357" w:hanging="357"/>
              <w:contextualSpacing/>
              <w:rPr>
                <w:rFonts w:ascii="Arial Narrow" w:eastAsia="Aptos" w:hAnsi="Arial Narrow" w:cs="Times New Roman"/>
                <w:noProof/>
                <w:color w:val="006100"/>
                <w:sz w:val="20"/>
                <w:szCs w:val="20"/>
                <w:lang w:val="en-IE"/>
              </w:rPr>
            </w:pPr>
            <w:r w:rsidRPr="00077A1F">
              <w:rPr>
                <w:rFonts w:ascii="Arial Narrow" w:eastAsia="Times New Roman" w:hAnsi="Arial Narrow" w:cs="Times New Roman"/>
                <w:noProof/>
                <w:color w:val="006100"/>
                <w:sz w:val="20"/>
                <w:szCs w:val="20"/>
                <w:lang w:val="en-IE"/>
              </w:rPr>
              <w:t>Automated system for identification of victim-offender relationship.</w:t>
            </w:r>
          </w:p>
        </w:tc>
      </w:tr>
      <w:tr w:rsidR="0039681A" w:rsidRPr="0070054C" w14:paraId="6CE4F20A" w14:textId="77777777" w:rsidTr="00351087">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4DEEFC" w14:textId="77777777" w:rsidR="0039681A" w:rsidRPr="00560C9F" w:rsidRDefault="0039681A" w:rsidP="00351087">
            <w:pPr>
              <w:jc w:val="center"/>
              <w:rPr>
                <w:rFonts w:ascii="Arial Narrow" w:eastAsia="Aptos" w:hAnsi="Arial Narrow" w:cs="Times New Roman"/>
                <w:noProof/>
                <w:color w:val="006100"/>
                <w:sz w:val="20"/>
                <w:szCs w:val="20"/>
              </w:rPr>
            </w:pPr>
            <w:r w:rsidRPr="00560C9F">
              <w:rPr>
                <w:rFonts w:ascii="Arial Narrow" w:eastAsia="Aptos" w:hAnsi="Arial Narrow" w:cs="Times New Roman"/>
                <w:noProof/>
                <w:color w:val="006100"/>
                <w:sz w:val="20"/>
                <w:szCs w:val="20"/>
              </w:rPr>
              <w:t>M1C1-155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6024E"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Investment 1.6.3 - Digitization of National Social Security Institute (INPS) and National Institute for Insurance against Accidents at work (INAIL)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232C1F" w14:textId="77777777" w:rsidR="0039681A" w:rsidRPr="00560C9F" w:rsidRDefault="0039681A" w:rsidP="00351087">
            <w:pPr>
              <w:jc w:val="center"/>
              <w:rPr>
                <w:rFonts w:ascii="Arial Narrow" w:eastAsia="Aptos" w:hAnsi="Arial Narrow" w:cs="Times New Roman"/>
                <w:noProof/>
                <w:color w:val="006100"/>
                <w:sz w:val="20"/>
                <w:szCs w:val="20"/>
              </w:rPr>
            </w:pPr>
            <w:r w:rsidRPr="00560C9F">
              <w:rPr>
                <w:rFonts w:ascii="Arial Narrow" w:eastAsia="Aptos" w:hAnsi="Arial Narrow" w:cs="Times New Roman"/>
                <w:noProof/>
                <w:color w:val="006100"/>
                <w:sz w:val="20"/>
                <w:szCs w:val="20"/>
              </w:rPr>
              <w:t>Target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608D89"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INAIL - Re-engineered/ digitized processes/services T2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22864D" w14:textId="77777777" w:rsidR="0039681A" w:rsidRPr="00560C9F" w:rsidRDefault="0039681A" w:rsidP="00351087">
            <w:pPr>
              <w:jc w:val="center"/>
              <w:rPr>
                <w:rFonts w:ascii="Arial Narrow" w:eastAsia="Aptos" w:hAnsi="Arial Narrow" w:cs="Times New Roman"/>
                <w:noProof/>
                <w:color w:val="006100"/>
                <w:sz w:val="20"/>
                <w:szCs w:val="20"/>
              </w:rPr>
            </w:pPr>
            <w:r w:rsidRPr="00560C9F">
              <w:rPr>
                <w:rFonts w:ascii="Arial Narrow" w:eastAsia="Aptos" w:hAnsi="Arial Narrow" w:cs="Times New Roman"/>
                <w:noProof/>
                <w:color w:val="006100"/>
                <w:sz w:val="20"/>
                <w:szCs w:val="20"/>
              </w:rPr>
              <w:t>N/A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872765" w14:textId="77777777" w:rsidR="0039681A" w:rsidRPr="00560C9F" w:rsidRDefault="0039681A" w:rsidP="00351087">
            <w:pPr>
              <w:jc w:val="center"/>
              <w:rPr>
                <w:rFonts w:ascii="Arial Narrow" w:eastAsia="Aptos" w:hAnsi="Arial Narrow" w:cs="Times New Roman"/>
                <w:noProof/>
                <w:color w:val="006100"/>
                <w:sz w:val="20"/>
                <w:szCs w:val="20"/>
              </w:rPr>
            </w:pPr>
            <w:r w:rsidRPr="00560C9F">
              <w:rPr>
                <w:rFonts w:ascii="Arial Narrow" w:eastAsia="Aptos" w:hAnsi="Arial Narrow" w:cs="Times New Roman"/>
                <w:noProof/>
                <w:color w:val="006100"/>
                <w:sz w:val="20"/>
                <w:szCs w:val="20"/>
              </w:rPr>
              <w:t>Number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FF04FD" w14:textId="77777777" w:rsidR="0039681A" w:rsidRPr="00560C9F" w:rsidRDefault="0039681A" w:rsidP="00351087">
            <w:pPr>
              <w:jc w:val="center"/>
              <w:rPr>
                <w:rFonts w:ascii="Arial Narrow" w:eastAsia="Aptos" w:hAnsi="Arial Narrow" w:cs="Times New Roman"/>
                <w:noProof/>
                <w:color w:val="006100"/>
                <w:sz w:val="20"/>
                <w:szCs w:val="20"/>
              </w:rPr>
            </w:pPr>
            <w:r w:rsidRPr="00560C9F">
              <w:rPr>
                <w:rFonts w:ascii="Arial Narrow" w:eastAsia="Aptos" w:hAnsi="Arial Narrow" w:cs="Times New Roman"/>
                <w:noProof/>
                <w:color w:val="006100"/>
                <w:sz w:val="20"/>
                <w:szCs w:val="20"/>
              </w:rPr>
              <w:t>53 </w:t>
            </w:r>
          </w:p>
        </w:tc>
        <w:tc>
          <w:tcPr>
            <w:tcW w:w="14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6F39B2" w14:textId="77777777" w:rsidR="0039681A" w:rsidRPr="00560C9F" w:rsidRDefault="0039681A" w:rsidP="00351087">
            <w:pPr>
              <w:jc w:val="center"/>
              <w:rPr>
                <w:rFonts w:ascii="Arial Narrow" w:eastAsia="Aptos" w:hAnsi="Arial Narrow" w:cs="Times New Roman"/>
                <w:noProof/>
                <w:color w:val="006100"/>
                <w:sz w:val="20"/>
                <w:szCs w:val="20"/>
              </w:rPr>
            </w:pPr>
            <w:r w:rsidRPr="00560C9F">
              <w:rPr>
                <w:rFonts w:ascii="Arial Narrow" w:eastAsia="Aptos" w:hAnsi="Arial Narrow" w:cs="Times New Roman"/>
                <w:noProof/>
                <w:color w:val="006100"/>
                <w:sz w:val="20"/>
                <w:szCs w:val="20"/>
              </w:rPr>
              <w:t>82 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054F10" w14:textId="77777777" w:rsidR="0039681A" w:rsidRPr="00560C9F" w:rsidRDefault="0039681A" w:rsidP="00351087">
            <w:pPr>
              <w:jc w:val="center"/>
              <w:rPr>
                <w:rFonts w:ascii="Arial Narrow" w:eastAsia="Aptos" w:hAnsi="Arial Narrow" w:cs="Times New Roman"/>
                <w:noProof/>
                <w:color w:val="006100"/>
                <w:sz w:val="20"/>
                <w:szCs w:val="20"/>
              </w:rPr>
            </w:pPr>
            <w:r w:rsidRPr="00560C9F">
              <w:rPr>
                <w:rFonts w:ascii="Arial Narrow" w:eastAsia="Aptos" w:hAnsi="Arial Narrow" w:cs="Times New Roman"/>
                <w:noProof/>
                <w:color w:val="006100"/>
                <w:sz w:val="20"/>
                <w:szCs w:val="20"/>
              </w:rPr>
              <w:t>Q2 </w:t>
            </w:r>
          </w:p>
        </w:tc>
        <w:tc>
          <w:tcPr>
            <w:tcW w:w="85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B6D3C9" w14:textId="77777777" w:rsidR="0039681A" w:rsidRPr="00560C9F" w:rsidRDefault="0039681A" w:rsidP="00351087">
            <w:pPr>
              <w:jc w:val="center"/>
              <w:rPr>
                <w:rFonts w:ascii="Arial Narrow" w:eastAsia="Aptos" w:hAnsi="Arial Narrow" w:cs="Times New Roman"/>
                <w:noProof/>
                <w:color w:val="006100"/>
                <w:sz w:val="20"/>
                <w:szCs w:val="20"/>
              </w:rPr>
            </w:pPr>
            <w:r w:rsidRPr="00560C9F">
              <w:rPr>
                <w:rFonts w:ascii="Arial Narrow" w:eastAsia="Aptos" w:hAnsi="Arial Narrow" w:cs="Times New Roman"/>
                <w:noProof/>
                <w:color w:val="006100"/>
                <w:sz w:val="20"/>
                <w:szCs w:val="20"/>
              </w:rPr>
              <w:t>2026 </w:t>
            </w:r>
          </w:p>
        </w:tc>
        <w:tc>
          <w:tcPr>
            <w:tcW w:w="32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E777A0" w14:textId="77777777" w:rsidR="0039681A" w:rsidRPr="00077A1F" w:rsidRDefault="0039681A" w:rsidP="00AF5341">
            <w:pP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82 INAIL processes or services are re-engineered/digitized. </w:t>
            </w:r>
          </w:p>
        </w:tc>
      </w:tr>
    </w:tbl>
    <w:p w14:paraId="26265D53" w14:textId="77777777" w:rsidR="0039681A" w:rsidRPr="00077A1F" w:rsidRDefault="0039681A" w:rsidP="00351087">
      <w:pPr>
        <w:tabs>
          <w:tab w:val="left" w:pos="4252"/>
        </w:tabs>
        <w:rPr>
          <w:rFonts w:ascii="Aptos" w:eastAsia="Aptos" w:hAnsi="Aptos" w:cs="Times New Roman"/>
          <w:i/>
          <w:noProof/>
          <w:lang w:val="en-IE"/>
        </w:rPr>
        <w:sectPr w:rsidR="0039681A" w:rsidRPr="00077A1F" w:rsidSect="0039681A">
          <w:headerReference w:type="even" r:id="rId21"/>
          <w:headerReference w:type="default" r:id="rId22"/>
          <w:footerReference w:type="default" r:id="rId23"/>
          <w:headerReference w:type="first" r:id="rId24"/>
          <w:pgSz w:w="16838" w:h="11906" w:orient="landscape" w:code="9"/>
          <w:pgMar w:top="1134" w:right="1134" w:bottom="1134" w:left="1134" w:header="567" w:footer="567" w:gutter="0"/>
          <w:cols w:space="720"/>
          <w:docGrid w:linePitch="360"/>
        </w:sectPr>
      </w:pPr>
    </w:p>
    <w:p w14:paraId="28D6FE03" w14:textId="77777777" w:rsidR="0039681A" w:rsidRPr="00077A1F" w:rsidRDefault="0039681A" w:rsidP="00351087">
      <w:pPr>
        <w:keepNext/>
        <w:keepLines/>
        <w:spacing w:before="160" w:after="80"/>
        <w:ind w:left="850" w:hanging="850"/>
        <w:outlineLvl w:val="2"/>
        <w:rPr>
          <w:rFonts w:ascii="Times New Roman" w:eastAsia="Times New Roman" w:hAnsi="Times New Roman" w:cs="Times New Roman"/>
          <w:b/>
          <w:bCs/>
          <w:i/>
          <w:iCs/>
          <w:noProof/>
          <w:u w:val="single"/>
          <w:lang w:val="en-IE"/>
        </w:rPr>
      </w:pPr>
      <w:r w:rsidRPr="00077A1F">
        <w:rPr>
          <w:rFonts w:ascii="Times New Roman" w:eastAsia="Times New Roman" w:hAnsi="Times New Roman" w:cs="Times New Roman"/>
          <w:b/>
          <w:noProof/>
          <w:u w:val="single"/>
          <w:lang w:val="en-IE"/>
        </w:rPr>
        <w:t xml:space="preserve">A.3. </w:t>
      </w:r>
      <w:r w:rsidRPr="00077A1F">
        <w:rPr>
          <w:rFonts w:ascii="Times New Roman" w:eastAsia="Times New Roman" w:hAnsi="Times New Roman" w:cs="Times New Roman"/>
          <w:noProof/>
          <w:lang w:val="en-IE"/>
        </w:rPr>
        <w:tab/>
      </w:r>
      <w:r w:rsidRPr="00077A1F">
        <w:rPr>
          <w:rFonts w:ascii="Times New Roman" w:eastAsia="Times New Roman" w:hAnsi="Times New Roman" w:cs="Times New Roman"/>
          <w:b/>
          <w:noProof/>
          <w:u w:val="single"/>
          <w:lang w:val="en-IE"/>
        </w:rPr>
        <w:t xml:space="preserve">Description of the reforms and investments for the loan </w:t>
      </w:r>
    </w:p>
    <w:p w14:paraId="5ADB9028" w14:textId="77777777" w:rsidR="0039681A" w:rsidRPr="00077A1F" w:rsidRDefault="0039681A" w:rsidP="00351087">
      <w:pPr>
        <w:spacing w:before="120" w:after="120"/>
        <w:jc w:val="both"/>
        <w:rPr>
          <w:rFonts w:ascii="Aptos" w:eastAsia="Aptos" w:hAnsi="Aptos" w:cs="Times New Roman"/>
          <w:b/>
          <w:noProof/>
          <w:lang w:val="en-IE"/>
        </w:rPr>
      </w:pPr>
    </w:p>
    <w:p w14:paraId="34362AEB" w14:textId="77777777" w:rsidR="0039681A" w:rsidRPr="00077A1F" w:rsidRDefault="0039681A" w:rsidP="00351087">
      <w:pPr>
        <w:spacing w:before="240" w:after="120"/>
        <w:jc w:val="both"/>
        <w:rPr>
          <w:rFonts w:ascii="Times New Roman" w:eastAsia="Aptos" w:hAnsi="Times New Roman" w:cs="Times New Roman"/>
          <w:b/>
          <w:noProof/>
          <w:lang w:val="en-IE"/>
        </w:rPr>
      </w:pPr>
      <w:r w:rsidRPr="00077A1F">
        <w:rPr>
          <w:rFonts w:ascii="Times New Roman" w:eastAsia="Aptos" w:hAnsi="Times New Roman" w:cs="Times New Roman"/>
          <w:b/>
          <w:noProof/>
          <w:lang w:val="en-IE"/>
        </w:rPr>
        <w:t>Investment 1.1 - Digital infrastructure</w:t>
      </w:r>
    </w:p>
    <w:p w14:paraId="1D1951CA" w14:textId="77777777" w:rsidR="0039681A" w:rsidRPr="00AF5341" w:rsidRDefault="0039681A" w:rsidP="00AF5341">
      <w:pPr>
        <w:spacing w:before="120" w:after="120" w:line="240" w:lineRule="auto"/>
        <w:jc w:val="both"/>
        <w:rPr>
          <w:rFonts w:ascii="Times New Roman" w:eastAsia="Times New Roman" w:hAnsi="Times New Roman" w:cs="Times New Roman"/>
          <w:noProof/>
          <w:lang w:val="en-IE" w:eastAsia="en-GB"/>
        </w:rPr>
      </w:pPr>
      <w:r w:rsidRPr="00077A1F">
        <w:rPr>
          <w:rFonts w:ascii="Times New Roman" w:eastAsia="Times New Roman" w:hAnsi="Times New Roman" w:cs="Times New Roman"/>
          <w:noProof/>
          <w:lang w:val="en-IE" w:eastAsia="en-GB"/>
        </w:rPr>
        <w:t>The objective of this investment is to ensure that the systems, datasets and applications of the public administration are hosted in data centres with high quality standards for security, performance, scalability, European interoperability and energy efficiency. The investment consists in the migration of the datasets and applications of the public administration towards the PSN or towards secure certified public cloud providers.</w:t>
      </w:r>
    </w:p>
    <w:p w14:paraId="6F6372BE" w14:textId="77777777" w:rsidR="0039681A" w:rsidRPr="00077A1F" w:rsidRDefault="0039681A" w:rsidP="00351087">
      <w:pPr>
        <w:spacing w:before="120" w:after="120"/>
        <w:jc w:val="both"/>
        <w:rPr>
          <w:rFonts w:ascii="Times New Roman" w:eastAsia="Aptos" w:hAnsi="Times New Roman" w:cs="Times New Roman"/>
          <w:b/>
          <w:noProof/>
          <w:lang w:val="en-IE"/>
        </w:rPr>
      </w:pPr>
      <w:r w:rsidRPr="00077A1F">
        <w:rPr>
          <w:rFonts w:ascii="Times New Roman" w:eastAsia="Aptos" w:hAnsi="Times New Roman" w:cs="Times New Roman"/>
          <w:b/>
          <w:noProof/>
          <w:lang w:val="en-IE"/>
        </w:rPr>
        <w:t>Investment 1.2 - Cloud enablement for local PA</w:t>
      </w:r>
    </w:p>
    <w:p w14:paraId="5535E459" w14:textId="77777777" w:rsidR="0039681A" w:rsidRPr="00077A1F" w:rsidRDefault="0039681A" w:rsidP="00351087">
      <w:pPr>
        <w:spacing w:before="120" w:after="120" w:line="240" w:lineRule="auto"/>
        <w:jc w:val="both"/>
        <w:rPr>
          <w:rFonts w:ascii="Times New Roman" w:eastAsia="Times New Roman" w:hAnsi="Times New Roman" w:cs="Times New Roman"/>
          <w:noProof/>
          <w:lang w:val="en-IE" w:eastAsia="en-GB"/>
        </w:rPr>
      </w:pPr>
      <w:r w:rsidRPr="00077A1F">
        <w:rPr>
          <w:rFonts w:ascii="Times New Roman" w:eastAsia="Times New Roman" w:hAnsi="Times New Roman" w:cs="Times New Roman"/>
          <w:noProof/>
          <w:lang w:val="en-IE" w:eastAsia="en-GB"/>
        </w:rPr>
        <w:t xml:space="preserve">The objective of this investment is to migrate the datasets and applications of a substantial part of the local public administration to a secure cloud infrastructure, allowing each administration the freedom to choose within a set of certified public cloud environments. </w:t>
      </w:r>
    </w:p>
    <w:p w14:paraId="0F8617F5" w14:textId="77777777" w:rsidR="0039681A" w:rsidRPr="00077A1F" w:rsidRDefault="0039681A" w:rsidP="00351087">
      <w:pPr>
        <w:spacing w:before="120" w:after="120" w:line="240" w:lineRule="auto"/>
        <w:jc w:val="both"/>
        <w:rPr>
          <w:rFonts w:ascii="Times New Roman" w:eastAsia="Times New Roman" w:hAnsi="Times New Roman" w:cs="Times New Roman"/>
          <w:noProof/>
          <w:lang w:val="en-IE" w:eastAsia="en-GB"/>
        </w:rPr>
      </w:pPr>
      <w:r w:rsidRPr="00077A1F">
        <w:rPr>
          <w:rFonts w:ascii="Times New Roman" w:eastAsia="Times New Roman" w:hAnsi="Times New Roman" w:cs="Times New Roman"/>
          <w:noProof/>
          <w:lang w:val="en-IE" w:eastAsia="en-GB"/>
        </w:rPr>
        <w:t>The measure also envisages a “migration as a service” support package to administrations encompassing: (i) the initial assessment, (ii) the procedural/administrative support needed to launch the effort, (iii) the negotiation of the necessary external support and (iv) the overall project management over the course of execution. A team supervised by the Ministry for Technological Innovation and Digital Transition (MITD) is expected to identify and certify a broad list of qualified providers and to negotiate a set of standard support packages tailored to the size of the administration and the services involved in the migration.</w:t>
      </w:r>
    </w:p>
    <w:p w14:paraId="2651BB84" w14:textId="77777777" w:rsidR="0039681A" w:rsidRPr="00077A1F" w:rsidRDefault="0039681A" w:rsidP="00351087">
      <w:pPr>
        <w:spacing w:before="120" w:after="120" w:line="240" w:lineRule="auto"/>
        <w:jc w:val="both"/>
        <w:rPr>
          <w:rFonts w:ascii="Times New Roman" w:eastAsia="Times New Roman" w:hAnsi="Times New Roman" w:cs="Times New Roman"/>
          <w:b/>
          <w:noProof/>
          <w:lang w:val="en-IE" w:eastAsia="en-GB"/>
        </w:rPr>
      </w:pPr>
      <w:r w:rsidRPr="00077A1F">
        <w:rPr>
          <w:rFonts w:ascii="Times New Roman" w:eastAsia="Times New Roman" w:hAnsi="Times New Roman" w:cs="Times New Roman"/>
          <w:b/>
          <w:noProof/>
          <w:lang w:val="en-IE" w:eastAsia="en-GB"/>
        </w:rPr>
        <w:t>Investment 1.4 - Digital services and citizen experience</w:t>
      </w:r>
    </w:p>
    <w:p w14:paraId="2893828F" w14:textId="77777777" w:rsidR="0039681A" w:rsidRPr="00077A1F" w:rsidRDefault="0039681A" w:rsidP="00351087">
      <w:pPr>
        <w:spacing w:before="120" w:after="120" w:line="240" w:lineRule="auto"/>
        <w:jc w:val="both"/>
        <w:rPr>
          <w:rFonts w:ascii="Times New Roman" w:eastAsia="Times New Roman" w:hAnsi="Times New Roman" w:cs="Times New Roman"/>
          <w:noProof/>
          <w:lang w:val="en-IE" w:eastAsia="en-GB"/>
        </w:rPr>
      </w:pPr>
      <w:r w:rsidRPr="00077A1F">
        <w:rPr>
          <w:rFonts w:ascii="Times New Roman" w:eastAsia="Times New Roman" w:hAnsi="Times New Roman" w:cs="Times New Roman"/>
          <w:noProof/>
          <w:lang w:val="en-IE" w:eastAsia="en-GB"/>
        </w:rPr>
        <w:t xml:space="preserve">The objective of this investment is to develop an integrated and citizen-oriented ecosystem of digital public services, ensure their widespread adoption across central and local administrations and enhance overall user experience. </w:t>
      </w:r>
    </w:p>
    <w:p w14:paraId="3E0465FE" w14:textId="77777777" w:rsidR="0039681A" w:rsidRPr="00030506" w:rsidRDefault="0039681A" w:rsidP="00351087">
      <w:pPr>
        <w:spacing w:before="120" w:after="120" w:line="240" w:lineRule="auto"/>
        <w:jc w:val="both"/>
        <w:rPr>
          <w:rFonts w:ascii="Times New Roman" w:eastAsia="Times New Roman" w:hAnsi="Times New Roman" w:cs="Times New Roman"/>
          <w:noProof/>
          <w:lang w:eastAsia="en-GB"/>
        </w:rPr>
      </w:pPr>
      <w:r w:rsidRPr="00030506">
        <w:rPr>
          <w:rFonts w:ascii="Times New Roman" w:eastAsia="Times New Roman" w:hAnsi="Times New Roman" w:cs="Times New Roman"/>
          <w:noProof/>
          <w:lang w:eastAsia="en-GB"/>
        </w:rPr>
        <w:t xml:space="preserve">The measure: </w:t>
      </w:r>
    </w:p>
    <w:p w14:paraId="49C98409" w14:textId="77777777" w:rsidR="0039681A" w:rsidRPr="00077A1F" w:rsidRDefault="0039681A" w:rsidP="00351087">
      <w:pPr>
        <w:numPr>
          <w:ilvl w:val="0"/>
          <w:numId w:val="23"/>
        </w:numPr>
        <w:spacing w:before="120" w:after="120" w:line="240" w:lineRule="auto"/>
        <w:ind w:left="578" w:hanging="578"/>
        <w:jc w:val="both"/>
        <w:rPr>
          <w:rFonts w:ascii="Times New Roman" w:eastAsia="Times New Roman" w:hAnsi="Times New Roman" w:cs="Times New Roman"/>
          <w:noProof/>
          <w:lang w:val="en-IE" w:eastAsia="en-GB"/>
        </w:rPr>
      </w:pPr>
      <w:r w:rsidRPr="00077A1F">
        <w:rPr>
          <w:rFonts w:ascii="Times New Roman" w:eastAsia="Times New Roman" w:hAnsi="Times New Roman" w:cs="Times New Roman"/>
          <w:noProof/>
          <w:lang w:val="en-IE" w:eastAsia="en-GB"/>
        </w:rPr>
        <w:t>defines reusable service delivery models ensuring full accessibility requirements (Investment 1.4.1 - Citizen experience - Improvement of the quality and the usability of digital public services);</w:t>
      </w:r>
    </w:p>
    <w:p w14:paraId="52DB210A" w14:textId="77777777" w:rsidR="0039681A" w:rsidRPr="00077A1F" w:rsidRDefault="0039681A" w:rsidP="00351087">
      <w:pPr>
        <w:numPr>
          <w:ilvl w:val="0"/>
          <w:numId w:val="23"/>
        </w:numPr>
        <w:spacing w:before="120" w:after="120" w:line="240" w:lineRule="auto"/>
        <w:ind w:left="578" w:hanging="578"/>
        <w:jc w:val="both"/>
        <w:rPr>
          <w:rFonts w:ascii="Times New Roman" w:eastAsia="Times New Roman" w:hAnsi="Times New Roman" w:cs="Times New Roman"/>
          <w:noProof/>
          <w:lang w:val="en-IE" w:eastAsia="en-GB"/>
        </w:rPr>
      </w:pPr>
      <w:r w:rsidRPr="00077A1F">
        <w:rPr>
          <w:rFonts w:ascii="Times New Roman" w:eastAsia="Times New Roman" w:hAnsi="Times New Roman" w:cs="Times New Roman"/>
          <w:noProof/>
          <w:lang w:val="en-IE" w:eastAsia="en-GB"/>
        </w:rPr>
        <w:t>increases the accessibility of digital public services (Investment 1.4.2 - Citizen inclusion: Accessibility improvement of digital public services);</w:t>
      </w:r>
    </w:p>
    <w:p w14:paraId="3B8F5952" w14:textId="77777777" w:rsidR="0039681A" w:rsidRPr="00077A1F" w:rsidRDefault="0039681A" w:rsidP="00351087">
      <w:pPr>
        <w:numPr>
          <w:ilvl w:val="0"/>
          <w:numId w:val="23"/>
        </w:numPr>
        <w:spacing w:before="120" w:after="120" w:line="240" w:lineRule="auto"/>
        <w:ind w:left="578" w:hanging="578"/>
        <w:jc w:val="both"/>
        <w:rPr>
          <w:rFonts w:ascii="Times New Roman" w:eastAsia="Times New Roman" w:hAnsi="Times New Roman" w:cs="Times New Roman"/>
          <w:noProof/>
          <w:lang w:val="en-IE" w:eastAsia="en-GB"/>
        </w:rPr>
      </w:pPr>
      <w:r w:rsidRPr="00077A1F">
        <w:rPr>
          <w:rFonts w:ascii="Times New Roman" w:eastAsia="Times New Roman" w:hAnsi="Times New Roman" w:cs="Times New Roman"/>
          <w:noProof/>
          <w:lang w:val="en-IE" w:eastAsia="en-GB"/>
        </w:rPr>
        <w:t>entails the adoption of the digital application for payments between citizens and public administrations (PagoPa) and the adoption of the “IO” app (Investment 1.4.3 - Adoption scale up of PagoPA platform services and the “IO” app);</w:t>
      </w:r>
    </w:p>
    <w:p w14:paraId="05626CB8" w14:textId="77777777" w:rsidR="0039681A" w:rsidRPr="00077A1F" w:rsidRDefault="0039681A" w:rsidP="00351087">
      <w:pPr>
        <w:numPr>
          <w:ilvl w:val="0"/>
          <w:numId w:val="23"/>
        </w:numPr>
        <w:spacing w:before="120" w:after="120" w:line="240" w:lineRule="auto"/>
        <w:ind w:left="578" w:hanging="578"/>
        <w:jc w:val="both"/>
        <w:rPr>
          <w:rFonts w:ascii="Times New Roman" w:eastAsia="Times New Roman" w:hAnsi="Times New Roman" w:cs="Times New Roman"/>
          <w:noProof/>
          <w:lang w:val="en-IE" w:eastAsia="en-GB"/>
        </w:rPr>
      </w:pPr>
      <w:r w:rsidRPr="00077A1F">
        <w:rPr>
          <w:rFonts w:ascii="Times New Roman" w:eastAsia="Times New Roman" w:hAnsi="Times New Roman" w:cs="Times New Roman"/>
          <w:noProof/>
          <w:lang w:val="en-IE" w:eastAsia="en-GB"/>
        </w:rPr>
        <w:t>fosters the adoption of National Digital Identity platforms (Sistema Pubblico di Identità Digitale, SPID and Carta d’Identità Elettronica, CIE) and of the national registry (Anagrafe nazionale della popolazione residente, ANPR) (Investment 1.4.4 - Adoption scale up of the National Digital Identity platforms (SPID, CIE) and the national registry (ANPR));</w:t>
      </w:r>
    </w:p>
    <w:p w14:paraId="2BF17EB9" w14:textId="77777777" w:rsidR="0039681A" w:rsidRPr="00077A1F" w:rsidRDefault="0039681A" w:rsidP="00351087">
      <w:pPr>
        <w:numPr>
          <w:ilvl w:val="0"/>
          <w:numId w:val="23"/>
        </w:numPr>
        <w:spacing w:before="120" w:after="120" w:line="240" w:lineRule="auto"/>
        <w:ind w:left="578" w:hanging="578"/>
        <w:jc w:val="both"/>
        <w:rPr>
          <w:rFonts w:ascii="Times New Roman" w:eastAsia="Times New Roman" w:hAnsi="Times New Roman" w:cs="Times New Roman"/>
          <w:noProof/>
          <w:lang w:val="en-IE" w:eastAsia="en-GB"/>
        </w:rPr>
      </w:pPr>
      <w:r w:rsidRPr="00077A1F">
        <w:rPr>
          <w:rFonts w:ascii="Times New Roman" w:eastAsia="Times New Roman" w:hAnsi="Times New Roman" w:cs="Times New Roman"/>
          <w:noProof/>
          <w:lang w:val="en-IE" w:eastAsia="en-GB"/>
        </w:rPr>
        <w:t>sets up a single platform for notifications (Investment 1.4.5 - Digitization of public notices);</w:t>
      </w:r>
    </w:p>
    <w:p w14:paraId="6A975BAB" w14:textId="77777777" w:rsidR="0039681A" w:rsidRPr="00077A1F" w:rsidRDefault="0039681A" w:rsidP="00351087">
      <w:pPr>
        <w:numPr>
          <w:ilvl w:val="0"/>
          <w:numId w:val="23"/>
        </w:numPr>
        <w:spacing w:before="120" w:after="120" w:line="240" w:lineRule="auto"/>
        <w:ind w:left="578" w:hanging="578"/>
        <w:jc w:val="both"/>
        <w:rPr>
          <w:rFonts w:ascii="Times New Roman" w:eastAsia="Times New Roman" w:hAnsi="Times New Roman" w:cs="Times New Roman"/>
          <w:noProof/>
          <w:lang w:val="en-IE" w:eastAsia="en-GB"/>
        </w:rPr>
      </w:pPr>
      <w:r w:rsidRPr="00077A1F">
        <w:rPr>
          <w:rFonts w:ascii="Times New Roman" w:eastAsia="Times New Roman" w:hAnsi="Times New Roman" w:cs="Times New Roman"/>
          <w:noProof/>
          <w:lang w:val="en-IE" w:eastAsia="en-GB"/>
        </w:rPr>
        <w:t>entails the adoption of Mobility as a Service (MaaS) (Investment 1.4.6 - Mobility as a Service for Italy, with this last measure being financed on the basis of non-repayable financial support).</w:t>
      </w:r>
    </w:p>
    <w:p w14:paraId="4BA48E81" w14:textId="77777777" w:rsidR="0039681A" w:rsidRPr="00077A1F" w:rsidRDefault="0039681A" w:rsidP="00351087">
      <w:pPr>
        <w:spacing w:before="120" w:after="120"/>
        <w:jc w:val="both"/>
        <w:rPr>
          <w:rFonts w:ascii="Times New Roman" w:eastAsia="Aptos" w:hAnsi="Times New Roman" w:cs="Times New Roman"/>
          <w:b/>
          <w:noProof/>
          <w:lang w:val="en-IE"/>
        </w:rPr>
      </w:pPr>
      <w:r w:rsidRPr="00077A1F">
        <w:rPr>
          <w:rFonts w:ascii="Times New Roman" w:eastAsia="Aptos" w:hAnsi="Times New Roman" w:cs="Times New Roman"/>
          <w:b/>
          <w:noProof/>
          <w:lang w:val="en-IE"/>
        </w:rPr>
        <w:t>Investment 1.6 - Digital transformation of large central administrations</w:t>
      </w:r>
    </w:p>
    <w:p w14:paraId="02FBCD79" w14:textId="77777777" w:rsidR="0039681A" w:rsidRPr="00077A1F" w:rsidDel="003C2A1E" w:rsidRDefault="0039681A" w:rsidP="00351087">
      <w:pPr>
        <w:jc w:val="both"/>
        <w:rPr>
          <w:rFonts w:ascii="Times New Roman" w:eastAsia="Aptos" w:hAnsi="Times New Roman" w:cs="Times New Roman"/>
          <w:noProof/>
          <w:lang w:val="en-IE"/>
        </w:rPr>
      </w:pPr>
      <w:r w:rsidRPr="00077A1F">
        <w:rPr>
          <w:rFonts w:ascii="Times New Roman" w:eastAsia="Aptos" w:hAnsi="Times New Roman" w:cs="Times New Roman"/>
          <w:noProof/>
          <w:lang w:val="en-IE"/>
        </w:rPr>
        <w:t>The objective of this investment is to increase the efficiency and simplify the procedures of the main central administrations – including (i) the National Social Security Institute (INPS) and National Institute for Insurance against Accidents at work (INAIL), (ii) the Judicial system, (iii) the Ministry of Defence, (iv) the Ministry of Interior, (v) the Finance Police. The investment consists of the re-engineering and the digitisation of a set of priority processes, activities, and services within their remit.</w:t>
      </w:r>
    </w:p>
    <w:p w14:paraId="11064FEF" w14:textId="77777777" w:rsidR="0039681A" w:rsidRPr="00077A1F" w:rsidRDefault="0039681A" w:rsidP="00351087">
      <w:pPr>
        <w:rPr>
          <w:rFonts w:ascii="Aptos" w:eastAsia="Aptos" w:hAnsi="Aptos" w:cs="Times New Roman"/>
          <w:noProof/>
          <w:lang w:val="en-IE"/>
        </w:rPr>
        <w:sectPr w:rsidR="0039681A" w:rsidRPr="00077A1F" w:rsidSect="0039681A">
          <w:headerReference w:type="even" r:id="rId25"/>
          <w:headerReference w:type="default" r:id="rId26"/>
          <w:footerReference w:type="default" r:id="rId27"/>
          <w:headerReference w:type="first" r:id="rId28"/>
          <w:pgSz w:w="11906" w:h="16838"/>
          <w:pgMar w:top="1134" w:right="1134" w:bottom="1134" w:left="1134" w:header="567" w:footer="567" w:gutter="0"/>
          <w:cols w:space="708"/>
          <w:docGrid w:linePitch="360"/>
        </w:sectPr>
      </w:pPr>
      <w:r w:rsidRPr="00077A1F">
        <w:rPr>
          <w:rFonts w:ascii="Aptos" w:eastAsia="Aptos" w:hAnsi="Aptos" w:cs="Times New Roman"/>
          <w:noProof/>
          <w:lang w:val="en-IE"/>
        </w:rPr>
        <w:br w:type="page"/>
      </w:r>
    </w:p>
    <w:p w14:paraId="290171D8" w14:textId="77777777" w:rsidR="0039681A" w:rsidRPr="00077A1F" w:rsidRDefault="0039681A" w:rsidP="00351087">
      <w:pPr>
        <w:rPr>
          <w:rFonts w:ascii="Aptos" w:eastAsia="Aptos" w:hAnsi="Aptos" w:cs="Times New Roman"/>
          <w:noProof/>
          <w:lang w:val="en-IE"/>
        </w:rPr>
      </w:pPr>
      <w:r w:rsidRPr="00077A1F">
        <w:rPr>
          <w:rFonts w:ascii="Times New Roman" w:eastAsia="Times New Roman" w:hAnsi="Times New Roman" w:cs="Times New Roman"/>
          <w:b/>
          <w:noProof/>
          <w:u w:val="single"/>
          <w:lang w:val="en-IE" w:eastAsia="en-GB"/>
        </w:rPr>
        <w:t xml:space="preserve">A.4. </w:t>
      </w:r>
      <w:r w:rsidRPr="00077A1F">
        <w:rPr>
          <w:rFonts w:ascii="Times New Roman" w:eastAsia="Times New Roman" w:hAnsi="Times New Roman" w:cs="Times New Roman"/>
          <w:noProof/>
          <w:lang w:val="en-IE" w:eastAsia="en-GB"/>
        </w:rPr>
        <w:tab/>
      </w:r>
      <w:r w:rsidRPr="00077A1F">
        <w:rPr>
          <w:rFonts w:ascii="Times New Roman" w:eastAsia="Times New Roman" w:hAnsi="Times New Roman" w:cs="Times New Roman"/>
          <w:b/>
          <w:noProof/>
          <w:u w:val="single"/>
          <w:lang w:val="en-IE" w:eastAsia="en-GB"/>
        </w:rPr>
        <w:t xml:space="preserve">Milestones, targets, indicators, and timetable for monitoring and implementation for the loan </w:t>
      </w:r>
      <w:r w:rsidRPr="00077A1F">
        <w:rPr>
          <w:rFonts w:ascii="Arial Narrow" w:eastAsia="Aptos" w:hAnsi="Arial Narrow" w:cs="Times New Roman"/>
          <w:b/>
          <w:noProof/>
          <w:sz w:val="20"/>
          <w:lang w:val="en-IE"/>
        </w:rPr>
        <w:t>Sequential</w:t>
      </w:r>
    </w:p>
    <w:tbl>
      <w:tblPr>
        <w:tblW w:w="15678" w:type="dxa"/>
        <w:tblInd w:w="-8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087"/>
        <w:gridCol w:w="1943"/>
        <w:gridCol w:w="992"/>
        <w:gridCol w:w="2126"/>
        <w:gridCol w:w="1701"/>
        <w:gridCol w:w="1134"/>
        <w:gridCol w:w="1276"/>
        <w:gridCol w:w="1417"/>
        <w:gridCol w:w="793"/>
        <w:gridCol w:w="625"/>
        <w:gridCol w:w="2584"/>
      </w:tblGrid>
      <w:tr w:rsidR="0039681A" w:rsidRPr="0070054C" w14:paraId="2B048094" w14:textId="77777777" w:rsidTr="00351087">
        <w:trPr>
          <w:trHeight w:val="774"/>
          <w:tblHeader/>
        </w:trPr>
        <w:tc>
          <w:tcPr>
            <w:tcW w:w="1087" w:type="dxa"/>
            <w:vMerge w:val="restart"/>
            <w:shd w:val="clear" w:color="auto" w:fill="BDD7EE"/>
            <w:vAlign w:val="center"/>
            <w:hideMark/>
          </w:tcPr>
          <w:p w14:paraId="3779381F" w14:textId="77777777" w:rsidR="0039681A" w:rsidRPr="00030506" w:rsidRDefault="0039681A" w:rsidP="00351087">
            <w:pPr>
              <w:jc w:val="center"/>
              <w:rPr>
                <w:rFonts w:ascii="Arial Narrow" w:eastAsia="Aptos" w:hAnsi="Arial Narrow" w:cs="Times New Roman"/>
                <w:b/>
                <w:noProof/>
                <w:sz w:val="20"/>
                <w:szCs w:val="20"/>
              </w:rPr>
            </w:pPr>
            <w:r w:rsidRPr="00030506">
              <w:rPr>
                <w:rFonts w:ascii="Arial Narrow" w:eastAsia="Aptos" w:hAnsi="Arial Narrow" w:cs="Times New Roman"/>
                <w:b/>
                <w:noProof/>
                <w:sz w:val="20"/>
              </w:rPr>
              <w:t>Sequential Number</w:t>
            </w:r>
          </w:p>
        </w:tc>
        <w:tc>
          <w:tcPr>
            <w:tcW w:w="1943" w:type="dxa"/>
            <w:vMerge w:val="restart"/>
            <w:shd w:val="clear" w:color="auto" w:fill="BDD7EE"/>
            <w:vAlign w:val="center"/>
            <w:hideMark/>
          </w:tcPr>
          <w:p w14:paraId="406AD022" w14:textId="77777777" w:rsidR="0039681A" w:rsidRPr="00077A1F" w:rsidRDefault="0039681A" w:rsidP="00351087">
            <w:pPr>
              <w:jc w:val="center"/>
              <w:rPr>
                <w:rFonts w:ascii="Arial Narrow" w:eastAsia="Aptos" w:hAnsi="Arial Narrow" w:cs="Times New Roman"/>
                <w:b/>
                <w:noProof/>
                <w:sz w:val="20"/>
                <w:szCs w:val="20"/>
                <w:lang w:val="en-IE"/>
              </w:rPr>
            </w:pPr>
            <w:r w:rsidRPr="00077A1F">
              <w:rPr>
                <w:rFonts w:ascii="Arial Narrow" w:eastAsia="Aptos" w:hAnsi="Arial Narrow" w:cs="Times New Roman"/>
                <w:b/>
                <w:noProof/>
                <w:sz w:val="20"/>
                <w:lang w:val="en-IE"/>
              </w:rPr>
              <w:t>Related Measure (Reform or Investment)</w:t>
            </w:r>
          </w:p>
        </w:tc>
        <w:tc>
          <w:tcPr>
            <w:tcW w:w="992" w:type="dxa"/>
            <w:vMerge w:val="restart"/>
            <w:shd w:val="clear" w:color="auto" w:fill="BDD7EE"/>
            <w:vAlign w:val="center"/>
            <w:hideMark/>
          </w:tcPr>
          <w:p w14:paraId="5CBF7E25" w14:textId="77777777" w:rsidR="0039681A" w:rsidRPr="00030506" w:rsidRDefault="0039681A" w:rsidP="00351087">
            <w:pPr>
              <w:jc w:val="center"/>
              <w:rPr>
                <w:rFonts w:ascii="Arial Narrow" w:eastAsia="Aptos" w:hAnsi="Arial Narrow" w:cs="Times New Roman"/>
                <w:b/>
                <w:noProof/>
                <w:sz w:val="20"/>
                <w:szCs w:val="20"/>
              </w:rPr>
            </w:pPr>
            <w:r w:rsidRPr="00030506">
              <w:rPr>
                <w:rFonts w:ascii="Arial Narrow" w:eastAsia="Aptos" w:hAnsi="Arial Narrow" w:cs="Times New Roman"/>
                <w:b/>
                <w:noProof/>
                <w:sz w:val="20"/>
              </w:rPr>
              <w:t>Milestone</w:t>
            </w:r>
          </w:p>
          <w:p w14:paraId="39572A75" w14:textId="77777777" w:rsidR="0039681A" w:rsidRPr="00030506" w:rsidRDefault="0039681A" w:rsidP="00351087">
            <w:pPr>
              <w:jc w:val="center"/>
              <w:rPr>
                <w:rFonts w:ascii="Arial Narrow" w:eastAsia="Aptos" w:hAnsi="Arial Narrow" w:cs="Times New Roman"/>
                <w:b/>
                <w:noProof/>
                <w:sz w:val="20"/>
                <w:szCs w:val="20"/>
              </w:rPr>
            </w:pPr>
            <w:r w:rsidRPr="00030506">
              <w:rPr>
                <w:rFonts w:ascii="Arial Narrow" w:eastAsia="Aptos" w:hAnsi="Arial Narrow" w:cs="Times New Roman"/>
                <w:b/>
                <w:noProof/>
                <w:sz w:val="20"/>
              </w:rPr>
              <w:t>/Target</w:t>
            </w:r>
          </w:p>
        </w:tc>
        <w:tc>
          <w:tcPr>
            <w:tcW w:w="2126" w:type="dxa"/>
            <w:vMerge w:val="restart"/>
            <w:shd w:val="clear" w:color="auto" w:fill="BDD7EE"/>
            <w:vAlign w:val="center"/>
            <w:hideMark/>
          </w:tcPr>
          <w:p w14:paraId="60049C40" w14:textId="77777777" w:rsidR="0039681A" w:rsidRPr="00030506" w:rsidRDefault="0039681A" w:rsidP="00351087">
            <w:pPr>
              <w:jc w:val="center"/>
              <w:rPr>
                <w:rFonts w:ascii="Arial Narrow" w:eastAsia="Aptos" w:hAnsi="Arial Narrow" w:cs="Times New Roman"/>
                <w:b/>
                <w:noProof/>
                <w:sz w:val="20"/>
                <w:szCs w:val="20"/>
              </w:rPr>
            </w:pPr>
            <w:r w:rsidRPr="00030506">
              <w:rPr>
                <w:rFonts w:ascii="Arial Narrow" w:eastAsia="Aptos" w:hAnsi="Arial Narrow" w:cs="Times New Roman"/>
                <w:b/>
                <w:noProof/>
                <w:sz w:val="20"/>
              </w:rPr>
              <w:t>Name</w:t>
            </w:r>
          </w:p>
        </w:tc>
        <w:tc>
          <w:tcPr>
            <w:tcW w:w="1701" w:type="dxa"/>
            <w:vMerge w:val="restart"/>
            <w:shd w:val="clear" w:color="auto" w:fill="BDD7EE"/>
            <w:vAlign w:val="center"/>
            <w:hideMark/>
          </w:tcPr>
          <w:p w14:paraId="2BEB239C" w14:textId="77777777" w:rsidR="0039681A" w:rsidRPr="00030506" w:rsidRDefault="0039681A" w:rsidP="00351087">
            <w:pPr>
              <w:jc w:val="center"/>
              <w:rPr>
                <w:rFonts w:ascii="Arial Narrow" w:eastAsia="Aptos" w:hAnsi="Arial Narrow" w:cs="Times New Roman"/>
                <w:b/>
                <w:noProof/>
                <w:sz w:val="20"/>
                <w:szCs w:val="20"/>
              </w:rPr>
            </w:pPr>
            <w:r w:rsidRPr="00030506">
              <w:rPr>
                <w:rFonts w:ascii="Arial Narrow" w:eastAsia="Aptos" w:hAnsi="Arial Narrow" w:cs="Times New Roman"/>
                <w:b/>
                <w:noProof/>
                <w:sz w:val="20"/>
              </w:rPr>
              <w:t xml:space="preserve">Qualitative indicators </w:t>
            </w:r>
            <w:r w:rsidRPr="00030506">
              <w:rPr>
                <w:rFonts w:ascii="Aptos" w:eastAsia="Aptos" w:hAnsi="Aptos" w:cs="Times New Roman"/>
                <w:noProof/>
              </w:rPr>
              <w:br/>
            </w:r>
            <w:r w:rsidRPr="00030506">
              <w:rPr>
                <w:rFonts w:ascii="Arial Narrow" w:eastAsia="Aptos" w:hAnsi="Arial Narrow" w:cs="Times New Roman"/>
                <w:b/>
                <w:noProof/>
                <w:sz w:val="20"/>
              </w:rPr>
              <w:t>(for milestones)</w:t>
            </w:r>
          </w:p>
        </w:tc>
        <w:tc>
          <w:tcPr>
            <w:tcW w:w="3827" w:type="dxa"/>
            <w:gridSpan w:val="3"/>
            <w:shd w:val="clear" w:color="auto" w:fill="BDD7EE"/>
            <w:vAlign w:val="center"/>
            <w:hideMark/>
          </w:tcPr>
          <w:p w14:paraId="76C1E1C6" w14:textId="77777777" w:rsidR="0039681A" w:rsidRPr="00030506" w:rsidRDefault="0039681A" w:rsidP="00351087">
            <w:pPr>
              <w:jc w:val="center"/>
              <w:rPr>
                <w:rFonts w:ascii="Arial Narrow" w:eastAsia="Aptos" w:hAnsi="Arial Narrow" w:cs="Times New Roman"/>
                <w:b/>
                <w:noProof/>
                <w:sz w:val="20"/>
                <w:szCs w:val="20"/>
              </w:rPr>
            </w:pPr>
            <w:r w:rsidRPr="00030506">
              <w:rPr>
                <w:rFonts w:ascii="Arial Narrow" w:eastAsia="Aptos" w:hAnsi="Arial Narrow" w:cs="Times New Roman"/>
                <w:b/>
                <w:noProof/>
                <w:sz w:val="20"/>
              </w:rPr>
              <w:t xml:space="preserve">Quantitative indicators </w:t>
            </w:r>
            <w:r w:rsidRPr="00030506">
              <w:rPr>
                <w:rFonts w:ascii="Aptos" w:eastAsia="Aptos" w:hAnsi="Aptos" w:cs="Times New Roman"/>
                <w:noProof/>
              </w:rPr>
              <w:br/>
            </w:r>
            <w:r w:rsidRPr="00030506">
              <w:rPr>
                <w:rFonts w:ascii="Arial Narrow" w:eastAsia="Aptos" w:hAnsi="Arial Narrow" w:cs="Times New Roman"/>
                <w:b/>
                <w:noProof/>
                <w:sz w:val="20"/>
              </w:rPr>
              <w:t>(for targets)</w:t>
            </w:r>
          </w:p>
        </w:tc>
        <w:tc>
          <w:tcPr>
            <w:tcW w:w="1418" w:type="dxa"/>
            <w:gridSpan w:val="2"/>
            <w:shd w:val="clear" w:color="auto" w:fill="BDD7EE"/>
            <w:vAlign w:val="center"/>
            <w:hideMark/>
          </w:tcPr>
          <w:p w14:paraId="06FF5B6D" w14:textId="77777777" w:rsidR="0039681A" w:rsidRPr="00030506" w:rsidRDefault="0039681A" w:rsidP="00351087">
            <w:pPr>
              <w:jc w:val="center"/>
              <w:rPr>
                <w:rFonts w:ascii="Arial Narrow" w:eastAsia="Aptos" w:hAnsi="Arial Narrow" w:cs="Times New Roman"/>
                <w:b/>
                <w:noProof/>
                <w:sz w:val="20"/>
                <w:szCs w:val="20"/>
              </w:rPr>
            </w:pPr>
            <w:r w:rsidRPr="00030506">
              <w:rPr>
                <w:rFonts w:ascii="Arial Narrow" w:eastAsia="Aptos" w:hAnsi="Arial Narrow" w:cs="Times New Roman"/>
                <w:b/>
                <w:noProof/>
                <w:sz w:val="20"/>
              </w:rPr>
              <w:t>Indicative timeline for completion</w:t>
            </w:r>
          </w:p>
        </w:tc>
        <w:tc>
          <w:tcPr>
            <w:tcW w:w="2584" w:type="dxa"/>
            <w:vMerge w:val="restart"/>
            <w:shd w:val="clear" w:color="auto" w:fill="BDD7EE"/>
            <w:vAlign w:val="center"/>
            <w:hideMark/>
          </w:tcPr>
          <w:p w14:paraId="0D6306B2" w14:textId="77777777" w:rsidR="0039681A" w:rsidRPr="00077A1F" w:rsidRDefault="0039681A" w:rsidP="00351087">
            <w:pPr>
              <w:jc w:val="center"/>
              <w:rPr>
                <w:rFonts w:ascii="Arial Narrow" w:eastAsia="Aptos" w:hAnsi="Arial Narrow" w:cs="Times New Roman"/>
                <w:b/>
                <w:noProof/>
                <w:sz w:val="20"/>
                <w:szCs w:val="20"/>
                <w:lang w:val="en-IE"/>
              </w:rPr>
            </w:pPr>
            <w:r w:rsidRPr="00077A1F">
              <w:rPr>
                <w:rFonts w:ascii="Arial Narrow" w:eastAsia="Aptos" w:hAnsi="Arial Narrow" w:cs="Times New Roman"/>
                <w:b/>
                <w:noProof/>
                <w:sz w:val="20"/>
                <w:lang w:val="en-IE"/>
              </w:rPr>
              <w:t>Description of each milestone and target</w:t>
            </w:r>
          </w:p>
        </w:tc>
      </w:tr>
      <w:tr w:rsidR="0039681A" w:rsidRPr="00030506" w14:paraId="0694212A" w14:textId="77777777" w:rsidTr="00351087">
        <w:trPr>
          <w:trHeight w:val="686"/>
          <w:tblHeader/>
        </w:trPr>
        <w:tc>
          <w:tcPr>
            <w:tcW w:w="1087" w:type="dxa"/>
            <w:vMerge/>
            <w:vAlign w:val="center"/>
            <w:hideMark/>
          </w:tcPr>
          <w:p w14:paraId="66C58428" w14:textId="77777777" w:rsidR="0039681A" w:rsidRPr="00077A1F" w:rsidRDefault="0039681A" w:rsidP="00351087">
            <w:pPr>
              <w:jc w:val="center"/>
              <w:rPr>
                <w:rFonts w:ascii="Arial Narrow" w:eastAsia="Aptos" w:hAnsi="Arial Narrow" w:cs="Times New Roman"/>
                <w:b/>
                <w:noProof/>
                <w:sz w:val="20"/>
                <w:szCs w:val="20"/>
                <w:lang w:val="en-IE"/>
              </w:rPr>
            </w:pPr>
          </w:p>
        </w:tc>
        <w:tc>
          <w:tcPr>
            <w:tcW w:w="1943" w:type="dxa"/>
            <w:vMerge/>
            <w:vAlign w:val="center"/>
            <w:hideMark/>
          </w:tcPr>
          <w:p w14:paraId="426BDCEE" w14:textId="77777777" w:rsidR="0039681A" w:rsidRPr="00077A1F" w:rsidRDefault="0039681A" w:rsidP="00351087">
            <w:pPr>
              <w:jc w:val="center"/>
              <w:rPr>
                <w:rFonts w:ascii="Arial Narrow" w:eastAsia="Aptos" w:hAnsi="Arial Narrow" w:cs="Times New Roman"/>
                <w:b/>
                <w:noProof/>
                <w:sz w:val="20"/>
                <w:szCs w:val="20"/>
                <w:lang w:val="en-IE"/>
              </w:rPr>
            </w:pPr>
          </w:p>
        </w:tc>
        <w:tc>
          <w:tcPr>
            <w:tcW w:w="992" w:type="dxa"/>
            <w:vMerge/>
            <w:vAlign w:val="center"/>
            <w:hideMark/>
          </w:tcPr>
          <w:p w14:paraId="3F076D9A" w14:textId="77777777" w:rsidR="0039681A" w:rsidRPr="00077A1F" w:rsidRDefault="0039681A" w:rsidP="00351087">
            <w:pPr>
              <w:jc w:val="center"/>
              <w:rPr>
                <w:rFonts w:ascii="Arial Narrow" w:eastAsia="Aptos" w:hAnsi="Arial Narrow" w:cs="Times New Roman"/>
                <w:b/>
                <w:noProof/>
                <w:sz w:val="20"/>
                <w:szCs w:val="20"/>
                <w:lang w:val="en-IE"/>
              </w:rPr>
            </w:pPr>
          </w:p>
        </w:tc>
        <w:tc>
          <w:tcPr>
            <w:tcW w:w="2126" w:type="dxa"/>
            <w:vMerge/>
            <w:vAlign w:val="center"/>
            <w:hideMark/>
          </w:tcPr>
          <w:p w14:paraId="1B04904E" w14:textId="77777777" w:rsidR="0039681A" w:rsidRPr="00077A1F" w:rsidRDefault="0039681A" w:rsidP="00351087">
            <w:pPr>
              <w:jc w:val="center"/>
              <w:rPr>
                <w:rFonts w:ascii="Arial Narrow" w:eastAsia="Aptos" w:hAnsi="Arial Narrow" w:cs="Times New Roman"/>
                <w:b/>
                <w:noProof/>
                <w:sz w:val="20"/>
                <w:szCs w:val="20"/>
                <w:lang w:val="en-IE"/>
              </w:rPr>
            </w:pPr>
          </w:p>
        </w:tc>
        <w:tc>
          <w:tcPr>
            <w:tcW w:w="1701" w:type="dxa"/>
            <w:vMerge/>
            <w:vAlign w:val="center"/>
            <w:hideMark/>
          </w:tcPr>
          <w:p w14:paraId="1920AE45" w14:textId="77777777" w:rsidR="0039681A" w:rsidRPr="00077A1F" w:rsidRDefault="0039681A" w:rsidP="00351087">
            <w:pPr>
              <w:jc w:val="center"/>
              <w:rPr>
                <w:rFonts w:ascii="Arial Narrow" w:eastAsia="Aptos" w:hAnsi="Arial Narrow" w:cs="Times New Roman"/>
                <w:b/>
                <w:noProof/>
                <w:sz w:val="20"/>
                <w:szCs w:val="20"/>
                <w:lang w:val="en-IE"/>
              </w:rPr>
            </w:pPr>
          </w:p>
        </w:tc>
        <w:tc>
          <w:tcPr>
            <w:tcW w:w="1134" w:type="dxa"/>
            <w:shd w:val="clear" w:color="auto" w:fill="BDD7EE"/>
            <w:vAlign w:val="center"/>
            <w:hideMark/>
          </w:tcPr>
          <w:p w14:paraId="15CA4DCF" w14:textId="77777777" w:rsidR="0039681A" w:rsidRPr="00030506" w:rsidRDefault="0039681A" w:rsidP="00351087">
            <w:pPr>
              <w:jc w:val="center"/>
              <w:rPr>
                <w:rFonts w:ascii="Arial Narrow" w:eastAsia="Aptos" w:hAnsi="Arial Narrow" w:cs="Times New Roman"/>
                <w:b/>
                <w:noProof/>
                <w:sz w:val="20"/>
                <w:szCs w:val="20"/>
              </w:rPr>
            </w:pPr>
            <w:r w:rsidRPr="00030506">
              <w:rPr>
                <w:rFonts w:ascii="Arial Narrow" w:eastAsia="Aptos" w:hAnsi="Arial Narrow" w:cs="Times New Roman"/>
                <w:b/>
                <w:noProof/>
                <w:sz w:val="20"/>
              </w:rPr>
              <w:t>Unit of measure</w:t>
            </w:r>
          </w:p>
        </w:tc>
        <w:tc>
          <w:tcPr>
            <w:tcW w:w="1276" w:type="dxa"/>
            <w:shd w:val="clear" w:color="auto" w:fill="BDD7EE"/>
            <w:vAlign w:val="center"/>
            <w:hideMark/>
          </w:tcPr>
          <w:p w14:paraId="0D17AF48" w14:textId="77777777" w:rsidR="0039681A" w:rsidRPr="00030506" w:rsidRDefault="0039681A" w:rsidP="00351087">
            <w:pPr>
              <w:jc w:val="center"/>
              <w:rPr>
                <w:rFonts w:ascii="Arial Narrow" w:eastAsia="Aptos" w:hAnsi="Arial Narrow" w:cs="Times New Roman"/>
                <w:b/>
                <w:noProof/>
                <w:sz w:val="20"/>
                <w:szCs w:val="20"/>
              </w:rPr>
            </w:pPr>
            <w:r w:rsidRPr="00030506">
              <w:rPr>
                <w:rFonts w:ascii="Arial Narrow" w:eastAsia="Aptos" w:hAnsi="Arial Narrow" w:cs="Times New Roman"/>
                <w:b/>
                <w:noProof/>
                <w:sz w:val="20"/>
              </w:rPr>
              <w:t>Baseline</w:t>
            </w:r>
          </w:p>
        </w:tc>
        <w:tc>
          <w:tcPr>
            <w:tcW w:w="1417" w:type="dxa"/>
            <w:shd w:val="clear" w:color="auto" w:fill="BDD7EE"/>
            <w:vAlign w:val="center"/>
            <w:hideMark/>
          </w:tcPr>
          <w:p w14:paraId="60AC0FA8" w14:textId="77777777" w:rsidR="0039681A" w:rsidRPr="00030506" w:rsidRDefault="0039681A" w:rsidP="00351087">
            <w:pPr>
              <w:jc w:val="center"/>
              <w:rPr>
                <w:rFonts w:ascii="Arial Narrow" w:eastAsia="Aptos" w:hAnsi="Arial Narrow" w:cs="Times New Roman"/>
                <w:b/>
                <w:noProof/>
                <w:sz w:val="20"/>
                <w:szCs w:val="20"/>
              </w:rPr>
            </w:pPr>
            <w:r w:rsidRPr="00030506">
              <w:rPr>
                <w:rFonts w:ascii="Arial Narrow" w:eastAsia="Aptos" w:hAnsi="Arial Narrow" w:cs="Times New Roman"/>
                <w:b/>
                <w:noProof/>
                <w:sz w:val="20"/>
              </w:rPr>
              <w:t>Goal</w:t>
            </w:r>
          </w:p>
        </w:tc>
        <w:tc>
          <w:tcPr>
            <w:tcW w:w="793" w:type="dxa"/>
            <w:shd w:val="clear" w:color="auto" w:fill="BDD7EE"/>
            <w:vAlign w:val="center"/>
            <w:hideMark/>
          </w:tcPr>
          <w:p w14:paraId="43E18A34" w14:textId="77777777" w:rsidR="0039681A" w:rsidRPr="00030506" w:rsidRDefault="0039681A" w:rsidP="00351087">
            <w:pPr>
              <w:jc w:val="center"/>
              <w:rPr>
                <w:rFonts w:ascii="Arial Narrow" w:eastAsia="Aptos" w:hAnsi="Arial Narrow" w:cs="Times New Roman"/>
                <w:b/>
                <w:noProof/>
                <w:sz w:val="20"/>
                <w:szCs w:val="20"/>
              </w:rPr>
            </w:pPr>
            <w:r w:rsidRPr="00030506">
              <w:rPr>
                <w:rFonts w:ascii="Arial Narrow" w:eastAsia="Aptos" w:hAnsi="Arial Narrow" w:cs="Times New Roman"/>
                <w:b/>
                <w:noProof/>
                <w:sz w:val="20"/>
              </w:rPr>
              <w:t>Quarter</w:t>
            </w:r>
          </w:p>
        </w:tc>
        <w:tc>
          <w:tcPr>
            <w:tcW w:w="625" w:type="dxa"/>
            <w:shd w:val="clear" w:color="auto" w:fill="BDD7EE"/>
            <w:vAlign w:val="center"/>
            <w:hideMark/>
          </w:tcPr>
          <w:p w14:paraId="3E7FD57E" w14:textId="77777777" w:rsidR="0039681A" w:rsidRPr="00030506" w:rsidRDefault="0039681A" w:rsidP="00351087">
            <w:pPr>
              <w:jc w:val="center"/>
              <w:rPr>
                <w:rFonts w:ascii="Arial Narrow" w:eastAsia="Aptos" w:hAnsi="Arial Narrow" w:cs="Times New Roman"/>
                <w:b/>
                <w:noProof/>
                <w:sz w:val="20"/>
                <w:szCs w:val="20"/>
              </w:rPr>
            </w:pPr>
            <w:r w:rsidRPr="00030506">
              <w:rPr>
                <w:rFonts w:ascii="Arial Narrow" w:eastAsia="Aptos" w:hAnsi="Arial Narrow" w:cs="Times New Roman"/>
                <w:b/>
                <w:noProof/>
                <w:sz w:val="20"/>
              </w:rPr>
              <w:t>Year</w:t>
            </w:r>
          </w:p>
        </w:tc>
        <w:tc>
          <w:tcPr>
            <w:tcW w:w="2584" w:type="dxa"/>
            <w:vMerge/>
            <w:vAlign w:val="center"/>
            <w:hideMark/>
          </w:tcPr>
          <w:p w14:paraId="492E0C21" w14:textId="77777777" w:rsidR="0039681A" w:rsidRPr="00030506" w:rsidRDefault="0039681A" w:rsidP="00351087">
            <w:pPr>
              <w:rPr>
                <w:rFonts w:ascii="Arial Narrow" w:eastAsia="Aptos" w:hAnsi="Arial Narrow" w:cs="Times New Roman"/>
                <w:b/>
                <w:noProof/>
                <w:sz w:val="20"/>
                <w:szCs w:val="20"/>
              </w:rPr>
            </w:pPr>
          </w:p>
        </w:tc>
      </w:tr>
      <w:tr w:rsidR="0039681A" w:rsidRPr="0070054C" w14:paraId="4F4A49F9" w14:textId="77777777" w:rsidTr="00351087">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C8ED32"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M1C1-14</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40860E" w14:textId="77777777" w:rsidR="0039681A" w:rsidRPr="00077A1F" w:rsidRDefault="0039681A" w:rsidP="00351087">
            <w:pPr>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Investment 1.6.5: Digitization of the Council of State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63C0B2"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E43EF0" w14:textId="77777777" w:rsidR="0039681A" w:rsidRPr="00077A1F" w:rsidRDefault="0039681A" w:rsidP="00351087">
            <w:pPr>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Council of State - Court documents available for analysis in data warehouse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4F4198"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945E35"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EBFA3"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3ACCBF"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800 000</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CD90E2"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Q4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3BEB3E"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C8BC2"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Number of court documents related to administrative jurisdiction system (such as sentences, opinions and decrees) for which metadata is fully available in data warehouse.</w:t>
            </w:r>
          </w:p>
        </w:tc>
      </w:tr>
      <w:tr w:rsidR="0039681A" w:rsidRPr="0070054C" w14:paraId="7FD646A9" w14:textId="77777777" w:rsidTr="00351087">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4ADA5"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M1C1-16</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868B1F" w14:textId="77777777" w:rsidR="0039681A" w:rsidRPr="00077A1F" w:rsidRDefault="0039681A" w:rsidP="00351087">
            <w:pPr>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Investment 1.6.5: Digitization of the Council of State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9431F4"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4D23B2" w14:textId="77777777" w:rsidR="0039681A" w:rsidRPr="00077A1F" w:rsidRDefault="0039681A" w:rsidP="00351087">
            <w:pPr>
              <w:jc w:val="center"/>
              <w:rPr>
                <w:rFonts w:ascii="Arial Narrow" w:eastAsia="Aptos" w:hAnsi="Arial Narrow" w:cs="Times New Roman"/>
                <w:noProof/>
                <w:color w:val="006100"/>
                <w:sz w:val="20"/>
                <w:lang w:val="en-IE"/>
              </w:rPr>
            </w:pPr>
            <w:r w:rsidRPr="00077A1F">
              <w:rPr>
                <w:rFonts w:ascii="Arial Narrow" w:eastAsia="Aptos" w:hAnsi="Arial Narrow" w:cs="Times New Roman"/>
                <w:noProof/>
                <w:color w:val="006100"/>
                <w:sz w:val="20"/>
                <w:lang w:val="en-IE"/>
              </w:rPr>
              <w:t>Council of State - Court documents available for analysis in data warehouse T2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5F5D80"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2B877"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B7336"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800 000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3FD17C" w14:textId="77777777" w:rsidR="0039681A" w:rsidRPr="00030506" w:rsidRDefault="0039681A" w:rsidP="00351087">
            <w:pPr>
              <w:jc w:val="center"/>
              <w:rPr>
                <w:rFonts w:ascii="Arial Narrow" w:eastAsia="Aptos" w:hAnsi="Arial Narrow" w:cs="Times New Roman"/>
                <w:noProof/>
                <w:color w:val="006100"/>
                <w:sz w:val="20"/>
              </w:rPr>
            </w:pPr>
            <w:r w:rsidRPr="00030506">
              <w:rPr>
                <w:rFonts w:ascii="Arial Narrow" w:eastAsia="Aptos" w:hAnsi="Arial Narrow" w:cs="Times New Roman"/>
                <w:noProof/>
                <w:color w:val="006100"/>
                <w:sz w:val="20"/>
              </w:rPr>
              <w:t>2 500 000</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4470F"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36C918"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CD4B81"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Number of court documents related to administrative jurisdiction system (such as judgments, opinions and decrees) for which metadata is fully available in data warehouse.</w:t>
            </w:r>
          </w:p>
        </w:tc>
      </w:tr>
      <w:tr w:rsidR="0039681A" w:rsidRPr="0070054C" w14:paraId="5D0671ED" w14:textId="77777777" w:rsidTr="00351087">
        <w:trPr>
          <w:trHeight w:val="81"/>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61C771"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M1C1-123</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D123D"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1.6.3 - Digitization of National Social Security Institute (INPS) and National Institute for Insurance against Accidents at work (INAIL)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21A65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7654C"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INPS - "One click by design" services/contents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5DA9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CFD41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8F65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DE211F"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35</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975B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166E1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2022</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8B0694"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35 additional services deployed on INPS' institutional web site (</w:t>
            </w:r>
            <w:hyperlink r:id="rId29">
              <w:r w:rsidRPr="00077A1F">
                <w:rPr>
                  <w:rFonts w:ascii="Arial Narrow" w:eastAsia="Aptos" w:hAnsi="Arial Narrow" w:cs="Times New Roman"/>
                  <w:noProof/>
                  <w:color w:val="467886"/>
                  <w:sz w:val="20"/>
                  <w:szCs w:val="20"/>
                  <w:u w:val="single"/>
                  <w:lang w:val="en-IE"/>
                </w:rPr>
                <w:t>www.inps.it</w:t>
              </w:r>
            </w:hyperlink>
            <w:r w:rsidRPr="00077A1F">
              <w:rPr>
                <w:rFonts w:ascii="Arial Narrow" w:eastAsia="Aptos" w:hAnsi="Arial Narrow" w:cs="Times New Roman"/>
                <w:noProof/>
                <w:color w:val="006100"/>
                <w:sz w:val="20"/>
                <w:szCs w:val="20"/>
                <w:lang w:val="en-IE"/>
              </w:rPr>
              <w:t>)</w:t>
            </w:r>
          </w:p>
          <w:p w14:paraId="098856E0"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The services shall be accessible on the institutional site through appropriate profiling logics (the system will suggest services of possible interest based on age, work characteristics, perceived benefits, and user history).</w:t>
            </w:r>
          </w:p>
          <w:p w14:paraId="4E7993A2"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The 35 services are related to the following INPS institutional areas:</w:t>
            </w:r>
          </w:p>
          <w:p w14:paraId="292199E6" w14:textId="77777777" w:rsidR="0039681A" w:rsidRPr="00077A1F" w:rsidRDefault="0039681A" w:rsidP="00351087">
            <w:pPr>
              <w:spacing w:after="120"/>
              <w:contextualSpacing/>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•Pensions benefits</w:t>
            </w:r>
          </w:p>
          <w:p w14:paraId="0919E38D" w14:textId="77777777" w:rsidR="0039681A" w:rsidRPr="00077A1F" w:rsidRDefault="0039681A" w:rsidP="00351087">
            <w:pPr>
              <w:spacing w:after="120"/>
              <w:contextualSpacing/>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•Social Shock Absorbers</w:t>
            </w:r>
          </w:p>
          <w:p w14:paraId="413B4747" w14:textId="77777777" w:rsidR="0039681A" w:rsidRPr="00077A1F" w:rsidRDefault="0039681A" w:rsidP="00351087">
            <w:pPr>
              <w:spacing w:after="120"/>
              <w:contextualSpacing/>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•Unemployment benefits</w:t>
            </w:r>
          </w:p>
          <w:p w14:paraId="1A2A4B55" w14:textId="77777777" w:rsidR="0039681A" w:rsidRPr="00077A1F" w:rsidRDefault="0039681A" w:rsidP="00351087">
            <w:pPr>
              <w:spacing w:after="120"/>
              <w:contextualSpacing/>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•Disability benefits</w:t>
            </w:r>
          </w:p>
          <w:p w14:paraId="6398BBDE" w14:textId="77777777" w:rsidR="0039681A" w:rsidRPr="00077A1F" w:rsidRDefault="0039681A" w:rsidP="00351087">
            <w:pPr>
              <w:spacing w:after="120"/>
              <w:contextualSpacing/>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•Redemptions</w:t>
            </w:r>
          </w:p>
          <w:p w14:paraId="756C1221" w14:textId="77777777" w:rsidR="0039681A" w:rsidRPr="00077A1F" w:rsidRDefault="0039681A" w:rsidP="00351087">
            <w:pPr>
              <w:spacing w:after="120"/>
              <w:contextualSpacing/>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•Company collection of contribution</w:t>
            </w:r>
          </w:p>
          <w:p w14:paraId="4E007E10" w14:textId="77777777" w:rsidR="0039681A" w:rsidRPr="00077A1F" w:rsidRDefault="0039681A" w:rsidP="00351087">
            <w:pPr>
              <w:spacing w:after="120"/>
              <w:contextualSpacing/>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•Agriculture workers services</w:t>
            </w:r>
          </w:p>
          <w:p w14:paraId="03F1123E"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•Anti-fraud, corruption and transparency services</w:t>
            </w:r>
          </w:p>
          <w:p w14:paraId="5255939D" w14:textId="77777777" w:rsidR="0039681A" w:rsidRPr="00077A1F" w:rsidRDefault="0039681A" w:rsidP="00351087">
            <w:pPr>
              <w:spacing w:before="120"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 the listed institutional areas, the services that shall be implemented will concern the digital submission of requests for services, the check of the requirements for the benefit, the status monitoring of the practice by users, the proactive proposal of services based on user's needs, the automatic renewal of benefits without the need for new applications.</w:t>
            </w:r>
          </w:p>
          <w:p w14:paraId="380CC5A1"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Finally, there shall be monitoring dashboards that allow both the monitoring by INPS of the benefits provided and data driven support to policy makers’ decisions.</w:t>
            </w:r>
          </w:p>
        </w:tc>
      </w:tr>
      <w:tr w:rsidR="0039681A" w:rsidRPr="0070054C" w14:paraId="719C09A5" w14:textId="77777777" w:rsidTr="00351087">
        <w:trPr>
          <w:trHeight w:val="309"/>
        </w:trPr>
        <w:tc>
          <w:tcPr>
            <w:tcW w:w="1087" w:type="dxa"/>
            <w:shd w:val="clear" w:color="auto" w:fill="C6EFCE"/>
            <w:noWrap/>
            <w:vAlign w:val="center"/>
          </w:tcPr>
          <w:p w14:paraId="5B4D730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M1C1-124</w:t>
            </w:r>
          </w:p>
        </w:tc>
        <w:tc>
          <w:tcPr>
            <w:tcW w:w="1943" w:type="dxa"/>
            <w:shd w:val="clear" w:color="auto" w:fill="C6EFCE"/>
            <w:noWrap/>
            <w:vAlign w:val="center"/>
          </w:tcPr>
          <w:p w14:paraId="4542BCE4"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1.6.3 - Digitization of National Social Security Institute (INPS) and National Institute for Insurance against Accidents at work (INAIL)</w:t>
            </w:r>
          </w:p>
        </w:tc>
        <w:tc>
          <w:tcPr>
            <w:tcW w:w="992" w:type="dxa"/>
            <w:shd w:val="clear" w:color="auto" w:fill="C6EFCE"/>
            <w:noWrap/>
            <w:vAlign w:val="center"/>
          </w:tcPr>
          <w:p w14:paraId="2C555F81"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623DA82F"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INPS - Employees with improved Information and Communication Technologies (ICT) skills T1</w:t>
            </w:r>
          </w:p>
        </w:tc>
        <w:tc>
          <w:tcPr>
            <w:tcW w:w="1701" w:type="dxa"/>
            <w:shd w:val="clear" w:color="auto" w:fill="C6EFCE"/>
            <w:noWrap/>
            <w:vAlign w:val="center"/>
          </w:tcPr>
          <w:p w14:paraId="726A087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68D46F1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38B68A8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0</w:t>
            </w:r>
          </w:p>
        </w:tc>
        <w:tc>
          <w:tcPr>
            <w:tcW w:w="1417" w:type="dxa"/>
            <w:shd w:val="clear" w:color="auto" w:fill="C6EFCE"/>
            <w:noWrap/>
            <w:vAlign w:val="center"/>
          </w:tcPr>
          <w:p w14:paraId="4DECB688"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4 250</w:t>
            </w:r>
          </w:p>
        </w:tc>
        <w:tc>
          <w:tcPr>
            <w:tcW w:w="793" w:type="dxa"/>
            <w:shd w:val="clear" w:color="auto" w:fill="C6EFCE"/>
            <w:noWrap/>
            <w:vAlign w:val="center"/>
          </w:tcPr>
          <w:p w14:paraId="0D234B5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1E0CEF9E"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2022</w:t>
            </w:r>
          </w:p>
        </w:tc>
        <w:tc>
          <w:tcPr>
            <w:tcW w:w="2584" w:type="dxa"/>
            <w:shd w:val="clear" w:color="auto" w:fill="C6EFCE"/>
            <w:noWrap/>
            <w:vAlign w:val="center"/>
          </w:tcPr>
          <w:p w14:paraId="715132AC"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At least 4 250 INPS employees assessed with regards to their Information and with certified improved skills in the following areas of the European e-Competence Framework: (i) Plan; (ii) Build; (iii) Run (iv) Enable; (v) Manage.</w:t>
            </w:r>
          </w:p>
          <w:p w14:paraId="5311EC1D"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The areas for improvement of competences will be identified according to the target group of learners.</w:t>
            </w:r>
          </w:p>
        </w:tc>
      </w:tr>
      <w:tr w:rsidR="0039681A" w:rsidRPr="0070054C" w14:paraId="542C5D39" w14:textId="77777777" w:rsidTr="00351087">
        <w:trPr>
          <w:trHeight w:val="309"/>
        </w:trPr>
        <w:tc>
          <w:tcPr>
            <w:tcW w:w="1087" w:type="dxa"/>
            <w:shd w:val="clear" w:color="auto" w:fill="C6EFCE"/>
            <w:noWrap/>
            <w:vAlign w:val="center"/>
          </w:tcPr>
          <w:p w14:paraId="0A2AFB7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M1C1-125</w:t>
            </w:r>
          </w:p>
        </w:tc>
        <w:tc>
          <w:tcPr>
            <w:tcW w:w="1943" w:type="dxa"/>
            <w:shd w:val="clear" w:color="auto" w:fill="C6EFCE"/>
            <w:noWrap/>
            <w:vAlign w:val="center"/>
          </w:tcPr>
          <w:p w14:paraId="2DFE269A"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1.2 - Cloud enablement for local PA</w:t>
            </w:r>
          </w:p>
        </w:tc>
        <w:tc>
          <w:tcPr>
            <w:tcW w:w="992" w:type="dxa"/>
            <w:shd w:val="clear" w:color="auto" w:fill="C6EFCE"/>
            <w:noWrap/>
            <w:vAlign w:val="center"/>
          </w:tcPr>
          <w:p w14:paraId="0A1BAD0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Milestone</w:t>
            </w:r>
          </w:p>
        </w:tc>
        <w:tc>
          <w:tcPr>
            <w:tcW w:w="2126" w:type="dxa"/>
            <w:shd w:val="clear" w:color="auto" w:fill="C6EFCE"/>
            <w:noWrap/>
            <w:vAlign w:val="center"/>
          </w:tcPr>
          <w:p w14:paraId="62C9992B"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Award of (all) public calls for Cloud enablement for local Public Administration tenders</w:t>
            </w:r>
          </w:p>
        </w:tc>
        <w:tc>
          <w:tcPr>
            <w:tcW w:w="1701" w:type="dxa"/>
            <w:shd w:val="clear" w:color="auto" w:fill="C6EFCE"/>
            <w:noWrap/>
            <w:vAlign w:val="center"/>
          </w:tcPr>
          <w:p w14:paraId="6B05E63A"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Notification of the award of (all) public contracts for Cloud enablement for local Public Administration tenders</w:t>
            </w:r>
          </w:p>
        </w:tc>
        <w:tc>
          <w:tcPr>
            <w:tcW w:w="1134" w:type="dxa"/>
            <w:shd w:val="clear" w:color="auto" w:fill="C6EFCE"/>
            <w:noWrap/>
            <w:vAlign w:val="center"/>
          </w:tcPr>
          <w:p w14:paraId="5C5E369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vAlign w:val="center"/>
          </w:tcPr>
          <w:p w14:paraId="2560C12E"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0BDFCD6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793" w:type="dxa"/>
            <w:shd w:val="clear" w:color="auto" w:fill="C6EFCE"/>
            <w:noWrap/>
            <w:vAlign w:val="center"/>
          </w:tcPr>
          <w:p w14:paraId="23D73A5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Q1</w:t>
            </w:r>
          </w:p>
        </w:tc>
        <w:tc>
          <w:tcPr>
            <w:tcW w:w="625" w:type="dxa"/>
            <w:shd w:val="clear" w:color="auto" w:fill="C6EFCE"/>
            <w:noWrap/>
            <w:vAlign w:val="center"/>
          </w:tcPr>
          <w:p w14:paraId="12E5DA4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16F27709"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Notification of the award of (all) public calls for each type of Public Administration involved (Municipalities, Schools, local healthcare agencies) to collect and assess migration plans. The issuance of three dedicated calls shall allow the Ministry for Technological Innovation and Digital Transition to assess the very specific needs of each type of Public Administration involved.</w:t>
            </w:r>
          </w:p>
          <w:p w14:paraId="6ECD4712"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Tenders awarded (i.e. publication of the list of public administrations admitted to receive funding) related to three public calls for proposal respectively for Municipalities, Schools, and local healthcare agencies, to collect and assess migration plans, in compliance with the ’Do no significant harm’ Technical Guidance (2021/C58/01) through the use of an exclusion list and the requirement of compliance with the relevant EU and national environmental legislation.</w:t>
            </w:r>
          </w:p>
        </w:tc>
      </w:tr>
      <w:tr w:rsidR="0039681A" w:rsidRPr="0070054C" w14:paraId="33763950" w14:textId="77777777" w:rsidTr="00351087">
        <w:trPr>
          <w:trHeight w:val="309"/>
        </w:trPr>
        <w:tc>
          <w:tcPr>
            <w:tcW w:w="1087" w:type="dxa"/>
            <w:shd w:val="clear" w:color="auto" w:fill="C6EFCE"/>
            <w:noWrap/>
            <w:vAlign w:val="center"/>
          </w:tcPr>
          <w:p w14:paraId="45012BE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M1C1-126</w:t>
            </w:r>
          </w:p>
        </w:tc>
        <w:tc>
          <w:tcPr>
            <w:tcW w:w="1943" w:type="dxa"/>
            <w:shd w:val="clear" w:color="auto" w:fill="C6EFCE"/>
            <w:noWrap/>
            <w:vAlign w:val="center"/>
          </w:tcPr>
          <w:p w14:paraId="58FDE860"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Investment 1.4.3 - Adoption scale up of PagoPA platform services and the “IO” app</w:t>
            </w:r>
          </w:p>
        </w:tc>
        <w:tc>
          <w:tcPr>
            <w:tcW w:w="992" w:type="dxa"/>
            <w:shd w:val="clear" w:color="auto" w:fill="C6EFCE"/>
            <w:noWrap/>
            <w:vAlign w:val="center"/>
          </w:tcPr>
          <w:p w14:paraId="1FC8923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6C9D9ADF"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Adoption scale up of PagoPA platform services T1</w:t>
            </w:r>
          </w:p>
        </w:tc>
        <w:tc>
          <w:tcPr>
            <w:tcW w:w="1701" w:type="dxa"/>
            <w:shd w:val="clear" w:color="auto" w:fill="C6EFCE"/>
            <w:noWrap/>
            <w:vAlign w:val="center"/>
          </w:tcPr>
          <w:p w14:paraId="754B4FE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65442FBF"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03E89778"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9 000</w:t>
            </w:r>
          </w:p>
        </w:tc>
        <w:tc>
          <w:tcPr>
            <w:tcW w:w="1417" w:type="dxa"/>
            <w:shd w:val="clear" w:color="auto" w:fill="C6EFCE"/>
            <w:noWrap/>
            <w:vAlign w:val="center"/>
          </w:tcPr>
          <w:p w14:paraId="0D078B5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 xml:space="preserve">11 450 </w:t>
            </w:r>
          </w:p>
        </w:tc>
        <w:tc>
          <w:tcPr>
            <w:tcW w:w="793" w:type="dxa"/>
            <w:shd w:val="clear" w:color="auto" w:fill="C6EFCE"/>
            <w:noWrap/>
            <w:vAlign w:val="center"/>
          </w:tcPr>
          <w:p w14:paraId="75798402"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51CA472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5818518C"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Ensure an increase in the number of services integrated in the platform for:</w:t>
            </w:r>
          </w:p>
          <w:p w14:paraId="37FD5269" w14:textId="77777777" w:rsidR="0039681A" w:rsidRPr="00077A1F" w:rsidRDefault="0039681A" w:rsidP="00351087">
            <w:pP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 public administrations already in the baseline (9 000 entities)</w:t>
            </w:r>
          </w:p>
          <w:p w14:paraId="0C4F44DD"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 new public administrations joining the platform (2 450 new entities).</w:t>
            </w:r>
          </w:p>
          <w:p w14:paraId="58118709" w14:textId="77777777" w:rsidR="0039681A" w:rsidRPr="00077A1F" w:rsidRDefault="0039681A" w:rsidP="00351087">
            <w:pPr>
              <w:spacing w:before="120"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 both cases, the total number of services of the public administrations joining the platform shall have to increase by at least 20% compared to the 2021 services baseline (31.03.2021). The number of services that shall be integrated depend on the type of administration (the final 2026 goal is to have an average of 35 services for Municipalities, 15 services for Regions, 15 services for health authorities, 8 services for schools and universities).</w:t>
            </w:r>
          </w:p>
        </w:tc>
      </w:tr>
      <w:tr w:rsidR="0039681A" w:rsidRPr="0070054C" w14:paraId="2F3F78AB" w14:textId="77777777" w:rsidTr="00351087">
        <w:trPr>
          <w:trHeight w:val="309"/>
        </w:trPr>
        <w:tc>
          <w:tcPr>
            <w:tcW w:w="1087" w:type="dxa"/>
            <w:shd w:val="clear" w:color="auto" w:fill="C6EFCE"/>
            <w:noWrap/>
            <w:vAlign w:val="center"/>
          </w:tcPr>
          <w:p w14:paraId="5981921F"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M1C1-127</w:t>
            </w:r>
          </w:p>
        </w:tc>
        <w:tc>
          <w:tcPr>
            <w:tcW w:w="1943" w:type="dxa"/>
            <w:shd w:val="clear" w:color="auto" w:fill="C6EFCE"/>
            <w:noWrap/>
            <w:vAlign w:val="center"/>
          </w:tcPr>
          <w:p w14:paraId="5ACF83DB"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Investment 1.4.3 - Adoption scale up of PagoPA platform services and the “IO” app</w:t>
            </w:r>
          </w:p>
        </w:tc>
        <w:tc>
          <w:tcPr>
            <w:tcW w:w="992" w:type="dxa"/>
            <w:shd w:val="clear" w:color="auto" w:fill="C6EFCE"/>
            <w:noWrap/>
            <w:vAlign w:val="center"/>
          </w:tcPr>
          <w:p w14:paraId="6602452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00246FF2"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Adoption scale up of “IO” app T1</w:t>
            </w:r>
          </w:p>
        </w:tc>
        <w:tc>
          <w:tcPr>
            <w:tcW w:w="1701" w:type="dxa"/>
            <w:shd w:val="clear" w:color="auto" w:fill="C6EFCE"/>
            <w:noWrap/>
            <w:vAlign w:val="center"/>
          </w:tcPr>
          <w:p w14:paraId="10E74AE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1431CF1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55E2BCFE"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2 700</w:t>
            </w:r>
          </w:p>
        </w:tc>
        <w:tc>
          <w:tcPr>
            <w:tcW w:w="1417" w:type="dxa"/>
            <w:shd w:val="clear" w:color="auto" w:fill="C6EFCE"/>
            <w:noWrap/>
            <w:vAlign w:val="center"/>
          </w:tcPr>
          <w:p w14:paraId="7679302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7 000</w:t>
            </w:r>
          </w:p>
        </w:tc>
        <w:tc>
          <w:tcPr>
            <w:tcW w:w="793" w:type="dxa"/>
            <w:shd w:val="clear" w:color="auto" w:fill="C6EFCE"/>
            <w:noWrap/>
            <w:vAlign w:val="center"/>
          </w:tcPr>
          <w:p w14:paraId="2239FA7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254AE2C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44EAB892"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Ensure an increase in the number of services integrated in “IO “app for:</w:t>
            </w:r>
          </w:p>
          <w:p w14:paraId="7BB78F6E" w14:textId="77777777" w:rsidR="0039681A" w:rsidRPr="00077A1F" w:rsidRDefault="0039681A" w:rsidP="00351087">
            <w:pPr>
              <w:spacing w:before="120"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 public administrations already in the baseline (2 700 entities)</w:t>
            </w:r>
          </w:p>
          <w:p w14:paraId="4C06595C" w14:textId="77777777" w:rsidR="0039681A" w:rsidRPr="00077A1F" w:rsidRDefault="0039681A" w:rsidP="00351087">
            <w:pPr>
              <w:spacing w:before="120"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 new public administrations joining the platform (4 300 new entities).</w:t>
            </w:r>
          </w:p>
          <w:p w14:paraId="2A9EF591" w14:textId="77777777" w:rsidR="0039681A" w:rsidRPr="00077A1F" w:rsidRDefault="0039681A" w:rsidP="00351087">
            <w:pPr>
              <w:spacing w:before="120"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 both cases, the total number of services of the public administrations joining the platform shall have to increase by at least 20% compared to the 2021 services baseline (31.03.2021). The number of services that shall be integrated depend on the type of administration (the final 2026 goal is to have an average of 35 services for Municipalities, 15 services for Regions, 15 services for health authorities, 8 services for schools and universities).</w:t>
            </w:r>
          </w:p>
        </w:tc>
      </w:tr>
      <w:tr w:rsidR="0039681A" w:rsidRPr="0070054C" w14:paraId="4D6C4C6D" w14:textId="77777777" w:rsidTr="00351087">
        <w:trPr>
          <w:trHeight w:val="309"/>
        </w:trPr>
        <w:tc>
          <w:tcPr>
            <w:tcW w:w="1087" w:type="dxa"/>
            <w:shd w:val="clear" w:color="auto" w:fill="C6EFCE"/>
            <w:noWrap/>
            <w:vAlign w:val="center"/>
          </w:tcPr>
          <w:p w14:paraId="31050C6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M1C1-128</w:t>
            </w:r>
          </w:p>
        </w:tc>
        <w:tc>
          <w:tcPr>
            <w:tcW w:w="1943" w:type="dxa"/>
            <w:shd w:val="clear" w:color="auto" w:fill="C6EFCE"/>
            <w:noWrap/>
            <w:vAlign w:val="center"/>
          </w:tcPr>
          <w:p w14:paraId="29BA259C"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1.4.5 - Digitization of public notices</w:t>
            </w:r>
          </w:p>
        </w:tc>
        <w:tc>
          <w:tcPr>
            <w:tcW w:w="992" w:type="dxa"/>
            <w:shd w:val="clear" w:color="auto" w:fill="C6EFCE"/>
            <w:noWrap/>
            <w:vAlign w:val="center"/>
          </w:tcPr>
          <w:p w14:paraId="6541A91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23019667"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Adoption scale up of digital public notices T1</w:t>
            </w:r>
          </w:p>
        </w:tc>
        <w:tc>
          <w:tcPr>
            <w:tcW w:w="1701" w:type="dxa"/>
            <w:shd w:val="clear" w:color="auto" w:fill="C6EFCE"/>
            <w:noWrap/>
            <w:vAlign w:val="center"/>
          </w:tcPr>
          <w:p w14:paraId="0EF3B13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35E2E6A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5CB81DD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0</w:t>
            </w:r>
          </w:p>
        </w:tc>
        <w:tc>
          <w:tcPr>
            <w:tcW w:w="1417" w:type="dxa"/>
            <w:shd w:val="clear" w:color="auto" w:fill="C6EFCE"/>
            <w:noWrap/>
            <w:vAlign w:val="center"/>
          </w:tcPr>
          <w:p w14:paraId="1E5D944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800</w:t>
            </w:r>
          </w:p>
        </w:tc>
        <w:tc>
          <w:tcPr>
            <w:tcW w:w="793" w:type="dxa"/>
            <w:shd w:val="clear" w:color="auto" w:fill="C6EFCE"/>
            <w:noWrap/>
            <w:vAlign w:val="center"/>
          </w:tcPr>
          <w:p w14:paraId="070E331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46CB0E9D"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76FC7047"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At least 800 Central Public Administrations and Municipalities, with respect to Digital Notification Platform (DNP), shall provide digital legally-binding notices to citizens, legal entities, associations and any other public or private entities.</w:t>
            </w:r>
          </w:p>
        </w:tc>
      </w:tr>
      <w:tr w:rsidR="0039681A" w:rsidRPr="0070054C" w14:paraId="71287CC3" w14:textId="77777777" w:rsidTr="00351087">
        <w:trPr>
          <w:trHeight w:val="309"/>
        </w:trPr>
        <w:tc>
          <w:tcPr>
            <w:tcW w:w="1087" w:type="dxa"/>
            <w:shd w:val="clear" w:color="auto" w:fill="C6EFCE"/>
            <w:noWrap/>
            <w:vAlign w:val="center"/>
          </w:tcPr>
          <w:p w14:paraId="4EBCDC85"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M1C1-129</w:t>
            </w:r>
          </w:p>
        </w:tc>
        <w:tc>
          <w:tcPr>
            <w:tcW w:w="1943" w:type="dxa"/>
            <w:shd w:val="clear" w:color="auto" w:fill="C6EFCE"/>
            <w:noWrap/>
            <w:vAlign w:val="center"/>
          </w:tcPr>
          <w:p w14:paraId="3E64BBE0"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1.6.1 - Digitization of the Ministry of the Interior</w:t>
            </w:r>
          </w:p>
        </w:tc>
        <w:tc>
          <w:tcPr>
            <w:tcW w:w="992" w:type="dxa"/>
            <w:shd w:val="clear" w:color="auto" w:fill="C6EFCE"/>
            <w:noWrap/>
            <w:vAlign w:val="center"/>
          </w:tcPr>
          <w:p w14:paraId="398846E2"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3C142305"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Ministry of the Interior - Fully re-engineered and digitized processes T1</w:t>
            </w:r>
          </w:p>
        </w:tc>
        <w:tc>
          <w:tcPr>
            <w:tcW w:w="1701" w:type="dxa"/>
            <w:shd w:val="clear" w:color="auto" w:fill="C6EFCE"/>
            <w:noWrap/>
            <w:vAlign w:val="center"/>
          </w:tcPr>
          <w:p w14:paraId="6B90454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18BE225D"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5139098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0</w:t>
            </w:r>
          </w:p>
        </w:tc>
        <w:tc>
          <w:tcPr>
            <w:tcW w:w="1417" w:type="dxa"/>
            <w:shd w:val="clear" w:color="auto" w:fill="C6EFCE"/>
            <w:noWrap/>
            <w:vAlign w:val="center"/>
          </w:tcPr>
          <w:p w14:paraId="14302FCE"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7</w:t>
            </w:r>
          </w:p>
        </w:tc>
        <w:tc>
          <w:tcPr>
            <w:tcW w:w="793" w:type="dxa"/>
            <w:shd w:val="clear" w:color="auto" w:fill="C6EFCE"/>
            <w:noWrap/>
            <w:vAlign w:val="center"/>
          </w:tcPr>
          <w:p w14:paraId="17A6B38D"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7142E72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2EAAFFEA" w14:textId="1B1CD241"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Internal procedures and processes fully re-engineered (7 processes in total until 31</w:t>
            </w:r>
            <w:r w:rsidR="00364450" w:rsidRPr="0039681A">
              <w:rPr>
                <w:rFonts w:ascii="Arial Narrow" w:eastAsia="Aptos" w:hAnsi="Arial Narrow" w:cs="Times New Roman"/>
                <w:noProof/>
                <w:color w:val="006100"/>
                <w:sz w:val="20"/>
                <w:lang w:val="en-IE"/>
              </w:rPr>
              <w:t> </w:t>
            </w:r>
            <w:r w:rsidRPr="00077A1F">
              <w:rPr>
                <w:rFonts w:ascii="Arial Narrow" w:eastAsia="Aptos" w:hAnsi="Arial Narrow" w:cs="Times New Roman"/>
                <w:noProof/>
                <w:color w:val="006100"/>
                <w:sz w:val="20"/>
                <w:szCs w:val="20"/>
                <w:lang w:val="en-IE"/>
              </w:rPr>
              <w:t>December 2023) and that can be entirely completed online (such as office automation, mobility services and e-learning).</w:t>
            </w:r>
          </w:p>
        </w:tc>
      </w:tr>
      <w:tr w:rsidR="0039681A" w:rsidRPr="0070054C" w14:paraId="55F6385A" w14:textId="77777777" w:rsidTr="00351087">
        <w:trPr>
          <w:trHeight w:val="309"/>
        </w:trPr>
        <w:tc>
          <w:tcPr>
            <w:tcW w:w="1087" w:type="dxa"/>
            <w:shd w:val="clear" w:color="auto" w:fill="C6EFCE"/>
            <w:noWrap/>
            <w:vAlign w:val="center"/>
          </w:tcPr>
          <w:p w14:paraId="39472CFE"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M1C1-130</w:t>
            </w:r>
          </w:p>
        </w:tc>
        <w:tc>
          <w:tcPr>
            <w:tcW w:w="1943" w:type="dxa"/>
            <w:shd w:val="clear" w:color="auto" w:fill="C6EFCE"/>
            <w:noWrap/>
            <w:vAlign w:val="center"/>
          </w:tcPr>
          <w:p w14:paraId="7A95D254"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1.6.2 - Digitization of the Ministry of Justice</w:t>
            </w:r>
          </w:p>
        </w:tc>
        <w:tc>
          <w:tcPr>
            <w:tcW w:w="992" w:type="dxa"/>
            <w:shd w:val="clear" w:color="auto" w:fill="C6EFCE"/>
            <w:noWrap/>
            <w:vAlign w:val="center"/>
          </w:tcPr>
          <w:p w14:paraId="60B2DA5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486F6FA8"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Digitized judicial files T1</w:t>
            </w:r>
          </w:p>
        </w:tc>
        <w:tc>
          <w:tcPr>
            <w:tcW w:w="1701" w:type="dxa"/>
            <w:shd w:val="clear" w:color="auto" w:fill="C6EFCE"/>
            <w:noWrap/>
            <w:vAlign w:val="center"/>
          </w:tcPr>
          <w:p w14:paraId="761B6C6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151991BE"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10F8EB0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0</w:t>
            </w:r>
          </w:p>
        </w:tc>
        <w:tc>
          <w:tcPr>
            <w:tcW w:w="1417" w:type="dxa"/>
            <w:shd w:val="clear" w:color="auto" w:fill="C6EFCE"/>
            <w:noWrap/>
            <w:vAlign w:val="center"/>
          </w:tcPr>
          <w:p w14:paraId="385D76E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3 500</w:t>
            </w:r>
            <w:r w:rsidRPr="00030506">
              <w:rPr>
                <w:rFonts w:ascii="Aptos" w:eastAsia="Aptos" w:hAnsi="Aptos" w:cs="Times New Roman" w:hint="eastAsia"/>
                <w:noProof/>
                <w:color w:val="006100"/>
                <w:sz w:val="20"/>
              </w:rPr>
              <w:t> </w:t>
            </w:r>
            <w:r w:rsidRPr="00030506">
              <w:rPr>
                <w:rFonts w:ascii="Arial Narrow" w:eastAsia="Aptos" w:hAnsi="Arial Narrow" w:cs="Times New Roman"/>
                <w:noProof/>
                <w:color w:val="006100"/>
                <w:sz w:val="20"/>
              </w:rPr>
              <w:t>000</w:t>
            </w:r>
          </w:p>
        </w:tc>
        <w:tc>
          <w:tcPr>
            <w:tcW w:w="793" w:type="dxa"/>
            <w:shd w:val="clear" w:color="auto" w:fill="C6EFCE"/>
            <w:noWrap/>
            <w:vAlign w:val="center"/>
          </w:tcPr>
          <w:p w14:paraId="74A79CC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5D36CA8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1A053CB2"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Digitalization of 3</w:t>
            </w:r>
            <w:r w:rsidRPr="00077A1F">
              <w:rPr>
                <w:rFonts w:ascii="Aptos" w:eastAsia="Aptos" w:hAnsi="Aptos" w:cs="Times New Roman" w:hint="eastAsia"/>
                <w:noProof/>
                <w:color w:val="006100"/>
                <w:sz w:val="20"/>
                <w:szCs w:val="20"/>
                <w:lang w:val="en-IE"/>
              </w:rPr>
              <w:t> </w:t>
            </w:r>
            <w:r w:rsidRPr="00077A1F">
              <w:rPr>
                <w:rFonts w:ascii="Arial Narrow" w:eastAsia="Aptos" w:hAnsi="Arial Narrow" w:cs="Times New Roman"/>
                <w:noProof/>
                <w:color w:val="006100"/>
                <w:sz w:val="20"/>
                <w:szCs w:val="20"/>
                <w:lang w:val="en-IE"/>
              </w:rPr>
              <w:t>500</w:t>
            </w:r>
            <w:r w:rsidRPr="00077A1F">
              <w:rPr>
                <w:rFonts w:ascii="Aptos" w:eastAsia="Aptos" w:hAnsi="Aptos" w:cs="Times New Roman" w:hint="eastAsia"/>
                <w:noProof/>
                <w:color w:val="006100"/>
                <w:sz w:val="20"/>
                <w:szCs w:val="20"/>
                <w:lang w:val="en-IE"/>
              </w:rPr>
              <w:t> </w:t>
            </w:r>
            <w:r w:rsidRPr="00077A1F">
              <w:rPr>
                <w:rFonts w:ascii="Arial Narrow" w:eastAsia="Aptos" w:hAnsi="Arial Narrow" w:cs="Times New Roman"/>
                <w:noProof/>
                <w:color w:val="006100"/>
                <w:sz w:val="20"/>
                <w:szCs w:val="20"/>
                <w:lang w:val="en-IE"/>
              </w:rPr>
              <w:t>000 judicial files pertaining to the last 20 years (01/01/2006 - 30/06/2026) related to completed or ongoing trials of judicial courts.</w:t>
            </w:r>
          </w:p>
        </w:tc>
      </w:tr>
      <w:tr w:rsidR="0039681A" w:rsidRPr="0070054C" w14:paraId="5A001854" w14:textId="77777777" w:rsidTr="00351087">
        <w:trPr>
          <w:trHeight w:val="309"/>
        </w:trPr>
        <w:tc>
          <w:tcPr>
            <w:tcW w:w="1087" w:type="dxa"/>
            <w:shd w:val="clear" w:color="auto" w:fill="C6EFCE"/>
            <w:noWrap/>
            <w:vAlign w:val="center"/>
          </w:tcPr>
          <w:p w14:paraId="61DCBDA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M1C1-131</w:t>
            </w:r>
          </w:p>
        </w:tc>
        <w:tc>
          <w:tcPr>
            <w:tcW w:w="1943" w:type="dxa"/>
            <w:shd w:val="clear" w:color="auto" w:fill="C6EFCE"/>
            <w:noWrap/>
            <w:vAlign w:val="center"/>
          </w:tcPr>
          <w:p w14:paraId="6C653551"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1.6.2 - Digitization of the Ministry of Justice</w:t>
            </w:r>
          </w:p>
        </w:tc>
        <w:tc>
          <w:tcPr>
            <w:tcW w:w="992" w:type="dxa"/>
            <w:shd w:val="clear" w:color="auto" w:fill="C6EFCE"/>
            <w:noWrap/>
            <w:vAlign w:val="center"/>
          </w:tcPr>
          <w:p w14:paraId="01BB495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Milestone</w:t>
            </w:r>
          </w:p>
        </w:tc>
        <w:tc>
          <w:tcPr>
            <w:tcW w:w="2126" w:type="dxa"/>
            <w:shd w:val="clear" w:color="auto" w:fill="C6EFCE"/>
            <w:noWrap/>
            <w:vAlign w:val="center"/>
          </w:tcPr>
          <w:p w14:paraId="08F9F550"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Justice Data Lake knowledge systems T1</w:t>
            </w:r>
          </w:p>
        </w:tc>
        <w:tc>
          <w:tcPr>
            <w:tcW w:w="1701" w:type="dxa"/>
            <w:shd w:val="clear" w:color="auto" w:fill="C6EFCE"/>
            <w:noWrap/>
            <w:vAlign w:val="center"/>
          </w:tcPr>
          <w:p w14:paraId="7844BBF4"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Report testifying the start of execution of the contract</w:t>
            </w:r>
          </w:p>
        </w:tc>
        <w:tc>
          <w:tcPr>
            <w:tcW w:w="1134" w:type="dxa"/>
            <w:shd w:val="clear" w:color="auto" w:fill="C6EFCE"/>
            <w:noWrap/>
            <w:vAlign w:val="center"/>
          </w:tcPr>
          <w:p w14:paraId="7FEB71D2"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vAlign w:val="center"/>
          </w:tcPr>
          <w:p w14:paraId="067A6F7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2212EA8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793" w:type="dxa"/>
            <w:shd w:val="clear" w:color="auto" w:fill="C6EFCE"/>
            <w:noWrap/>
            <w:vAlign w:val="center"/>
          </w:tcPr>
          <w:p w14:paraId="4ABCA6D2"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4258955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5B65F648"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Start of execution of the contract for the realization of six new Data Lake knowledge systems:</w:t>
            </w:r>
          </w:p>
          <w:p w14:paraId="71A61387" w14:textId="77777777" w:rsidR="0039681A" w:rsidRPr="00077A1F" w:rsidRDefault="0039681A" w:rsidP="00351087">
            <w:pPr>
              <w:numPr>
                <w:ilvl w:val="0"/>
                <w:numId w:val="34"/>
              </w:numPr>
              <w:spacing w:after="120" w:line="240" w:lineRule="auto"/>
              <w:ind w:left="357" w:hanging="357"/>
              <w:contextualSpacing/>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Anonymization system of civil and criminal sentences</w:t>
            </w:r>
          </w:p>
          <w:p w14:paraId="0B48070D" w14:textId="77777777" w:rsidR="0039681A" w:rsidRPr="00030506" w:rsidRDefault="0039681A" w:rsidP="00351087">
            <w:pPr>
              <w:numPr>
                <w:ilvl w:val="0"/>
                <w:numId w:val="34"/>
              </w:numPr>
              <w:spacing w:after="120" w:line="240" w:lineRule="auto"/>
              <w:ind w:left="357" w:hanging="357"/>
              <w:contextualSpacing/>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Integrated management system</w:t>
            </w:r>
          </w:p>
          <w:p w14:paraId="65432B80" w14:textId="77777777" w:rsidR="0039681A" w:rsidRPr="00077A1F" w:rsidRDefault="0039681A" w:rsidP="00351087">
            <w:pPr>
              <w:numPr>
                <w:ilvl w:val="0"/>
                <w:numId w:val="34"/>
              </w:numPr>
              <w:spacing w:after="120" w:line="240" w:lineRule="auto"/>
              <w:ind w:left="357" w:hanging="357"/>
              <w:contextualSpacing/>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Management and analysis system for civil trials</w:t>
            </w:r>
          </w:p>
          <w:p w14:paraId="5CE8CD07" w14:textId="77777777" w:rsidR="0039681A" w:rsidRPr="00077A1F" w:rsidRDefault="0039681A" w:rsidP="00351087">
            <w:pPr>
              <w:numPr>
                <w:ilvl w:val="0"/>
                <w:numId w:val="34"/>
              </w:numPr>
              <w:spacing w:after="120" w:line="240" w:lineRule="auto"/>
              <w:ind w:left="357" w:hanging="357"/>
              <w:contextualSpacing/>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Management and analysis system for criminal trials</w:t>
            </w:r>
          </w:p>
          <w:p w14:paraId="6A0E6539" w14:textId="77777777" w:rsidR="0039681A" w:rsidRPr="00077A1F" w:rsidRDefault="0039681A" w:rsidP="00351087">
            <w:pPr>
              <w:numPr>
                <w:ilvl w:val="0"/>
                <w:numId w:val="34"/>
              </w:numPr>
              <w:spacing w:after="120" w:line="240" w:lineRule="auto"/>
              <w:ind w:left="357" w:hanging="357"/>
              <w:contextualSpacing/>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Advanced statistics system on civil and criminal trials</w:t>
            </w:r>
          </w:p>
          <w:p w14:paraId="454E3A30" w14:textId="77777777" w:rsidR="0039681A" w:rsidRPr="00077A1F" w:rsidRDefault="0039681A" w:rsidP="00351087">
            <w:pPr>
              <w:numPr>
                <w:ilvl w:val="0"/>
                <w:numId w:val="34"/>
              </w:numPr>
              <w:spacing w:after="120" w:line="240" w:lineRule="auto"/>
              <w:ind w:left="357" w:hanging="357"/>
              <w:contextualSpacing/>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 xml:space="preserve">Automated system for identification of victim-guilty relationship. </w:t>
            </w:r>
          </w:p>
          <w:p w14:paraId="651B0E4A"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The execution of every public contract starts by a specific administrative act of the responsible of the procedure, named “starting execution”.</w:t>
            </w:r>
          </w:p>
        </w:tc>
      </w:tr>
      <w:tr w:rsidR="0039681A" w:rsidRPr="0070054C" w14:paraId="0ED27808" w14:textId="77777777" w:rsidTr="00351087">
        <w:trPr>
          <w:trHeight w:val="309"/>
        </w:trPr>
        <w:tc>
          <w:tcPr>
            <w:tcW w:w="1087" w:type="dxa"/>
            <w:shd w:val="clear" w:color="auto" w:fill="C6EFCE"/>
            <w:noWrap/>
            <w:vAlign w:val="center"/>
          </w:tcPr>
          <w:p w14:paraId="50B23A7D"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M1C1-132</w:t>
            </w:r>
          </w:p>
        </w:tc>
        <w:tc>
          <w:tcPr>
            <w:tcW w:w="1943" w:type="dxa"/>
            <w:shd w:val="clear" w:color="auto" w:fill="C6EFCE"/>
            <w:noWrap/>
            <w:vAlign w:val="center"/>
          </w:tcPr>
          <w:p w14:paraId="607A9D6F"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1.6.3 - Digitization of National Social Security Institute (INPS) and National Institute for Insurance against Accidents at work (INAIL)</w:t>
            </w:r>
          </w:p>
        </w:tc>
        <w:tc>
          <w:tcPr>
            <w:tcW w:w="992" w:type="dxa"/>
            <w:shd w:val="clear" w:color="auto" w:fill="C6EFCE"/>
            <w:noWrap/>
            <w:vAlign w:val="center"/>
          </w:tcPr>
          <w:p w14:paraId="5AF684DD"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3E53EE73"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INPS - “One click by design” services/contents T2</w:t>
            </w:r>
          </w:p>
        </w:tc>
        <w:tc>
          <w:tcPr>
            <w:tcW w:w="1701" w:type="dxa"/>
            <w:shd w:val="clear" w:color="auto" w:fill="C6EFCE"/>
            <w:noWrap/>
            <w:vAlign w:val="center"/>
          </w:tcPr>
          <w:p w14:paraId="34EF754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6173649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22E78E83"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35</w:t>
            </w:r>
          </w:p>
        </w:tc>
        <w:tc>
          <w:tcPr>
            <w:tcW w:w="1417" w:type="dxa"/>
            <w:shd w:val="clear" w:color="auto" w:fill="C6EFCE"/>
            <w:noWrap/>
            <w:vAlign w:val="center"/>
          </w:tcPr>
          <w:p w14:paraId="28530943"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70</w:t>
            </w:r>
          </w:p>
        </w:tc>
        <w:tc>
          <w:tcPr>
            <w:tcW w:w="793" w:type="dxa"/>
            <w:shd w:val="clear" w:color="auto" w:fill="C6EFCE"/>
            <w:noWrap/>
            <w:vAlign w:val="center"/>
          </w:tcPr>
          <w:p w14:paraId="149728B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06025C2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23965CA6"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35 additional services deployed on Inps's institutional web site (</w:t>
            </w:r>
            <w:hyperlink r:id="rId30">
              <w:r w:rsidRPr="00077A1F">
                <w:rPr>
                  <w:rFonts w:ascii="Arial Narrow" w:eastAsia="Aptos" w:hAnsi="Arial Narrow" w:cs="Times New Roman"/>
                  <w:noProof/>
                  <w:color w:val="0000FF"/>
                  <w:sz w:val="20"/>
                  <w:szCs w:val="20"/>
                  <w:u w:val="single"/>
                  <w:lang w:val="en-IE"/>
                </w:rPr>
                <w:t>www.inps.it</w:t>
              </w:r>
            </w:hyperlink>
            <w:r w:rsidRPr="00077A1F">
              <w:rPr>
                <w:rFonts w:ascii="Arial Narrow" w:eastAsia="Aptos" w:hAnsi="Arial Narrow" w:cs="Times New Roman"/>
                <w:noProof/>
                <w:color w:val="006100"/>
                <w:sz w:val="20"/>
                <w:szCs w:val="20"/>
                <w:lang w:val="en-IE"/>
              </w:rPr>
              <w:t>)</w:t>
            </w:r>
          </w:p>
          <w:p w14:paraId="5A6D1848" w14:textId="77777777" w:rsidR="0039681A" w:rsidRPr="00077A1F" w:rsidRDefault="0039681A" w:rsidP="00351087">
            <w:pP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The services shall be accessible on the institutional site through appropriate profiling logics (the system shall suggest services of possible interest based on age, work characteristics, perceived benefits, and user history).</w:t>
            </w:r>
          </w:p>
          <w:p w14:paraId="2649630A" w14:textId="77777777" w:rsidR="0039681A" w:rsidRPr="00077A1F" w:rsidRDefault="0039681A" w:rsidP="00351087">
            <w:pPr>
              <w:spacing w:before="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The 35 services are related to the following INPS institutional areas:</w:t>
            </w:r>
          </w:p>
          <w:p w14:paraId="68694B26" w14:textId="77777777" w:rsidR="0039681A" w:rsidRPr="00077A1F" w:rsidRDefault="0039681A" w:rsidP="00351087">
            <w:pPr>
              <w:ind w:left="292" w:hanging="76"/>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•Pensions benefits</w:t>
            </w:r>
          </w:p>
          <w:p w14:paraId="2A74ECD0" w14:textId="77777777" w:rsidR="0039681A" w:rsidRPr="00077A1F" w:rsidRDefault="0039681A" w:rsidP="00351087">
            <w:pPr>
              <w:ind w:left="292" w:hanging="76"/>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•Social Shock Absorbers</w:t>
            </w:r>
          </w:p>
          <w:p w14:paraId="62ADB2A4" w14:textId="77777777" w:rsidR="0039681A" w:rsidRPr="00077A1F" w:rsidRDefault="0039681A" w:rsidP="00351087">
            <w:pPr>
              <w:ind w:left="292" w:hanging="76"/>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•Unemployment benefits</w:t>
            </w:r>
          </w:p>
          <w:p w14:paraId="3CAB1791" w14:textId="77777777" w:rsidR="0039681A" w:rsidRPr="00077A1F" w:rsidRDefault="0039681A" w:rsidP="00351087">
            <w:pPr>
              <w:ind w:left="292" w:hanging="76"/>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•Disability benefits</w:t>
            </w:r>
          </w:p>
          <w:p w14:paraId="0AB3F54A" w14:textId="77777777" w:rsidR="0039681A" w:rsidRPr="00077A1F" w:rsidRDefault="0039681A" w:rsidP="00351087">
            <w:pPr>
              <w:ind w:left="292" w:hanging="76"/>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•Redemptions</w:t>
            </w:r>
          </w:p>
          <w:p w14:paraId="34D5C2AB" w14:textId="77777777" w:rsidR="0039681A" w:rsidRPr="00077A1F" w:rsidRDefault="0039681A" w:rsidP="00351087">
            <w:pPr>
              <w:ind w:left="292" w:hanging="76"/>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•Company collection of contribution</w:t>
            </w:r>
          </w:p>
          <w:p w14:paraId="0799E919" w14:textId="77777777" w:rsidR="0039681A" w:rsidRPr="00077A1F" w:rsidRDefault="0039681A" w:rsidP="00351087">
            <w:pPr>
              <w:ind w:left="292" w:hanging="76"/>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•Agriculture workers services</w:t>
            </w:r>
          </w:p>
          <w:p w14:paraId="369028CB" w14:textId="77777777" w:rsidR="0039681A" w:rsidRPr="00077A1F" w:rsidRDefault="0039681A" w:rsidP="00351087">
            <w:pPr>
              <w:ind w:left="292" w:hanging="76"/>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•Anti-fraud, corruption and transparency services</w:t>
            </w:r>
          </w:p>
          <w:p w14:paraId="5379BCE0" w14:textId="77777777" w:rsidR="0039681A" w:rsidRPr="00077A1F" w:rsidRDefault="0039681A" w:rsidP="00351087">
            <w:pPr>
              <w:spacing w:before="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 the listed institutional areas, the services that shall be implemented shall concern the digital submission of request of services, the check of the requirements for the benefit, the status monitoring of the practice by users, the proactive proposal of services based on user's needs, the automatic renewal of benefits without the need for new applications.</w:t>
            </w:r>
          </w:p>
          <w:p w14:paraId="004FC202" w14:textId="77777777" w:rsidR="0039681A" w:rsidRPr="00077A1F" w:rsidRDefault="0039681A" w:rsidP="00351087">
            <w:pPr>
              <w:spacing w:before="120"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Finally, there shall be monitoring dashboards that allow both the monitoring by INPS of the benefits provided and data driven support to policy makers’ decisions.</w:t>
            </w:r>
          </w:p>
        </w:tc>
      </w:tr>
      <w:tr w:rsidR="0039681A" w:rsidRPr="0070054C" w14:paraId="766640C9" w14:textId="77777777" w:rsidTr="00351087">
        <w:trPr>
          <w:trHeight w:val="4119"/>
        </w:trPr>
        <w:tc>
          <w:tcPr>
            <w:tcW w:w="1087" w:type="dxa"/>
            <w:shd w:val="clear" w:color="auto" w:fill="C6EFCE"/>
            <w:noWrap/>
            <w:vAlign w:val="center"/>
          </w:tcPr>
          <w:p w14:paraId="3B539251"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M1C1-133</w:t>
            </w:r>
          </w:p>
        </w:tc>
        <w:tc>
          <w:tcPr>
            <w:tcW w:w="1943" w:type="dxa"/>
            <w:shd w:val="clear" w:color="auto" w:fill="C6EFCE"/>
            <w:noWrap/>
            <w:vAlign w:val="center"/>
          </w:tcPr>
          <w:p w14:paraId="1020F33E"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1.6.3 - Digitization of National Social Security Institute (INPS) and National Institute for Insurance against Accidents at work (INAIL)</w:t>
            </w:r>
          </w:p>
        </w:tc>
        <w:tc>
          <w:tcPr>
            <w:tcW w:w="992" w:type="dxa"/>
            <w:shd w:val="clear" w:color="auto" w:fill="C6EFCE"/>
            <w:noWrap/>
            <w:vAlign w:val="center"/>
          </w:tcPr>
          <w:p w14:paraId="5B2057F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02DB21F5"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INPS - Employees with improved Information and Communication Technologies (ICT) skills T2</w:t>
            </w:r>
          </w:p>
        </w:tc>
        <w:tc>
          <w:tcPr>
            <w:tcW w:w="1701" w:type="dxa"/>
            <w:shd w:val="clear" w:color="auto" w:fill="C6EFCE"/>
            <w:noWrap/>
            <w:vAlign w:val="center"/>
          </w:tcPr>
          <w:p w14:paraId="2BB2603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7521D7E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2E64930F"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4 250</w:t>
            </w:r>
          </w:p>
        </w:tc>
        <w:tc>
          <w:tcPr>
            <w:tcW w:w="1417" w:type="dxa"/>
            <w:shd w:val="clear" w:color="auto" w:fill="C6EFCE"/>
            <w:noWrap/>
            <w:vAlign w:val="center"/>
          </w:tcPr>
          <w:p w14:paraId="636A6DB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8 500</w:t>
            </w:r>
          </w:p>
        </w:tc>
        <w:tc>
          <w:tcPr>
            <w:tcW w:w="793" w:type="dxa"/>
            <w:shd w:val="clear" w:color="auto" w:fill="C6EFCE"/>
            <w:noWrap/>
            <w:vAlign w:val="center"/>
          </w:tcPr>
          <w:p w14:paraId="04FF88A2"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5A29541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7E8BDAC2"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Additional 4 250 INPS employees assessed with certified improved skills in the following areas of the European e-Competence Framework: (i) Plan; (ii) Build; (iii) Run (iv) Enable; (v) Manage.</w:t>
            </w:r>
          </w:p>
          <w:p w14:paraId="56542D9A"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The areas for improvement of competences shall be identified according to the target group of learners.</w:t>
            </w:r>
          </w:p>
        </w:tc>
      </w:tr>
      <w:tr w:rsidR="0039681A" w:rsidRPr="00030506" w14:paraId="1D0ED31B" w14:textId="77777777" w:rsidTr="00351087">
        <w:trPr>
          <w:trHeight w:val="1276"/>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D06909"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M1C1-134</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5A6E97"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1.6.3 - Digitization of National Social Security Institute (INPS) and National Institute for Insurance against Accidents at work (INAIL)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51550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387E0E"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INAIL - Fully re-engineered and digitized processes/services 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48D0F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5E441"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927ED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29</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19915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53</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E8B0A1"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CD1962"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53990B"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xml:space="preserve">The target is to achieve 53 (52%) re-engineered institutional processes and services in order to make them fully digitized. </w:t>
            </w:r>
          </w:p>
          <w:p w14:paraId="25233009"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The involved areas of INAIL are: Insurance, Social and Health services, Prevention and safety work, Certifications and verifications.</w:t>
            </w:r>
          </w:p>
          <w:p w14:paraId="51F69878"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 xml:space="preserve">In particular, the expected target for each area is expressed above: </w:t>
            </w:r>
          </w:p>
          <w:p w14:paraId="7C440D34" w14:textId="77777777" w:rsidR="0039681A" w:rsidRPr="00030506" w:rsidRDefault="0039681A" w:rsidP="00351087">
            <w:pPr>
              <w:numPr>
                <w:ilvl w:val="0"/>
                <w:numId w:val="35"/>
              </w:numPr>
              <w:spacing w:before="120" w:after="120" w:line="240" w:lineRule="auto"/>
              <w:ind w:left="377" w:hanging="283"/>
              <w:contextualSpacing/>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 xml:space="preserve">Insurance: 8 (25%); </w:t>
            </w:r>
          </w:p>
          <w:p w14:paraId="59BB8D62" w14:textId="77777777" w:rsidR="0039681A" w:rsidRPr="00030506" w:rsidRDefault="0039681A" w:rsidP="00351087">
            <w:pPr>
              <w:numPr>
                <w:ilvl w:val="0"/>
                <w:numId w:val="35"/>
              </w:numPr>
              <w:spacing w:before="120" w:after="120" w:line="240" w:lineRule="auto"/>
              <w:ind w:left="377" w:hanging="283"/>
              <w:contextualSpacing/>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Social and health services: 18 (50%);</w:t>
            </w:r>
          </w:p>
          <w:p w14:paraId="0B2BCE6F" w14:textId="77777777" w:rsidR="0039681A" w:rsidRPr="00030506" w:rsidRDefault="0039681A" w:rsidP="00351087">
            <w:pPr>
              <w:numPr>
                <w:ilvl w:val="0"/>
                <w:numId w:val="35"/>
              </w:numPr>
              <w:spacing w:before="120" w:after="120" w:line="240" w:lineRule="auto"/>
              <w:ind w:left="377" w:hanging="283"/>
              <w:contextualSpacing/>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Prevention and safety work: 9 (80%);</w:t>
            </w:r>
          </w:p>
          <w:p w14:paraId="2A9B2608" w14:textId="77777777" w:rsidR="0039681A" w:rsidRPr="00030506" w:rsidRDefault="0039681A" w:rsidP="00351087">
            <w:pPr>
              <w:numPr>
                <w:ilvl w:val="0"/>
                <w:numId w:val="35"/>
              </w:numPr>
              <w:spacing w:before="120" w:after="120" w:line="240" w:lineRule="auto"/>
              <w:ind w:left="377" w:hanging="283"/>
              <w:contextualSpacing/>
              <w:rPr>
                <w:rFonts w:ascii="Arial Narrow" w:eastAsia="Aptos" w:hAnsi="Arial Narrow" w:cs="Times New Roman"/>
                <w:noProof/>
                <w:sz w:val="20"/>
                <w:szCs w:val="20"/>
              </w:rPr>
            </w:pPr>
            <w:r w:rsidRPr="00030506">
              <w:rPr>
                <w:rFonts w:ascii="Arial Narrow" w:eastAsia="Aptos" w:hAnsi="Arial Narrow" w:cs="Times New Roman"/>
                <w:noProof/>
                <w:color w:val="006100"/>
                <w:sz w:val="20"/>
              </w:rPr>
              <w:t>Certifications and verifications: 18 (80%).</w:t>
            </w:r>
          </w:p>
        </w:tc>
      </w:tr>
      <w:tr w:rsidR="0039681A" w:rsidRPr="0070054C" w14:paraId="6D473A59" w14:textId="77777777" w:rsidTr="00351087">
        <w:trPr>
          <w:trHeight w:val="309"/>
        </w:trPr>
        <w:tc>
          <w:tcPr>
            <w:tcW w:w="1087" w:type="dxa"/>
            <w:shd w:val="clear" w:color="auto" w:fill="C6EFCE"/>
            <w:noWrap/>
            <w:vAlign w:val="center"/>
          </w:tcPr>
          <w:p w14:paraId="5CC5704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M1C1-135</w:t>
            </w:r>
          </w:p>
        </w:tc>
        <w:tc>
          <w:tcPr>
            <w:tcW w:w="1943" w:type="dxa"/>
            <w:shd w:val="clear" w:color="auto" w:fill="C6EFCE"/>
            <w:noWrap/>
            <w:vAlign w:val="center"/>
          </w:tcPr>
          <w:p w14:paraId="1D701EFE"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Investment 1.6.4 - Digitization of the Ministry of Defence</w:t>
            </w:r>
          </w:p>
        </w:tc>
        <w:tc>
          <w:tcPr>
            <w:tcW w:w="992" w:type="dxa"/>
            <w:shd w:val="clear" w:color="auto" w:fill="C6EFCE"/>
            <w:noWrap/>
            <w:vAlign w:val="center"/>
          </w:tcPr>
          <w:p w14:paraId="7161C4A5"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4EC1EDFE"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Ministry of Defence - Digitalisation of procedures T1</w:t>
            </w:r>
          </w:p>
        </w:tc>
        <w:tc>
          <w:tcPr>
            <w:tcW w:w="1701" w:type="dxa"/>
            <w:shd w:val="clear" w:color="auto" w:fill="C6EFCE"/>
            <w:noWrap/>
            <w:vAlign w:val="center"/>
          </w:tcPr>
          <w:p w14:paraId="00D41373"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62FAE503"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4E3093CF"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4</w:t>
            </w:r>
          </w:p>
        </w:tc>
        <w:tc>
          <w:tcPr>
            <w:tcW w:w="1417" w:type="dxa"/>
            <w:shd w:val="clear" w:color="auto" w:fill="C6EFCE"/>
            <w:noWrap/>
            <w:vAlign w:val="center"/>
          </w:tcPr>
          <w:p w14:paraId="38A34AD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15</w:t>
            </w:r>
          </w:p>
        </w:tc>
        <w:tc>
          <w:tcPr>
            <w:tcW w:w="793" w:type="dxa"/>
            <w:shd w:val="clear" w:color="auto" w:fill="C6EFCE"/>
            <w:noWrap/>
            <w:vAlign w:val="center"/>
          </w:tcPr>
          <w:p w14:paraId="6B7AB70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5DCC65B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056776DA"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Digitization, revision, and automation of 15 procedures related to management of Defence’s personnel (such as recruiting, employment and retirement, employees' health) starting from a baseline of four already digitized procedures.</w:t>
            </w:r>
          </w:p>
        </w:tc>
      </w:tr>
      <w:tr w:rsidR="0039681A" w:rsidRPr="0070054C" w14:paraId="3784EA29" w14:textId="77777777" w:rsidTr="00351087">
        <w:trPr>
          <w:trHeight w:val="309"/>
        </w:trPr>
        <w:tc>
          <w:tcPr>
            <w:tcW w:w="1087" w:type="dxa"/>
            <w:shd w:val="clear" w:color="auto" w:fill="C6EFCE"/>
            <w:noWrap/>
            <w:vAlign w:val="center"/>
          </w:tcPr>
          <w:p w14:paraId="6096482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M1C1-136</w:t>
            </w:r>
          </w:p>
        </w:tc>
        <w:tc>
          <w:tcPr>
            <w:tcW w:w="1943" w:type="dxa"/>
            <w:shd w:val="clear" w:color="auto" w:fill="C6EFCE"/>
            <w:noWrap/>
            <w:vAlign w:val="center"/>
          </w:tcPr>
          <w:p w14:paraId="005B5964"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Investment 1.6.4 - Digitization of the Ministry of Defence</w:t>
            </w:r>
          </w:p>
        </w:tc>
        <w:tc>
          <w:tcPr>
            <w:tcW w:w="992" w:type="dxa"/>
            <w:shd w:val="clear" w:color="auto" w:fill="C6EFCE"/>
            <w:noWrap/>
            <w:vAlign w:val="center"/>
          </w:tcPr>
          <w:p w14:paraId="4B80F48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2D326093"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Ministry of Defence - Digitalisation of certificates T1</w:t>
            </w:r>
          </w:p>
        </w:tc>
        <w:tc>
          <w:tcPr>
            <w:tcW w:w="1701" w:type="dxa"/>
            <w:shd w:val="clear" w:color="auto" w:fill="C6EFCE"/>
            <w:noWrap/>
            <w:vAlign w:val="center"/>
          </w:tcPr>
          <w:p w14:paraId="00AFB4B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6FB52EC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 of digitized certificates</w:t>
            </w:r>
          </w:p>
        </w:tc>
        <w:tc>
          <w:tcPr>
            <w:tcW w:w="1276" w:type="dxa"/>
            <w:shd w:val="clear" w:color="auto" w:fill="C6EFCE"/>
            <w:noWrap/>
            <w:vAlign w:val="center"/>
          </w:tcPr>
          <w:p w14:paraId="14D0F8D1"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190 000</w:t>
            </w:r>
          </w:p>
        </w:tc>
        <w:tc>
          <w:tcPr>
            <w:tcW w:w="1417" w:type="dxa"/>
            <w:shd w:val="clear" w:color="auto" w:fill="C6EFCE"/>
            <w:noWrap/>
            <w:vAlign w:val="center"/>
          </w:tcPr>
          <w:p w14:paraId="2FE62B7D"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450 000</w:t>
            </w:r>
          </w:p>
        </w:tc>
        <w:tc>
          <w:tcPr>
            <w:tcW w:w="793" w:type="dxa"/>
            <w:shd w:val="clear" w:color="auto" w:fill="C6EFCE"/>
            <w:noWrap/>
            <w:vAlign w:val="center"/>
          </w:tcPr>
          <w:p w14:paraId="2C1F31C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43C57131"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08942CBC"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Number of digitized identity certificates (450 000) issued by the Ministry of Defence and running onto the infrastructure complemented by a disaster recovery site starting from a baseline of 190 000 already digitized certificates.</w:t>
            </w:r>
          </w:p>
        </w:tc>
      </w:tr>
      <w:tr w:rsidR="0039681A" w:rsidRPr="0070054C" w14:paraId="7DBC2FE4" w14:textId="77777777" w:rsidTr="00351087">
        <w:trPr>
          <w:trHeight w:val="309"/>
        </w:trPr>
        <w:tc>
          <w:tcPr>
            <w:tcW w:w="1087" w:type="dxa"/>
            <w:shd w:val="clear" w:color="auto" w:fill="C6EFCE"/>
            <w:noWrap/>
            <w:vAlign w:val="center"/>
          </w:tcPr>
          <w:p w14:paraId="0117F3C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M1C1-137</w:t>
            </w:r>
          </w:p>
        </w:tc>
        <w:tc>
          <w:tcPr>
            <w:tcW w:w="1943" w:type="dxa"/>
            <w:shd w:val="clear" w:color="auto" w:fill="C6EFCE"/>
            <w:noWrap/>
            <w:vAlign w:val="center"/>
          </w:tcPr>
          <w:p w14:paraId="0EEFB458"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Investment 1.6.4 - Digitization of the Ministry of Defence</w:t>
            </w:r>
          </w:p>
        </w:tc>
        <w:tc>
          <w:tcPr>
            <w:tcW w:w="992" w:type="dxa"/>
            <w:shd w:val="clear" w:color="auto" w:fill="C6EFCE"/>
            <w:noWrap/>
            <w:vAlign w:val="center"/>
          </w:tcPr>
          <w:p w14:paraId="1CE65D6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Milestone</w:t>
            </w:r>
          </w:p>
        </w:tc>
        <w:tc>
          <w:tcPr>
            <w:tcW w:w="2126" w:type="dxa"/>
            <w:shd w:val="clear" w:color="auto" w:fill="C6EFCE"/>
            <w:noWrap/>
            <w:vAlign w:val="center"/>
          </w:tcPr>
          <w:p w14:paraId="4C99F7B2"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Ministry of Defence - Commissioning of institutional web portals and intranet portals</w:t>
            </w:r>
          </w:p>
        </w:tc>
        <w:tc>
          <w:tcPr>
            <w:tcW w:w="1701" w:type="dxa"/>
            <w:shd w:val="clear" w:color="auto" w:fill="C6EFCE"/>
            <w:noWrap/>
            <w:vAlign w:val="center"/>
          </w:tcPr>
          <w:p w14:paraId="49C03D7F"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Institutional web portals and intranet web portals fully operational</w:t>
            </w:r>
          </w:p>
        </w:tc>
        <w:tc>
          <w:tcPr>
            <w:tcW w:w="1134" w:type="dxa"/>
            <w:shd w:val="clear" w:color="auto" w:fill="C6EFCE"/>
            <w:noWrap/>
            <w:vAlign w:val="center"/>
          </w:tcPr>
          <w:p w14:paraId="6F03FA6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276" w:type="dxa"/>
            <w:shd w:val="clear" w:color="auto" w:fill="C6EFCE"/>
            <w:noWrap/>
            <w:vAlign w:val="center"/>
          </w:tcPr>
          <w:p w14:paraId="06AAA71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417" w:type="dxa"/>
            <w:shd w:val="clear" w:color="auto" w:fill="C6EFCE"/>
            <w:noWrap/>
            <w:vAlign w:val="center"/>
          </w:tcPr>
          <w:p w14:paraId="5BD8536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793" w:type="dxa"/>
            <w:shd w:val="clear" w:color="auto" w:fill="C6EFCE"/>
            <w:noWrap/>
            <w:vAlign w:val="center"/>
          </w:tcPr>
          <w:p w14:paraId="1504658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64B8582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0F1A4455"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Development and implementation of (i) institutional web portals and (ii) intranet portals for specific needs of internal communication.</w:t>
            </w:r>
          </w:p>
        </w:tc>
      </w:tr>
      <w:tr w:rsidR="0039681A" w:rsidRPr="0070054C" w14:paraId="16C6BD69" w14:textId="77777777" w:rsidTr="00351087">
        <w:trPr>
          <w:trHeight w:val="309"/>
        </w:trPr>
        <w:tc>
          <w:tcPr>
            <w:tcW w:w="1087" w:type="dxa"/>
            <w:shd w:val="clear" w:color="auto" w:fill="C6EFCE"/>
            <w:noWrap/>
            <w:vAlign w:val="center"/>
          </w:tcPr>
          <w:p w14:paraId="378634D1"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M1C1-138</w:t>
            </w:r>
          </w:p>
        </w:tc>
        <w:tc>
          <w:tcPr>
            <w:tcW w:w="1943" w:type="dxa"/>
            <w:shd w:val="clear" w:color="auto" w:fill="C6EFCE"/>
            <w:noWrap/>
            <w:vAlign w:val="center"/>
          </w:tcPr>
          <w:p w14:paraId="32A4FA7C"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Investment 1.6.4 - Digitization of the Ministry of Defence</w:t>
            </w:r>
          </w:p>
        </w:tc>
        <w:tc>
          <w:tcPr>
            <w:tcW w:w="992" w:type="dxa"/>
            <w:shd w:val="clear" w:color="auto" w:fill="C6EFCE"/>
            <w:noWrap/>
            <w:vAlign w:val="center"/>
          </w:tcPr>
          <w:p w14:paraId="7E2A489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373028D1" w14:textId="77777777" w:rsidR="0039681A" w:rsidRPr="00030506" w:rsidRDefault="0039681A" w:rsidP="00351087">
            <w:pPr>
              <w:jc w:val="center"/>
              <w:rPr>
                <w:rFonts w:ascii="Arial Narrow" w:eastAsia="Aptos" w:hAnsi="Arial Narrow" w:cs="Times New Roman"/>
                <w:noProof/>
                <w:color w:val="006100"/>
                <w:sz w:val="20"/>
                <w:szCs w:val="20"/>
              </w:rPr>
            </w:pPr>
            <w:r w:rsidRPr="00077A1F">
              <w:rPr>
                <w:rFonts w:ascii="Arial Narrow" w:eastAsia="Aptos" w:hAnsi="Arial Narrow" w:cs="Times New Roman"/>
                <w:noProof/>
                <w:color w:val="006100"/>
                <w:sz w:val="20"/>
                <w:szCs w:val="20"/>
                <w:lang w:val="en-IE"/>
              </w:rPr>
              <w:t xml:space="preserve">Ministry of Defence - Migration of non-mission critical applications into Solution for Complete Information Protection by Infrastructure Openness (S.C.I.P.I.O.) </w:t>
            </w:r>
            <w:r w:rsidRPr="00030506">
              <w:rPr>
                <w:rFonts w:ascii="Arial Narrow" w:eastAsia="Aptos" w:hAnsi="Arial Narrow" w:cs="Times New Roman"/>
                <w:noProof/>
                <w:color w:val="006100"/>
                <w:sz w:val="20"/>
                <w:szCs w:val="20"/>
              </w:rPr>
              <w:t>T1</w:t>
            </w:r>
          </w:p>
        </w:tc>
        <w:tc>
          <w:tcPr>
            <w:tcW w:w="1701" w:type="dxa"/>
            <w:shd w:val="clear" w:color="auto" w:fill="C6EFCE"/>
            <w:noWrap/>
            <w:vAlign w:val="center"/>
          </w:tcPr>
          <w:p w14:paraId="4D9AB0E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4281FCC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0FCBADE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0</w:t>
            </w:r>
          </w:p>
        </w:tc>
        <w:tc>
          <w:tcPr>
            <w:tcW w:w="1417" w:type="dxa"/>
            <w:shd w:val="clear" w:color="auto" w:fill="C6EFCE"/>
            <w:noWrap/>
            <w:vAlign w:val="center"/>
          </w:tcPr>
          <w:p w14:paraId="13DBF6B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10</w:t>
            </w:r>
          </w:p>
        </w:tc>
        <w:tc>
          <w:tcPr>
            <w:tcW w:w="793" w:type="dxa"/>
            <w:shd w:val="clear" w:color="auto" w:fill="C6EFCE"/>
            <w:noWrap/>
            <w:vAlign w:val="center"/>
          </w:tcPr>
          <w:p w14:paraId="7894F5B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05A2630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2023</w:t>
            </w:r>
          </w:p>
        </w:tc>
        <w:tc>
          <w:tcPr>
            <w:tcW w:w="2584" w:type="dxa"/>
            <w:shd w:val="clear" w:color="auto" w:fill="C6EFCE"/>
            <w:noWrap/>
            <w:vAlign w:val="center"/>
          </w:tcPr>
          <w:p w14:paraId="41BD5084"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Initial migration and operational availability of non-mission critical applications to new open-source infrastructure. This encompasses hardware environment implementation, installation of middleware open-source components, and the re-engineering of applications.</w:t>
            </w:r>
          </w:p>
        </w:tc>
      </w:tr>
      <w:tr w:rsidR="0039681A" w:rsidRPr="0070054C" w14:paraId="46710F2F" w14:textId="77777777" w:rsidTr="00351087">
        <w:trPr>
          <w:trHeight w:val="309"/>
        </w:trPr>
        <w:tc>
          <w:tcPr>
            <w:tcW w:w="1087" w:type="dxa"/>
            <w:shd w:val="clear" w:color="auto" w:fill="C6EFCE"/>
            <w:noWrap/>
            <w:vAlign w:val="center"/>
          </w:tcPr>
          <w:p w14:paraId="615D165F"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M1C1-139</w:t>
            </w:r>
          </w:p>
        </w:tc>
        <w:tc>
          <w:tcPr>
            <w:tcW w:w="1943" w:type="dxa"/>
            <w:shd w:val="clear" w:color="auto" w:fill="C6EFCE"/>
            <w:noWrap/>
            <w:vAlign w:val="center"/>
          </w:tcPr>
          <w:p w14:paraId="4B302150"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1.2 - Cloud enablement for local PA</w:t>
            </w:r>
          </w:p>
        </w:tc>
        <w:tc>
          <w:tcPr>
            <w:tcW w:w="992" w:type="dxa"/>
            <w:shd w:val="clear" w:color="auto" w:fill="C6EFCE"/>
            <w:noWrap/>
            <w:vAlign w:val="center"/>
          </w:tcPr>
          <w:p w14:paraId="107ADBFF"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5456889F"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Cloud enablement for local Public Administration T1</w:t>
            </w:r>
          </w:p>
        </w:tc>
        <w:tc>
          <w:tcPr>
            <w:tcW w:w="1701" w:type="dxa"/>
            <w:shd w:val="clear" w:color="auto" w:fill="C6EFCE"/>
            <w:noWrap/>
            <w:vAlign w:val="center"/>
          </w:tcPr>
          <w:p w14:paraId="16C4247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7DB6AD02"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64181B23"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0</w:t>
            </w:r>
          </w:p>
        </w:tc>
        <w:tc>
          <w:tcPr>
            <w:tcW w:w="1417" w:type="dxa"/>
            <w:shd w:val="clear" w:color="auto" w:fill="C6EFCE"/>
            <w:noWrap/>
            <w:vAlign w:val="center"/>
          </w:tcPr>
          <w:p w14:paraId="0BD5FFD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4 083</w:t>
            </w:r>
          </w:p>
        </w:tc>
        <w:tc>
          <w:tcPr>
            <w:tcW w:w="793" w:type="dxa"/>
            <w:shd w:val="clear" w:color="auto" w:fill="C6EFCE"/>
            <w:noWrap/>
            <w:vAlign w:val="center"/>
          </w:tcPr>
          <w:p w14:paraId="2BC45A5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Q3</w:t>
            </w:r>
          </w:p>
        </w:tc>
        <w:tc>
          <w:tcPr>
            <w:tcW w:w="625" w:type="dxa"/>
            <w:shd w:val="clear" w:color="auto" w:fill="C6EFCE"/>
            <w:noWrap/>
            <w:vAlign w:val="center"/>
          </w:tcPr>
          <w:p w14:paraId="26CB35F1"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2024</w:t>
            </w:r>
          </w:p>
        </w:tc>
        <w:tc>
          <w:tcPr>
            <w:tcW w:w="2584" w:type="dxa"/>
            <w:shd w:val="clear" w:color="auto" w:fill="C6EFCE"/>
            <w:noWrap/>
            <w:vAlign w:val="center"/>
          </w:tcPr>
          <w:p w14:paraId="5CE13312" w14:textId="41B55D7C"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The migration of 4</w:t>
            </w:r>
            <w:r w:rsidR="00364450" w:rsidRPr="0039681A">
              <w:rPr>
                <w:rFonts w:ascii="Arial Narrow" w:eastAsia="Aptos" w:hAnsi="Arial Narrow" w:cs="Times New Roman"/>
                <w:noProof/>
                <w:color w:val="006100"/>
                <w:sz w:val="20"/>
                <w:lang w:val="en-IE"/>
              </w:rPr>
              <w:t> </w:t>
            </w:r>
            <w:r w:rsidRPr="00077A1F">
              <w:rPr>
                <w:rFonts w:ascii="Arial Narrow" w:eastAsia="Aptos" w:hAnsi="Arial Narrow" w:cs="Times New Roman"/>
                <w:noProof/>
                <w:color w:val="006100"/>
                <w:sz w:val="20"/>
                <w:lang w:val="en-IE"/>
              </w:rPr>
              <w:t>083 Local Public Administrations towards certified cloud environments shall be considered achieved when the testing of all the systems, datasets and applications’ migration included in each migration plan are successful.</w:t>
            </w:r>
          </w:p>
        </w:tc>
      </w:tr>
      <w:tr w:rsidR="0039681A" w:rsidRPr="0070054C" w14:paraId="7B3FD4CB" w14:textId="77777777" w:rsidTr="00351087">
        <w:trPr>
          <w:trHeight w:val="309"/>
        </w:trPr>
        <w:tc>
          <w:tcPr>
            <w:tcW w:w="1087" w:type="dxa"/>
            <w:shd w:val="clear" w:color="auto" w:fill="C6EFCE"/>
            <w:noWrap/>
            <w:vAlign w:val="center"/>
          </w:tcPr>
          <w:p w14:paraId="7A60492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M1C1-140</w:t>
            </w:r>
          </w:p>
        </w:tc>
        <w:tc>
          <w:tcPr>
            <w:tcW w:w="1943" w:type="dxa"/>
            <w:shd w:val="clear" w:color="auto" w:fill="C6EFCE"/>
            <w:noWrap/>
            <w:vAlign w:val="center"/>
          </w:tcPr>
          <w:p w14:paraId="5AE33728"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1.4.1 - Citizen experience - Improvement of the quality and the usability of digital public services</w:t>
            </w:r>
          </w:p>
        </w:tc>
        <w:tc>
          <w:tcPr>
            <w:tcW w:w="992" w:type="dxa"/>
            <w:shd w:val="clear" w:color="auto" w:fill="C6EFCE"/>
            <w:noWrap/>
            <w:vAlign w:val="center"/>
          </w:tcPr>
          <w:p w14:paraId="59C7D93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62E4EB18"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Improvement of the quality and the usability of digital public services T1</w:t>
            </w:r>
          </w:p>
        </w:tc>
        <w:tc>
          <w:tcPr>
            <w:tcW w:w="1701" w:type="dxa"/>
            <w:shd w:val="clear" w:color="auto" w:fill="C6EFCE"/>
            <w:noWrap/>
            <w:vAlign w:val="center"/>
          </w:tcPr>
          <w:p w14:paraId="031BE8F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60C40445"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Percentage</w:t>
            </w:r>
          </w:p>
        </w:tc>
        <w:tc>
          <w:tcPr>
            <w:tcW w:w="1276" w:type="dxa"/>
            <w:shd w:val="clear" w:color="auto" w:fill="C6EFCE"/>
            <w:noWrap/>
            <w:vAlign w:val="center"/>
          </w:tcPr>
          <w:p w14:paraId="5AE4B70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szCs w:val="20"/>
              </w:rPr>
              <w:t>0</w:t>
            </w:r>
          </w:p>
        </w:tc>
        <w:tc>
          <w:tcPr>
            <w:tcW w:w="1417" w:type="dxa"/>
            <w:shd w:val="clear" w:color="auto" w:fill="C6EFCE"/>
            <w:noWrap/>
            <w:vAlign w:val="center"/>
          </w:tcPr>
          <w:p w14:paraId="134EE1A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40</w:t>
            </w:r>
          </w:p>
        </w:tc>
        <w:tc>
          <w:tcPr>
            <w:tcW w:w="793" w:type="dxa"/>
            <w:shd w:val="clear" w:color="auto" w:fill="C6EFCE"/>
            <w:noWrap/>
            <w:vAlign w:val="center"/>
          </w:tcPr>
          <w:p w14:paraId="5433E0DE"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654681A2"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2024</w:t>
            </w:r>
          </w:p>
        </w:tc>
        <w:tc>
          <w:tcPr>
            <w:tcW w:w="2584" w:type="dxa"/>
            <w:shd w:val="clear" w:color="auto" w:fill="C6EFCE"/>
            <w:noWrap/>
            <w:vAlign w:val="center"/>
          </w:tcPr>
          <w:p w14:paraId="5CE80DA6"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xml:space="preserve">Administrations (municipalities, primary and secondary of 1st and 2nd grade educational institutions and specific piloted health care and cultural heritage entities) adhering to a common model and design system, simplifying user interaction and easing maintenance for the years to come. </w:t>
            </w:r>
          </w:p>
          <w:p w14:paraId="4D60856D"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 xml:space="preserve">Adherence to the common design/model of websites/services components shall consist of: </w:t>
            </w:r>
          </w:p>
          <w:p w14:paraId="0AEB8490"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(1) Evaluation of projects submitted;</w:t>
            </w:r>
          </w:p>
          <w:p w14:paraId="08493340"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(2) Assessment of project completion on key usability metrics (digital usability scores), through dedicated platform already available.</w:t>
            </w:r>
          </w:p>
        </w:tc>
      </w:tr>
      <w:tr w:rsidR="0039681A" w:rsidRPr="0070054C" w14:paraId="19429D75" w14:textId="77777777" w:rsidTr="00351087">
        <w:trPr>
          <w:trHeight w:val="309"/>
        </w:trPr>
        <w:tc>
          <w:tcPr>
            <w:tcW w:w="1087" w:type="dxa"/>
            <w:shd w:val="clear" w:color="auto" w:fill="C6EFCE"/>
            <w:noWrap/>
            <w:vAlign w:val="center"/>
          </w:tcPr>
          <w:p w14:paraId="5AD378F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M1C1-141</w:t>
            </w:r>
          </w:p>
        </w:tc>
        <w:tc>
          <w:tcPr>
            <w:tcW w:w="1943" w:type="dxa"/>
            <w:shd w:val="clear" w:color="auto" w:fill="C6EFCE"/>
            <w:noWrap/>
            <w:vAlign w:val="center"/>
          </w:tcPr>
          <w:p w14:paraId="7DD37F80"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Investment 1.6.4 - Digitization of the Ministry of Defence</w:t>
            </w:r>
          </w:p>
        </w:tc>
        <w:tc>
          <w:tcPr>
            <w:tcW w:w="992" w:type="dxa"/>
            <w:shd w:val="clear" w:color="auto" w:fill="C6EFCE"/>
            <w:noWrap/>
            <w:vAlign w:val="center"/>
          </w:tcPr>
          <w:p w14:paraId="35CF5C6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6F1945B7"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Digitalisation of procedures of the Ministry of Defence T2</w:t>
            </w:r>
          </w:p>
        </w:tc>
        <w:tc>
          <w:tcPr>
            <w:tcW w:w="1701" w:type="dxa"/>
            <w:shd w:val="clear" w:color="auto" w:fill="C6EFCE"/>
            <w:noWrap/>
            <w:vAlign w:val="center"/>
          </w:tcPr>
          <w:p w14:paraId="37947D4F"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5698150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236C1C91"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15</w:t>
            </w:r>
          </w:p>
        </w:tc>
        <w:tc>
          <w:tcPr>
            <w:tcW w:w="1417" w:type="dxa"/>
            <w:shd w:val="clear" w:color="auto" w:fill="C6EFCE"/>
            <w:noWrap/>
            <w:vAlign w:val="center"/>
          </w:tcPr>
          <w:p w14:paraId="0590AACA"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w:t>
            </w:r>
          </w:p>
        </w:tc>
        <w:tc>
          <w:tcPr>
            <w:tcW w:w="793" w:type="dxa"/>
            <w:shd w:val="clear" w:color="auto" w:fill="C6EFCE"/>
            <w:noWrap/>
            <w:vAlign w:val="center"/>
          </w:tcPr>
          <w:p w14:paraId="19F4BF22"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5D553438"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2024</w:t>
            </w:r>
          </w:p>
        </w:tc>
        <w:tc>
          <w:tcPr>
            <w:tcW w:w="2584" w:type="dxa"/>
            <w:shd w:val="clear" w:color="auto" w:fill="C6EFCE"/>
            <w:noWrap/>
            <w:vAlign w:val="center"/>
          </w:tcPr>
          <w:p w14:paraId="28C14361"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Digitization, revision, and automation of 20 procedures related to management of Defence’s personnel (such as recruiting, employment and retirement, employees' health), starting from a baseline of fifteen already digitized procedures with target 1.</w:t>
            </w:r>
          </w:p>
        </w:tc>
      </w:tr>
      <w:tr w:rsidR="0039681A" w:rsidRPr="0070054C" w14:paraId="01421AAC" w14:textId="77777777" w:rsidTr="00351087">
        <w:trPr>
          <w:trHeight w:val="309"/>
        </w:trPr>
        <w:tc>
          <w:tcPr>
            <w:tcW w:w="1087" w:type="dxa"/>
            <w:shd w:val="clear" w:color="auto" w:fill="C6EFCE"/>
            <w:noWrap/>
            <w:vAlign w:val="center"/>
          </w:tcPr>
          <w:p w14:paraId="2B9F545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M1C1-142</w:t>
            </w:r>
          </w:p>
        </w:tc>
        <w:tc>
          <w:tcPr>
            <w:tcW w:w="1943" w:type="dxa"/>
            <w:shd w:val="clear" w:color="auto" w:fill="C6EFCE"/>
            <w:noWrap/>
            <w:vAlign w:val="center"/>
          </w:tcPr>
          <w:p w14:paraId="1A736859"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Investment 1.6.4 - Digitization of the Ministry of Defence</w:t>
            </w:r>
          </w:p>
        </w:tc>
        <w:tc>
          <w:tcPr>
            <w:tcW w:w="992" w:type="dxa"/>
            <w:shd w:val="clear" w:color="auto" w:fill="C6EFCE"/>
            <w:noWrap/>
            <w:vAlign w:val="center"/>
          </w:tcPr>
          <w:p w14:paraId="5876D088"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612AE611"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Digitalisation of certificates of the Ministry of Defence T2</w:t>
            </w:r>
          </w:p>
        </w:tc>
        <w:tc>
          <w:tcPr>
            <w:tcW w:w="1701" w:type="dxa"/>
            <w:shd w:val="clear" w:color="auto" w:fill="C6EFCE"/>
            <w:noWrap/>
            <w:vAlign w:val="center"/>
          </w:tcPr>
          <w:p w14:paraId="45C91343"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4DF4B932"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 of digitized certificates</w:t>
            </w:r>
          </w:p>
        </w:tc>
        <w:tc>
          <w:tcPr>
            <w:tcW w:w="1276" w:type="dxa"/>
            <w:shd w:val="clear" w:color="auto" w:fill="C6EFCE"/>
            <w:noWrap/>
            <w:vAlign w:val="center"/>
          </w:tcPr>
          <w:p w14:paraId="4071946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450 000</w:t>
            </w:r>
          </w:p>
        </w:tc>
        <w:tc>
          <w:tcPr>
            <w:tcW w:w="1417" w:type="dxa"/>
            <w:shd w:val="clear" w:color="auto" w:fill="C6EFCE"/>
            <w:noWrap/>
            <w:vAlign w:val="center"/>
          </w:tcPr>
          <w:p w14:paraId="6057C43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750 000</w:t>
            </w:r>
          </w:p>
        </w:tc>
        <w:tc>
          <w:tcPr>
            <w:tcW w:w="793" w:type="dxa"/>
            <w:shd w:val="clear" w:color="auto" w:fill="C6EFCE"/>
            <w:noWrap/>
            <w:vAlign w:val="center"/>
          </w:tcPr>
          <w:p w14:paraId="220FF2D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58E3C8B1"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2024</w:t>
            </w:r>
          </w:p>
        </w:tc>
        <w:tc>
          <w:tcPr>
            <w:tcW w:w="2584" w:type="dxa"/>
            <w:shd w:val="clear" w:color="auto" w:fill="C6EFCE"/>
            <w:noWrap/>
            <w:vAlign w:val="center"/>
          </w:tcPr>
          <w:p w14:paraId="35971D0C" w14:textId="69C0EBEA"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Number of digitized identity certificates (750 000) issued by the Ministry of Defence and running onto the infrastructure complemented by a disaster recovery site, starting from a baseline of 450 000 already digitized certificates with target</w:t>
            </w:r>
            <w:r w:rsidR="00D65011">
              <w:rPr>
                <w:rFonts w:ascii="Arial Narrow" w:eastAsia="Aptos" w:hAnsi="Arial Narrow" w:cs="Times New Roman"/>
                <w:noProof/>
                <w:color w:val="006100"/>
                <w:sz w:val="20"/>
                <w:szCs w:val="20"/>
                <w:lang w:val="en-IE"/>
              </w:rPr>
              <w:t> </w:t>
            </w:r>
            <w:r w:rsidRPr="00077A1F">
              <w:rPr>
                <w:rFonts w:ascii="Arial Narrow" w:eastAsia="Aptos" w:hAnsi="Arial Narrow" w:cs="Times New Roman"/>
                <w:noProof/>
                <w:color w:val="006100"/>
                <w:sz w:val="20"/>
                <w:szCs w:val="20"/>
                <w:lang w:val="en-IE"/>
              </w:rPr>
              <w:t>1.</w:t>
            </w:r>
          </w:p>
        </w:tc>
      </w:tr>
      <w:tr w:rsidR="0039681A" w:rsidRPr="0070054C" w14:paraId="3461E0A7" w14:textId="77777777" w:rsidTr="00351087">
        <w:trPr>
          <w:trHeight w:val="309"/>
        </w:trPr>
        <w:tc>
          <w:tcPr>
            <w:tcW w:w="1087" w:type="dxa"/>
            <w:shd w:val="clear" w:color="auto" w:fill="C6EFCE"/>
            <w:noWrap/>
            <w:vAlign w:val="center"/>
          </w:tcPr>
          <w:p w14:paraId="6005ECA2"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M1C1-143</w:t>
            </w:r>
          </w:p>
        </w:tc>
        <w:tc>
          <w:tcPr>
            <w:tcW w:w="1943" w:type="dxa"/>
            <w:shd w:val="clear" w:color="auto" w:fill="C6EFCE"/>
            <w:noWrap/>
            <w:vAlign w:val="center"/>
          </w:tcPr>
          <w:p w14:paraId="5E53ECE0"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Investment 1.6.4 - Digitization of the Ministry of Defence</w:t>
            </w:r>
          </w:p>
        </w:tc>
        <w:tc>
          <w:tcPr>
            <w:tcW w:w="992" w:type="dxa"/>
            <w:shd w:val="clear" w:color="auto" w:fill="C6EFCE"/>
            <w:noWrap/>
            <w:vAlign w:val="center"/>
          </w:tcPr>
          <w:p w14:paraId="54B3338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79CBA571" w14:textId="77777777" w:rsidR="0039681A" w:rsidRPr="00030506" w:rsidRDefault="0039681A" w:rsidP="00351087">
            <w:pPr>
              <w:jc w:val="center"/>
              <w:rPr>
                <w:rFonts w:ascii="Arial Narrow" w:eastAsia="Aptos" w:hAnsi="Arial Narrow" w:cs="Times New Roman"/>
                <w:noProof/>
                <w:color w:val="006100"/>
                <w:sz w:val="20"/>
                <w:szCs w:val="20"/>
              </w:rPr>
            </w:pPr>
            <w:r w:rsidRPr="00077A1F">
              <w:rPr>
                <w:rFonts w:ascii="Arial Narrow" w:eastAsia="Aptos" w:hAnsi="Arial Narrow" w:cs="Times New Roman"/>
                <w:noProof/>
                <w:color w:val="006100"/>
                <w:sz w:val="20"/>
                <w:szCs w:val="20"/>
                <w:lang w:val="en-IE"/>
              </w:rPr>
              <w:t xml:space="preserve">Ministry of Defence - Migration of mission critical and non-mission critical applications into Solution for Complete Information Protection by Infrastructure Openness (S.C.I.P.I.O.) </w:t>
            </w:r>
            <w:r w:rsidRPr="00030506">
              <w:rPr>
                <w:rFonts w:ascii="Arial Narrow" w:eastAsia="Aptos" w:hAnsi="Arial Narrow" w:cs="Times New Roman"/>
                <w:noProof/>
                <w:color w:val="006100"/>
                <w:sz w:val="20"/>
                <w:szCs w:val="20"/>
              </w:rPr>
              <w:t>T2</w:t>
            </w:r>
          </w:p>
        </w:tc>
        <w:tc>
          <w:tcPr>
            <w:tcW w:w="1701" w:type="dxa"/>
            <w:shd w:val="clear" w:color="auto" w:fill="C6EFCE"/>
            <w:noWrap/>
            <w:vAlign w:val="center"/>
          </w:tcPr>
          <w:p w14:paraId="1496C821"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7788590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44CB4BFC"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10</w:t>
            </w:r>
          </w:p>
        </w:tc>
        <w:tc>
          <w:tcPr>
            <w:tcW w:w="1417" w:type="dxa"/>
            <w:shd w:val="clear" w:color="auto" w:fill="C6EFCE"/>
            <w:noWrap/>
            <w:vAlign w:val="center"/>
          </w:tcPr>
          <w:p w14:paraId="462EED78"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15</w:t>
            </w:r>
          </w:p>
        </w:tc>
        <w:tc>
          <w:tcPr>
            <w:tcW w:w="793" w:type="dxa"/>
            <w:shd w:val="clear" w:color="auto" w:fill="C6EFCE"/>
            <w:noWrap/>
            <w:vAlign w:val="center"/>
          </w:tcPr>
          <w:p w14:paraId="1158F62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1CE7FCAE"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2024</w:t>
            </w:r>
          </w:p>
        </w:tc>
        <w:tc>
          <w:tcPr>
            <w:tcW w:w="2584" w:type="dxa"/>
            <w:shd w:val="clear" w:color="auto" w:fill="C6EFCE"/>
            <w:noWrap/>
            <w:vAlign w:val="center"/>
          </w:tcPr>
          <w:p w14:paraId="0AD54FC5"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Final migration of four mission critical and eleven non-mission critical applications to new open-source infrastructure encompassing hardware environment implementation, installation of middleware open source components, re-engineering of applications, starting from a baseline of ten already migrated with target 1.</w:t>
            </w:r>
          </w:p>
        </w:tc>
      </w:tr>
      <w:tr w:rsidR="0039681A" w:rsidRPr="0070054C" w14:paraId="0059AD8B" w14:textId="77777777" w:rsidTr="00351087">
        <w:trPr>
          <w:trHeight w:val="309"/>
        </w:trPr>
        <w:tc>
          <w:tcPr>
            <w:tcW w:w="1087" w:type="dxa"/>
            <w:shd w:val="clear" w:color="auto" w:fill="C6EFCE"/>
            <w:noWrap/>
            <w:vAlign w:val="center"/>
          </w:tcPr>
          <w:p w14:paraId="29F4475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M1C1-145</w:t>
            </w:r>
          </w:p>
        </w:tc>
        <w:tc>
          <w:tcPr>
            <w:tcW w:w="1943" w:type="dxa"/>
            <w:shd w:val="clear" w:color="auto" w:fill="C6EFCE"/>
            <w:noWrap/>
            <w:vAlign w:val="center"/>
          </w:tcPr>
          <w:p w14:paraId="1B612122"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1.4.4 -Adoption scale up of the National Digital Identity platforms (SPID, CIE) and the national registry (ANPR)</w:t>
            </w:r>
          </w:p>
        </w:tc>
        <w:tc>
          <w:tcPr>
            <w:tcW w:w="992" w:type="dxa"/>
            <w:shd w:val="clear" w:color="auto" w:fill="C6EFCE"/>
            <w:noWrap/>
            <w:vAlign w:val="center"/>
          </w:tcPr>
          <w:p w14:paraId="7840D0FE"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699E9097"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National Digital Identity platform (CIE) and the national registry (ANPR)</w:t>
            </w:r>
          </w:p>
        </w:tc>
        <w:tc>
          <w:tcPr>
            <w:tcW w:w="1701" w:type="dxa"/>
            <w:shd w:val="clear" w:color="auto" w:fill="C6EFCE"/>
            <w:noWrap/>
            <w:vAlign w:val="center"/>
          </w:tcPr>
          <w:p w14:paraId="031DD57D"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2A93CDB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0347ACE5"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9 700 000</w:t>
            </w:r>
          </w:p>
        </w:tc>
        <w:tc>
          <w:tcPr>
            <w:tcW w:w="1417" w:type="dxa"/>
            <w:shd w:val="clear" w:color="auto" w:fill="C6EFCE"/>
            <w:noWrap/>
            <w:vAlign w:val="center"/>
          </w:tcPr>
          <w:p w14:paraId="6FC07547"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42 300 000</w:t>
            </w:r>
          </w:p>
        </w:tc>
        <w:tc>
          <w:tcPr>
            <w:tcW w:w="793" w:type="dxa"/>
            <w:shd w:val="clear" w:color="auto" w:fill="C6EFCE"/>
            <w:noWrap/>
            <w:vAlign w:val="center"/>
          </w:tcPr>
          <w:p w14:paraId="45600574"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Q4</w:t>
            </w:r>
          </w:p>
        </w:tc>
        <w:tc>
          <w:tcPr>
            <w:tcW w:w="625" w:type="dxa"/>
            <w:shd w:val="clear" w:color="auto" w:fill="C6EFCE"/>
            <w:noWrap/>
            <w:vAlign w:val="center"/>
          </w:tcPr>
          <w:p w14:paraId="0FBE09D6"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2025</w:t>
            </w:r>
          </w:p>
        </w:tc>
        <w:tc>
          <w:tcPr>
            <w:tcW w:w="2584" w:type="dxa"/>
            <w:shd w:val="clear" w:color="auto" w:fill="C6EFCE"/>
            <w:noWrap/>
            <w:vAlign w:val="center"/>
          </w:tcPr>
          <w:p w14:paraId="088C104A" w14:textId="77777777"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42 300 000 individuals with valid digital identities are registered on the national digital identity platform (CIE).</w:t>
            </w:r>
          </w:p>
        </w:tc>
      </w:tr>
      <w:tr w:rsidR="0039681A" w:rsidRPr="0070054C" w14:paraId="7120A480" w14:textId="77777777" w:rsidTr="00351087">
        <w:trPr>
          <w:trHeight w:val="309"/>
        </w:trPr>
        <w:tc>
          <w:tcPr>
            <w:tcW w:w="1087" w:type="dxa"/>
            <w:shd w:val="clear" w:color="auto" w:fill="C6EFCE"/>
            <w:noWrap/>
            <w:vAlign w:val="center"/>
          </w:tcPr>
          <w:p w14:paraId="0B636BFD"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M1C1-146</w:t>
            </w:r>
          </w:p>
        </w:tc>
        <w:tc>
          <w:tcPr>
            <w:tcW w:w="1943" w:type="dxa"/>
            <w:shd w:val="clear" w:color="auto" w:fill="C6EFCE"/>
            <w:noWrap/>
            <w:vAlign w:val="center"/>
          </w:tcPr>
          <w:p w14:paraId="00328F20"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Investment 1.4.4 - Adoption scale up of the National Digital Identity platforms (SPID, CIE) and the national registry (ANPR)</w:t>
            </w:r>
          </w:p>
        </w:tc>
        <w:tc>
          <w:tcPr>
            <w:tcW w:w="992" w:type="dxa"/>
            <w:shd w:val="clear" w:color="auto" w:fill="C6EFCE"/>
            <w:noWrap/>
            <w:vAlign w:val="center"/>
          </w:tcPr>
          <w:p w14:paraId="2EA961AF"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Target</w:t>
            </w:r>
          </w:p>
        </w:tc>
        <w:tc>
          <w:tcPr>
            <w:tcW w:w="2126" w:type="dxa"/>
            <w:shd w:val="clear" w:color="auto" w:fill="C6EFCE"/>
            <w:noWrap/>
            <w:vAlign w:val="center"/>
          </w:tcPr>
          <w:p w14:paraId="33154175"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lang w:val="en-IE"/>
              </w:rPr>
              <w:t xml:space="preserve">National Digital Identity platforms (SPID) </w:t>
            </w:r>
          </w:p>
        </w:tc>
        <w:tc>
          <w:tcPr>
            <w:tcW w:w="1701" w:type="dxa"/>
            <w:shd w:val="clear" w:color="auto" w:fill="C6EFCE"/>
            <w:noWrap/>
            <w:vAlign w:val="center"/>
          </w:tcPr>
          <w:p w14:paraId="517D005B"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N/A</w:t>
            </w:r>
          </w:p>
        </w:tc>
        <w:tc>
          <w:tcPr>
            <w:tcW w:w="1134" w:type="dxa"/>
            <w:shd w:val="clear" w:color="auto" w:fill="C6EFCE"/>
            <w:noWrap/>
            <w:vAlign w:val="center"/>
          </w:tcPr>
          <w:p w14:paraId="438372E5"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Number</w:t>
            </w:r>
          </w:p>
        </w:tc>
        <w:tc>
          <w:tcPr>
            <w:tcW w:w="1276" w:type="dxa"/>
            <w:shd w:val="clear" w:color="auto" w:fill="C6EFCE"/>
            <w:noWrap/>
            <w:vAlign w:val="center"/>
          </w:tcPr>
          <w:p w14:paraId="24DB9675"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0</w:t>
            </w:r>
          </w:p>
        </w:tc>
        <w:tc>
          <w:tcPr>
            <w:tcW w:w="1417" w:type="dxa"/>
            <w:shd w:val="clear" w:color="auto" w:fill="C6EFCE"/>
            <w:noWrap/>
            <w:vAlign w:val="center"/>
          </w:tcPr>
          <w:p w14:paraId="1727C320"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10</w:t>
            </w:r>
            <w:r w:rsidRPr="00030506">
              <w:rPr>
                <w:rFonts w:ascii="Aptos" w:eastAsia="Aptos" w:hAnsi="Aptos" w:cs="Times New Roman" w:hint="eastAsia"/>
                <w:noProof/>
                <w:color w:val="006100"/>
                <w:sz w:val="20"/>
              </w:rPr>
              <w:t> </w:t>
            </w:r>
            <w:r w:rsidRPr="00030506">
              <w:rPr>
                <w:rFonts w:ascii="Arial Narrow" w:eastAsia="Aptos" w:hAnsi="Arial Narrow" w:cs="Times New Roman"/>
                <w:noProof/>
                <w:color w:val="006100"/>
                <w:sz w:val="20"/>
              </w:rPr>
              <w:t>217</w:t>
            </w:r>
          </w:p>
        </w:tc>
        <w:tc>
          <w:tcPr>
            <w:tcW w:w="793" w:type="dxa"/>
            <w:shd w:val="clear" w:color="auto" w:fill="C6EFCE"/>
            <w:noWrap/>
            <w:vAlign w:val="center"/>
          </w:tcPr>
          <w:p w14:paraId="6B755413"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Q2</w:t>
            </w:r>
          </w:p>
        </w:tc>
        <w:tc>
          <w:tcPr>
            <w:tcW w:w="625" w:type="dxa"/>
            <w:shd w:val="clear" w:color="auto" w:fill="C6EFCE"/>
            <w:noWrap/>
            <w:vAlign w:val="center"/>
          </w:tcPr>
          <w:p w14:paraId="0F27589D" w14:textId="77777777" w:rsidR="0039681A" w:rsidRPr="00030506"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rPr>
              <w:t>2025</w:t>
            </w:r>
          </w:p>
        </w:tc>
        <w:tc>
          <w:tcPr>
            <w:tcW w:w="2584" w:type="dxa"/>
            <w:shd w:val="clear" w:color="auto" w:fill="C6EFCE"/>
            <w:noWrap/>
            <w:vAlign w:val="center"/>
          </w:tcPr>
          <w:p w14:paraId="737F2E50" w14:textId="67A70932" w:rsidR="0039681A" w:rsidRPr="00077A1F" w:rsidRDefault="0039681A" w:rsidP="00351087">
            <w:pPr>
              <w:spacing w:after="120"/>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10</w:t>
            </w:r>
            <w:r w:rsidR="00D65011">
              <w:rPr>
                <w:rFonts w:ascii="Arial Narrow" w:eastAsia="Aptos" w:hAnsi="Arial Narrow" w:cs="Times New Roman"/>
                <w:noProof/>
                <w:color w:val="006100"/>
                <w:sz w:val="20"/>
                <w:szCs w:val="20"/>
                <w:lang w:val="en-IE"/>
              </w:rPr>
              <w:t> </w:t>
            </w:r>
            <w:r w:rsidRPr="00077A1F">
              <w:rPr>
                <w:rFonts w:ascii="Arial Narrow" w:eastAsia="Aptos" w:hAnsi="Arial Narrow" w:cs="Times New Roman"/>
                <w:noProof/>
                <w:color w:val="006100"/>
                <w:sz w:val="20"/>
                <w:szCs w:val="20"/>
                <w:lang w:val="en-IE"/>
              </w:rPr>
              <w:t>217 entities adopted the electronic identification (eID) via the Public Digital Identity System (SPID) after 3 December 2021.</w:t>
            </w:r>
          </w:p>
        </w:tc>
      </w:tr>
      <w:tr w:rsidR="0039681A" w:rsidRPr="0070054C" w14:paraId="31D19B3E" w14:textId="77777777" w:rsidTr="00351087">
        <w:trPr>
          <w:trHeight w:val="309"/>
        </w:trPr>
        <w:tc>
          <w:tcPr>
            <w:tcW w:w="108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F3BB3" w14:textId="77777777" w:rsidR="0039681A" w:rsidRPr="00A04E63" w:rsidRDefault="0039681A" w:rsidP="00351087">
            <w:pPr>
              <w:jc w:val="center"/>
              <w:rPr>
                <w:rFonts w:ascii="Arial Narrow" w:eastAsia="Aptos" w:hAnsi="Arial Narrow" w:cs="Times New Roman"/>
                <w:noProof/>
                <w:color w:val="006100"/>
                <w:sz w:val="20"/>
                <w:szCs w:val="20"/>
              </w:rPr>
            </w:pPr>
            <w:r w:rsidRPr="00A04E63">
              <w:rPr>
                <w:rFonts w:ascii="Arial Narrow" w:eastAsia="Aptos" w:hAnsi="Arial Narrow" w:cs="Times New Roman"/>
                <w:noProof/>
                <w:color w:val="006100"/>
                <w:sz w:val="20"/>
                <w:szCs w:val="20"/>
              </w:rPr>
              <w:t>M1C1-26</w:t>
            </w:r>
          </w:p>
        </w:tc>
        <w:tc>
          <w:tcPr>
            <w:tcW w:w="19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323AE4" w14:textId="77777777" w:rsidR="0039681A" w:rsidRPr="00A04E63" w:rsidRDefault="0039681A" w:rsidP="00351087">
            <w:pPr>
              <w:jc w:val="center"/>
              <w:rPr>
                <w:rFonts w:ascii="Arial Narrow" w:eastAsia="Aptos" w:hAnsi="Arial Narrow" w:cs="Times New Roman"/>
                <w:noProof/>
                <w:color w:val="006100"/>
                <w:sz w:val="20"/>
                <w:szCs w:val="20"/>
              </w:rPr>
            </w:pPr>
            <w:r w:rsidRPr="00A04E63">
              <w:rPr>
                <w:rFonts w:ascii="Arial Narrow" w:eastAsia="Aptos" w:hAnsi="Arial Narrow" w:cs="Times New Roman"/>
                <w:noProof/>
                <w:color w:val="006100"/>
                <w:sz w:val="20"/>
                <w:szCs w:val="20"/>
              </w:rPr>
              <w:t>Investment 1.1: Digital infrastructure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9EFC8" w14:textId="77777777" w:rsidR="0039681A" w:rsidRPr="00A04E63" w:rsidRDefault="0039681A" w:rsidP="00351087">
            <w:pPr>
              <w:jc w:val="center"/>
              <w:rPr>
                <w:rFonts w:ascii="Arial Narrow" w:eastAsia="Aptos" w:hAnsi="Arial Narrow" w:cs="Times New Roman"/>
                <w:noProof/>
                <w:color w:val="006100"/>
                <w:sz w:val="20"/>
                <w:szCs w:val="20"/>
              </w:rPr>
            </w:pPr>
            <w:r w:rsidRPr="00A04E63">
              <w:rPr>
                <w:rFonts w:ascii="Arial Narrow" w:eastAsia="Aptos" w:hAnsi="Arial Narrow" w:cs="Times New Roman"/>
                <w:noProof/>
                <w:color w:val="006100"/>
                <w:sz w:val="20"/>
                <w:szCs w:val="20"/>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092EB" w14:textId="77777777" w:rsidR="0039681A" w:rsidRPr="00077A1F" w:rsidRDefault="0039681A" w:rsidP="00351087">
            <w:pPr>
              <w:jc w:val="cente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Migration to the Polo Strategico Nazionale or to a secure, certified public cloud environment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50EAE1" w14:textId="77777777" w:rsidR="0039681A" w:rsidRPr="00A04E63" w:rsidRDefault="0039681A" w:rsidP="00351087">
            <w:pPr>
              <w:jc w:val="center"/>
              <w:rPr>
                <w:rFonts w:ascii="Arial Narrow" w:eastAsia="Aptos" w:hAnsi="Arial Narrow" w:cs="Times New Roman"/>
                <w:noProof/>
                <w:color w:val="006100"/>
                <w:sz w:val="20"/>
                <w:szCs w:val="20"/>
              </w:rPr>
            </w:pPr>
            <w:r w:rsidRPr="00A04E63">
              <w:rPr>
                <w:rFonts w:ascii="Arial Narrow" w:eastAsia="Aptos" w:hAnsi="Arial Narrow" w:cs="Times New Roman"/>
                <w:noProof/>
                <w:color w:val="006100"/>
                <w:sz w:val="20"/>
                <w:szCs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4FABB5" w14:textId="77777777" w:rsidR="0039681A" w:rsidRPr="00A04E63" w:rsidRDefault="0039681A" w:rsidP="00351087">
            <w:pPr>
              <w:jc w:val="center"/>
              <w:rPr>
                <w:rFonts w:ascii="Arial Narrow" w:eastAsia="Aptos" w:hAnsi="Arial Narrow" w:cs="Times New Roman"/>
                <w:noProof/>
                <w:color w:val="006100"/>
                <w:sz w:val="20"/>
                <w:szCs w:val="20"/>
              </w:rPr>
            </w:pPr>
            <w:r w:rsidRPr="00A04E63">
              <w:rPr>
                <w:rFonts w:ascii="Arial Narrow" w:eastAsia="Aptos" w:hAnsi="Arial Narrow" w:cs="Times New Roman"/>
                <w:noProof/>
                <w:color w:val="006100"/>
                <w:sz w:val="20"/>
                <w:szCs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7AFCCB" w14:textId="77777777" w:rsidR="0039681A" w:rsidRPr="00A04E63" w:rsidRDefault="0039681A" w:rsidP="00351087">
            <w:pPr>
              <w:jc w:val="center"/>
              <w:rPr>
                <w:rFonts w:ascii="Arial Narrow" w:eastAsia="Aptos" w:hAnsi="Arial Narrow" w:cs="Times New Roman"/>
                <w:noProof/>
                <w:color w:val="006100"/>
                <w:sz w:val="20"/>
                <w:szCs w:val="20"/>
              </w:rPr>
            </w:pPr>
            <w:r w:rsidRPr="00A04E63">
              <w:rPr>
                <w:rFonts w:ascii="Arial Narrow" w:eastAsia="Aptos" w:hAnsi="Arial Narrow" w:cs="Times New Roman"/>
                <w:noProof/>
                <w:color w:val="0061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40E0DE" w14:textId="77777777" w:rsidR="0039681A" w:rsidRPr="00A04E63" w:rsidRDefault="0039681A" w:rsidP="00351087">
            <w:pPr>
              <w:jc w:val="center"/>
              <w:rPr>
                <w:rFonts w:ascii="Arial Narrow" w:eastAsia="Aptos" w:hAnsi="Arial Narrow" w:cs="Times New Roman"/>
                <w:noProof/>
                <w:color w:val="006100"/>
                <w:sz w:val="20"/>
                <w:szCs w:val="20"/>
              </w:rPr>
            </w:pPr>
            <w:r w:rsidRPr="00A04E63">
              <w:rPr>
                <w:rFonts w:ascii="Arial Narrow" w:eastAsia="Aptos" w:hAnsi="Arial Narrow" w:cs="Times New Roman"/>
                <w:noProof/>
                <w:color w:val="006100"/>
                <w:sz w:val="20"/>
                <w:szCs w:val="20"/>
              </w:rPr>
              <w:t>280</w:t>
            </w:r>
          </w:p>
        </w:tc>
        <w:tc>
          <w:tcPr>
            <w:tcW w:w="7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FF9EC8" w14:textId="77777777" w:rsidR="0039681A" w:rsidRPr="00A04E63"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szCs w:val="20"/>
              </w:rPr>
              <w:t>Q2</w:t>
            </w:r>
          </w:p>
        </w:tc>
        <w:tc>
          <w:tcPr>
            <w:tcW w:w="6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7B3B7D" w14:textId="77777777" w:rsidR="0039681A" w:rsidRPr="00A04E63" w:rsidRDefault="0039681A" w:rsidP="00351087">
            <w:pPr>
              <w:jc w:val="center"/>
              <w:rPr>
                <w:rFonts w:ascii="Arial Narrow" w:eastAsia="Aptos" w:hAnsi="Arial Narrow" w:cs="Times New Roman"/>
                <w:noProof/>
                <w:color w:val="006100"/>
                <w:sz w:val="20"/>
                <w:szCs w:val="20"/>
              </w:rPr>
            </w:pPr>
            <w:r w:rsidRPr="00030506">
              <w:rPr>
                <w:rFonts w:ascii="Arial Narrow" w:eastAsia="Aptos" w:hAnsi="Arial Narrow" w:cs="Times New Roman"/>
                <w:noProof/>
                <w:color w:val="006100"/>
                <w:sz w:val="20"/>
                <w:szCs w:val="20"/>
              </w:rPr>
              <w:t>2026</w:t>
            </w:r>
          </w:p>
        </w:tc>
        <w:tc>
          <w:tcPr>
            <w:tcW w:w="258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A62CA3" w14:textId="77777777" w:rsidR="0039681A" w:rsidRPr="00077A1F" w:rsidRDefault="0039681A" w:rsidP="00AF5341">
            <w:pP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 xml:space="preserve">At least 280 Central Public Administrations and Local Healthcare Authorities (Aziende Sanitarie Locali/Aziende Ospedaliere) migrated to “Polo Strategico Nazionale” (PSN) or to a secure, certified public cloud environment according to the migration plan as approved by the Department for Digital Transformation. </w:t>
            </w:r>
          </w:p>
          <w:p w14:paraId="210B375E" w14:textId="77777777" w:rsidR="0039681A" w:rsidRPr="00077A1F" w:rsidRDefault="0039681A" w:rsidP="00AF5341">
            <w:pP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The migration can be executed in different ways according to the state of art of on-premises software’s IT architecture owned by each migrating public administration.</w:t>
            </w:r>
          </w:p>
          <w:p w14:paraId="4657D5EF" w14:textId="77777777" w:rsidR="0039681A" w:rsidRPr="00077A1F" w:rsidRDefault="0039681A" w:rsidP="00AF5341">
            <w:pP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These strategies can vary from pure hosting and lift-and-shift migrations for not-cloud-ready software to a migration to Infrastructure-as-a-Service (IaaS), Platform-as-a-Service (PaaS) or Software-as-a-Service (SaaS) for cloud-ready software.</w:t>
            </w:r>
          </w:p>
          <w:p w14:paraId="32B701EC" w14:textId="77777777" w:rsidR="0039681A" w:rsidRPr="00077A1F" w:rsidRDefault="0039681A" w:rsidP="00AF5341">
            <w:pPr>
              <w:rPr>
                <w:rFonts w:ascii="Arial Narrow" w:eastAsia="Aptos" w:hAnsi="Arial Narrow" w:cs="Times New Roman"/>
                <w:noProof/>
                <w:color w:val="006100"/>
                <w:sz w:val="20"/>
                <w:szCs w:val="20"/>
                <w:lang w:val="en-IE"/>
              </w:rPr>
            </w:pPr>
            <w:r w:rsidRPr="00077A1F">
              <w:rPr>
                <w:rFonts w:ascii="Arial Narrow" w:eastAsia="Aptos" w:hAnsi="Arial Narrow" w:cs="Times New Roman"/>
                <w:noProof/>
                <w:color w:val="006100"/>
                <w:sz w:val="20"/>
                <w:szCs w:val="20"/>
                <w:lang w:val="en-IE"/>
              </w:rPr>
              <w:t>At least 40% of the migrated services shall be implemented through either IaaS, PaaS or SaaS solutions.</w:t>
            </w:r>
          </w:p>
        </w:tc>
      </w:tr>
    </w:tbl>
    <w:p w14:paraId="1A252A66" w14:textId="77777777" w:rsidR="00D65011" w:rsidRDefault="00D65011">
      <w:pPr>
        <w:rPr>
          <w:noProof/>
          <w:lang w:val="en-IE"/>
        </w:rPr>
        <w:sectPr w:rsidR="00D65011" w:rsidSect="00D65011">
          <w:headerReference w:type="even" r:id="rId31"/>
          <w:headerReference w:type="default" r:id="rId32"/>
          <w:footerReference w:type="default" r:id="rId33"/>
          <w:headerReference w:type="first" r:id="rId34"/>
          <w:pgSz w:w="16838" w:h="11906" w:orient="landscape"/>
          <w:pgMar w:top="1440" w:right="1440" w:bottom="1440" w:left="1440" w:header="708" w:footer="708" w:gutter="0"/>
          <w:cols w:space="708"/>
          <w:docGrid w:linePitch="360"/>
        </w:sectPr>
      </w:pPr>
    </w:p>
    <w:p w14:paraId="201078A0" w14:textId="77777777" w:rsidR="0039681A" w:rsidRPr="00647572" w:rsidRDefault="0039681A" w:rsidP="0039681A">
      <w:pPr>
        <w:pStyle w:val="Heading2"/>
        <w:numPr>
          <w:ilvl w:val="0"/>
          <w:numId w:val="22"/>
        </w:numPr>
        <w:spacing w:line="279" w:lineRule="auto"/>
        <w:rPr>
          <w:rFonts w:ascii="Times New Roman" w:eastAsia="Times New Roman" w:hAnsi="Times New Roman" w:cs="Times New Roman"/>
          <w:b/>
          <w:bCs/>
          <w:noProof/>
          <w:color w:val="auto"/>
          <w:sz w:val="24"/>
          <w:szCs w:val="24"/>
        </w:rPr>
      </w:pPr>
      <w:r w:rsidRPr="00647572">
        <w:rPr>
          <w:rFonts w:ascii="Times New Roman" w:eastAsia="Times New Roman" w:hAnsi="Times New Roman" w:cs="Times New Roman"/>
          <w:b/>
          <w:bCs/>
          <w:noProof/>
          <w:color w:val="auto"/>
          <w:sz w:val="24"/>
          <w:szCs w:val="24"/>
        </w:rPr>
        <w:t>MISSION 1 COMPONENT 2:</w:t>
      </w:r>
    </w:p>
    <w:p w14:paraId="32F062E6" w14:textId="77777777" w:rsidR="0039681A" w:rsidRPr="00A36E36" w:rsidRDefault="0039681A" w:rsidP="00351087">
      <w:pPr>
        <w:spacing w:before="120" w:after="120"/>
        <w:jc w:val="both"/>
        <w:rPr>
          <w:rFonts w:ascii="Times New Roman" w:hAnsi="Times New Roman" w:cs="Times New Roman"/>
          <w:b/>
          <w:bCs/>
          <w:noProof/>
          <w:u w:val="single"/>
          <w:lang w:val="en-IE"/>
        </w:rPr>
      </w:pPr>
      <w:r w:rsidRPr="00A36E36">
        <w:rPr>
          <w:rFonts w:ascii="Times New Roman" w:hAnsi="Times New Roman" w:cs="Times New Roman"/>
          <w:b/>
          <w:noProof/>
          <w:u w:val="single"/>
          <w:lang w:val="en-IE"/>
        </w:rPr>
        <w:t>Axis 1 - Digitalization, Innovation and Competitiveness of the Production System</w:t>
      </w:r>
    </w:p>
    <w:p w14:paraId="4B0EF270"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Axis 1 of Mission 1 Component 2 of the Italian recovery and resilience plan concerns investments and reforms mainly aimed at (i) supporting the digital transition and the innovation of the production system through incentives to investments in technologies, research, development and innovation; (ii) deploying ultra-fast broadband and 5G networks to reduce the digital divide as well as satellite constellations and services; (iii) promoting the development of strategic value chains and supporting the competitiveness of companies, with a focus on SMEs.</w:t>
      </w:r>
    </w:p>
    <w:p w14:paraId="17778736"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Measures under this component aim to address gaps emerging from the Digital Economy and Society Index (DESI) 2020 as regards the digital transformation of businesses and the shortcomings in connectivity, with a view to strengthen the social and economic resilience of the country.</w:t>
      </w:r>
    </w:p>
    <w:p w14:paraId="5F8AD1E5"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investments and reforms under this component shall contribute to addressing the Country-Specific Recommendations addressed to Italy in 2020 and 2019 on the need to “strengthen distance learning and skills, including digital ones” (Country-Specific Recommendation 2, 2020), to “promote private investment to foster the economic recovery” (Country-Specific Recommendation 3, 2020), to “focus investment on the green and digital transition, in particular on […] reinforced digital infrastructure to ensure the provision of essential services” (Country-Specific Recommendation 3, 2020), to “foster upskilling, including by strengthening digital skills (Country-Specific Recommendation 2, 2019), to “focus investment-related economic policy on research and innovation, and the quality of infrastructure, considering also regional disparities” (Country-Specific Recommendation 3, 2019) and, to some extent, to “support non-bank access to finance for innovative and smaller firms” (Country-Specific Recommendation 5, 2019). </w:t>
      </w:r>
    </w:p>
    <w:p w14:paraId="6BA32FA1"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6E6733D7" w14:textId="77777777" w:rsidR="0039681A" w:rsidRPr="00A36E36" w:rsidRDefault="0039681A" w:rsidP="00351087">
      <w:pPr>
        <w:spacing w:before="120" w:after="120"/>
        <w:jc w:val="both"/>
        <w:rPr>
          <w:rFonts w:ascii="Times New Roman" w:hAnsi="Times New Roman" w:cs="Times New Roman"/>
          <w:b/>
          <w:bCs/>
          <w:noProof/>
          <w:u w:val="single"/>
          <w:lang w:val="en-IE"/>
        </w:rPr>
      </w:pPr>
      <w:r w:rsidRPr="00A36E36">
        <w:rPr>
          <w:rFonts w:ascii="Times New Roman" w:hAnsi="Times New Roman" w:cs="Times New Roman"/>
          <w:b/>
          <w:noProof/>
          <w:u w:val="single"/>
          <w:lang w:val="en-IE"/>
        </w:rPr>
        <w:t>Axis 2 – Improving business environment and competition</w:t>
      </w:r>
    </w:p>
    <w:p w14:paraId="083C9ECB"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main objective of the axis 2 of Mission 1 Component 2 is to improve the business environment to facilitate entrepreneurship, and the framework conditions for competition to favour a more efficient allocation of resources and productivity gains. The main tool to reach these goals is the Annual Competition Law, to be adopted each year. </w:t>
      </w:r>
    </w:p>
    <w:p w14:paraId="18A48393"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investments and reforms under this component shall contribute to addressing the Country-Specific Recommendations addressed to Italy in 2019 on the need to “address restrictions to competition […], also through a new annual competition law” (Country-Specific Recommendation 3, 2019).</w:t>
      </w:r>
    </w:p>
    <w:p w14:paraId="7A587039" w14:textId="77777777" w:rsidR="0039681A" w:rsidRPr="00A36E36" w:rsidRDefault="0039681A" w:rsidP="00351087">
      <w:pPr>
        <w:pStyle w:val="Heading3"/>
        <w:numPr>
          <w:ilvl w:val="2"/>
          <w:numId w:val="0"/>
        </w:numPr>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B.1.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2DD62209" w14:textId="77777777" w:rsidR="0039681A" w:rsidRPr="00A36E36" w:rsidRDefault="0039681A" w:rsidP="00351087">
      <w:pPr>
        <w:spacing w:before="120" w:after="120"/>
        <w:jc w:val="both"/>
        <w:rPr>
          <w:rFonts w:ascii="Times New Roman" w:hAnsi="Times New Roman" w:cs="Times New Roman"/>
          <w:i/>
          <w:iCs/>
          <w:noProof/>
          <w:color w:val="156082" w:themeColor="accent1"/>
          <w:lang w:val="en-IE"/>
        </w:rPr>
      </w:pPr>
      <w:r w:rsidRPr="00A36E36">
        <w:rPr>
          <w:rFonts w:ascii="Times New Roman" w:hAnsi="Times New Roman" w:cs="Times New Roman"/>
          <w:i/>
          <w:noProof/>
          <w:lang w:val="en-IE"/>
        </w:rPr>
        <w:t xml:space="preserve">Axis 1 - </w:t>
      </w:r>
      <w:r w:rsidRPr="00A36E36">
        <w:rPr>
          <w:rFonts w:ascii="Times New Roman" w:hAnsi="Times New Roman" w:cs="Times New Roman"/>
          <w:i/>
          <w:noProof/>
          <w:u w:val="single"/>
          <w:lang w:val="en-IE"/>
        </w:rPr>
        <w:t>Digitalization, Innovation and Competitiveness of the Production System</w:t>
      </w:r>
    </w:p>
    <w:p w14:paraId="0AE47955" w14:textId="77777777" w:rsidR="0039681A" w:rsidRPr="00A36E36" w:rsidRDefault="0039681A" w:rsidP="00351087">
      <w:pPr>
        <w:spacing w:before="120" w:after="120"/>
        <w:jc w:val="both"/>
        <w:rPr>
          <w:rFonts w:ascii="Times New Roman" w:hAnsi="Times New Roman" w:cs="Times New Roman"/>
          <w:b/>
          <w:bCs/>
          <w:i/>
          <w:iCs/>
          <w:noProof/>
          <w:lang w:val="en-IE"/>
        </w:rPr>
      </w:pPr>
      <w:r w:rsidRPr="00A36E36">
        <w:rPr>
          <w:rFonts w:ascii="Times New Roman" w:hAnsi="Times New Roman" w:cs="Times New Roman"/>
          <w:b/>
          <w:noProof/>
          <w:lang w:val="en-IE"/>
        </w:rPr>
        <w:t>Investment 1: Transition 4.0</w:t>
      </w:r>
    </w:p>
    <w:p w14:paraId="7A0F5EFC" w14:textId="77777777" w:rsidR="0039681A" w:rsidRPr="00A36E36" w:rsidRDefault="0039681A" w:rsidP="00351087">
      <w:pPr>
        <w:jc w:val="both"/>
        <w:rPr>
          <w:rFonts w:ascii="Times New Roman" w:hAnsi="Times New Roman" w:cs="Times New Roman"/>
          <w:b/>
          <w:noProof/>
          <w:lang w:val="en-IE"/>
        </w:rPr>
      </w:pPr>
      <w:r w:rsidRPr="00A36E36">
        <w:rPr>
          <w:rFonts w:ascii="Times New Roman" w:hAnsi="Times New Roman" w:cs="Times New Roman"/>
          <w:noProof/>
          <w:lang w:val="en-IE"/>
        </w:rPr>
        <w:t xml:space="preserve">The objective of the measure is to support the digital transformation of businesses by incentivising private investment in assets and activities supporting digitalisation. The measure consists of a tax credit scheme. </w:t>
      </w:r>
    </w:p>
    <w:p w14:paraId="3ABBD0B9"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 xml:space="preserve">Reform 1: Reform of the Industrial Property System </w:t>
      </w:r>
    </w:p>
    <w:p w14:paraId="524327B1"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color w:val="000000" w:themeColor="text1"/>
          <w:lang w:val="en-IE"/>
        </w:rPr>
        <w:t>The main objective of the reform is to adapt the industrial property system to modern challenges and ensure that the innovation potential contributes to the country’s recovery and resilience. Specifically, it aims to pursue the following objectives: enhancing the industrial property protection system; encouraging industrial property use and dissemination, especially by SMEs; facilitating access to and sharing of intangible assets, while ensuring a fair return on investments; guaranteeing a more rigorous respect for industrial property; and strengthening Italy's role in European and international fora on industrial property.</w:t>
      </w:r>
    </w:p>
    <w:p w14:paraId="75568D03" w14:textId="77777777" w:rsidR="0039681A" w:rsidRPr="00A36E36" w:rsidRDefault="0039681A" w:rsidP="00351087">
      <w:pPr>
        <w:spacing w:before="120" w:after="120"/>
        <w:jc w:val="both"/>
        <w:rPr>
          <w:rFonts w:ascii="Times New Roman" w:hAnsi="Times New Roman" w:cs="Times New Roman"/>
          <w:noProof/>
          <w:color w:val="000000" w:themeColor="text1"/>
          <w:lang w:val="en-IE"/>
        </w:rPr>
      </w:pPr>
      <w:r w:rsidRPr="00A36E36">
        <w:rPr>
          <w:rFonts w:ascii="Times New Roman" w:hAnsi="Times New Roman" w:cs="Times New Roman"/>
          <w:noProof/>
          <w:color w:val="000000" w:themeColor="text1"/>
          <w:lang w:val="en-IE"/>
        </w:rPr>
        <w:t xml:space="preserve">The measure concerns the reform of the Italian industrial property code, covering at least the following areas: (i) review the regulatory framework to strengthen the protection of industrial property rights and simplify procedures, (ii) strengthen the support to companies and research institutions, (iii) enhance skills and competences development, (iv) facilitate knowledge transfer, and (v) strengthen innovative services promotion. </w:t>
      </w:r>
    </w:p>
    <w:p w14:paraId="146C9285"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6: Investment in the Industrial Property System</w:t>
      </w:r>
    </w:p>
    <w:p w14:paraId="243DB77C"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color w:val="000000" w:themeColor="text1"/>
          <w:lang w:val="en-IE"/>
        </w:rPr>
        <w:t xml:space="preserve">The objective of the investment is to support the industrial property system and accompany its reform, as envisaged under Reform 1 of this component. The measure includes financial support for industrial property-related projects of companies and research bodies, for the following: patent-related measures (Brevetti+), Proof of Concept (POC) programs and the strengthening of technology transfer offices (TTOs). </w:t>
      </w:r>
    </w:p>
    <w:p w14:paraId="6EB4C83E" w14:textId="77777777" w:rsidR="0039681A" w:rsidRPr="00A36E36" w:rsidRDefault="0039681A" w:rsidP="00351087">
      <w:pPr>
        <w:spacing w:before="120" w:after="120"/>
        <w:jc w:val="both"/>
        <w:rPr>
          <w:rFonts w:ascii="Times New Roman" w:hAnsi="Times New Roman" w:cs="Times New Roman"/>
          <w:i/>
          <w:iCs/>
          <w:noProof/>
          <w:u w:val="single"/>
          <w:lang w:val="en-IE"/>
        </w:rPr>
      </w:pPr>
      <w:r w:rsidRPr="00A36E36">
        <w:rPr>
          <w:rFonts w:ascii="Times New Roman" w:hAnsi="Times New Roman" w:cs="Times New Roman"/>
          <w:i/>
          <w:noProof/>
          <w:u w:val="single"/>
          <w:lang w:val="en-IE"/>
        </w:rPr>
        <w:t>Axis 2 – Improving business environment and competition</w:t>
      </w:r>
    </w:p>
    <w:p w14:paraId="2872D535" w14:textId="77777777" w:rsidR="0039681A" w:rsidRPr="00A36E36" w:rsidRDefault="0039681A" w:rsidP="00351087">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Reform 2: Annual Competition Laws for 2022, 2023, 2024 and 2025</w:t>
      </w:r>
    </w:p>
    <w:p w14:paraId="586A0E45"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Competition Law shall be adopted each year, increasing competitive procedures to award public service contracts for local public services (including water, waste and local public transport), avoiding the unjustified prolongation of concessions to incumbent operators in many sectors, including ports, highways, hydropower and regional transport, providing for the proper regulation of public services contracts revising the rules on aggregation and applying the general principle of proportionality in the length and proper compensation of public service contracts. The Competition Laws shall support competition and the improvement of the efficiency of the management and of quality of services in regional transport, as well as increase incentives for Regions to tender their public services contracts for regional rail services. </w:t>
      </w:r>
    </w:p>
    <w:p w14:paraId="77B259DC"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annual Competition Laws shall include pro-competitive sector-specific measures in several areas including energy (electricity, gas and water), waste management, transport (ports, rail and highways) and health, which shall complement the investments and reforms under Missions 2, 3 and 6. Flanking measures to ensure the uptake of competition in electricity retail markets shall enter into force at the latest on 31</w:t>
      </w:r>
      <w:r w:rsidRPr="00A36E36">
        <w:rPr>
          <w:rFonts w:ascii="Times New Roman" w:hAnsi="Times New Roman" w:cs="Times New Roman"/>
          <w:noProof/>
          <w:vertAlign w:val="superscript"/>
          <w:lang w:val="en-IE"/>
        </w:rPr>
        <w:t>st</w:t>
      </w:r>
      <w:r w:rsidRPr="00A36E36">
        <w:rPr>
          <w:rFonts w:ascii="Times New Roman" w:hAnsi="Times New Roman" w:cs="Times New Roman"/>
          <w:noProof/>
          <w:lang w:val="en-IE"/>
        </w:rPr>
        <w:t xml:space="preserve"> December 2022. The </w:t>
      </w:r>
      <w:r w:rsidRPr="00BF1F74">
        <w:rPr>
          <w:rFonts w:ascii="Times New Roman" w:hAnsi="Times New Roman" w:cs="Times New Roman"/>
          <w:noProof/>
          <w:lang w:val="en-IE"/>
        </w:rPr>
        <w:t>Annual Competition Law 2022 shall notably adopt the Electricity Network Development Plan and promote the installation of 2</w:t>
      </w:r>
      <w:r w:rsidRPr="00BF1F74">
        <w:rPr>
          <w:rFonts w:ascii="Times New Roman" w:hAnsi="Times New Roman" w:cs="Times New Roman"/>
          <w:noProof/>
          <w:vertAlign w:val="superscript"/>
          <w:lang w:val="en-IE"/>
        </w:rPr>
        <w:t>nd</w:t>
      </w:r>
      <w:r w:rsidRPr="00BF1F74">
        <w:rPr>
          <w:rFonts w:ascii="Times New Roman" w:hAnsi="Times New Roman" w:cs="Times New Roman"/>
          <w:noProof/>
          <w:lang w:val="en-IE"/>
        </w:rPr>
        <w:t xml:space="preserve"> generation smart electricity meters, which shall increase by at least 17 million units throughout Italy by 31</w:t>
      </w:r>
      <w:r w:rsidRPr="00BF1F74">
        <w:rPr>
          <w:rFonts w:ascii="Times New Roman" w:hAnsi="Times New Roman" w:cs="Times New Roman"/>
          <w:noProof/>
          <w:vertAlign w:val="superscript"/>
          <w:lang w:val="en-IE"/>
        </w:rPr>
        <w:t>st</w:t>
      </w:r>
      <w:r w:rsidRPr="00BF1F74">
        <w:rPr>
          <w:rFonts w:ascii="Times New Roman" w:hAnsi="Times New Roman" w:cs="Times New Roman"/>
          <w:noProof/>
          <w:lang w:val="en-IE"/>
        </w:rPr>
        <w:t xml:space="preserve"> December 2025. Pro-competitive measures shall also be introduced for electric charging stations.</w:t>
      </w:r>
    </w:p>
    <w:p w14:paraId="102E433D" w14:textId="77777777" w:rsidR="0039681A" w:rsidRPr="00A36E36" w:rsidRDefault="0039681A" w:rsidP="00351087">
      <w:pPr>
        <w:jc w:val="both"/>
        <w:rPr>
          <w:rFonts w:ascii="Times New Roman" w:hAnsi="Times New Roman" w:cs="Times New Roman"/>
          <w:noProof/>
          <w:lang w:val="en-IE"/>
        </w:rPr>
      </w:pPr>
      <w:r w:rsidRPr="00A36E36">
        <w:rPr>
          <w:rFonts w:ascii="Times New Roman" w:hAnsi="Times New Roman" w:cs="Times New Roman"/>
          <w:noProof/>
          <w:lang w:val="en-IE"/>
        </w:rPr>
        <w:t>Moreover, the Laws shall contribute to the improvement of the business environment at least through: (i) the alignment of merger control rules with EU law, (ii) the consolidation, digitalisation and professionalisation of market surveillance authorities;(iii) a reform to simplify and facilitate the set up of start-ups and venture capital activites, as well as to promote a national strategy for technology transfer (iv) the reduction of the time of accreditation for providing information about employees from seven to four days to reduce the number of days to set up a business.</w:t>
      </w:r>
    </w:p>
    <w:p w14:paraId="56FA211F" w14:textId="7C680D6D" w:rsidR="00FC1361" w:rsidRPr="00B712AF" w:rsidRDefault="0039681A" w:rsidP="00351087">
      <w:pPr>
        <w:rPr>
          <w:rFonts w:ascii="Times New Roman" w:hAnsi="Times New Roman" w:cs="Times New Roman"/>
          <w:b/>
          <w:bCs/>
          <w:noProof/>
          <w:lang w:val="en-IE"/>
        </w:rPr>
      </w:pPr>
      <w:r w:rsidRPr="00B712AF">
        <w:rPr>
          <w:rFonts w:ascii="Times New Roman" w:hAnsi="Times New Roman" w:cs="Times New Roman"/>
          <w:b/>
          <w:bCs/>
          <w:noProof/>
          <w:lang w:val="en-IE"/>
        </w:rPr>
        <w:t xml:space="preserve">Reform 3: </w:t>
      </w:r>
      <w:r w:rsidR="00FC1361" w:rsidRPr="00B712AF">
        <w:rPr>
          <w:rFonts w:ascii="Times New Roman" w:hAnsi="Times New Roman" w:cs="Times New Roman"/>
          <w:b/>
          <w:bCs/>
          <w:noProof/>
          <w:lang w:val="en-IE"/>
        </w:rPr>
        <w:t xml:space="preserve">Framework for the </w:t>
      </w:r>
      <w:r w:rsidRPr="00B712AF">
        <w:rPr>
          <w:rFonts w:ascii="Times New Roman" w:hAnsi="Times New Roman" w:cs="Times New Roman"/>
          <w:b/>
          <w:bCs/>
          <w:noProof/>
          <w:lang w:val="en-IE"/>
        </w:rPr>
        <w:t>simplification</w:t>
      </w:r>
      <w:r w:rsidR="00FC1361" w:rsidRPr="00B712AF">
        <w:rPr>
          <w:rFonts w:ascii="Times New Roman" w:hAnsi="Times New Roman" w:cs="Times New Roman"/>
          <w:b/>
          <w:bCs/>
          <w:noProof/>
          <w:lang w:val="en-IE"/>
        </w:rPr>
        <w:t xml:space="preserve"> and streamlining</w:t>
      </w:r>
      <w:r w:rsidRPr="00B712AF">
        <w:rPr>
          <w:rFonts w:ascii="Times New Roman" w:hAnsi="Times New Roman" w:cs="Times New Roman"/>
          <w:b/>
          <w:bCs/>
          <w:noProof/>
          <w:lang w:val="en-IE"/>
        </w:rPr>
        <w:t xml:space="preserve"> of firms’ incentives</w:t>
      </w:r>
    </w:p>
    <w:p w14:paraId="07B4014E" w14:textId="69C316CF" w:rsidR="0039681A" w:rsidRPr="00FE22AA" w:rsidRDefault="0039681A" w:rsidP="00351087">
      <w:pPr>
        <w:spacing w:before="120" w:after="120" w:line="278" w:lineRule="auto"/>
        <w:jc w:val="both"/>
        <w:rPr>
          <w:rFonts w:ascii="Times New Roman" w:eastAsia="Times New Roman" w:hAnsi="Times New Roman" w:cs="Times New Roman"/>
          <w:noProof/>
          <w:lang w:val="en-IE"/>
        </w:rPr>
      </w:pPr>
      <w:r w:rsidRPr="00B712AF">
        <w:rPr>
          <w:rFonts w:ascii="Times New Roman" w:hAnsi="Times New Roman" w:cs="Times New Roman"/>
          <w:noProof/>
          <w:lang w:val="en-IE"/>
        </w:rPr>
        <w:t>The reform aims to set up a framework for the review, simplif</w:t>
      </w:r>
      <w:r w:rsidR="00567C8D" w:rsidRPr="00AF5341">
        <w:rPr>
          <w:rFonts w:ascii="Times New Roman" w:hAnsi="Times New Roman" w:cs="Times New Roman"/>
          <w:noProof/>
          <w:lang w:val="en-IE"/>
        </w:rPr>
        <w:t>ication</w:t>
      </w:r>
      <w:r w:rsidRPr="00B712AF">
        <w:rPr>
          <w:rFonts w:ascii="Times New Roman" w:hAnsi="Times New Roman" w:cs="Times New Roman"/>
          <w:noProof/>
          <w:lang w:val="en-IE"/>
        </w:rPr>
        <w:t>, and streamlin</w:t>
      </w:r>
      <w:r w:rsidR="00567C8D" w:rsidRPr="00AF5341">
        <w:rPr>
          <w:rFonts w:ascii="Times New Roman" w:hAnsi="Times New Roman" w:cs="Times New Roman"/>
          <w:noProof/>
          <w:lang w:val="en-IE"/>
        </w:rPr>
        <w:t>ing of</w:t>
      </w:r>
      <w:r w:rsidRPr="00B712AF">
        <w:rPr>
          <w:rFonts w:ascii="Times New Roman" w:hAnsi="Times New Roman" w:cs="Times New Roman"/>
          <w:noProof/>
          <w:lang w:val="en-IE"/>
        </w:rPr>
        <w:t xml:space="preserve"> the system of national incentives for firms, thereby paving the ground for Italy’s commitment in its medium-term fiscal-structural plan to rationalise and simplify firm incentives. </w:t>
      </w:r>
      <w:r w:rsidRPr="00AF5341">
        <w:rPr>
          <w:rFonts w:ascii="Times New Roman" w:eastAsia="Times New Roman" w:hAnsi="Times New Roman" w:cs="Times New Roman"/>
          <w:noProof/>
          <w:lang w:val="en-IE"/>
        </w:rPr>
        <w:t xml:space="preserve">The reform consists in the entry into force of legal acts as well as in the </w:t>
      </w:r>
      <w:r w:rsidRPr="00B712AF">
        <w:rPr>
          <w:rFonts w:ascii="Times New Roman" w:eastAsia="Times New Roman" w:hAnsi="Times New Roman" w:cs="Times New Roman"/>
          <w:noProof/>
          <w:lang w:val="en-IE"/>
        </w:rPr>
        <w:t>activation</w:t>
      </w:r>
      <w:r w:rsidRPr="00AF5341">
        <w:rPr>
          <w:rFonts w:ascii="Times New Roman" w:eastAsia="Times New Roman" w:hAnsi="Times New Roman" w:cs="Times New Roman"/>
          <w:noProof/>
          <w:lang w:val="en-IE"/>
        </w:rPr>
        <w:t xml:space="preserve"> of additional functionalities for (a) the RNA (National registry of State aids) and (b) the incentivi.gov.it Platform</w:t>
      </w:r>
      <w:r w:rsidRPr="00B712AF">
        <w:rPr>
          <w:rFonts w:ascii="Times New Roman" w:eastAsia="Times New Roman" w:hAnsi="Times New Roman" w:cs="Times New Roman"/>
          <w:noProof/>
          <w:lang w:val="en-IE"/>
        </w:rPr>
        <w:t xml:space="preserve">. </w:t>
      </w:r>
      <w:r w:rsidR="00FC1361" w:rsidRPr="00B712AF">
        <w:rPr>
          <w:rFonts w:ascii="Times New Roman" w:eastAsia="Times New Roman" w:hAnsi="Times New Roman" w:cs="Times New Roman"/>
          <w:noProof/>
          <w:lang w:val="en-IE"/>
        </w:rPr>
        <w:t xml:space="preserve">The rationalisation of </w:t>
      </w:r>
      <w:r w:rsidR="00FC1361" w:rsidRPr="00FE22AA">
        <w:rPr>
          <w:rFonts w:ascii="Times New Roman" w:eastAsia="Times New Roman" w:hAnsi="Times New Roman" w:cs="Times New Roman"/>
          <w:noProof/>
          <w:lang w:val="en-IE"/>
        </w:rPr>
        <w:t>incentives is a further step that is not linked to the milestones and targets in the Council Implementing Decision.</w:t>
      </w:r>
    </w:p>
    <w:p w14:paraId="1683335A" w14:textId="77777777" w:rsidR="0039681A" w:rsidRPr="00A36E36" w:rsidRDefault="0039681A" w:rsidP="00351087">
      <w:pPr>
        <w:spacing w:before="120" w:after="120"/>
        <w:jc w:val="both"/>
        <w:rPr>
          <w:noProof/>
          <w:lang w:val="en-IE"/>
        </w:rPr>
        <w:sectPr w:rsidR="0039681A" w:rsidRPr="00A36E36" w:rsidSect="00D65011">
          <w:pgSz w:w="11906" w:h="16838"/>
          <w:pgMar w:top="1440" w:right="1440" w:bottom="1440" w:left="1440" w:header="708" w:footer="708" w:gutter="0"/>
          <w:cols w:space="708"/>
          <w:docGrid w:linePitch="360"/>
        </w:sectPr>
      </w:pPr>
    </w:p>
    <w:p w14:paraId="4255BEE4" w14:textId="77777777" w:rsidR="0039681A" w:rsidRPr="00A36E36" w:rsidRDefault="0039681A" w:rsidP="00351087">
      <w:pPr>
        <w:pStyle w:val="Heading3"/>
        <w:numPr>
          <w:ilvl w:val="2"/>
          <w:numId w:val="0"/>
        </w:numPr>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B.2.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46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559"/>
        <w:gridCol w:w="1843"/>
        <w:gridCol w:w="1359"/>
        <w:gridCol w:w="1476"/>
        <w:gridCol w:w="1134"/>
        <w:gridCol w:w="1021"/>
        <w:gridCol w:w="709"/>
        <w:gridCol w:w="2814"/>
      </w:tblGrid>
      <w:tr w:rsidR="0039681A" w:rsidRPr="0070054C" w14:paraId="7D4FD8DD" w14:textId="77777777" w:rsidTr="00D619C4">
        <w:trPr>
          <w:trHeight w:val="300"/>
          <w:tblHeader/>
        </w:trPr>
        <w:tc>
          <w:tcPr>
            <w:tcW w:w="1135" w:type="dxa"/>
            <w:vMerge w:val="restart"/>
            <w:shd w:val="clear" w:color="auto" w:fill="BDD7EE"/>
            <w:vAlign w:val="center"/>
          </w:tcPr>
          <w:p w14:paraId="6E88F755" w14:textId="77777777" w:rsidR="0039681A" w:rsidRPr="00647572" w:rsidRDefault="0039681A">
            <w:pPr>
              <w:spacing w:before="120" w:after="120"/>
              <w:jc w:val="center"/>
              <w:rPr>
                <w:rFonts w:ascii="Arial Narrow" w:hAnsi="Arial Narrow"/>
                <w:b/>
                <w:noProof/>
                <w:sz w:val="20"/>
              </w:rPr>
            </w:pPr>
            <w:r w:rsidRPr="00647572">
              <w:rPr>
                <w:rFonts w:ascii="Arial Narrow" w:hAnsi="Arial Narrow"/>
                <w:b/>
                <w:noProof/>
                <w:sz w:val="20"/>
              </w:rPr>
              <w:t>Sequential Number</w:t>
            </w:r>
          </w:p>
        </w:tc>
        <w:tc>
          <w:tcPr>
            <w:tcW w:w="1276" w:type="dxa"/>
            <w:vMerge w:val="restart"/>
            <w:shd w:val="clear" w:color="auto" w:fill="BDD7EE"/>
            <w:vAlign w:val="center"/>
          </w:tcPr>
          <w:p w14:paraId="17857529" w14:textId="77777777" w:rsidR="0039681A" w:rsidRPr="00647572" w:rsidRDefault="0039681A">
            <w:pPr>
              <w:spacing w:before="120" w:after="120"/>
              <w:jc w:val="center"/>
              <w:rPr>
                <w:rFonts w:ascii="Arial Narrow" w:hAnsi="Arial Narrow"/>
                <w:b/>
                <w:noProof/>
                <w:sz w:val="20"/>
              </w:rPr>
            </w:pPr>
            <w:r w:rsidRPr="00647572">
              <w:rPr>
                <w:rFonts w:ascii="Arial Narrow" w:hAnsi="Arial Narrow"/>
                <w:b/>
                <w:noProof/>
                <w:sz w:val="20"/>
              </w:rPr>
              <w:t>Measure</w:t>
            </w:r>
          </w:p>
        </w:tc>
        <w:tc>
          <w:tcPr>
            <w:tcW w:w="1134" w:type="dxa"/>
            <w:vMerge w:val="restart"/>
            <w:shd w:val="clear" w:color="auto" w:fill="BDD7EE"/>
            <w:vAlign w:val="center"/>
          </w:tcPr>
          <w:p w14:paraId="75EC7457" w14:textId="77777777" w:rsidR="0039681A" w:rsidRPr="00647572" w:rsidRDefault="0039681A">
            <w:pPr>
              <w:spacing w:before="120" w:after="120"/>
              <w:jc w:val="center"/>
              <w:rPr>
                <w:rFonts w:ascii="Arial Narrow" w:hAnsi="Arial Narrow"/>
                <w:b/>
                <w:noProof/>
                <w:sz w:val="20"/>
              </w:rPr>
            </w:pPr>
            <w:r w:rsidRPr="00647572">
              <w:rPr>
                <w:rFonts w:ascii="Arial Narrow" w:hAnsi="Arial Narrow"/>
                <w:b/>
                <w:noProof/>
                <w:sz w:val="20"/>
              </w:rPr>
              <w:t>Milestone / Target</w:t>
            </w:r>
          </w:p>
        </w:tc>
        <w:tc>
          <w:tcPr>
            <w:tcW w:w="1559" w:type="dxa"/>
            <w:vMerge w:val="restart"/>
            <w:shd w:val="clear" w:color="auto" w:fill="BDD7EE"/>
            <w:vAlign w:val="center"/>
          </w:tcPr>
          <w:p w14:paraId="0B3834A1" w14:textId="77777777" w:rsidR="0039681A" w:rsidRPr="00647572" w:rsidRDefault="0039681A">
            <w:pPr>
              <w:spacing w:before="120" w:after="120"/>
              <w:jc w:val="center"/>
              <w:rPr>
                <w:rFonts w:ascii="Arial Narrow" w:hAnsi="Arial Narrow"/>
                <w:b/>
                <w:noProof/>
                <w:sz w:val="20"/>
              </w:rPr>
            </w:pPr>
            <w:r w:rsidRPr="00647572">
              <w:rPr>
                <w:rFonts w:ascii="Arial Narrow" w:hAnsi="Arial Narrow"/>
                <w:b/>
                <w:noProof/>
                <w:sz w:val="20"/>
              </w:rPr>
              <w:t>Name</w:t>
            </w:r>
          </w:p>
        </w:tc>
        <w:tc>
          <w:tcPr>
            <w:tcW w:w="1843" w:type="dxa"/>
            <w:vMerge w:val="restart"/>
            <w:shd w:val="clear" w:color="auto" w:fill="BDD7EE"/>
            <w:vAlign w:val="center"/>
          </w:tcPr>
          <w:p w14:paraId="0647C442" w14:textId="77777777" w:rsidR="0039681A" w:rsidRPr="00647572" w:rsidRDefault="0039681A">
            <w:pPr>
              <w:spacing w:before="120" w:after="120"/>
              <w:jc w:val="center"/>
              <w:rPr>
                <w:rFonts w:ascii="Arial Narrow" w:hAnsi="Arial Narrow"/>
                <w:b/>
                <w:noProof/>
                <w:sz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969" w:type="dxa"/>
            <w:gridSpan w:val="3"/>
            <w:shd w:val="clear" w:color="auto" w:fill="BDD7EE"/>
            <w:vAlign w:val="center"/>
          </w:tcPr>
          <w:p w14:paraId="0A40BB32" w14:textId="77777777" w:rsidR="0039681A" w:rsidRPr="00647572" w:rsidRDefault="0039681A">
            <w:pPr>
              <w:spacing w:before="120" w:after="120"/>
              <w:jc w:val="center"/>
              <w:rPr>
                <w:rFonts w:ascii="Arial Narrow" w:hAnsi="Arial Narrow"/>
                <w:b/>
                <w:noProof/>
                <w:sz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730" w:type="dxa"/>
            <w:gridSpan w:val="2"/>
            <w:shd w:val="clear" w:color="auto" w:fill="BDD7EE"/>
            <w:vAlign w:val="center"/>
          </w:tcPr>
          <w:p w14:paraId="705A2EE0" w14:textId="77777777" w:rsidR="0039681A" w:rsidRPr="00647572" w:rsidRDefault="0039681A">
            <w:pPr>
              <w:spacing w:before="120" w:after="120"/>
              <w:jc w:val="center"/>
              <w:rPr>
                <w:rFonts w:ascii="Arial Narrow" w:hAnsi="Arial Narrow"/>
                <w:b/>
                <w:noProof/>
                <w:sz w:val="20"/>
              </w:rPr>
            </w:pPr>
            <w:r w:rsidRPr="00647572">
              <w:rPr>
                <w:rFonts w:ascii="Arial Narrow" w:hAnsi="Arial Narrow"/>
                <w:b/>
                <w:noProof/>
                <w:sz w:val="20"/>
              </w:rPr>
              <w:t>Indicative timeline for completion</w:t>
            </w:r>
          </w:p>
        </w:tc>
        <w:tc>
          <w:tcPr>
            <w:tcW w:w="2814" w:type="dxa"/>
            <w:vMerge w:val="restart"/>
            <w:shd w:val="clear" w:color="auto" w:fill="BDD7EE"/>
            <w:vAlign w:val="center"/>
          </w:tcPr>
          <w:p w14:paraId="4EC52CAD" w14:textId="77777777" w:rsidR="0039681A" w:rsidRPr="00A36E36" w:rsidRDefault="0039681A">
            <w:pPr>
              <w:spacing w:before="120" w:after="120"/>
              <w:rPr>
                <w:rFonts w:ascii="Arial Narrow" w:hAnsi="Arial Narrow"/>
                <w:noProof/>
                <w:sz w:val="20"/>
                <w:szCs w:val="20"/>
                <w:lang w:val="en-IE"/>
              </w:rPr>
            </w:pPr>
            <w:r w:rsidRPr="00A36E36">
              <w:rPr>
                <w:rFonts w:ascii="Arial Narrow" w:hAnsi="Arial Narrow"/>
                <w:b/>
                <w:noProof/>
                <w:sz w:val="20"/>
                <w:lang w:val="en-IE"/>
              </w:rPr>
              <w:t>Description of each milestone and target</w:t>
            </w:r>
          </w:p>
        </w:tc>
      </w:tr>
      <w:tr w:rsidR="0039681A" w:rsidRPr="00647572" w14:paraId="42963667" w14:textId="77777777" w:rsidTr="00D619C4">
        <w:trPr>
          <w:trHeight w:val="300"/>
          <w:tblHeader/>
        </w:trPr>
        <w:tc>
          <w:tcPr>
            <w:tcW w:w="1135" w:type="dxa"/>
            <w:vMerge/>
            <w:vAlign w:val="center"/>
          </w:tcPr>
          <w:p w14:paraId="7B3F8553" w14:textId="77777777" w:rsidR="0039681A" w:rsidRPr="00A36E36" w:rsidRDefault="0039681A">
            <w:pPr>
              <w:spacing w:before="120" w:after="120"/>
              <w:jc w:val="center"/>
              <w:rPr>
                <w:rFonts w:ascii="Arial Narrow" w:hAnsi="Arial Narrow"/>
                <w:noProof/>
                <w:sz w:val="20"/>
                <w:szCs w:val="20"/>
                <w:lang w:val="en-IE"/>
              </w:rPr>
            </w:pPr>
          </w:p>
        </w:tc>
        <w:tc>
          <w:tcPr>
            <w:tcW w:w="1276" w:type="dxa"/>
            <w:vMerge/>
            <w:vAlign w:val="center"/>
          </w:tcPr>
          <w:p w14:paraId="4EEAC8D9" w14:textId="77777777" w:rsidR="0039681A" w:rsidRPr="00A36E36" w:rsidRDefault="0039681A">
            <w:pPr>
              <w:spacing w:before="120" w:after="120"/>
              <w:jc w:val="center"/>
              <w:rPr>
                <w:rFonts w:ascii="Arial Narrow" w:hAnsi="Arial Narrow"/>
                <w:noProof/>
                <w:sz w:val="20"/>
                <w:szCs w:val="20"/>
                <w:lang w:val="en-IE"/>
              </w:rPr>
            </w:pPr>
          </w:p>
        </w:tc>
        <w:tc>
          <w:tcPr>
            <w:tcW w:w="1134" w:type="dxa"/>
            <w:vMerge/>
            <w:vAlign w:val="center"/>
          </w:tcPr>
          <w:p w14:paraId="202804E0" w14:textId="77777777" w:rsidR="0039681A" w:rsidRPr="00A36E36" w:rsidRDefault="0039681A">
            <w:pPr>
              <w:spacing w:before="120" w:after="120"/>
              <w:jc w:val="center"/>
              <w:rPr>
                <w:rFonts w:ascii="Arial Narrow" w:hAnsi="Arial Narrow"/>
                <w:noProof/>
                <w:sz w:val="20"/>
                <w:szCs w:val="20"/>
                <w:lang w:val="en-IE"/>
              </w:rPr>
            </w:pPr>
          </w:p>
        </w:tc>
        <w:tc>
          <w:tcPr>
            <w:tcW w:w="1559" w:type="dxa"/>
            <w:vMerge/>
            <w:vAlign w:val="center"/>
          </w:tcPr>
          <w:p w14:paraId="3A4FC943" w14:textId="77777777" w:rsidR="0039681A" w:rsidRPr="00A36E36" w:rsidRDefault="0039681A">
            <w:pPr>
              <w:spacing w:before="120" w:after="120"/>
              <w:jc w:val="center"/>
              <w:rPr>
                <w:rFonts w:ascii="Arial Narrow" w:hAnsi="Arial Narrow"/>
                <w:noProof/>
                <w:sz w:val="20"/>
                <w:szCs w:val="20"/>
                <w:lang w:val="en-IE"/>
              </w:rPr>
            </w:pPr>
          </w:p>
        </w:tc>
        <w:tc>
          <w:tcPr>
            <w:tcW w:w="1843" w:type="dxa"/>
            <w:vMerge/>
            <w:vAlign w:val="center"/>
          </w:tcPr>
          <w:p w14:paraId="21E8D88C" w14:textId="77777777" w:rsidR="0039681A" w:rsidRPr="00A36E36" w:rsidRDefault="0039681A">
            <w:pPr>
              <w:spacing w:before="120" w:after="120"/>
              <w:jc w:val="center"/>
              <w:rPr>
                <w:rFonts w:ascii="Arial Narrow" w:hAnsi="Arial Narrow"/>
                <w:noProof/>
                <w:sz w:val="20"/>
                <w:szCs w:val="20"/>
                <w:lang w:val="en-IE"/>
              </w:rPr>
            </w:pPr>
          </w:p>
        </w:tc>
        <w:tc>
          <w:tcPr>
            <w:tcW w:w="1359" w:type="dxa"/>
            <w:shd w:val="clear" w:color="auto" w:fill="BDD7EE"/>
            <w:vAlign w:val="center"/>
          </w:tcPr>
          <w:p w14:paraId="7CC83817" w14:textId="77777777" w:rsidR="0039681A" w:rsidRPr="00647572" w:rsidRDefault="0039681A">
            <w:pPr>
              <w:spacing w:before="120" w:after="120"/>
              <w:jc w:val="center"/>
              <w:rPr>
                <w:rFonts w:ascii="Arial Narrow" w:hAnsi="Arial Narrow"/>
                <w:b/>
                <w:noProof/>
                <w:sz w:val="20"/>
              </w:rPr>
            </w:pPr>
            <w:r w:rsidRPr="00647572">
              <w:rPr>
                <w:rFonts w:ascii="Arial Narrow" w:hAnsi="Arial Narrow"/>
                <w:b/>
                <w:noProof/>
                <w:sz w:val="20"/>
              </w:rPr>
              <w:t>Unit of measure</w:t>
            </w:r>
          </w:p>
        </w:tc>
        <w:tc>
          <w:tcPr>
            <w:tcW w:w="1476" w:type="dxa"/>
            <w:shd w:val="clear" w:color="auto" w:fill="BDD7EE"/>
            <w:vAlign w:val="center"/>
          </w:tcPr>
          <w:p w14:paraId="281CC444" w14:textId="77777777" w:rsidR="0039681A" w:rsidRPr="00647572" w:rsidRDefault="0039681A">
            <w:pPr>
              <w:spacing w:before="120" w:after="120"/>
              <w:jc w:val="center"/>
              <w:rPr>
                <w:rFonts w:ascii="Arial Narrow" w:hAnsi="Arial Narrow"/>
                <w:b/>
                <w:noProof/>
                <w:sz w:val="20"/>
              </w:rPr>
            </w:pPr>
            <w:r w:rsidRPr="00647572">
              <w:rPr>
                <w:rFonts w:ascii="Arial Narrow" w:hAnsi="Arial Narrow"/>
                <w:b/>
                <w:noProof/>
                <w:sz w:val="20"/>
              </w:rPr>
              <w:t>Baseline</w:t>
            </w:r>
          </w:p>
        </w:tc>
        <w:tc>
          <w:tcPr>
            <w:tcW w:w="1134" w:type="dxa"/>
            <w:shd w:val="clear" w:color="auto" w:fill="BDD7EE"/>
            <w:vAlign w:val="center"/>
          </w:tcPr>
          <w:p w14:paraId="72A22C8E" w14:textId="77777777" w:rsidR="0039681A" w:rsidRPr="00647572" w:rsidRDefault="0039681A">
            <w:pPr>
              <w:spacing w:before="120" w:after="120"/>
              <w:jc w:val="center"/>
              <w:rPr>
                <w:rFonts w:ascii="Arial Narrow" w:hAnsi="Arial Narrow"/>
                <w:b/>
                <w:noProof/>
                <w:sz w:val="20"/>
              </w:rPr>
            </w:pPr>
            <w:r w:rsidRPr="00647572">
              <w:rPr>
                <w:rFonts w:ascii="Arial Narrow" w:hAnsi="Arial Narrow"/>
                <w:b/>
                <w:noProof/>
                <w:sz w:val="20"/>
              </w:rPr>
              <w:t>Goal</w:t>
            </w:r>
          </w:p>
        </w:tc>
        <w:tc>
          <w:tcPr>
            <w:tcW w:w="1021" w:type="dxa"/>
            <w:shd w:val="clear" w:color="auto" w:fill="BDD7EE"/>
            <w:vAlign w:val="center"/>
          </w:tcPr>
          <w:p w14:paraId="52944B35" w14:textId="77777777" w:rsidR="0039681A" w:rsidRPr="00647572" w:rsidRDefault="0039681A">
            <w:pPr>
              <w:spacing w:before="120" w:after="120"/>
              <w:jc w:val="center"/>
              <w:rPr>
                <w:rFonts w:ascii="Arial Narrow" w:hAnsi="Arial Narrow"/>
                <w:b/>
                <w:noProof/>
                <w:sz w:val="20"/>
              </w:rPr>
            </w:pPr>
            <w:r w:rsidRPr="00647572">
              <w:rPr>
                <w:rFonts w:ascii="Arial Narrow" w:hAnsi="Arial Narrow"/>
                <w:b/>
                <w:noProof/>
                <w:sz w:val="20"/>
              </w:rPr>
              <w:t>Quarter</w:t>
            </w:r>
          </w:p>
        </w:tc>
        <w:tc>
          <w:tcPr>
            <w:tcW w:w="709" w:type="dxa"/>
            <w:shd w:val="clear" w:color="auto" w:fill="BDD7EE"/>
            <w:vAlign w:val="center"/>
          </w:tcPr>
          <w:p w14:paraId="1E160167" w14:textId="77777777" w:rsidR="0039681A" w:rsidRPr="00647572" w:rsidRDefault="0039681A">
            <w:pPr>
              <w:spacing w:before="120" w:after="120"/>
              <w:jc w:val="center"/>
              <w:rPr>
                <w:rFonts w:ascii="Arial Narrow" w:hAnsi="Arial Narrow"/>
                <w:b/>
                <w:noProof/>
                <w:sz w:val="20"/>
              </w:rPr>
            </w:pPr>
            <w:r w:rsidRPr="00647572">
              <w:rPr>
                <w:rFonts w:ascii="Arial Narrow" w:hAnsi="Arial Narrow"/>
                <w:b/>
                <w:noProof/>
                <w:sz w:val="20"/>
              </w:rPr>
              <w:t>Year</w:t>
            </w:r>
          </w:p>
        </w:tc>
        <w:tc>
          <w:tcPr>
            <w:tcW w:w="2814" w:type="dxa"/>
            <w:vMerge/>
            <w:vAlign w:val="center"/>
          </w:tcPr>
          <w:p w14:paraId="4D409B64" w14:textId="77777777" w:rsidR="0039681A" w:rsidRPr="00647572" w:rsidRDefault="0039681A">
            <w:pPr>
              <w:spacing w:before="120" w:after="120"/>
              <w:rPr>
                <w:rFonts w:ascii="Arial Narrow" w:hAnsi="Arial Narrow"/>
                <w:noProof/>
                <w:sz w:val="20"/>
                <w:szCs w:val="20"/>
              </w:rPr>
            </w:pPr>
          </w:p>
        </w:tc>
      </w:tr>
      <w:tr w:rsidR="0039681A" w:rsidRPr="0070054C" w14:paraId="5A9BB94F" w14:textId="77777777" w:rsidTr="00D619C4">
        <w:trPr>
          <w:trHeight w:val="300"/>
        </w:trPr>
        <w:tc>
          <w:tcPr>
            <w:tcW w:w="1135" w:type="dxa"/>
            <w:shd w:val="clear" w:color="auto" w:fill="C6EFCE"/>
            <w:vAlign w:val="center"/>
          </w:tcPr>
          <w:p w14:paraId="17B1D68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M1C2-1</w:t>
            </w:r>
          </w:p>
        </w:tc>
        <w:tc>
          <w:tcPr>
            <w:tcW w:w="1276" w:type="dxa"/>
            <w:shd w:val="clear" w:color="auto" w:fill="C6EFCE"/>
            <w:vAlign w:val="center"/>
          </w:tcPr>
          <w:p w14:paraId="1C809D7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Investment 1: Transition 4.0</w:t>
            </w:r>
          </w:p>
        </w:tc>
        <w:tc>
          <w:tcPr>
            <w:tcW w:w="1134" w:type="dxa"/>
            <w:shd w:val="clear" w:color="auto" w:fill="C6EFCE"/>
            <w:vAlign w:val="center"/>
          </w:tcPr>
          <w:p w14:paraId="0D269C1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shd w:val="clear" w:color="auto" w:fill="C6EFCE"/>
            <w:vAlign w:val="center"/>
          </w:tcPr>
          <w:p w14:paraId="1D3E72AD"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legal acts to make Transition 4.0 tax credits available to potential beneficiaries and establishment of the Scientific Committee</w:t>
            </w:r>
          </w:p>
        </w:tc>
        <w:tc>
          <w:tcPr>
            <w:tcW w:w="1843" w:type="dxa"/>
            <w:shd w:val="clear" w:color="auto" w:fill="C6EFCE"/>
            <w:vAlign w:val="center"/>
          </w:tcPr>
          <w:p w14:paraId="7FC20E4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budgetary law enabling the tax credits and provision in the related implementing acts indicating their entry into force</w:t>
            </w:r>
          </w:p>
        </w:tc>
        <w:tc>
          <w:tcPr>
            <w:tcW w:w="1359" w:type="dxa"/>
            <w:shd w:val="clear" w:color="auto" w:fill="C6EFCE"/>
            <w:vAlign w:val="center"/>
          </w:tcPr>
          <w:p w14:paraId="52AB3CF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shd w:val="clear" w:color="auto" w:fill="C6EFCE"/>
            <w:vAlign w:val="center"/>
          </w:tcPr>
          <w:p w14:paraId="0E4EDB5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0240C1D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shd w:val="clear" w:color="auto" w:fill="C6EFCE"/>
            <w:vAlign w:val="center"/>
          </w:tcPr>
          <w:p w14:paraId="095921E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shd w:val="clear" w:color="auto" w:fill="C6EFCE"/>
            <w:vAlign w:val="center"/>
          </w:tcPr>
          <w:p w14:paraId="3B76A21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814" w:type="dxa"/>
            <w:shd w:val="clear" w:color="auto" w:fill="C6EFCE"/>
            <w:vAlign w:val="center"/>
          </w:tcPr>
          <w:p w14:paraId="513530E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legal acts shall make Transition 4.0 tax credits available to potential beneficiaries. These are tax credits for (i) 4.0 (that is to say, technologically advanced) tangible capital goods, (ii) 4.0 intangible capital goods, (iii) standard intangible capital goods, (iv) research, development and innovation activities, and (v) training activities.</w:t>
            </w:r>
          </w:p>
          <w:p w14:paraId="00A1CF5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tax credit codes shall be defined by a resolution of the Revenues Agency to allow beneficiaries to use the tax credits with the F24 payment model. A Scientific Committee including experts from the Ministry Economy and finance, the Ministry of Economic Development and the Bank of Italy shall be established through the adoption of a ministerial decree to assess the economic impact of Transition 4.0 tax credits.</w:t>
            </w:r>
          </w:p>
        </w:tc>
      </w:tr>
      <w:tr w:rsidR="0039681A" w:rsidRPr="0070054C" w14:paraId="6D071581" w14:textId="77777777" w:rsidTr="00D619C4">
        <w:trPr>
          <w:trHeight w:val="300"/>
        </w:trPr>
        <w:tc>
          <w:tcPr>
            <w:tcW w:w="1135" w:type="dxa"/>
            <w:shd w:val="clear" w:color="auto" w:fill="C6EFCE"/>
            <w:vAlign w:val="center"/>
          </w:tcPr>
          <w:p w14:paraId="2320E5D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w:t>
            </w:r>
          </w:p>
        </w:tc>
        <w:tc>
          <w:tcPr>
            <w:tcW w:w="1276" w:type="dxa"/>
            <w:shd w:val="clear" w:color="auto" w:fill="C6EFCE"/>
            <w:vAlign w:val="center"/>
          </w:tcPr>
          <w:p w14:paraId="401E3BC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Investment 1: Transition 4.0</w:t>
            </w:r>
          </w:p>
        </w:tc>
        <w:tc>
          <w:tcPr>
            <w:tcW w:w="1134" w:type="dxa"/>
            <w:shd w:val="clear" w:color="auto" w:fill="C6EFCE"/>
            <w:vAlign w:val="center"/>
          </w:tcPr>
          <w:p w14:paraId="62E71C00"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559" w:type="dxa"/>
            <w:shd w:val="clear" w:color="auto" w:fill="C6EFCE"/>
            <w:vAlign w:val="center"/>
          </w:tcPr>
          <w:p w14:paraId="572A1160"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Transition 4.0 tax credits granted to firms based on tax returns presented in 2021-2022</w:t>
            </w:r>
          </w:p>
        </w:tc>
        <w:tc>
          <w:tcPr>
            <w:tcW w:w="1843" w:type="dxa"/>
            <w:shd w:val="clear" w:color="auto" w:fill="C6EFCE"/>
            <w:vAlign w:val="center"/>
          </w:tcPr>
          <w:p w14:paraId="03E986D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359" w:type="dxa"/>
            <w:shd w:val="clear" w:color="auto" w:fill="C6EFCE"/>
            <w:vAlign w:val="center"/>
          </w:tcPr>
          <w:p w14:paraId="30E790D9"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Number</w:t>
            </w:r>
          </w:p>
        </w:tc>
        <w:tc>
          <w:tcPr>
            <w:tcW w:w="1476" w:type="dxa"/>
            <w:shd w:val="clear" w:color="auto" w:fill="C6EFCE"/>
            <w:vAlign w:val="center"/>
          </w:tcPr>
          <w:p w14:paraId="3EAC9007"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1134" w:type="dxa"/>
            <w:shd w:val="clear" w:color="auto" w:fill="C6EFCE"/>
            <w:vAlign w:val="center"/>
          </w:tcPr>
          <w:p w14:paraId="7D1E230C"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69 900</w:t>
            </w:r>
          </w:p>
        </w:tc>
        <w:tc>
          <w:tcPr>
            <w:tcW w:w="1021" w:type="dxa"/>
            <w:shd w:val="clear" w:color="auto" w:fill="C6EFCE"/>
            <w:vAlign w:val="center"/>
          </w:tcPr>
          <w:p w14:paraId="083380A5"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Q2</w:t>
            </w:r>
          </w:p>
        </w:tc>
        <w:tc>
          <w:tcPr>
            <w:tcW w:w="709" w:type="dxa"/>
            <w:shd w:val="clear" w:color="auto" w:fill="C6EFCE"/>
            <w:vAlign w:val="center"/>
          </w:tcPr>
          <w:p w14:paraId="3ADAE207"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2024</w:t>
            </w:r>
          </w:p>
        </w:tc>
        <w:tc>
          <w:tcPr>
            <w:tcW w:w="2814" w:type="dxa"/>
            <w:shd w:val="clear" w:color="auto" w:fill="C6EFCE"/>
            <w:vAlign w:val="center"/>
          </w:tcPr>
          <w:p w14:paraId="7A1E073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At least 69 900 Transition 4.0 tax credits have been granted to firms in relation to 4.0 tangible capital goods, 4.0 intangible capital goods, standard intangible capital goods, research, development and innovation activities, or training activities. A tax credit shall be considered granted with the presentation of a tax return. Tax returns shall be presented between 1 January 2021 and 31 December 2022. For firms whose tax year does not correspond to the calendar year, the end of the relevant period for the presentation of the tax returns related to all the above-listed tax credits shall be extended from 31 December 2022 to 30 November 2023.</w:t>
            </w:r>
          </w:p>
        </w:tc>
      </w:tr>
      <w:tr w:rsidR="0039681A" w:rsidRPr="00647572" w14:paraId="4A35AD45" w14:textId="77777777" w:rsidTr="00D619C4">
        <w:trPr>
          <w:trHeight w:val="300"/>
        </w:trPr>
        <w:tc>
          <w:tcPr>
            <w:tcW w:w="1135" w:type="dxa"/>
            <w:shd w:val="clear" w:color="auto" w:fill="C6EFCE"/>
            <w:vAlign w:val="center"/>
          </w:tcPr>
          <w:p w14:paraId="43D0D7F2"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M1C2-3</w:t>
            </w:r>
          </w:p>
        </w:tc>
        <w:tc>
          <w:tcPr>
            <w:tcW w:w="1276" w:type="dxa"/>
            <w:shd w:val="clear" w:color="auto" w:fill="C6EFCE"/>
            <w:vAlign w:val="center"/>
          </w:tcPr>
          <w:p w14:paraId="3DF92FE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Investment 1: Transition 4.0</w:t>
            </w:r>
          </w:p>
        </w:tc>
        <w:tc>
          <w:tcPr>
            <w:tcW w:w="1134" w:type="dxa"/>
            <w:shd w:val="clear" w:color="auto" w:fill="C6EFCE"/>
            <w:vAlign w:val="center"/>
          </w:tcPr>
          <w:p w14:paraId="1BAFE50C"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559" w:type="dxa"/>
            <w:shd w:val="clear" w:color="auto" w:fill="C6EFCE"/>
            <w:vAlign w:val="center"/>
          </w:tcPr>
          <w:p w14:paraId="45F2CA50"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Transition 4.0 tax credits granted to firms based on tax returns presented in 2021-2023</w:t>
            </w:r>
          </w:p>
        </w:tc>
        <w:tc>
          <w:tcPr>
            <w:tcW w:w="1843" w:type="dxa"/>
            <w:shd w:val="clear" w:color="auto" w:fill="C6EFCE"/>
            <w:vAlign w:val="center"/>
          </w:tcPr>
          <w:p w14:paraId="0E482772"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359" w:type="dxa"/>
            <w:shd w:val="clear" w:color="auto" w:fill="C6EFCE"/>
            <w:vAlign w:val="center"/>
          </w:tcPr>
          <w:p w14:paraId="011E05BA"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Number</w:t>
            </w:r>
          </w:p>
        </w:tc>
        <w:tc>
          <w:tcPr>
            <w:tcW w:w="1476" w:type="dxa"/>
            <w:shd w:val="clear" w:color="auto" w:fill="C6EFCE"/>
            <w:vAlign w:val="center"/>
          </w:tcPr>
          <w:p w14:paraId="77CE64B8"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69 900</w:t>
            </w:r>
          </w:p>
        </w:tc>
        <w:tc>
          <w:tcPr>
            <w:tcW w:w="1134" w:type="dxa"/>
            <w:shd w:val="clear" w:color="auto" w:fill="C6EFCE"/>
            <w:vAlign w:val="center"/>
          </w:tcPr>
          <w:p w14:paraId="43FAD0D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111 700</w:t>
            </w:r>
          </w:p>
        </w:tc>
        <w:tc>
          <w:tcPr>
            <w:tcW w:w="1021" w:type="dxa"/>
            <w:shd w:val="clear" w:color="auto" w:fill="C6EFCE"/>
            <w:vAlign w:val="center"/>
          </w:tcPr>
          <w:p w14:paraId="082BBAEE"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Q2</w:t>
            </w:r>
          </w:p>
        </w:tc>
        <w:tc>
          <w:tcPr>
            <w:tcW w:w="709" w:type="dxa"/>
            <w:shd w:val="clear" w:color="auto" w:fill="C6EFCE"/>
            <w:vAlign w:val="center"/>
          </w:tcPr>
          <w:p w14:paraId="10AEED9E"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2025</w:t>
            </w:r>
          </w:p>
        </w:tc>
        <w:tc>
          <w:tcPr>
            <w:tcW w:w="2814" w:type="dxa"/>
            <w:shd w:val="clear" w:color="auto" w:fill="C6EFCE"/>
            <w:vAlign w:val="center"/>
          </w:tcPr>
          <w:p w14:paraId="21DE7FDF"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111 700 Transition 4.0 tax credits have been granted to firms in relation to 4.0 tangible capital goods, 4.0 intangible capital goods, standard intangible capital goods, research, development and innovation activities, or training activities. A tax credit shall be considered granted with the presentation of a tax return. Tax returns shall be presented between 1 January 2021 and 31 December 2023. For firms whose tax year does not correspond to the calendar year, the end of the considered period for the presentation of the tax returns related to all the above-listed tax credits shall be extended from 31 December 2023 to 30 November 2024.</w:t>
            </w:r>
          </w:p>
          <w:p w14:paraId="6FDC4DB3" w14:textId="10E862AD"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baseline refers to the number of Transition 4.0 tax credits that have been granted to firms, based on tax returns presented between 1</w:t>
            </w:r>
            <w:r w:rsidR="00364450" w:rsidRPr="0039681A">
              <w:rPr>
                <w:rFonts w:ascii="Arial Narrow" w:eastAsia="Aptos" w:hAnsi="Arial Narrow" w:cs="Times New Roman"/>
                <w:noProof/>
                <w:color w:val="006100"/>
                <w:sz w:val="20"/>
                <w:lang w:val="en-IE"/>
              </w:rPr>
              <w:t> </w:t>
            </w:r>
            <w:r w:rsidRPr="00A36E36">
              <w:rPr>
                <w:rFonts w:ascii="Arial Narrow" w:hAnsi="Arial Narrow"/>
                <w:noProof/>
                <w:color w:val="006100"/>
                <w:sz w:val="20"/>
                <w:szCs w:val="20"/>
                <w:lang w:val="en-IE"/>
              </w:rPr>
              <w:t>January 2021 and 31 December</w:t>
            </w:r>
            <w:r w:rsidR="00364450" w:rsidRPr="0039681A">
              <w:rPr>
                <w:rFonts w:ascii="Arial Narrow" w:eastAsia="Aptos" w:hAnsi="Arial Narrow" w:cs="Times New Roman"/>
                <w:noProof/>
                <w:color w:val="006100"/>
                <w:sz w:val="20"/>
                <w:lang w:val="en-IE"/>
              </w:rPr>
              <w:t> </w:t>
            </w:r>
            <w:r w:rsidRPr="00A36E36">
              <w:rPr>
                <w:rFonts w:ascii="Arial Narrow" w:hAnsi="Arial Narrow"/>
                <w:noProof/>
                <w:color w:val="006100"/>
                <w:sz w:val="20"/>
                <w:szCs w:val="20"/>
                <w:lang w:val="en-IE"/>
              </w:rPr>
              <w:t>2022 for 4.0 tangible capital goods, 4.0 intangible capital goods, and standard intangible goods and based on tax returns presented between 1 January and 31 December 2022 for research, development and innovation activities, and training activities. For firms whose tax year does not correspond to the calendar year, also tax returns presented up to 30 November 2023 shall be included in the baseline for all the above-listed tax credits.</w:t>
            </w:r>
          </w:p>
          <w:p w14:paraId="719DB500" w14:textId="77777777" w:rsidR="0039681A" w:rsidRPr="00647572" w:rsidRDefault="0039681A">
            <w:pPr>
              <w:rPr>
                <w:rFonts w:ascii="Arial Narrow" w:hAnsi="Arial Narrow"/>
                <w:noProof/>
                <w:color w:val="006100"/>
                <w:sz w:val="20"/>
                <w:szCs w:val="20"/>
              </w:rPr>
            </w:pPr>
            <w:r w:rsidRPr="00A36E36">
              <w:rPr>
                <w:rFonts w:ascii="Arial Narrow" w:hAnsi="Arial Narrow"/>
                <w:noProof/>
                <w:color w:val="006100"/>
                <w:sz w:val="20"/>
                <w:szCs w:val="20"/>
                <w:lang w:val="en-IE"/>
              </w:rPr>
              <w:t xml:space="preserve">No firms operating in sectors of activity identified by ATECO codes 05, 06, 07 and 09 shall be considered for the target. In addition, concerning investments in 4.0 tangible capital goods as well as in development and innovation activities, no firms operating in sectors of activity identified by ATECO codes 30. </w:t>
            </w:r>
            <w:r w:rsidRPr="00647572">
              <w:rPr>
                <w:rFonts w:ascii="Arial Narrow" w:hAnsi="Arial Narrow"/>
                <w:noProof/>
                <w:color w:val="006100"/>
                <w:sz w:val="20"/>
                <w:szCs w:val="20"/>
              </w:rPr>
              <w:t>22, 29, 38, 41, 42, 43, 17, 01, 50, 19, 20, 51, 24, 49, 23 and 35 shall be considered for the target.</w:t>
            </w:r>
          </w:p>
        </w:tc>
      </w:tr>
      <w:tr w:rsidR="0039681A" w:rsidRPr="0070054C" w14:paraId="21BC27E7" w14:textId="77777777" w:rsidTr="00D619C4">
        <w:trPr>
          <w:trHeight w:val="300"/>
        </w:trPr>
        <w:tc>
          <w:tcPr>
            <w:tcW w:w="1135" w:type="dxa"/>
            <w:shd w:val="clear" w:color="auto" w:fill="C6EFCE"/>
            <w:vAlign w:val="center"/>
          </w:tcPr>
          <w:p w14:paraId="08451C0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M1C2-4</w:t>
            </w:r>
          </w:p>
        </w:tc>
        <w:tc>
          <w:tcPr>
            <w:tcW w:w="1276" w:type="dxa"/>
            <w:shd w:val="clear" w:color="auto" w:fill="C6EFCE"/>
            <w:vAlign w:val="center"/>
          </w:tcPr>
          <w:p w14:paraId="5E517BA8"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Reform 1: Reform of the Industrial Property System</w:t>
            </w:r>
          </w:p>
        </w:tc>
        <w:tc>
          <w:tcPr>
            <w:tcW w:w="1134" w:type="dxa"/>
            <w:shd w:val="clear" w:color="auto" w:fill="C6EFCE"/>
            <w:vAlign w:val="center"/>
          </w:tcPr>
          <w:p w14:paraId="7701B591"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Milestone</w:t>
            </w:r>
          </w:p>
        </w:tc>
        <w:tc>
          <w:tcPr>
            <w:tcW w:w="1559" w:type="dxa"/>
            <w:shd w:val="clear" w:color="auto" w:fill="C6EFCE"/>
            <w:vAlign w:val="center"/>
          </w:tcPr>
          <w:p w14:paraId="179F7E34"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Legislative Decree aimed at reforming the Italian industrial property code and the relevant implementing acts</w:t>
            </w:r>
          </w:p>
        </w:tc>
        <w:tc>
          <w:tcPr>
            <w:tcW w:w="1843" w:type="dxa"/>
            <w:shd w:val="clear" w:color="auto" w:fill="C6EFCE"/>
            <w:vAlign w:val="center"/>
          </w:tcPr>
          <w:p w14:paraId="5CB9548D"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new Industrial property code and provision in the related implementing acts indicating their entry into force</w:t>
            </w:r>
          </w:p>
        </w:tc>
        <w:tc>
          <w:tcPr>
            <w:tcW w:w="1359" w:type="dxa"/>
            <w:shd w:val="clear" w:color="auto" w:fill="C6EFCE"/>
            <w:vAlign w:val="center"/>
          </w:tcPr>
          <w:p w14:paraId="4CED7FE3"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476" w:type="dxa"/>
            <w:shd w:val="clear" w:color="auto" w:fill="C6EFCE"/>
            <w:vAlign w:val="center"/>
          </w:tcPr>
          <w:p w14:paraId="4E4FF910"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134" w:type="dxa"/>
            <w:shd w:val="clear" w:color="auto" w:fill="C6EFCE"/>
            <w:vAlign w:val="center"/>
          </w:tcPr>
          <w:p w14:paraId="6D12AD3B"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021" w:type="dxa"/>
            <w:shd w:val="clear" w:color="auto" w:fill="C6EFCE"/>
            <w:vAlign w:val="center"/>
          </w:tcPr>
          <w:p w14:paraId="008CA926"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Q3</w:t>
            </w:r>
          </w:p>
        </w:tc>
        <w:tc>
          <w:tcPr>
            <w:tcW w:w="709" w:type="dxa"/>
            <w:shd w:val="clear" w:color="auto" w:fill="C6EFCE"/>
            <w:vAlign w:val="center"/>
          </w:tcPr>
          <w:p w14:paraId="2F41BBE5"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2023</w:t>
            </w:r>
          </w:p>
        </w:tc>
        <w:tc>
          <w:tcPr>
            <w:tcW w:w="2814" w:type="dxa"/>
            <w:shd w:val="clear" w:color="auto" w:fill="C6EFCE"/>
            <w:vAlign w:val="center"/>
          </w:tcPr>
          <w:p w14:paraId="07D216AA" w14:textId="77777777" w:rsidR="0039681A" w:rsidRPr="00A36E36" w:rsidRDefault="0039681A">
            <w:pPr>
              <w:rPr>
                <w:rFonts w:ascii="Arial Narrow" w:hAnsi="Arial Narrow"/>
                <w:noProof/>
                <w:sz w:val="20"/>
                <w:szCs w:val="20"/>
                <w:lang w:val="en-IE"/>
              </w:rPr>
            </w:pPr>
            <w:r w:rsidRPr="00A36E36">
              <w:rPr>
                <w:rFonts w:ascii="Arial Narrow" w:hAnsi="Arial Narrow"/>
                <w:noProof/>
                <w:color w:val="006100"/>
                <w:sz w:val="20"/>
                <w:lang w:val="en-IE"/>
              </w:rPr>
              <w:t>The new Legislative Decree shall amend the Italian industrial property code (Legislative Decree n. 30 of 10 February 2005) and cover the following areas as a minimum: (i) review of the regulatory framework to strengthen the protection of industrial property rights and simplify procedures, (ii) strengthen the support to companies and research institutions, (iii) enhance skills and competences development, (iv) facilitate knowledge transfer, (v) strengthen innovative services promotion.</w:t>
            </w:r>
          </w:p>
        </w:tc>
      </w:tr>
      <w:tr w:rsidR="0039681A" w:rsidRPr="0070054C" w14:paraId="799A3BB2" w14:textId="77777777" w:rsidTr="00D619C4">
        <w:trPr>
          <w:trHeight w:val="300"/>
        </w:trPr>
        <w:tc>
          <w:tcPr>
            <w:tcW w:w="1135" w:type="dxa"/>
            <w:shd w:val="clear" w:color="auto" w:fill="C6EFCE"/>
            <w:vAlign w:val="center"/>
          </w:tcPr>
          <w:p w14:paraId="4A53843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M1C2-5</w:t>
            </w:r>
          </w:p>
        </w:tc>
        <w:tc>
          <w:tcPr>
            <w:tcW w:w="1276" w:type="dxa"/>
            <w:shd w:val="clear" w:color="auto" w:fill="C6EFCE"/>
            <w:vAlign w:val="center"/>
          </w:tcPr>
          <w:p w14:paraId="010462DA"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Investment 6: Investment in the Industrial Property System</w:t>
            </w:r>
          </w:p>
        </w:tc>
        <w:tc>
          <w:tcPr>
            <w:tcW w:w="1134" w:type="dxa"/>
            <w:shd w:val="clear" w:color="auto" w:fill="C6EFCE"/>
            <w:vAlign w:val="center"/>
          </w:tcPr>
          <w:p w14:paraId="205102CA" w14:textId="77777777" w:rsidR="0039681A" w:rsidRPr="00647572" w:rsidRDefault="0039681A">
            <w:pPr>
              <w:spacing w:before="120" w:after="120"/>
              <w:rPr>
                <w:rFonts w:ascii="Arial Narrow" w:hAnsi="Arial Narrow"/>
                <w:noProof/>
                <w:sz w:val="20"/>
                <w:szCs w:val="20"/>
              </w:rPr>
            </w:pPr>
            <w:r w:rsidRPr="00647572">
              <w:rPr>
                <w:rFonts w:ascii="Arial Narrow" w:hAnsi="Arial Narrow"/>
                <w:noProof/>
                <w:color w:val="006100"/>
                <w:sz w:val="20"/>
                <w:szCs w:val="20"/>
              </w:rPr>
              <w:t>Target</w:t>
            </w:r>
          </w:p>
        </w:tc>
        <w:tc>
          <w:tcPr>
            <w:tcW w:w="1559" w:type="dxa"/>
            <w:shd w:val="clear" w:color="auto" w:fill="C6EFCE"/>
            <w:vAlign w:val="center"/>
          </w:tcPr>
          <w:p w14:paraId="5EE4BEB2"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szCs w:val="20"/>
                <w:lang w:val="en-IE"/>
              </w:rPr>
              <w:t>Final activities/project reports for at least 254 projects related to Industrial Property and research.</w:t>
            </w:r>
          </w:p>
        </w:tc>
        <w:tc>
          <w:tcPr>
            <w:tcW w:w="1843" w:type="dxa"/>
            <w:shd w:val="clear" w:color="auto" w:fill="C6EFCE"/>
            <w:vAlign w:val="center"/>
          </w:tcPr>
          <w:p w14:paraId="0874AAAA"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359" w:type="dxa"/>
            <w:shd w:val="clear" w:color="auto" w:fill="C6EFCE"/>
            <w:vAlign w:val="center"/>
          </w:tcPr>
          <w:p w14:paraId="7EC3FE71"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szCs w:val="20"/>
              </w:rPr>
              <w:t>Number</w:t>
            </w:r>
          </w:p>
        </w:tc>
        <w:tc>
          <w:tcPr>
            <w:tcW w:w="1476" w:type="dxa"/>
            <w:shd w:val="clear" w:color="auto" w:fill="C6EFCE"/>
            <w:vAlign w:val="center"/>
          </w:tcPr>
          <w:p w14:paraId="40052837"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szCs w:val="20"/>
              </w:rPr>
              <w:t>0</w:t>
            </w:r>
          </w:p>
        </w:tc>
        <w:tc>
          <w:tcPr>
            <w:tcW w:w="1134" w:type="dxa"/>
            <w:shd w:val="clear" w:color="auto" w:fill="C6EFCE"/>
            <w:vAlign w:val="center"/>
          </w:tcPr>
          <w:p w14:paraId="20E4A6DD"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szCs w:val="20"/>
              </w:rPr>
              <w:t>254</w:t>
            </w:r>
          </w:p>
        </w:tc>
        <w:tc>
          <w:tcPr>
            <w:tcW w:w="1021" w:type="dxa"/>
            <w:shd w:val="clear" w:color="auto" w:fill="C6EFCE"/>
            <w:vAlign w:val="center"/>
          </w:tcPr>
          <w:p w14:paraId="7EE240CD"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Q4</w:t>
            </w:r>
          </w:p>
        </w:tc>
        <w:tc>
          <w:tcPr>
            <w:tcW w:w="709" w:type="dxa"/>
            <w:shd w:val="clear" w:color="auto" w:fill="C6EFCE"/>
            <w:vAlign w:val="center"/>
          </w:tcPr>
          <w:p w14:paraId="48DCF47B"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2025</w:t>
            </w:r>
          </w:p>
        </w:tc>
        <w:tc>
          <w:tcPr>
            <w:tcW w:w="2814" w:type="dxa"/>
            <w:shd w:val="clear" w:color="auto" w:fill="C6EFCE"/>
            <w:vAlign w:val="center"/>
          </w:tcPr>
          <w:p w14:paraId="5F9BDDD6" w14:textId="77777777" w:rsidR="0039681A" w:rsidRPr="00A36E36" w:rsidRDefault="0039681A">
            <w:pPr>
              <w:spacing w:before="120" w:after="120" w:line="278" w:lineRule="auto"/>
              <w:rPr>
                <w:rFonts w:ascii="Arial Narrow" w:hAnsi="Arial Narrow"/>
                <w:noProof/>
                <w:sz w:val="20"/>
                <w:szCs w:val="20"/>
                <w:lang w:val="en-IE"/>
              </w:rPr>
            </w:pPr>
            <w:r w:rsidRPr="00A36E36">
              <w:rPr>
                <w:rFonts w:ascii="Arial Narrow" w:hAnsi="Arial Narrow"/>
                <w:noProof/>
                <w:color w:val="006100"/>
                <w:sz w:val="20"/>
                <w:szCs w:val="20"/>
                <w:lang w:val="en-IE"/>
              </w:rPr>
              <w:t>Final activities/project reports signed by the beneficiary entities have been provided for at least 254 projects.</w:t>
            </w:r>
          </w:p>
        </w:tc>
      </w:tr>
      <w:tr w:rsidR="0039681A" w:rsidRPr="0070054C" w14:paraId="703366DA" w14:textId="77777777" w:rsidTr="00D619C4">
        <w:trPr>
          <w:trHeight w:val="300"/>
        </w:trPr>
        <w:tc>
          <w:tcPr>
            <w:tcW w:w="1135" w:type="dxa"/>
            <w:shd w:val="clear" w:color="auto" w:fill="C6EFCE"/>
            <w:vAlign w:val="center"/>
          </w:tcPr>
          <w:p w14:paraId="2CF11D8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M1C2-6</w:t>
            </w:r>
          </w:p>
        </w:tc>
        <w:tc>
          <w:tcPr>
            <w:tcW w:w="1276" w:type="dxa"/>
            <w:shd w:val="clear" w:color="auto" w:fill="C6EFCE"/>
            <w:vAlign w:val="center"/>
          </w:tcPr>
          <w:p w14:paraId="3906228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shd w:val="clear" w:color="auto" w:fill="C6EFCE"/>
            <w:vAlign w:val="center"/>
          </w:tcPr>
          <w:p w14:paraId="3B684DA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shd w:val="clear" w:color="auto" w:fill="C6EFCE"/>
            <w:vAlign w:val="center"/>
          </w:tcPr>
          <w:p w14:paraId="2B77854A"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Annual Competition Law 2021</w:t>
            </w:r>
          </w:p>
        </w:tc>
        <w:tc>
          <w:tcPr>
            <w:tcW w:w="1843" w:type="dxa"/>
            <w:shd w:val="clear" w:color="auto" w:fill="C6EFCE"/>
            <w:vAlign w:val="center"/>
          </w:tcPr>
          <w:p w14:paraId="23413343"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indicating the entry into force of the Annual Competition Law 2021.</w:t>
            </w:r>
          </w:p>
        </w:tc>
        <w:tc>
          <w:tcPr>
            <w:tcW w:w="1359" w:type="dxa"/>
            <w:shd w:val="clear" w:color="auto" w:fill="C6EFCE"/>
            <w:vAlign w:val="center"/>
          </w:tcPr>
          <w:p w14:paraId="175860D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shd w:val="clear" w:color="auto" w:fill="C6EFCE"/>
            <w:vAlign w:val="center"/>
          </w:tcPr>
          <w:p w14:paraId="3487E73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5CBE951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shd w:val="clear" w:color="auto" w:fill="C6EFCE"/>
            <w:vAlign w:val="center"/>
          </w:tcPr>
          <w:p w14:paraId="166A078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shd w:val="clear" w:color="auto" w:fill="C6EFCE"/>
            <w:vAlign w:val="center"/>
          </w:tcPr>
          <w:p w14:paraId="7CAF385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2022</w:t>
            </w:r>
          </w:p>
        </w:tc>
        <w:tc>
          <w:tcPr>
            <w:tcW w:w="2814" w:type="dxa"/>
            <w:shd w:val="clear" w:color="auto" w:fill="C6EFCE"/>
            <w:vAlign w:val="center"/>
          </w:tcPr>
          <w:p w14:paraId="6910E580"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Annual Competition Law shall include, at least, the following key elements, whose implementing measures and secondary legislation (if necessary) shall be adopted and enter into force no later than 31 December 2022.</w:t>
            </w:r>
          </w:p>
          <w:p w14:paraId="48414A6C" w14:textId="46B6CADB"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It shall concern:</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 Antitrust enforcement</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 Local public services</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 Energy</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 Transport</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 Waste</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 Starting a business</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 Market surveillance</w:t>
            </w:r>
          </w:p>
          <w:p w14:paraId="0BD0F2CB"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Antitrust enforcement:</w:t>
            </w:r>
          </w:p>
          <w:p w14:paraId="69FF1C40"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 Remove additional hurdles to merger-control by further aligning the Italian merger-control rules with EU law.</w:t>
            </w:r>
          </w:p>
          <w:p w14:paraId="7AEBC087"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Local public services:</w:t>
            </w:r>
          </w:p>
          <w:p w14:paraId="4145EFDB"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ii. Strengthen and make more widespread use of the principle of competition for local public services contracts, in particular in waste and local public transport.</w:t>
            </w:r>
          </w:p>
          <w:p w14:paraId="330F854B"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iii. Limit direct awards by requiring local public authorities to justify any deviation from the tendering of public service contracts (as per Article 192 of the Public Procurement Code).</w:t>
            </w:r>
          </w:p>
          <w:p w14:paraId="757954D3"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iv. Provide for the proper regulation of public service contracts by implementing article 19 of Law 124/2015 as a single text on local public services, in particular in waste management.</w:t>
            </w:r>
          </w:p>
          <w:p w14:paraId="4AB826E7"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v. Rules and aggregation mechanisms incentivize municipalities’ unions in order to reduce the number of entities and contracting authorities by linking them to the optimal territorial aggregations (“ambiti territoriali ottimali”) and the areas and adequate levels of local and regional public transport services (“bacini e livelli adeguati di servizi di trasporto pubblico locale e regionale”) of at least 350</w:t>
            </w:r>
            <w:r w:rsidRPr="00A36E36">
              <w:rPr>
                <w:noProof/>
                <w:color w:val="006100"/>
                <w:sz w:val="20"/>
                <w:lang w:val="en-IE"/>
              </w:rPr>
              <w:t> </w:t>
            </w:r>
            <w:r w:rsidRPr="00A36E36">
              <w:rPr>
                <w:rFonts w:ascii="Arial Narrow" w:hAnsi="Arial Narrow"/>
                <w:noProof/>
                <w:color w:val="006100"/>
                <w:sz w:val="20"/>
                <w:lang w:val="en-IE"/>
              </w:rPr>
              <w:t>000 inhabitants.</w:t>
            </w:r>
          </w:p>
          <w:p w14:paraId="15B93653"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legal act on local public services that implements Article 19 of Law 124/2015 shall at least:</w:t>
            </w:r>
          </w:p>
          <w:p w14:paraId="7D65CFC9"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define public services based on EU law criteria;</w:t>
            </w:r>
          </w:p>
          <w:p w14:paraId="45E156B8"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provides for general principles of provision, regulation and management of local public services;</w:t>
            </w:r>
          </w:p>
          <w:p w14:paraId="70C89EB1"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establish a general principle of proportionality in the length of public service contracts;</w:t>
            </w:r>
          </w:p>
          <w:p w14:paraId="5B7CE1F0"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clearly separate the functions of regulation and control and the management of public service contracts;</w:t>
            </w:r>
          </w:p>
          <w:p w14:paraId="60F494EB"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ensure that local public authorities justify their increase in shares of participated companies for in-house awards;</w:t>
            </w:r>
          </w:p>
          <w:p w14:paraId="2201E852"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provide for proper compensation of public service contracts, based on costing overseen by an independent regulators (e.g. ARERA for energy or ART for transport);</w:t>
            </w:r>
          </w:p>
          <w:p w14:paraId="3E3A4950"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limit the average duration of in-house contracts and reduce and harmonize across tendering entities the standard length of tendered contracts, provided that the duration ensures the economic and financial equilibrium of the contracts, also based on the criteria set forth by the Transports Authority.</w:t>
            </w:r>
          </w:p>
          <w:p w14:paraId="5D1B4C64"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Energy:</w:t>
            </w:r>
          </w:p>
          <w:p w14:paraId="7B4E795B"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vi.</w:t>
            </w:r>
            <w:r w:rsidRPr="00A36E36">
              <w:rPr>
                <w:rFonts w:ascii="Arial Narrow" w:hAnsi="Arial Narrow"/>
                <w:noProof/>
                <w:lang w:val="en-IE"/>
              </w:rPr>
              <w:t xml:space="preserve"> </w:t>
            </w:r>
            <w:r w:rsidRPr="00A36E36">
              <w:rPr>
                <w:rFonts w:ascii="Arial Narrow" w:hAnsi="Arial Narrow"/>
                <w:noProof/>
                <w:color w:val="006100"/>
                <w:sz w:val="20"/>
                <w:lang w:val="en-IE"/>
              </w:rPr>
              <w:t>Make the tendering of concessions contracts mandatory for hydropower and define the regulatory framework for hydropower concessions.</w:t>
            </w:r>
          </w:p>
          <w:p w14:paraId="0C92A0E2"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vii.</w:t>
            </w:r>
            <w:r w:rsidRPr="00A36E36">
              <w:rPr>
                <w:rFonts w:ascii="Arial Narrow" w:hAnsi="Arial Narrow"/>
                <w:noProof/>
                <w:lang w:val="en-IE"/>
              </w:rPr>
              <w:t xml:space="preserve"> </w:t>
            </w:r>
            <w:r w:rsidRPr="00A36E36">
              <w:rPr>
                <w:rFonts w:ascii="Arial Narrow" w:hAnsi="Arial Narrow"/>
                <w:noProof/>
                <w:color w:val="006100"/>
                <w:sz w:val="20"/>
                <w:lang w:val="en-IE"/>
              </w:rPr>
              <w:t>Make the tendering of concessions contracts mandatory for gas distribution.</w:t>
            </w:r>
          </w:p>
          <w:p w14:paraId="7032A549"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viii.</w:t>
            </w:r>
            <w:r w:rsidRPr="00A36E36">
              <w:rPr>
                <w:rFonts w:ascii="Arial Narrow" w:hAnsi="Arial Narrow"/>
                <w:noProof/>
                <w:lang w:val="en-IE"/>
              </w:rPr>
              <w:t xml:space="preserve"> </w:t>
            </w:r>
            <w:r w:rsidRPr="00A36E36">
              <w:rPr>
                <w:rFonts w:ascii="Arial Narrow" w:hAnsi="Arial Narrow"/>
                <w:noProof/>
                <w:color w:val="006100"/>
                <w:sz w:val="20"/>
                <w:lang w:val="en-IE"/>
              </w:rPr>
              <w:t>Establish transparent and non-discriminatory requirements for the assignment of public spaces for electric charging or for the selection charging point/station operators.</w:t>
            </w:r>
          </w:p>
          <w:p w14:paraId="61FBE1A5"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ix.</w:t>
            </w:r>
            <w:r w:rsidRPr="00A36E36">
              <w:rPr>
                <w:rFonts w:ascii="Arial Narrow" w:hAnsi="Arial Narrow"/>
                <w:noProof/>
                <w:lang w:val="en-IE"/>
              </w:rPr>
              <w:t xml:space="preserve"> </w:t>
            </w:r>
            <w:r w:rsidRPr="00A36E36">
              <w:rPr>
                <w:rFonts w:ascii="Arial Narrow" w:hAnsi="Arial Narrow"/>
                <w:noProof/>
                <w:color w:val="006100"/>
                <w:sz w:val="20"/>
                <w:lang w:val="en-IE"/>
              </w:rPr>
              <w:t>Remove regulated tariffs for electricity supply for electric vehicle charging.</w:t>
            </w:r>
          </w:p>
          <w:p w14:paraId="170C6829"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competition framework for hydropower concessions shall at least:</w:t>
            </w:r>
          </w:p>
          <w:p w14:paraId="5204B1FA"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rFonts w:ascii="Arial Narrow" w:hAnsi="Arial Narrow"/>
                <w:noProof/>
                <w:lang w:val="en-IE"/>
              </w:rPr>
              <w:t xml:space="preserve"> </w:t>
            </w:r>
            <w:r w:rsidRPr="00A36E36">
              <w:rPr>
                <w:rFonts w:ascii="Arial Narrow" w:hAnsi="Arial Narrow"/>
                <w:noProof/>
                <w:color w:val="006100"/>
                <w:sz w:val="20"/>
                <w:lang w:val="en-IE"/>
              </w:rPr>
              <w:t>Require that important hydropower facilities should be regulated by general and uniform criteria at central level.</w:t>
            </w:r>
          </w:p>
          <w:p w14:paraId="192CAFCB"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rFonts w:ascii="Arial Narrow" w:hAnsi="Arial Narrow"/>
                <w:noProof/>
                <w:lang w:val="en-IE"/>
              </w:rPr>
              <w:t xml:space="preserve"> </w:t>
            </w:r>
            <w:r w:rsidRPr="00A36E36">
              <w:rPr>
                <w:rFonts w:ascii="Arial Narrow" w:hAnsi="Arial Narrow"/>
                <w:noProof/>
                <w:color w:val="006100"/>
                <w:sz w:val="20"/>
                <w:lang w:val="en-IE"/>
              </w:rPr>
              <w:t>Require Regions to define the economic criteria that underpin the duration of concession contracts.</w:t>
            </w:r>
          </w:p>
          <w:p w14:paraId="6260CEC5"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-Phase out the possibility to extend contracts (as already ruled by the Italian Constitutional Court).</w:t>
            </w:r>
          </w:p>
          <w:p w14:paraId="36E9351B"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rFonts w:ascii="Arial Narrow" w:hAnsi="Arial Narrow"/>
                <w:noProof/>
                <w:lang w:val="en-IE"/>
              </w:rPr>
              <w:t xml:space="preserve"> </w:t>
            </w:r>
            <w:r w:rsidRPr="00A36E36">
              <w:rPr>
                <w:rFonts w:ascii="Arial Narrow" w:hAnsi="Arial Narrow"/>
                <w:noProof/>
                <w:color w:val="006100"/>
                <w:sz w:val="20"/>
                <w:lang w:val="en-IE"/>
              </w:rPr>
              <w:t>Require Regions to harmonise the access criteria to the tendering criteria (to create a predictable business environment).</w:t>
            </w:r>
          </w:p>
          <w:p w14:paraId="2BA728F9"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Transport:</w:t>
            </w:r>
          </w:p>
          <w:p w14:paraId="46DB9BF8"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w:t>
            </w:r>
            <w:r w:rsidRPr="00A36E36">
              <w:rPr>
                <w:rFonts w:ascii="Arial Narrow" w:hAnsi="Arial Narrow"/>
                <w:noProof/>
                <w:lang w:val="en-IE"/>
              </w:rPr>
              <w:t xml:space="preserve"> </w:t>
            </w:r>
            <w:r w:rsidRPr="00A36E36">
              <w:rPr>
                <w:rFonts w:ascii="Arial Narrow" w:hAnsi="Arial Narrow"/>
                <w:noProof/>
                <w:color w:val="006100"/>
                <w:sz w:val="20"/>
                <w:lang w:val="en-IE"/>
              </w:rPr>
              <w:t>Establish clear, non-discriminatory and transparent criteria for the award for port concessions.</w:t>
            </w:r>
          </w:p>
          <w:p w14:paraId="71FB45D1"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xi.</w:t>
            </w:r>
            <w:r w:rsidRPr="00A36E36">
              <w:rPr>
                <w:rFonts w:ascii="Arial Narrow" w:hAnsi="Arial Narrow"/>
                <w:noProof/>
                <w:lang w:val="en-IE"/>
              </w:rPr>
              <w:t xml:space="preserve"> </w:t>
            </w:r>
            <w:r w:rsidRPr="00A36E36">
              <w:rPr>
                <w:rFonts w:ascii="Arial Narrow" w:hAnsi="Arial Narrow"/>
                <w:noProof/>
                <w:color w:val="006100"/>
                <w:sz w:val="20"/>
                <w:lang w:val="en-IE"/>
              </w:rPr>
              <w:t>Remove barriers for port concessionaires to merge port concession activities in several big and medium-sized ports.</w:t>
            </w:r>
          </w:p>
          <w:p w14:paraId="4FB26321"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xii.</w:t>
            </w:r>
            <w:r w:rsidRPr="00A36E36">
              <w:rPr>
                <w:rFonts w:ascii="Arial Narrow" w:hAnsi="Arial Narrow"/>
                <w:noProof/>
                <w:lang w:val="en-IE"/>
              </w:rPr>
              <w:t xml:space="preserve"> </w:t>
            </w:r>
            <w:r w:rsidRPr="00A36E36">
              <w:rPr>
                <w:rFonts w:ascii="Arial Narrow" w:hAnsi="Arial Narrow"/>
                <w:noProof/>
                <w:color w:val="006100"/>
                <w:sz w:val="20"/>
                <w:lang w:val="en-IE"/>
              </w:rPr>
              <w:t>Remove barriers that prevent concessionaires from providing some of the port services themselves and using their own equipment, without prejudice to the safety of workers, provided that the relevant conditions required to protect safety of workers are necessary and proportionate to the objective of ensuring safety in the port areas.</w:t>
            </w:r>
          </w:p>
          <w:p w14:paraId="0991BABD"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xiii.</w:t>
            </w:r>
            <w:r w:rsidRPr="00A36E36">
              <w:rPr>
                <w:rFonts w:ascii="Arial Narrow" w:hAnsi="Arial Narrow"/>
                <w:noProof/>
                <w:lang w:val="en-IE"/>
              </w:rPr>
              <w:t xml:space="preserve"> </w:t>
            </w:r>
            <w:r w:rsidRPr="00A36E36">
              <w:rPr>
                <w:rFonts w:ascii="Arial Narrow" w:hAnsi="Arial Narrow"/>
                <w:noProof/>
                <w:color w:val="006100"/>
                <w:sz w:val="20"/>
                <w:lang w:val="en-IE"/>
              </w:rPr>
              <w:t>Simplify the revision of the procedures for the revision of the ports’ authorization plans.</w:t>
            </w:r>
          </w:p>
          <w:p w14:paraId="36B59EA8"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xiv.</w:t>
            </w:r>
            <w:r w:rsidRPr="00A36E36">
              <w:rPr>
                <w:rFonts w:ascii="Arial Narrow" w:hAnsi="Arial Narrow"/>
                <w:noProof/>
                <w:lang w:val="en-IE"/>
              </w:rPr>
              <w:t xml:space="preserve"> </w:t>
            </w:r>
            <w:r w:rsidRPr="00A36E36">
              <w:rPr>
                <w:rFonts w:ascii="Arial Narrow" w:hAnsi="Arial Narrow"/>
                <w:noProof/>
                <w:color w:val="006100"/>
                <w:sz w:val="20"/>
                <w:lang w:val="en-IE"/>
              </w:rPr>
              <w:t>Implement article 27 comma 2 d) of Decree-Law 50/2017, which provides incentives for regions to tender out their regional railway contracts.</w:t>
            </w:r>
          </w:p>
          <w:p w14:paraId="70945D22"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Waste:</w:t>
            </w:r>
          </w:p>
          <w:p w14:paraId="06C5D3D9"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xv.</w:t>
            </w:r>
            <w:r w:rsidRPr="00A36E36">
              <w:rPr>
                <w:rFonts w:ascii="Arial Narrow" w:hAnsi="Arial Narrow"/>
                <w:noProof/>
                <w:lang w:val="en-IE"/>
              </w:rPr>
              <w:t xml:space="preserve"> </w:t>
            </w:r>
            <w:r w:rsidRPr="00A36E36">
              <w:rPr>
                <w:rFonts w:ascii="Arial Narrow" w:hAnsi="Arial Narrow"/>
                <w:noProof/>
                <w:color w:val="006100"/>
                <w:sz w:val="20"/>
                <w:lang w:val="en-IE"/>
              </w:rPr>
              <w:t>Simplify authorization procedures for waste treatment facilities.</w:t>
            </w:r>
          </w:p>
          <w:p w14:paraId="6E5CCDEC"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Starting a business:</w:t>
            </w:r>
          </w:p>
          <w:p w14:paraId="7954C95F"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xvi.</w:t>
            </w:r>
            <w:r w:rsidRPr="00A36E36">
              <w:rPr>
                <w:rFonts w:ascii="Arial Narrow" w:hAnsi="Arial Narrow"/>
                <w:noProof/>
                <w:lang w:val="en-IE"/>
              </w:rPr>
              <w:t xml:space="preserve"> </w:t>
            </w:r>
            <w:r w:rsidRPr="00A36E36">
              <w:rPr>
                <w:rFonts w:ascii="Arial Narrow" w:hAnsi="Arial Narrow"/>
                <w:noProof/>
                <w:color w:val="006100"/>
                <w:sz w:val="20"/>
                <w:lang w:val="en-IE"/>
              </w:rPr>
              <w:t>Reduce the time of accreditation for providing information about employees, from seven to four days to reduce the number of days to set up a business.</w:t>
            </w:r>
          </w:p>
          <w:p w14:paraId="44BE3E6B"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Market surveillance:</w:t>
            </w:r>
          </w:p>
          <w:p w14:paraId="516D60EB"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xvii.</w:t>
            </w:r>
            <w:r w:rsidRPr="00A36E36">
              <w:rPr>
                <w:rFonts w:ascii="Arial Narrow" w:hAnsi="Arial Narrow"/>
                <w:noProof/>
                <w:lang w:val="en-IE"/>
              </w:rPr>
              <w:t xml:space="preserve"> </w:t>
            </w:r>
            <w:r w:rsidRPr="00A36E36">
              <w:rPr>
                <w:rFonts w:ascii="Arial Narrow" w:hAnsi="Arial Narrow"/>
                <w:noProof/>
                <w:color w:val="006100"/>
                <w:sz w:val="20"/>
                <w:lang w:val="en-IE"/>
              </w:rPr>
              <w:t>Consolidation of national market surveillance authorities in not more than ten agencies located in the main regions of Italy, each of them covering all product groups and reporting to the single liaison officer set up according to Regulation 2019/1020 (“Goods Package”).</w:t>
            </w:r>
          </w:p>
          <w:p w14:paraId="6C2BED3D"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xviii.</w:t>
            </w:r>
            <w:r w:rsidRPr="00A36E36">
              <w:rPr>
                <w:rFonts w:ascii="Arial Narrow" w:hAnsi="Arial Narrow"/>
                <w:noProof/>
                <w:lang w:val="en-IE"/>
              </w:rPr>
              <w:t xml:space="preserve"> </w:t>
            </w:r>
            <w:r w:rsidRPr="00A36E36">
              <w:rPr>
                <w:rFonts w:ascii="Arial Narrow" w:hAnsi="Arial Narrow"/>
                <w:noProof/>
                <w:color w:val="006100"/>
                <w:sz w:val="20"/>
                <w:lang w:val="en-IE"/>
              </w:rPr>
              <w:t>Require national market surveillance authorities to conduct digitalized product inspections and data collection, to apply artificial intelligence to trace dangerous and illicit products and to identify trends and risks in the single market.</w:t>
            </w:r>
          </w:p>
          <w:p w14:paraId="6C391D24"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xix.</w:t>
            </w:r>
            <w:r w:rsidRPr="00A36E36">
              <w:rPr>
                <w:rFonts w:ascii="Arial Narrow" w:hAnsi="Arial Narrow"/>
                <w:noProof/>
                <w:lang w:val="en-IE"/>
              </w:rPr>
              <w:t xml:space="preserve"> </w:t>
            </w:r>
            <w:r w:rsidRPr="00A36E36">
              <w:rPr>
                <w:rFonts w:ascii="Arial Narrow" w:hAnsi="Arial Narrow"/>
                <w:noProof/>
                <w:color w:val="006100"/>
                <w:sz w:val="20"/>
                <w:lang w:val="en-IE"/>
              </w:rPr>
              <w:t>Require national market surveillance authorities to include training and the use of the Information and Communication System for the pan-European market surveillance.</w:t>
            </w:r>
          </w:p>
          <w:p w14:paraId="661FE224"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xx.</w:t>
            </w:r>
            <w:r w:rsidRPr="00A36E36">
              <w:rPr>
                <w:rFonts w:ascii="Arial Narrow" w:hAnsi="Arial Narrow"/>
                <w:noProof/>
                <w:lang w:val="en-IE"/>
              </w:rPr>
              <w:t xml:space="preserve"> </w:t>
            </w:r>
            <w:r w:rsidRPr="00A36E36">
              <w:rPr>
                <w:rFonts w:ascii="Arial Narrow" w:hAnsi="Arial Narrow"/>
                <w:noProof/>
                <w:color w:val="006100"/>
                <w:sz w:val="20"/>
                <w:lang w:val="en-IE"/>
              </w:rPr>
              <w:t>Establish new accredited laboratories for product testing for all product groups. These laboratories shall conduct testing of e-commerce, physical laboratory testing, joint actions (customs/market surveillance authorities; two or more national market surveillance authorities, national and EU market authorities).</w:t>
            </w:r>
          </w:p>
        </w:tc>
      </w:tr>
      <w:tr w:rsidR="0039681A" w:rsidRPr="0070054C" w14:paraId="220F77A8" w14:textId="77777777" w:rsidTr="00D619C4">
        <w:trPr>
          <w:trHeight w:val="300"/>
        </w:trPr>
        <w:tc>
          <w:tcPr>
            <w:tcW w:w="1135" w:type="dxa"/>
            <w:shd w:val="clear" w:color="auto" w:fill="C6EFCE"/>
            <w:vAlign w:val="center"/>
          </w:tcPr>
          <w:p w14:paraId="7EFDA8FC"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M1C2-7</w:t>
            </w:r>
          </w:p>
        </w:tc>
        <w:tc>
          <w:tcPr>
            <w:tcW w:w="1276" w:type="dxa"/>
            <w:shd w:val="clear" w:color="auto" w:fill="C6EFCE"/>
            <w:vAlign w:val="center"/>
          </w:tcPr>
          <w:p w14:paraId="6448CC0C"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shd w:val="clear" w:color="auto" w:fill="C6EFCE"/>
            <w:vAlign w:val="center"/>
          </w:tcPr>
          <w:p w14:paraId="57C8D5FA"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shd w:val="clear" w:color="auto" w:fill="C6EFCE"/>
            <w:vAlign w:val="center"/>
          </w:tcPr>
          <w:p w14:paraId="4EC5CE0E"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energy-related implementing measures and secondary legislation (if necessary)</w:t>
            </w:r>
          </w:p>
        </w:tc>
        <w:tc>
          <w:tcPr>
            <w:tcW w:w="1843" w:type="dxa"/>
            <w:shd w:val="clear" w:color="auto" w:fill="C6EFCE"/>
            <w:vAlign w:val="center"/>
          </w:tcPr>
          <w:p w14:paraId="157EE10E"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energy-related implementing measures and secondary legislation (if necessary)</w:t>
            </w:r>
          </w:p>
        </w:tc>
        <w:tc>
          <w:tcPr>
            <w:tcW w:w="1359" w:type="dxa"/>
            <w:shd w:val="clear" w:color="auto" w:fill="C6EFCE"/>
            <w:vAlign w:val="center"/>
          </w:tcPr>
          <w:p w14:paraId="3F8C942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shd w:val="clear" w:color="auto" w:fill="C6EFCE"/>
            <w:vAlign w:val="center"/>
          </w:tcPr>
          <w:p w14:paraId="0F1B78C1"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2BF4318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shd w:val="clear" w:color="auto" w:fill="C6EFCE"/>
            <w:vAlign w:val="center"/>
          </w:tcPr>
          <w:p w14:paraId="521C980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shd w:val="clear" w:color="auto" w:fill="C6EFCE"/>
            <w:vAlign w:val="center"/>
          </w:tcPr>
          <w:p w14:paraId="2E002C4A"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2022</w:t>
            </w:r>
          </w:p>
        </w:tc>
        <w:tc>
          <w:tcPr>
            <w:tcW w:w="2814" w:type="dxa"/>
            <w:shd w:val="clear" w:color="auto" w:fill="C6EFCE"/>
            <w:vAlign w:val="center"/>
          </w:tcPr>
          <w:p w14:paraId="57AFE920"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energy-related implementing measures and secondary legislation (if necessary) to:</w:t>
            </w:r>
          </w:p>
          <w:p w14:paraId="128F4D17"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w:t>
            </w:r>
            <w:r w:rsidRPr="00A36E36">
              <w:rPr>
                <w:rFonts w:ascii="Arial Narrow" w:hAnsi="Arial Narrow"/>
                <w:noProof/>
                <w:lang w:val="en-IE"/>
              </w:rPr>
              <w:t xml:space="preserve"> </w:t>
            </w:r>
            <w:r w:rsidRPr="00A36E36">
              <w:rPr>
                <w:rFonts w:ascii="Arial Narrow" w:hAnsi="Arial Narrow"/>
                <w:noProof/>
                <w:color w:val="006100"/>
                <w:sz w:val="20"/>
                <w:lang w:val="en-IE"/>
              </w:rPr>
              <w:t>Phase out regulated prices for micro-enterprises and households as from 1 January 2023.</w:t>
            </w:r>
          </w:p>
          <w:p w14:paraId="1E8D2461"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ii.</w:t>
            </w:r>
            <w:r w:rsidRPr="00A36E36">
              <w:rPr>
                <w:rFonts w:ascii="Arial Narrow" w:hAnsi="Arial Narrow"/>
                <w:noProof/>
                <w:lang w:val="en-IE"/>
              </w:rPr>
              <w:t xml:space="preserve"> </w:t>
            </w:r>
            <w:r w:rsidRPr="00A36E36">
              <w:rPr>
                <w:rFonts w:ascii="Arial Narrow" w:hAnsi="Arial Narrow"/>
                <w:noProof/>
                <w:color w:val="006100"/>
                <w:sz w:val="20"/>
                <w:lang w:val="en-IE"/>
              </w:rPr>
              <w:t>Adopt flanking measures to support the uptake of competition in electricity retail markets.</w:t>
            </w:r>
          </w:p>
          <w:p w14:paraId="27B9597C"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flanking measures to ensure the uptake of competition in electricity retail markets shall provide at least the following:</w:t>
            </w:r>
          </w:p>
          <w:p w14:paraId="0CAA9F06"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Auction the customer base to level the playing field for new entrants.</w:t>
            </w:r>
          </w:p>
          <w:p w14:paraId="08A36CC5"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Fix a ceiling as a maximum market share available to each supplier;</w:t>
            </w:r>
          </w:p>
          <w:p w14:paraId="00906EE7"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Allow Italian consumers to ask their energy supplier to disclose their billing data to a third-party providers;</w:t>
            </w:r>
          </w:p>
          <w:p w14:paraId="3FFB4346"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Increase transparency on the electricity bill by giving consumers access to the sub-components of the “spesi per oneri di sistema”;</w:t>
            </w:r>
          </w:p>
          <w:p w14:paraId="2550A67B"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Remove the requirement for suppliers to collect charges unrelated to the energy sector.</w:t>
            </w:r>
          </w:p>
        </w:tc>
      </w:tr>
      <w:tr w:rsidR="0039681A" w:rsidRPr="0070054C" w14:paraId="52782235" w14:textId="77777777" w:rsidTr="00D619C4">
        <w:trPr>
          <w:trHeight w:val="300"/>
        </w:trPr>
        <w:tc>
          <w:tcPr>
            <w:tcW w:w="1135" w:type="dxa"/>
            <w:shd w:val="clear" w:color="auto" w:fill="C6EFCE"/>
            <w:vAlign w:val="center"/>
          </w:tcPr>
          <w:p w14:paraId="466E19A2"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M1C2-8</w:t>
            </w:r>
          </w:p>
        </w:tc>
        <w:tc>
          <w:tcPr>
            <w:tcW w:w="1276" w:type="dxa"/>
            <w:shd w:val="clear" w:color="auto" w:fill="C6EFCE"/>
            <w:vAlign w:val="center"/>
          </w:tcPr>
          <w:p w14:paraId="08DA3F23"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shd w:val="clear" w:color="auto" w:fill="C6EFCE"/>
            <w:vAlign w:val="center"/>
          </w:tcPr>
          <w:p w14:paraId="37B4C8A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shd w:val="clear" w:color="auto" w:fill="C6EFCE"/>
            <w:vAlign w:val="center"/>
          </w:tcPr>
          <w:p w14:paraId="2D838012"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implementing measures (included secondary legislation, if necessary) for the effective implementation and application of the measures stemming from the 2021 Annual Competition Law</w:t>
            </w:r>
          </w:p>
        </w:tc>
        <w:tc>
          <w:tcPr>
            <w:tcW w:w="1843" w:type="dxa"/>
            <w:shd w:val="clear" w:color="auto" w:fill="C6EFCE"/>
            <w:vAlign w:val="center"/>
          </w:tcPr>
          <w:p w14:paraId="28D5099C"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secondary legislation, including all necessary regulations for measures stemming from the 2021 Annual Competition Law</w:t>
            </w:r>
          </w:p>
        </w:tc>
        <w:tc>
          <w:tcPr>
            <w:tcW w:w="1359" w:type="dxa"/>
            <w:shd w:val="clear" w:color="auto" w:fill="C6EFCE"/>
            <w:vAlign w:val="center"/>
          </w:tcPr>
          <w:p w14:paraId="0FDE5BB3"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shd w:val="clear" w:color="auto" w:fill="C6EFCE"/>
            <w:vAlign w:val="center"/>
          </w:tcPr>
          <w:p w14:paraId="6070941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59EDA9F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shd w:val="clear" w:color="auto" w:fill="C6EFCE"/>
            <w:vAlign w:val="center"/>
          </w:tcPr>
          <w:p w14:paraId="0D9F503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shd w:val="clear" w:color="auto" w:fill="C6EFCE"/>
            <w:vAlign w:val="center"/>
          </w:tcPr>
          <w:p w14:paraId="33D5FB4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2022</w:t>
            </w:r>
          </w:p>
        </w:tc>
        <w:tc>
          <w:tcPr>
            <w:tcW w:w="2814" w:type="dxa"/>
            <w:shd w:val="clear" w:color="auto" w:fill="C6EFCE"/>
            <w:vAlign w:val="center"/>
          </w:tcPr>
          <w:p w14:paraId="33154801"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implementing measures (included secondary legislation, if necessary) for the effective implementation and application of the measures stemming from the 2021 Annual Competition Law.</w:t>
            </w:r>
          </w:p>
        </w:tc>
      </w:tr>
      <w:tr w:rsidR="0039681A" w:rsidRPr="0070054C" w14:paraId="1DC85BF0" w14:textId="77777777" w:rsidTr="00D619C4">
        <w:trPr>
          <w:trHeight w:val="300"/>
        </w:trPr>
        <w:tc>
          <w:tcPr>
            <w:tcW w:w="1135" w:type="dxa"/>
            <w:shd w:val="clear" w:color="auto" w:fill="C6EFCE"/>
            <w:vAlign w:val="center"/>
          </w:tcPr>
          <w:p w14:paraId="65C52EE8"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M1C2-9</w:t>
            </w:r>
          </w:p>
        </w:tc>
        <w:tc>
          <w:tcPr>
            <w:tcW w:w="1276" w:type="dxa"/>
            <w:shd w:val="clear" w:color="auto" w:fill="C6EFCE"/>
            <w:vAlign w:val="center"/>
          </w:tcPr>
          <w:p w14:paraId="58A56A73"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shd w:val="clear" w:color="auto" w:fill="C6EFCE"/>
            <w:vAlign w:val="center"/>
          </w:tcPr>
          <w:p w14:paraId="5CF1946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shd w:val="clear" w:color="auto" w:fill="C6EFCE"/>
            <w:vAlign w:val="center"/>
          </w:tcPr>
          <w:p w14:paraId="3AD6BFA2"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Annual Competition Law 2022</w:t>
            </w:r>
          </w:p>
        </w:tc>
        <w:tc>
          <w:tcPr>
            <w:tcW w:w="1843" w:type="dxa"/>
            <w:shd w:val="clear" w:color="auto" w:fill="C6EFCE"/>
            <w:vAlign w:val="center"/>
          </w:tcPr>
          <w:p w14:paraId="5B8274A1"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indicating the entry into force of the Annual Competition Law 2022.</w:t>
            </w:r>
          </w:p>
        </w:tc>
        <w:tc>
          <w:tcPr>
            <w:tcW w:w="1359" w:type="dxa"/>
            <w:shd w:val="clear" w:color="auto" w:fill="C6EFCE"/>
            <w:vAlign w:val="center"/>
          </w:tcPr>
          <w:p w14:paraId="36C128F8"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shd w:val="clear" w:color="auto" w:fill="C6EFCE"/>
            <w:vAlign w:val="center"/>
          </w:tcPr>
          <w:p w14:paraId="2B4D7BD3"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56941D4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shd w:val="clear" w:color="auto" w:fill="C6EFCE"/>
            <w:vAlign w:val="center"/>
          </w:tcPr>
          <w:p w14:paraId="0B34F00A"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shd w:val="clear" w:color="auto" w:fill="C6EFCE"/>
            <w:vAlign w:val="center"/>
          </w:tcPr>
          <w:p w14:paraId="08E953A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2023</w:t>
            </w:r>
          </w:p>
        </w:tc>
        <w:tc>
          <w:tcPr>
            <w:tcW w:w="2814" w:type="dxa"/>
            <w:shd w:val="clear" w:color="auto" w:fill="C6EFCE"/>
            <w:vAlign w:val="center"/>
          </w:tcPr>
          <w:p w14:paraId="7A3BD57B" w14:textId="6ECA8A19"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2022 Annual Competition Law</w:t>
            </w:r>
            <w:r w:rsidR="00381DB1">
              <w:rPr>
                <w:rFonts w:ascii="Arial Narrow" w:hAnsi="Arial Narrow"/>
                <w:noProof/>
                <w:color w:val="006100"/>
                <w:sz w:val="20"/>
                <w:lang w:val="en-IE"/>
              </w:rPr>
              <w:t xml:space="preserve"> </w:t>
            </w:r>
            <w:r w:rsidRPr="00A36E36">
              <w:rPr>
                <w:noProof/>
                <w:lang w:val="en-IE"/>
              </w:rPr>
              <w:br/>
            </w:r>
            <w:r w:rsidRPr="00A36E36">
              <w:rPr>
                <w:rFonts w:ascii="Arial Narrow" w:hAnsi="Arial Narrow"/>
                <w:noProof/>
                <w:color w:val="006100"/>
                <w:sz w:val="20"/>
                <w:lang w:val="en-IE"/>
              </w:rPr>
              <w:t>The Annual competition law shall include, at least, the following key elements, whose implementing measures and secondary legislation (if necessary) shall be adopted and enter into force no later than 31 December 2023.</w:t>
            </w:r>
          </w:p>
          <w:p w14:paraId="6479D461"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xml:space="preserve">It shall: </w:t>
            </w:r>
          </w:p>
          <w:p w14:paraId="30D58174"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b/>
                <w:noProof/>
                <w:color w:val="006100"/>
                <w:sz w:val="20"/>
                <w:lang w:val="en-IE"/>
              </w:rPr>
              <w:t>i)</w:t>
            </w:r>
            <w:r w:rsidRPr="00A36E36">
              <w:rPr>
                <w:rFonts w:ascii="Arial Narrow" w:hAnsi="Arial Narrow"/>
                <w:noProof/>
                <w:color w:val="006100"/>
                <w:sz w:val="20"/>
                <w:lang w:val="en-IE"/>
              </w:rPr>
              <w:t xml:space="preserve"> Establish a clear procedure for the adoption</w:t>
            </w:r>
            <w:r w:rsidRPr="00A36E36">
              <w:rPr>
                <w:rFonts w:ascii="Arial Narrow" w:hAnsi="Arial Narrow"/>
                <w:b/>
                <w:noProof/>
                <w:color w:val="006100"/>
                <w:sz w:val="20"/>
                <w:lang w:val="en-IE"/>
              </w:rPr>
              <w:t xml:space="preserve">, </w:t>
            </w:r>
            <w:r w:rsidRPr="00A36E36">
              <w:rPr>
                <w:rFonts w:ascii="Arial Narrow" w:hAnsi="Arial Narrow"/>
                <w:noProof/>
                <w:color w:val="006100"/>
                <w:sz w:val="20"/>
                <w:lang w:val="en-IE"/>
              </w:rPr>
              <w:t>within predetermined deadlines and in any event by 31 December of the relevant period (every two years)(*), of the Electricity Network Development Plan for the next decade which ensures completion of the procedure and simplifying the approval process.</w:t>
            </w:r>
          </w:p>
          <w:p w14:paraId="09D40E6B"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 The 2021 Electricity Network Development Plan shall be adopted by 31 December 2023.</w:t>
            </w:r>
          </w:p>
          <w:p w14:paraId="2739D918"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b/>
                <w:noProof/>
                <w:color w:val="006100"/>
                <w:sz w:val="20"/>
                <w:lang w:val="en-IE"/>
              </w:rPr>
              <w:t>ii)</w:t>
            </w:r>
            <w:r w:rsidRPr="00A36E36">
              <w:rPr>
                <w:rFonts w:ascii="Arial Narrow" w:hAnsi="Arial Narrow"/>
                <w:noProof/>
                <w:color w:val="006100"/>
                <w:sz w:val="20"/>
                <w:lang w:val="en-IE"/>
              </w:rPr>
              <w:t xml:space="preserve"> promote the deployment of 2</w:t>
            </w:r>
            <w:r w:rsidRPr="00A36E36">
              <w:rPr>
                <w:rFonts w:ascii="Arial Narrow" w:hAnsi="Arial Narrow"/>
                <w:noProof/>
                <w:color w:val="006100"/>
                <w:sz w:val="20"/>
                <w:vertAlign w:val="superscript"/>
                <w:lang w:val="en-IE"/>
              </w:rPr>
              <w:t>nd</w:t>
            </w:r>
            <w:r w:rsidRPr="00A36E36">
              <w:rPr>
                <w:rFonts w:ascii="Arial Narrow" w:hAnsi="Arial Narrow"/>
                <w:noProof/>
                <w:color w:val="006100"/>
                <w:sz w:val="20"/>
                <w:lang w:val="en-IE"/>
              </w:rPr>
              <w:t xml:space="preserve"> generation smart electricity meters; </w:t>
            </w:r>
          </w:p>
          <w:p w14:paraId="714A265D" w14:textId="77777777" w:rsidR="0039681A" w:rsidRPr="00A36E36" w:rsidRDefault="0039681A">
            <w:pPr>
              <w:rPr>
                <w:rFonts w:ascii="Arial Narrow" w:hAnsi="Arial Narrow"/>
                <w:b/>
                <w:bCs/>
                <w:noProof/>
                <w:color w:val="006100"/>
                <w:sz w:val="20"/>
                <w:szCs w:val="20"/>
                <w:lang w:val="en-IE"/>
              </w:rPr>
            </w:pPr>
            <w:r w:rsidRPr="00A36E36">
              <w:rPr>
                <w:rFonts w:ascii="Arial Narrow" w:hAnsi="Arial Narrow"/>
                <w:b/>
                <w:noProof/>
                <w:color w:val="006100"/>
                <w:sz w:val="20"/>
                <w:lang w:val="en-IE"/>
              </w:rPr>
              <w:t>Antitrust:</w:t>
            </w:r>
          </w:p>
          <w:p w14:paraId="44AEA3EA" w14:textId="77777777" w:rsidR="0039681A" w:rsidRPr="00A36E36" w:rsidRDefault="0039681A">
            <w:pPr>
              <w:rPr>
                <w:rFonts w:ascii="Arial Narrow" w:hAnsi="Arial Narrow"/>
                <w:bCs/>
                <w:noProof/>
                <w:color w:val="006100"/>
                <w:sz w:val="20"/>
                <w:szCs w:val="20"/>
                <w:lang w:val="en-IE"/>
              </w:rPr>
            </w:pPr>
            <w:r w:rsidRPr="00A36E36">
              <w:rPr>
                <w:rFonts w:ascii="Arial Narrow" w:hAnsi="Arial Narrow"/>
                <w:b/>
                <w:noProof/>
                <w:color w:val="006100"/>
                <w:sz w:val="20"/>
                <w:lang w:val="en-IE"/>
              </w:rPr>
              <w:t>iii)</w:t>
            </w:r>
            <w:r w:rsidRPr="00A36E36">
              <w:rPr>
                <w:rFonts w:ascii="Arial Narrow" w:hAnsi="Arial Narrow"/>
                <w:noProof/>
                <w:color w:val="006100"/>
                <w:sz w:val="20"/>
                <w:lang w:val="en-IE"/>
              </w:rPr>
              <w:t xml:space="preserve"> increase the duration for the assessment by the Italian Competition Authority (</w:t>
            </w:r>
            <w:r w:rsidRPr="00A36E36">
              <w:rPr>
                <w:rFonts w:ascii="Arial Narrow" w:hAnsi="Arial Narrow"/>
                <w:i/>
                <w:noProof/>
                <w:color w:val="006100"/>
                <w:sz w:val="20"/>
                <w:lang w:val="en-IE"/>
              </w:rPr>
              <w:t>Autorità Garante della Concorrenza e del Mercato</w:t>
            </w:r>
            <w:r w:rsidRPr="00A36E36">
              <w:rPr>
                <w:rFonts w:ascii="Arial Narrow" w:hAnsi="Arial Narrow"/>
                <w:noProof/>
                <w:color w:val="006100"/>
                <w:sz w:val="20"/>
                <w:lang w:val="en-IE"/>
              </w:rPr>
              <w:t>) of concentrations that may significantly impede effective competition pursuant to Article 6 of Law 287/1990, from 45 days to 90 days.</w:t>
            </w:r>
          </w:p>
          <w:p w14:paraId="7AD311A9" w14:textId="77777777" w:rsidR="0039681A" w:rsidRPr="00A36E36" w:rsidRDefault="0039681A">
            <w:pPr>
              <w:rPr>
                <w:rFonts w:ascii="Arial Narrow" w:hAnsi="Arial Narrow"/>
                <w:b/>
                <w:bCs/>
                <w:noProof/>
                <w:color w:val="006100"/>
                <w:sz w:val="20"/>
                <w:szCs w:val="20"/>
                <w:lang w:val="en-IE"/>
              </w:rPr>
            </w:pPr>
            <w:r w:rsidRPr="00A36E36">
              <w:rPr>
                <w:rFonts w:ascii="Arial Narrow" w:hAnsi="Arial Narrow"/>
                <w:b/>
                <w:noProof/>
                <w:color w:val="006100"/>
                <w:sz w:val="20"/>
                <w:lang w:val="en-IE"/>
              </w:rPr>
              <w:t>Retail:</w:t>
            </w:r>
          </w:p>
          <w:p w14:paraId="0E596F71" w14:textId="77777777" w:rsidR="0039681A" w:rsidRPr="00A36E36" w:rsidRDefault="0039681A">
            <w:pPr>
              <w:rPr>
                <w:rFonts w:ascii="Arial Narrow" w:hAnsi="Arial Narrow"/>
                <w:bCs/>
                <w:noProof/>
                <w:color w:val="006100"/>
                <w:sz w:val="20"/>
                <w:szCs w:val="20"/>
                <w:lang w:val="en-IE"/>
              </w:rPr>
            </w:pPr>
            <w:r w:rsidRPr="00A36E36">
              <w:rPr>
                <w:rFonts w:ascii="Arial Narrow" w:hAnsi="Arial Narrow"/>
                <w:b/>
                <w:noProof/>
                <w:color w:val="006100"/>
                <w:sz w:val="20"/>
                <w:lang w:val="en-IE"/>
              </w:rPr>
              <w:t xml:space="preserve">iv) </w:t>
            </w:r>
            <w:r w:rsidRPr="00A36E36">
              <w:rPr>
                <w:rFonts w:ascii="Arial Narrow" w:hAnsi="Arial Narrow"/>
                <w:noProof/>
                <w:color w:val="006100"/>
                <w:sz w:val="20"/>
                <w:lang w:val="en-IE"/>
              </w:rPr>
              <w:t>simplification of authorization procedures for promotional sales by undertakings holding outlets in different municipalities.</w:t>
            </w:r>
          </w:p>
          <w:p w14:paraId="1814FD06" w14:textId="77777777" w:rsidR="0039681A" w:rsidRPr="00A36E36" w:rsidRDefault="0039681A">
            <w:pPr>
              <w:rPr>
                <w:rFonts w:ascii="Arial Narrow" w:hAnsi="Arial Narrow"/>
                <w:b/>
                <w:bCs/>
                <w:noProof/>
                <w:color w:val="006100"/>
                <w:sz w:val="20"/>
                <w:szCs w:val="20"/>
                <w:lang w:val="en-IE"/>
              </w:rPr>
            </w:pPr>
            <w:r w:rsidRPr="00A36E36">
              <w:rPr>
                <w:rFonts w:ascii="Arial Narrow" w:hAnsi="Arial Narrow"/>
                <w:b/>
                <w:noProof/>
                <w:color w:val="006100"/>
                <w:sz w:val="20"/>
                <w:lang w:val="en-IE"/>
              </w:rPr>
              <w:t>Pharmaceuticals:</w:t>
            </w:r>
          </w:p>
          <w:p w14:paraId="783B80C7" w14:textId="77777777" w:rsidR="0039681A" w:rsidRPr="00A36E36" w:rsidRDefault="0039681A">
            <w:pPr>
              <w:rPr>
                <w:rFonts w:ascii="Arial Narrow" w:hAnsi="Arial Narrow"/>
                <w:noProof/>
                <w:color w:val="006100"/>
                <w:sz w:val="20"/>
                <w:szCs w:val="20"/>
                <w:lang w:val="en-IE"/>
              </w:rPr>
            </w:pPr>
            <w:r w:rsidRPr="00A36E36">
              <w:rPr>
                <w:rFonts w:ascii="Arial Narrow" w:hAnsi="Arial Narrow"/>
                <w:b/>
                <w:noProof/>
                <w:color w:val="006100"/>
                <w:sz w:val="20"/>
                <w:lang w:val="en-IE"/>
              </w:rPr>
              <w:t>v)</w:t>
            </w:r>
            <w:r w:rsidRPr="00A36E36">
              <w:rPr>
                <w:rFonts w:ascii="Arial Narrow" w:hAnsi="Arial Narrow"/>
                <w:noProof/>
                <w:color w:val="006100"/>
                <w:sz w:val="20"/>
                <w:lang w:val="en-IE"/>
              </w:rPr>
              <w:t xml:space="preserve"> ensure proportionality of authorization requirements for the sale of galenic pharmaceuticals.</w:t>
            </w:r>
          </w:p>
        </w:tc>
      </w:tr>
      <w:tr w:rsidR="0039681A" w:rsidRPr="0070054C" w14:paraId="51A0A16B" w14:textId="77777777" w:rsidTr="00D619C4">
        <w:trPr>
          <w:trHeight w:val="300"/>
        </w:trPr>
        <w:tc>
          <w:tcPr>
            <w:tcW w:w="1135" w:type="dxa"/>
            <w:shd w:val="clear" w:color="auto" w:fill="C6EFCE"/>
            <w:vAlign w:val="center"/>
          </w:tcPr>
          <w:p w14:paraId="2A7BD39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M1C2-10</w:t>
            </w:r>
          </w:p>
        </w:tc>
        <w:tc>
          <w:tcPr>
            <w:tcW w:w="1276" w:type="dxa"/>
            <w:shd w:val="clear" w:color="auto" w:fill="C6EFCE"/>
            <w:vAlign w:val="center"/>
          </w:tcPr>
          <w:p w14:paraId="6B7113A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shd w:val="clear" w:color="auto" w:fill="C6EFCE"/>
            <w:vAlign w:val="center"/>
          </w:tcPr>
          <w:p w14:paraId="6C0CF38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shd w:val="clear" w:color="auto" w:fill="C6EFCE"/>
            <w:vAlign w:val="center"/>
          </w:tcPr>
          <w:p w14:paraId="47E71227"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implementing measures (included secondary legislation, if necessary) for the effective implementation and application of the measures stemming from the 2022 Annual Competition Law</w:t>
            </w:r>
          </w:p>
        </w:tc>
        <w:tc>
          <w:tcPr>
            <w:tcW w:w="1843" w:type="dxa"/>
            <w:shd w:val="clear" w:color="auto" w:fill="C6EFCE"/>
            <w:vAlign w:val="center"/>
          </w:tcPr>
          <w:p w14:paraId="06B03E1C"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secondary legislation, including all necessary regulations for measures stemming from the 2022 Annual Competition Law</w:t>
            </w:r>
          </w:p>
        </w:tc>
        <w:tc>
          <w:tcPr>
            <w:tcW w:w="1359" w:type="dxa"/>
            <w:shd w:val="clear" w:color="auto" w:fill="C6EFCE"/>
            <w:vAlign w:val="center"/>
          </w:tcPr>
          <w:p w14:paraId="324B66C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shd w:val="clear" w:color="auto" w:fill="C6EFCE"/>
            <w:vAlign w:val="center"/>
          </w:tcPr>
          <w:p w14:paraId="11B2B963"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107EBD52"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shd w:val="clear" w:color="auto" w:fill="C6EFCE"/>
            <w:vAlign w:val="center"/>
          </w:tcPr>
          <w:p w14:paraId="6931A8A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shd w:val="clear" w:color="auto" w:fill="C6EFCE"/>
            <w:vAlign w:val="center"/>
          </w:tcPr>
          <w:p w14:paraId="31204C3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2023</w:t>
            </w:r>
          </w:p>
        </w:tc>
        <w:tc>
          <w:tcPr>
            <w:tcW w:w="2814" w:type="dxa"/>
            <w:shd w:val="clear" w:color="auto" w:fill="C6EFCE"/>
            <w:vAlign w:val="center"/>
          </w:tcPr>
          <w:p w14:paraId="3F1988C4"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all secondary legislation (if necessary), including all necessary regulations for the effective implementation and application of all the aforementioned measures stemming from the 2022 Annual Competition Law.</w:t>
            </w:r>
          </w:p>
        </w:tc>
      </w:tr>
      <w:tr w:rsidR="0039681A" w:rsidRPr="0070054C" w14:paraId="3A655A2C" w14:textId="77777777" w:rsidTr="00D619C4">
        <w:trPr>
          <w:trHeight w:val="300"/>
        </w:trPr>
        <w:tc>
          <w:tcPr>
            <w:tcW w:w="1135" w:type="dxa"/>
            <w:shd w:val="clear" w:color="auto" w:fill="C6EFCE"/>
            <w:vAlign w:val="center"/>
          </w:tcPr>
          <w:p w14:paraId="1A5D540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M1C2-11</w:t>
            </w:r>
          </w:p>
        </w:tc>
        <w:tc>
          <w:tcPr>
            <w:tcW w:w="1276" w:type="dxa"/>
            <w:shd w:val="clear" w:color="auto" w:fill="C6EFCE"/>
            <w:vAlign w:val="center"/>
          </w:tcPr>
          <w:p w14:paraId="096D2EF8"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shd w:val="clear" w:color="auto" w:fill="C6EFCE"/>
            <w:vAlign w:val="center"/>
          </w:tcPr>
          <w:p w14:paraId="3CAF89D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shd w:val="clear" w:color="auto" w:fill="C6EFCE"/>
            <w:vAlign w:val="center"/>
          </w:tcPr>
          <w:p w14:paraId="35476A86"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Annual Competition Law 2023</w:t>
            </w:r>
          </w:p>
        </w:tc>
        <w:tc>
          <w:tcPr>
            <w:tcW w:w="1843" w:type="dxa"/>
            <w:shd w:val="clear" w:color="auto" w:fill="C6EFCE"/>
            <w:vAlign w:val="center"/>
          </w:tcPr>
          <w:p w14:paraId="0FCE6EB9"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indicating the entry into force of the Annual Competition Law 2023.</w:t>
            </w:r>
          </w:p>
        </w:tc>
        <w:tc>
          <w:tcPr>
            <w:tcW w:w="1359" w:type="dxa"/>
            <w:shd w:val="clear" w:color="auto" w:fill="C6EFCE"/>
            <w:vAlign w:val="center"/>
          </w:tcPr>
          <w:p w14:paraId="7D7A731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shd w:val="clear" w:color="auto" w:fill="C6EFCE"/>
            <w:vAlign w:val="center"/>
          </w:tcPr>
          <w:p w14:paraId="5D9E28EC"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1794D16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shd w:val="clear" w:color="auto" w:fill="C6EFCE"/>
            <w:vAlign w:val="center"/>
          </w:tcPr>
          <w:p w14:paraId="43325D4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shd w:val="clear" w:color="auto" w:fill="C6EFCE"/>
            <w:vAlign w:val="center"/>
          </w:tcPr>
          <w:p w14:paraId="7E31F04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2814" w:type="dxa"/>
            <w:shd w:val="clear" w:color="auto" w:fill="C6EFCE"/>
            <w:vAlign w:val="center"/>
          </w:tcPr>
          <w:p w14:paraId="5CDB61B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2023 Annual Competition Law. The Annual competition Law shall include, at least, the following key elements, whose implementing measures and secondary legislation (if necessary) shall be adopted and enter into force no later than 31 December 2024.</w:t>
            </w:r>
          </w:p>
          <w:p w14:paraId="674114AE"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It shall include at least the following measures:</w:t>
            </w:r>
          </w:p>
          <w:p w14:paraId="46C33792" w14:textId="77777777" w:rsidR="0039681A" w:rsidRPr="00A36E36" w:rsidRDefault="0039681A">
            <w:pPr>
              <w:rPr>
                <w:rFonts w:ascii="Arial Narrow" w:hAnsi="Arial Narrow"/>
                <w:noProof/>
                <w:color w:val="006100"/>
                <w:sz w:val="20"/>
                <w:szCs w:val="20"/>
                <w:lang w:val="en-IE"/>
              </w:rPr>
            </w:pPr>
            <w:r w:rsidRPr="00A36E36">
              <w:rPr>
                <w:rFonts w:ascii="Arial Narrow" w:hAnsi="Arial Narrow"/>
                <w:b/>
                <w:noProof/>
                <w:color w:val="006100"/>
                <w:sz w:val="20"/>
                <w:lang w:val="en-IE"/>
              </w:rPr>
              <w:t>Highways:</w:t>
            </w:r>
          </w:p>
          <w:p w14:paraId="4A37A625" w14:textId="77777777" w:rsidR="0039681A" w:rsidRPr="00A36E36" w:rsidRDefault="0039681A">
            <w:pPr>
              <w:spacing w:after="120"/>
              <w:jc w:val="both"/>
              <w:rPr>
                <w:rFonts w:ascii="Arial Narrow" w:hAnsi="Arial Narrow"/>
                <w:noProof/>
                <w:color w:val="006100"/>
                <w:sz w:val="20"/>
                <w:szCs w:val="20"/>
                <w:lang w:val="en-IE"/>
              </w:rPr>
            </w:pPr>
            <w:r w:rsidRPr="00A36E36">
              <w:rPr>
                <w:rFonts w:ascii="Arial Narrow" w:hAnsi="Arial Narrow"/>
                <w:b/>
                <w:noProof/>
                <w:color w:val="006100"/>
                <w:sz w:val="20"/>
                <w:lang w:val="en-IE"/>
              </w:rPr>
              <w:t>i)</w:t>
            </w:r>
            <w:r w:rsidRPr="00A36E36">
              <w:rPr>
                <w:rFonts w:ascii="Arial Narrow" w:hAnsi="Arial Narrow"/>
                <w:noProof/>
                <w:color w:val="006100"/>
                <w:sz w:val="20"/>
                <w:lang w:val="en-IE"/>
              </w:rPr>
              <w:t xml:space="preserve"> on access to concessions and termination of contract, the Annual Competition Law shall at least:</w:t>
            </w:r>
          </w:p>
          <w:p w14:paraId="53EDA591" w14:textId="77777777" w:rsidR="0039681A" w:rsidRPr="00A36E36" w:rsidRDefault="0039681A">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 make the tendering of concessions contracts mandatory for highways, without prejudice for in house providing within the limits established by the EU law(*); </w:t>
            </w:r>
          </w:p>
          <w:p w14:paraId="5EF59A7E" w14:textId="77777777" w:rsidR="0039681A" w:rsidRPr="00A36E36" w:rsidRDefault="0039681A">
            <w:pPr>
              <w:autoSpaceDE w:val="0"/>
              <w:autoSpaceDN w:val="0"/>
              <w:adjustRightInd w:val="0"/>
              <w:spacing w:after="80"/>
              <w:ind w:left="340"/>
              <w:jc w:val="both"/>
              <w:rPr>
                <w:rFonts w:ascii="Arial Narrow" w:hAnsi="Arial Narrow"/>
                <w:b/>
                <w:bCs/>
                <w:noProof/>
                <w:color w:val="006100"/>
                <w:sz w:val="20"/>
                <w:szCs w:val="20"/>
                <w:lang w:val="en-IE"/>
              </w:rPr>
            </w:pPr>
            <w:r w:rsidRPr="00A36E36">
              <w:rPr>
                <w:rFonts w:ascii="Arial Narrow" w:hAnsi="Arial Narrow"/>
                <w:b/>
                <w:noProof/>
                <w:color w:val="006100"/>
                <w:sz w:val="20"/>
                <w:lang w:val="en-IE"/>
              </w:rPr>
              <w:t xml:space="preserve">- </w:t>
            </w:r>
            <w:r w:rsidRPr="00A36E36">
              <w:rPr>
                <w:rFonts w:ascii="Arial Narrow" w:hAnsi="Arial Narrow"/>
                <w:noProof/>
                <w:color w:val="006100"/>
                <w:sz w:val="20"/>
                <w:lang w:val="en-IE"/>
              </w:rPr>
              <w:t>improve the efficiency of decisional administrative procedures related to the concession contracts;</w:t>
            </w:r>
          </w:p>
          <w:p w14:paraId="0F34C66B" w14:textId="77777777" w:rsidR="0039681A" w:rsidRPr="00A36E36" w:rsidRDefault="0039681A">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require a detailed and transparent description of the subject matter of the concession contract</w:t>
            </w:r>
          </w:p>
          <w:p w14:paraId="76ACA6E6" w14:textId="77777777" w:rsidR="0039681A" w:rsidRPr="00A36E36" w:rsidRDefault="0039681A">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-require concession authorities to designate concessions for highway sections, assigned by public procedure, taking into account the estimates of scale efficiency and the cost of highway concessionaires developed by the regulatory authority (</w:t>
            </w:r>
            <w:r w:rsidRPr="00A36E36">
              <w:rPr>
                <w:rFonts w:ascii="Arial Narrow" w:hAnsi="Arial Narrow"/>
                <w:i/>
                <w:noProof/>
                <w:color w:val="006100"/>
                <w:sz w:val="20"/>
                <w:lang w:val="en-IE"/>
              </w:rPr>
              <w:t xml:space="preserve">Autorità di Regolazione dei Trasporti </w:t>
            </w:r>
            <w:r w:rsidRPr="00A36E36">
              <w:rPr>
                <w:rFonts w:ascii="Arial Narrow" w:hAnsi="Arial Narrow"/>
                <w:noProof/>
                <w:color w:val="006100"/>
                <w:sz w:val="20"/>
                <w:lang w:val="en-IE"/>
              </w:rPr>
              <w:t xml:space="preserve">- ART); </w:t>
            </w:r>
          </w:p>
          <w:p w14:paraId="588BAFF4" w14:textId="77777777" w:rsidR="0039681A" w:rsidRPr="00A36E36" w:rsidRDefault="0039681A">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reinforce controls by the Ministry of Infrastructure on the costs and execution of highways infrastructures;</w:t>
            </w:r>
          </w:p>
          <w:p w14:paraId="01E9FAC9" w14:textId="77777777" w:rsidR="0039681A" w:rsidRPr="00A36E36" w:rsidRDefault="0039681A">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prevent the automatic renewal of concession contracts, improve the technical and administrative procedures related to the periodical updating of economic and financial plans and the annual implementation of these plans, and prohibit the use of the procedures regulated by article 193 of the Public Procurement Code as a means of awarding expired or expiring highway concession contracts;</w:t>
            </w:r>
          </w:p>
          <w:p w14:paraId="0846AE04" w14:textId="77777777" w:rsidR="0039681A" w:rsidRPr="00A36E36" w:rsidRDefault="0039681A">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 simplify/clarify the regulation of the contract termination and cancellation conditions, also with a view to preserve an adequate level of the service; </w:t>
            </w:r>
          </w:p>
          <w:p w14:paraId="1A8E7D64" w14:textId="77777777" w:rsidR="0039681A" w:rsidRPr="00A36E36" w:rsidRDefault="0039681A">
            <w:pPr>
              <w:spacing w:after="80"/>
              <w:ind w:left="340"/>
              <w:jc w:val="both"/>
              <w:rPr>
                <w:rFonts w:ascii="Arial Narrow" w:hAnsi="Arial Narrow"/>
                <w:noProof/>
                <w:color w:val="006100"/>
                <w:sz w:val="20"/>
                <w:lang w:val="en-IE"/>
              </w:rPr>
            </w:pPr>
            <w:r w:rsidRPr="00A36E36">
              <w:rPr>
                <w:rFonts w:ascii="Arial Narrow" w:hAnsi="Arial Narrow"/>
                <w:noProof/>
                <w:color w:val="006100"/>
                <w:sz w:val="20"/>
                <w:lang w:val="en-IE"/>
              </w:rPr>
              <w:t xml:space="preserve">- for the termination of the contract in the public interest, the law shall at least provide for an adequate compensation to enable the concessionaire to recoup investments that have not been fully amortised. </w:t>
            </w:r>
          </w:p>
          <w:p w14:paraId="676D16B2" w14:textId="77777777" w:rsidR="0039681A" w:rsidRPr="00A36E36" w:rsidRDefault="0039681A">
            <w:pPr>
              <w:spacing w:after="80"/>
              <w:ind w:left="340"/>
              <w:jc w:val="both"/>
              <w:rPr>
                <w:rFonts w:ascii="Arial Narrow" w:hAnsi="Arial Narrow"/>
                <w:noProof/>
                <w:color w:val="006100"/>
                <w:sz w:val="20"/>
                <w:lang w:val="en-IE"/>
              </w:rPr>
            </w:pPr>
          </w:p>
          <w:p w14:paraId="5F0C9027" w14:textId="77777777" w:rsidR="0039681A" w:rsidRPr="00A36E36" w:rsidRDefault="0039681A">
            <w:pPr>
              <w:spacing w:after="120"/>
              <w:jc w:val="both"/>
              <w:rPr>
                <w:rFonts w:ascii="Arial Narrow" w:hAnsi="Arial Narrow"/>
                <w:noProof/>
                <w:color w:val="006100"/>
                <w:sz w:val="20"/>
                <w:lang w:val="en-IE"/>
              </w:rPr>
            </w:pPr>
            <w:r w:rsidRPr="00A36E36">
              <w:rPr>
                <w:rFonts w:ascii="Arial Narrow" w:hAnsi="Arial Narrow"/>
                <w:b/>
                <w:noProof/>
                <w:color w:val="006100"/>
                <w:sz w:val="20"/>
                <w:lang w:val="en-IE"/>
              </w:rPr>
              <w:t>ii)</w:t>
            </w:r>
            <w:r w:rsidRPr="00A36E36">
              <w:rPr>
                <w:rFonts w:ascii="Arial Narrow" w:hAnsi="Arial Narrow"/>
                <w:noProof/>
                <w:color w:val="006100"/>
                <w:sz w:val="20"/>
                <w:lang w:val="en-IE"/>
              </w:rPr>
              <w:t xml:space="preserve"> on charging regulatory model, the Annual Competition Law shall at least:</w:t>
            </w:r>
          </w:p>
          <w:p w14:paraId="00031677" w14:textId="77777777" w:rsidR="0039681A" w:rsidRPr="00A36E36" w:rsidRDefault="0039681A">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ensure timely and full implementation of ART’s charging regulatory model, based on a price cap methodology, taking into account the periodical updates of the multi-annual economic and financial planning of the concessionaires (as approved by the competent regulator), and the annual roll-out of these plans.</w:t>
            </w:r>
          </w:p>
          <w:p w14:paraId="11819518" w14:textId="77777777" w:rsidR="0039681A" w:rsidRPr="00A36E36" w:rsidRDefault="0039681A">
            <w:pPr>
              <w:spacing w:after="80"/>
              <w:ind w:left="340"/>
              <w:jc w:val="both"/>
              <w:rPr>
                <w:rFonts w:ascii="Arial Narrow" w:hAnsi="Arial Narrow"/>
                <w:noProof/>
                <w:color w:val="006100"/>
                <w:sz w:val="20"/>
                <w:szCs w:val="20"/>
                <w:lang w:val="en-IE"/>
              </w:rPr>
            </w:pPr>
          </w:p>
          <w:p w14:paraId="33418699" w14:textId="77777777" w:rsidR="0039681A" w:rsidRPr="00A36E36" w:rsidRDefault="0039681A">
            <w:pPr>
              <w:spacing w:after="120"/>
              <w:jc w:val="both"/>
              <w:rPr>
                <w:rFonts w:ascii="Arial Narrow" w:hAnsi="Arial Narrow"/>
                <w:noProof/>
                <w:color w:val="006100"/>
                <w:sz w:val="20"/>
                <w:szCs w:val="20"/>
                <w:lang w:val="en-IE"/>
              </w:rPr>
            </w:pPr>
            <w:r w:rsidRPr="00A36E36">
              <w:rPr>
                <w:rFonts w:ascii="Arial Narrow" w:hAnsi="Arial Narrow"/>
                <w:b/>
                <w:noProof/>
                <w:color w:val="006100"/>
                <w:sz w:val="20"/>
                <w:lang w:val="en-IE"/>
              </w:rPr>
              <w:t>iii)</w:t>
            </w:r>
            <w:r w:rsidRPr="00A36E36">
              <w:rPr>
                <w:rFonts w:ascii="Arial Narrow" w:hAnsi="Arial Narrow"/>
                <w:noProof/>
                <w:color w:val="006100"/>
                <w:sz w:val="20"/>
                <w:lang w:val="en-IE"/>
              </w:rPr>
              <w:t xml:space="preserve"> on users’ rights, the Annual Competition Law shall:</w:t>
            </w:r>
          </w:p>
          <w:p w14:paraId="73D56AD1" w14:textId="77777777" w:rsidR="0039681A" w:rsidRPr="00A36E36" w:rsidRDefault="0039681A">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ensure full and timely implementation of ART’s regulatory framework related to safeguard of users’ rights and provision of adequate service levels.</w:t>
            </w:r>
          </w:p>
          <w:p w14:paraId="5D6FC434" w14:textId="77777777" w:rsidR="0039681A" w:rsidRPr="00A36E36" w:rsidRDefault="0039681A">
            <w:pPr>
              <w:jc w:val="both"/>
              <w:rPr>
                <w:rFonts w:ascii="Arial Narrow" w:hAnsi="Arial Narrow"/>
                <w:noProof/>
                <w:color w:val="006100"/>
                <w:sz w:val="20"/>
                <w:szCs w:val="20"/>
                <w:lang w:val="en-IE"/>
              </w:rPr>
            </w:pPr>
            <w:r w:rsidRPr="00A36E36">
              <w:rPr>
                <w:rFonts w:ascii="Arial Narrow" w:hAnsi="Arial Narrow"/>
                <w:b/>
                <w:noProof/>
                <w:color w:val="006100"/>
                <w:sz w:val="20"/>
                <w:lang w:val="en-IE"/>
              </w:rPr>
              <w:t>iv)</w:t>
            </w:r>
            <w:r w:rsidRPr="00A36E36">
              <w:rPr>
                <w:rFonts w:ascii="Arial Narrow" w:hAnsi="Arial Narrow"/>
                <w:noProof/>
                <w:color w:val="006100"/>
                <w:sz w:val="20"/>
                <w:lang w:val="en-IE"/>
              </w:rPr>
              <w:t xml:space="preserve"> on outsourcing of construction works, the Annual Competition Law shall at least: </w:t>
            </w:r>
          </w:p>
          <w:p w14:paraId="23C6F342" w14:textId="77777777" w:rsidR="0039681A" w:rsidRPr="00A36E36" w:rsidRDefault="0039681A">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According to Article 186(2) of Legislative Decree no. 36/2023, establish the obligation for highway concessionaires to entrust third parties, by public evidence procedures, between 50% and 60% of contracts for works, services and supplies. The shares shall be calculated according to the amounts of the economic and financial plans annexed to the concession documents.</w:t>
            </w:r>
          </w:p>
          <w:p w14:paraId="226EE1D4" w14:textId="77777777" w:rsidR="0039681A" w:rsidRPr="00A36E36" w:rsidRDefault="0039681A">
            <w:pPr>
              <w:jc w:val="both"/>
              <w:rPr>
                <w:rFonts w:ascii="Arial Narrow" w:hAnsi="Arial Narrow"/>
                <w:noProof/>
                <w:color w:val="006100"/>
                <w:sz w:val="20"/>
                <w:szCs w:val="20"/>
                <w:lang w:val="en-IE"/>
              </w:rPr>
            </w:pPr>
            <w:r w:rsidRPr="00A36E36">
              <w:rPr>
                <w:rFonts w:ascii="Arial Narrow" w:hAnsi="Arial Narrow"/>
                <w:noProof/>
                <w:color w:val="006100"/>
                <w:sz w:val="20"/>
                <w:lang w:val="en-IE"/>
              </w:rPr>
              <w:t>(*) as far as in-house entrustments, the law shall:</w:t>
            </w:r>
          </w:p>
          <w:p w14:paraId="12DA33FF" w14:textId="77777777" w:rsidR="0039681A" w:rsidRPr="00A36E36" w:rsidRDefault="0039681A">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 require a mandatory </w:t>
            </w:r>
            <w:r w:rsidRPr="00A36E36">
              <w:rPr>
                <w:rFonts w:ascii="Arial Narrow" w:hAnsi="Arial Narrow"/>
                <w:i/>
                <w:noProof/>
                <w:color w:val="006100"/>
                <w:sz w:val="20"/>
                <w:lang w:val="en-IE"/>
              </w:rPr>
              <w:t>ex ante</w:t>
            </w:r>
            <w:r w:rsidRPr="00A36E36">
              <w:rPr>
                <w:rFonts w:ascii="Arial Narrow" w:hAnsi="Arial Narrow"/>
                <w:noProof/>
                <w:color w:val="006100"/>
                <w:sz w:val="20"/>
                <w:lang w:val="en-IE"/>
              </w:rPr>
              <w:t xml:space="preserve"> verification of the legality of in-house entrustment and forbid the launch of the tender procedure or the in-house entrustments without this verification;</w:t>
            </w:r>
          </w:p>
          <w:p w14:paraId="58097708" w14:textId="77777777" w:rsidR="0039681A" w:rsidRPr="00A36E36" w:rsidRDefault="0039681A">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entrust the Authority for the Regulation of Transport (ART) with adequate instruments and powers to perform the above mentioned verifications, and the (legal) support of the National Anti-Corruption Authority (ANAC);</w:t>
            </w:r>
          </w:p>
          <w:p w14:paraId="7E284CFD" w14:textId="77777777" w:rsidR="0039681A" w:rsidRPr="00A36E36" w:rsidRDefault="0039681A">
            <w:pPr>
              <w:spacing w:after="80"/>
              <w:ind w:left="340"/>
              <w:jc w:val="both"/>
              <w:rPr>
                <w:rFonts w:ascii="Arial Narrow" w:hAnsi="Arial Narrow"/>
                <w:noProof/>
                <w:color w:val="006100"/>
                <w:sz w:val="20"/>
                <w:szCs w:val="20"/>
                <w:lang w:val="en-IE"/>
              </w:rPr>
            </w:pPr>
            <w:r w:rsidRPr="00A36E36">
              <w:rPr>
                <w:rFonts w:ascii="Arial Narrow" w:hAnsi="Arial Narrow"/>
                <w:noProof/>
                <w:color w:val="006100"/>
                <w:sz w:val="20"/>
                <w:lang w:val="en-IE"/>
              </w:rPr>
              <w:t>- require that the installation of electric charging points and the implementation of adequate parking and rest areas for operators of freight transport are carried out in full compliance with the regulatory framework devised by ART.</w:t>
            </w:r>
          </w:p>
          <w:p w14:paraId="6B1E7301" w14:textId="77777777" w:rsidR="0039681A" w:rsidRPr="00A36E36" w:rsidRDefault="0039681A">
            <w:pPr>
              <w:rPr>
                <w:rFonts w:ascii="Arial Narrow" w:hAnsi="Arial Narrow"/>
                <w:b/>
                <w:noProof/>
                <w:color w:val="006100"/>
                <w:sz w:val="20"/>
                <w:szCs w:val="20"/>
                <w:lang w:val="en-IE"/>
              </w:rPr>
            </w:pPr>
            <w:r w:rsidRPr="00A36E36">
              <w:rPr>
                <w:rFonts w:ascii="Arial Narrow" w:hAnsi="Arial Narrow"/>
                <w:b/>
                <w:noProof/>
                <w:color w:val="006100"/>
                <w:sz w:val="20"/>
                <w:lang w:val="en-IE"/>
              </w:rPr>
              <w:t>Insurance:</w:t>
            </w:r>
          </w:p>
          <w:p w14:paraId="0A2ED930" w14:textId="77777777" w:rsidR="0039681A" w:rsidRPr="00A36E36" w:rsidRDefault="0039681A">
            <w:pPr>
              <w:rPr>
                <w:rFonts w:ascii="Arial Narrow" w:hAnsi="Arial Narrow"/>
                <w:noProof/>
                <w:color w:val="006100"/>
                <w:sz w:val="20"/>
                <w:szCs w:val="20"/>
                <w:lang w:val="en-IE"/>
              </w:rPr>
            </w:pPr>
            <w:r w:rsidRPr="00A36E36">
              <w:rPr>
                <w:rFonts w:ascii="Arial Narrow" w:hAnsi="Arial Narrow"/>
                <w:b/>
                <w:noProof/>
                <w:color w:val="006100"/>
                <w:sz w:val="20"/>
                <w:lang w:val="en-IE"/>
              </w:rPr>
              <w:t>v)</w:t>
            </w:r>
            <w:r w:rsidRPr="00A36E36">
              <w:rPr>
                <w:rFonts w:ascii="Arial Narrow" w:hAnsi="Arial Narrow"/>
                <w:noProof/>
                <w:color w:val="006100"/>
                <w:sz w:val="20"/>
                <w:lang w:val="en-IE"/>
              </w:rPr>
              <w:t xml:space="preserve"> Entry into force of the necessary acts to enable the portability of data for car black boxes between insurers;</w:t>
            </w:r>
          </w:p>
          <w:p w14:paraId="424EC899" w14:textId="77777777" w:rsidR="0039681A" w:rsidRPr="00A36E36" w:rsidRDefault="0039681A">
            <w:pPr>
              <w:rPr>
                <w:rFonts w:ascii="Arial Narrow" w:hAnsi="Arial Narrow"/>
                <w:b/>
                <w:noProof/>
                <w:color w:val="006100"/>
                <w:sz w:val="20"/>
                <w:szCs w:val="20"/>
                <w:lang w:val="en-IE"/>
              </w:rPr>
            </w:pPr>
            <w:r w:rsidRPr="00A36E36">
              <w:rPr>
                <w:rFonts w:ascii="Arial Narrow" w:hAnsi="Arial Narrow"/>
                <w:b/>
                <w:noProof/>
                <w:color w:val="006100"/>
                <w:sz w:val="20"/>
                <w:lang w:val="en-IE"/>
              </w:rPr>
              <w:t>Starting a business:</w:t>
            </w:r>
          </w:p>
          <w:p w14:paraId="63727E54" w14:textId="77777777" w:rsidR="0039681A" w:rsidRPr="00A36E36" w:rsidRDefault="0039681A">
            <w:pPr>
              <w:jc w:val="both"/>
              <w:rPr>
                <w:rFonts w:ascii="Arial Narrow" w:hAnsi="Arial Narrow"/>
                <w:noProof/>
                <w:color w:val="006100"/>
                <w:sz w:val="20"/>
                <w:szCs w:val="20"/>
                <w:lang w:val="en-IE"/>
              </w:rPr>
            </w:pPr>
            <w:r w:rsidRPr="00A36E36">
              <w:rPr>
                <w:rFonts w:ascii="Arial Narrow" w:hAnsi="Arial Narrow"/>
                <w:b/>
                <w:noProof/>
                <w:color w:val="006100"/>
                <w:sz w:val="20"/>
                <w:szCs w:val="20"/>
                <w:lang w:val="en-IE"/>
              </w:rPr>
              <w:t>vi)</w:t>
            </w:r>
            <w:r w:rsidRPr="00A36E36">
              <w:rPr>
                <w:rFonts w:ascii="Arial Narrow" w:hAnsi="Arial Narrow"/>
                <w:noProof/>
                <w:color w:val="006100"/>
                <w:sz w:val="20"/>
                <w:szCs w:val="20"/>
                <w:lang w:val="en-IE"/>
              </w:rPr>
              <w:t xml:space="preserve"> Review and update of legislation concerning innovative start-ups and venture capital (e.g. Start Up Act 2012) in order to rationalise existing legislation, review the definition of start-ups and promote investment in venture capital by private and institutional investors.</w:t>
            </w:r>
          </w:p>
        </w:tc>
      </w:tr>
      <w:tr w:rsidR="0039681A" w:rsidRPr="0070054C" w14:paraId="4A2B96DD" w14:textId="77777777" w:rsidTr="00D619C4">
        <w:trPr>
          <w:trHeight w:val="300"/>
        </w:trPr>
        <w:tc>
          <w:tcPr>
            <w:tcW w:w="1135" w:type="dxa"/>
            <w:shd w:val="clear" w:color="auto" w:fill="C6EFCE"/>
            <w:vAlign w:val="center"/>
          </w:tcPr>
          <w:p w14:paraId="5D4114E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M1C2-12</w:t>
            </w:r>
          </w:p>
        </w:tc>
        <w:tc>
          <w:tcPr>
            <w:tcW w:w="1276" w:type="dxa"/>
            <w:shd w:val="clear" w:color="auto" w:fill="C6EFCE"/>
            <w:vAlign w:val="center"/>
          </w:tcPr>
          <w:p w14:paraId="24CC211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shd w:val="clear" w:color="auto" w:fill="C6EFCE"/>
            <w:vAlign w:val="center"/>
          </w:tcPr>
          <w:p w14:paraId="461D244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shd w:val="clear" w:color="auto" w:fill="C6EFCE"/>
            <w:vAlign w:val="center"/>
          </w:tcPr>
          <w:p w14:paraId="67066E5E"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Entry into force of implementing measures (including secondary legislation, if necessary) for the implementation and application of the measures established in the 2023 Annual Competition Law and </w:t>
            </w:r>
            <w:r w:rsidRPr="00A36E36">
              <w:rPr>
                <w:rFonts w:ascii="Arial Narrow" w:hAnsi="Arial Narrow"/>
                <w:noProof/>
                <w:color w:val="006100"/>
                <w:sz w:val="20"/>
                <w:szCs w:val="20"/>
                <w:lang w:val="en-IE"/>
              </w:rPr>
              <w:t>other primary legislation</w:t>
            </w:r>
          </w:p>
        </w:tc>
        <w:tc>
          <w:tcPr>
            <w:tcW w:w="1843" w:type="dxa"/>
            <w:shd w:val="clear" w:color="auto" w:fill="C6EFCE"/>
            <w:vAlign w:val="center"/>
          </w:tcPr>
          <w:p w14:paraId="7CC50887"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Entry into force of secondary legislation, including all necessary regulations for the implementation and application of measures established in the 2023 Annual Competition Law and </w:t>
            </w:r>
            <w:r w:rsidRPr="00A36E36">
              <w:rPr>
                <w:rFonts w:ascii="Arial Narrow" w:hAnsi="Arial Narrow"/>
                <w:noProof/>
                <w:color w:val="006100"/>
                <w:sz w:val="20"/>
                <w:szCs w:val="20"/>
                <w:lang w:val="en-IE"/>
              </w:rPr>
              <w:t>other primary legislation</w:t>
            </w:r>
          </w:p>
        </w:tc>
        <w:tc>
          <w:tcPr>
            <w:tcW w:w="1359" w:type="dxa"/>
            <w:shd w:val="clear" w:color="auto" w:fill="C6EFCE"/>
            <w:vAlign w:val="center"/>
          </w:tcPr>
          <w:p w14:paraId="2DE510F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shd w:val="clear" w:color="auto" w:fill="C6EFCE"/>
            <w:vAlign w:val="center"/>
          </w:tcPr>
          <w:p w14:paraId="47C8993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75A9AEE2"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shd w:val="clear" w:color="auto" w:fill="C6EFCE"/>
            <w:vAlign w:val="center"/>
          </w:tcPr>
          <w:p w14:paraId="09A71C4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shd w:val="clear" w:color="auto" w:fill="C6EFCE"/>
            <w:vAlign w:val="center"/>
          </w:tcPr>
          <w:p w14:paraId="6AF3785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2814" w:type="dxa"/>
            <w:shd w:val="clear" w:color="auto" w:fill="C6EFCE"/>
            <w:vAlign w:val="center"/>
          </w:tcPr>
          <w:p w14:paraId="195DCC66"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secondary legislation (if necessary), including the necessary regulations for the implementation and application of the relevant measures established in the 2023 Annual Competition Law.</w:t>
            </w:r>
          </w:p>
          <w:p w14:paraId="3E773082"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secondary legislation on cold ironing and lists of retail sellers of natural gas, as follows:</w:t>
            </w:r>
          </w:p>
          <w:p w14:paraId="7D8CC1B1" w14:textId="77777777" w:rsidR="0039681A" w:rsidRPr="00A36E36" w:rsidRDefault="0039681A">
            <w:pPr>
              <w:jc w:val="both"/>
              <w:rPr>
                <w:rFonts w:ascii="Arial Narrow" w:hAnsi="Arial Narrow"/>
                <w:noProof/>
                <w:color w:val="006100"/>
                <w:sz w:val="20"/>
                <w:szCs w:val="20"/>
                <w:lang w:val="en-IE"/>
              </w:rPr>
            </w:pPr>
            <w:r w:rsidRPr="00A36E36">
              <w:rPr>
                <w:rFonts w:ascii="Arial Narrow" w:hAnsi="Arial Narrow"/>
                <w:b/>
                <w:bCs/>
                <w:noProof/>
                <w:color w:val="006100"/>
                <w:sz w:val="20"/>
                <w:szCs w:val="20"/>
                <w:lang w:val="en-IE"/>
              </w:rPr>
              <w:t>For cold ironing</w:t>
            </w:r>
            <w:r w:rsidRPr="00A36E36">
              <w:rPr>
                <w:rFonts w:ascii="Arial Narrow" w:hAnsi="Arial Narrow"/>
                <w:noProof/>
                <w:color w:val="006100"/>
                <w:sz w:val="20"/>
                <w:szCs w:val="20"/>
                <w:lang w:val="en-IE"/>
              </w:rPr>
              <w:t xml:space="preserve">: </w:t>
            </w:r>
          </w:p>
          <w:p w14:paraId="1BEF94AB"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regulatory incentives to use cold ironing services in ports.</w:t>
            </w:r>
          </w:p>
          <w:p w14:paraId="51273737" w14:textId="77777777" w:rsidR="0039681A" w:rsidRPr="00A36E36" w:rsidRDefault="0039681A">
            <w:pPr>
              <w:jc w:val="both"/>
              <w:rPr>
                <w:rFonts w:ascii="Arial Narrow" w:hAnsi="Arial Narrow"/>
                <w:b/>
                <w:bCs/>
                <w:noProof/>
                <w:color w:val="006100"/>
                <w:sz w:val="20"/>
                <w:szCs w:val="20"/>
                <w:lang w:val="en-IE"/>
              </w:rPr>
            </w:pPr>
            <w:r w:rsidRPr="00A36E36">
              <w:rPr>
                <w:rFonts w:ascii="Arial Narrow" w:hAnsi="Arial Narrow"/>
                <w:b/>
                <w:bCs/>
                <w:noProof/>
                <w:color w:val="006100"/>
                <w:sz w:val="20"/>
                <w:szCs w:val="20"/>
                <w:lang w:val="en-IE"/>
              </w:rPr>
              <w:t>For the list of retail sellers of natural gas:</w:t>
            </w:r>
          </w:p>
          <w:p w14:paraId="687E23AD" w14:textId="77777777" w:rsidR="0039681A" w:rsidRPr="00A36E36" w:rsidRDefault="0039681A">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secondary legislation defining the criteria and requirements on access and permanence of undertakings in the list of retail sellers of natural gas established by Article 17 of legislative decree no. 164/2000 aimed at enhancing transparency and supporting the choice of consumers in competitive markets.</w:t>
            </w:r>
          </w:p>
        </w:tc>
      </w:tr>
      <w:tr w:rsidR="0039681A" w:rsidRPr="0070054C" w14:paraId="3D84960A" w14:textId="77777777" w:rsidTr="00D619C4">
        <w:trPr>
          <w:trHeight w:val="300"/>
        </w:trPr>
        <w:tc>
          <w:tcPr>
            <w:tcW w:w="1135" w:type="dxa"/>
            <w:shd w:val="clear" w:color="auto" w:fill="C6EFCE"/>
            <w:vAlign w:val="center"/>
          </w:tcPr>
          <w:p w14:paraId="05476F2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M1C2-13</w:t>
            </w:r>
          </w:p>
        </w:tc>
        <w:tc>
          <w:tcPr>
            <w:tcW w:w="1276" w:type="dxa"/>
            <w:shd w:val="clear" w:color="auto" w:fill="C6EFCE"/>
            <w:vAlign w:val="center"/>
          </w:tcPr>
          <w:p w14:paraId="2080275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Reform 2: Annual Competition Laws</w:t>
            </w:r>
          </w:p>
        </w:tc>
        <w:tc>
          <w:tcPr>
            <w:tcW w:w="1134" w:type="dxa"/>
            <w:shd w:val="clear" w:color="auto" w:fill="C6EFCE"/>
            <w:vAlign w:val="center"/>
          </w:tcPr>
          <w:p w14:paraId="6F71742A"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59" w:type="dxa"/>
            <w:shd w:val="clear" w:color="auto" w:fill="C6EFCE"/>
            <w:vAlign w:val="center"/>
          </w:tcPr>
          <w:p w14:paraId="6E82675E"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Annual Competition Law for 2025</w:t>
            </w:r>
          </w:p>
        </w:tc>
        <w:tc>
          <w:tcPr>
            <w:tcW w:w="1843" w:type="dxa"/>
            <w:shd w:val="clear" w:color="auto" w:fill="C6EFCE"/>
            <w:vAlign w:val="center"/>
          </w:tcPr>
          <w:p w14:paraId="1BC46195"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indicating the entry into force of the Annual Competition Law for 2025.</w:t>
            </w:r>
          </w:p>
        </w:tc>
        <w:tc>
          <w:tcPr>
            <w:tcW w:w="1359" w:type="dxa"/>
            <w:shd w:val="clear" w:color="auto" w:fill="C6EFCE"/>
            <w:vAlign w:val="center"/>
          </w:tcPr>
          <w:p w14:paraId="57E0624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476" w:type="dxa"/>
            <w:shd w:val="clear" w:color="auto" w:fill="C6EFCE"/>
            <w:vAlign w:val="center"/>
          </w:tcPr>
          <w:p w14:paraId="56270CC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3321A64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21" w:type="dxa"/>
            <w:shd w:val="clear" w:color="auto" w:fill="C6EFCE"/>
            <w:vAlign w:val="center"/>
          </w:tcPr>
          <w:p w14:paraId="2CF4BAE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shd w:val="clear" w:color="auto" w:fill="C6EFCE"/>
            <w:vAlign w:val="center"/>
          </w:tcPr>
          <w:p w14:paraId="43B3D45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2025</w:t>
            </w:r>
          </w:p>
        </w:tc>
        <w:tc>
          <w:tcPr>
            <w:tcW w:w="2814" w:type="dxa"/>
            <w:shd w:val="clear" w:color="auto" w:fill="C6EFCE"/>
            <w:vAlign w:val="center"/>
          </w:tcPr>
          <w:p w14:paraId="64E6CB73" w14:textId="77777777" w:rsidR="0039681A" w:rsidRPr="00A36E36" w:rsidRDefault="0039681A">
            <w:pPr>
              <w:spacing w:before="120" w:after="120"/>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Entry into force of the Annual Competition Law for 2025. </w:t>
            </w:r>
          </w:p>
          <w:p w14:paraId="0517E88D" w14:textId="77777777" w:rsidR="0039681A" w:rsidRPr="00A36E36" w:rsidRDefault="0039681A">
            <w:pPr>
              <w:spacing w:before="120" w:after="120"/>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Primary and secondary legislation (including implementing acts, if necessary) shall be approved and shall enter into force by 4Q 2025. </w:t>
            </w:r>
          </w:p>
          <w:p w14:paraId="014120AC" w14:textId="77777777" w:rsidR="0039681A" w:rsidRPr="00A36E36" w:rsidRDefault="0039681A">
            <w:pPr>
              <w:spacing w:before="120" w:after="120"/>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The Annual Competition Law shall:</w:t>
            </w:r>
          </w:p>
          <w:p w14:paraId="3A8F29D8" w14:textId="77777777" w:rsidR="0039681A" w:rsidRPr="00A36E36" w:rsidRDefault="0039681A">
            <w:pPr>
              <w:spacing w:before="120" w:after="120"/>
              <w:rPr>
                <w:rFonts w:ascii="Arial Narrow" w:eastAsia="Times New Roman" w:hAnsi="Arial Narrow" w:cs="Segoe UI"/>
                <w:b/>
                <w:bCs/>
                <w:noProof/>
                <w:color w:val="006100"/>
                <w:sz w:val="20"/>
                <w:szCs w:val="20"/>
                <w:lang w:val="en-IE" w:eastAsia="en-IE"/>
              </w:rPr>
            </w:pPr>
            <w:r w:rsidRPr="00A36E36">
              <w:rPr>
                <w:rFonts w:ascii="Arial Narrow" w:eastAsia="Times New Roman" w:hAnsi="Arial Narrow" w:cs="Segoe UI"/>
                <w:b/>
                <w:bCs/>
                <w:noProof/>
                <w:color w:val="006100"/>
                <w:sz w:val="20"/>
                <w:szCs w:val="20"/>
                <w:lang w:val="en-IE" w:eastAsia="en-IE"/>
              </w:rPr>
              <w:t>I - on Local Public Services:</w:t>
            </w:r>
          </w:p>
          <w:p w14:paraId="214528A0" w14:textId="77777777" w:rsidR="0039681A" w:rsidRPr="00A36E36" w:rsidRDefault="0039681A" w:rsidP="0039681A">
            <w:pPr>
              <w:numPr>
                <w:ilvl w:val="0"/>
                <w:numId w:val="38"/>
              </w:numPr>
              <w:spacing w:before="120" w:after="120" w:line="279" w:lineRule="auto"/>
              <w:ind w:left="369" w:hanging="283"/>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Introduce corrective measures and sanctions for non-adoption, non-publication or incompleteness of the monitoring required by Article 30 of Legislative Decree 201/2022.</w:t>
            </w:r>
          </w:p>
          <w:p w14:paraId="7534494E" w14:textId="77777777" w:rsidR="0039681A" w:rsidRPr="00A36E36" w:rsidRDefault="0039681A" w:rsidP="0039681A">
            <w:pPr>
              <w:numPr>
                <w:ilvl w:val="0"/>
                <w:numId w:val="38"/>
              </w:numPr>
              <w:spacing w:before="120" w:after="120" w:line="279" w:lineRule="auto"/>
              <w:ind w:left="369" w:hanging="283"/>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Introduce corrective measures in case of unsatisfactory management* of the local public service. Such measures shall include, at least, the adoption of plans to improve quality, cost efficiency, and meet all contractual objectives. The reform shall foresee that the corrective measures are required by the contracting authorities within fixed deadlines.</w:t>
            </w:r>
          </w:p>
          <w:p w14:paraId="71ED249A" w14:textId="77777777" w:rsidR="0039681A" w:rsidRPr="00A36E36" w:rsidRDefault="0039681A" w:rsidP="0039681A">
            <w:pPr>
              <w:numPr>
                <w:ilvl w:val="0"/>
                <w:numId w:val="38"/>
              </w:numPr>
              <w:spacing w:before="120" w:after="120" w:line="279" w:lineRule="auto"/>
              <w:ind w:left="369" w:hanging="283"/>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Introduce transparency obligations regarding the above-mentioned corrective measures, ensure and where necessary strengthen the monitoring and enforcement powers of the competent regulators/authorities and require the competent authority to issue annually a report to the Parliament on the status of implementation of the corrective measures. </w:t>
            </w:r>
          </w:p>
          <w:p w14:paraId="3369DCE2" w14:textId="03DC97EA" w:rsidR="0039681A" w:rsidRPr="00A36E36" w:rsidRDefault="0039681A">
            <w:pPr>
              <w:spacing w:before="120" w:after="120"/>
              <w:rPr>
                <w:rFonts w:ascii="Arial Narrow" w:eastAsia="Times New Roman" w:hAnsi="Arial Narrow" w:cs="Segoe UI"/>
                <w:noProof/>
                <w:color w:val="006100"/>
                <w:sz w:val="20"/>
                <w:szCs w:val="20"/>
                <w:lang w:val="en-IE" w:eastAsia="en-IE"/>
              </w:rPr>
            </w:pPr>
            <w:bookmarkStart w:id="9" w:name="_Hlk212535598"/>
            <w:r w:rsidRPr="00A36E36">
              <w:rPr>
                <w:rFonts w:ascii="Arial Narrow" w:eastAsia="Times New Roman" w:hAnsi="Arial Narrow" w:cs="Segoe UI"/>
                <w:noProof/>
                <w:color w:val="006100"/>
                <w:sz w:val="20"/>
                <w:szCs w:val="20"/>
                <w:lang w:val="en-IE" w:eastAsia="en-IE"/>
              </w:rPr>
              <w:t>*</w:t>
            </w:r>
            <w:bookmarkEnd w:id="9"/>
            <w:r w:rsidRPr="00A36E36">
              <w:rPr>
                <w:rFonts w:ascii="Arial Narrow" w:eastAsia="Times New Roman" w:hAnsi="Arial Narrow" w:cs="Segoe UI"/>
                <w:noProof/>
                <w:color w:val="006100"/>
                <w:sz w:val="20"/>
                <w:szCs w:val="20"/>
                <w:lang w:val="en-IE" w:eastAsia="en-IE"/>
              </w:rPr>
              <w:t xml:space="preserve"> Unsatisfactory management shall be defined as to cover, at least, the situations in which the operator has incurred in significant losses, capable of putting at risk its economic and financial viability, or when the quality of the service is significantly below sectorial benchmarks or the performance is appreciably below contractual targets.</w:t>
            </w:r>
          </w:p>
          <w:p w14:paraId="7F4B933A" w14:textId="77777777" w:rsidR="0039681A" w:rsidRPr="00647572" w:rsidRDefault="0039681A">
            <w:pPr>
              <w:spacing w:before="120" w:after="120"/>
              <w:rPr>
                <w:rFonts w:ascii="Arial Narrow" w:eastAsia="Times New Roman" w:hAnsi="Arial Narrow" w:cs="Segoe UI"/>
                <w:b/>
                <w:bCs/>
                <w:noProof/>
                <w:color w:val="006100"/>
                <w:sz w:val="20"/>
                <w:szCs w:val="20"/>
                <w:lang w:eastAsia="en-IE"/>
              </w:rPr>
            </w:pPr>
            <w:r w:rsidRPr="00647572">
              <w:rPr>
                <w:rFonts w:ascii="Arial Narrow" w:eastAsia="Times New Roman" w:hAnsi="Arial Narrow" w:cs="Segoe UI"/>
                <w:b/>
                <w:bCs/>
                <w:noProof/>
                <w:color w:val="006100"/>
                <w:sz w:val="20"/>
                <w:szCs w:val="20"/>
                <w:lang w:eastAsia="en-IE"/>
              </w:rPr>
              <w:t>II - on Regional transport:</w:t>
            </w:r>
          </w:p>
          <w:p w14:paraId="115C2311" w14:textId="77777777" w:rsidR="0039681A" w:rsidRPr="00647572" w:rsidRDefault="0039681A" w:rsidP="0039681A">
            <w:pPr>
              <w:numPr>
                <w:ilvl w:val="0"/>
                <w:numId w:val="38"/>
              </w:numPr>
              <w:spacing w:before="120" w:after="120" w:line="279" w:lineRule="auto"/>
              <w:ind w:left="369" w:hanging="369"/>
              <w:rPr>
                <w:rFonts w:ascii="Arial Narrow" w:eastAsia="Times New Roman" w:hAnsi="Arial Narrow" w:cs="Segoe UI"/>
                <w:noProof/>
                <w:color w:val="006100"/>
                <w:sz w:val="20"/>
                <w:szCs w:val="20"/>
                <w:lang w:eastAsia="en-IE"/>
              </w:rPr>
            </w:pPr>
            <w:r w:rsidRPr="00A36E36">
              <w:rPr>
                <w:rFonts w:ascii="Arial Narrow" w:eastAsia="Times New Roman" w:hAnsi="Arial Narrow" w:cs="Segoe UI"/>
                <w:noProof/>
                <w:color w:val="006100"/>
                <w:sz w:val="20"/>
                <w:szCs w:val="20"/>
                <w:lang w:val="en-IE" w:eastAsia="en-IE"/>
              </w:rPr>
              <w:t xml:space="preserve">Extend to Regional Public Transport (including to the “internal operators” pursuant to Regulation (EC) no 1370/2007) the applicability of Articles 14 paras. </w:t>
            </w:r>
            <w:r w:rsidRPr="00647572">
              <w:rPr>
                <w:rFonts w:ascii="Arial Narrow" w:eastAsia="Times New Roman" w:hAnsi="Arial Narrow" w:cs="Segoe UI"/>
                <w:noProof/>
                <w:color w:val="006100"/>
                <w:sz w:val="20"/>
                <w:szCs w:val="20"/>
                <w:lang w:eastAsia="en-IE"/>
              </w:rPr>
              <w:t>2 and 3, 17, 30 and 31 of Legislative Decree 201/2022, as reformed above.</w:t>
            </w:r>
          </w:p>
          <w:p w14:paraId="16B9F48E" w14:textId="77777777" w:rsidR="0039681A" w:rsidRPr="00A36E36" w:rsidRDefault="0039681A" w:rsidP="0039681A">
            <w:pPr>
              <w:numPr>
                <w:ilvl w:val="0"/>
                <w:numId w:val="38"/>
              </w:numPr>
              <w:spacing w:before="120" w:after="120" w:line="279" w:lineRule="auto"/>
              <w:ind w:left="369" w:hanging="369"/>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Revise Art. 9 of the Annual Competition Law no. 118/2022 in order to provide for the requirement for the Ministry of Infrastructures and Transport (MIT) to publish, on an annual basis and starting in 2026, a suitably staggered calendar of the award procedures of all expiring railways contracts.</w:t>
            </w:r>
          </w:p>
          <w:p w14:paraId="32D5EC0F" w14:textId="20234361" w:rsidR="0039681A" w:rsidRPr="00775AC6" w:rsidRDefault="0039681A" w:rsidP="00775AC6">
            <w:pPr>
              <w:numPr>
                <w:ilvl w:val="0"/>
                <w:numId w:val="38"/>
              </w:numPr>
              <w:spacing w:before="120" w:after="120" w:line="279" w:lineRule="auto"/>
              <w:ind w:left="369" w:hanging="369"/>
              <w:rPr>
                <w:rFonts w:ascii="Arial Narrow" w:eastAsia="Times New Roman" w:hAnsi="Arial Narrow" w:cs="Segoe UI"/>
                <w:noProof/>
                <w:color w:val="006100"/>
                <w:sz w:val="20"/>
                <w:szCs w:val="20"/>
                <w:lang w:val="en-IE" w:eastAsia="en-IE"/>
              </w:rPr>
            </w:pPr>
            <w:r w:rsidRPr="00775AC6">
              <w:rPr>
                <w:rFonts w:ascii="Arial Narrow" w:eastAsia="Times New Roman" w:hAnsi="Arial Narrow" w:cs="Segoe UI"/>
                <w:noProof/>
                <w:color w:val="006100"/>
                <w:sz w:val="20"/>
                <w:szCs w:val="20"/>
                <w:lang w:val="en-IE" w:eastAsia="en-IE"/>
              </w:rPr>
              <w:t>Require ART to launch by Q2 2026 a public consultation in view of the adoption of guidelines for the standardization of award procedures for regional transport services.</w:t>
            </w:r>
          </w:p>
          <w:p w14:paraId="53CDBF42" w14:textId="77777777" w:rsidR="0039681A" w:rsidRPr="00A36E36" w:rsidRDefault="0039681A">
            <w:pPr>
              <w:spacing w:before="120" w:after="120"/>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b/>
                <w:bCs/>
                <w:noProof/>
                <w:color w:val="006100"/>
                <w:sz w:val="20"/>
                <w:szCs w:val="20"/>
                <w:lang w:val="en-IE" w:eastAsia="en-IE"/>
              </w:rPr>
              <w:t>III - on Electric charging stations:</w:t>
            </w:r>
          </w:p>
          <w:p w14:paraId="08410A20" w14:textId="5DBA7773" w:rsidR="0039681A" w:rsidRPr="00775AC6" w:rsidRDefault="0039681A" w:rsidP="00775AC6">
            <w:pPr>
              <w:numPr>
                <w:ilvl w:val="0"/>
                <w:numId w:val="38"/>
              </w:numPr>
              <w:spacing w:before="120" w:after="120" w:line="279" w:lineRule="auto"/>
              <w:ind w:left="369" w:hanging="283"/>
              <w:rPr>
                <w:rFonts w:ascii="Arial Narrow" w:eastAsia="Times New Roman" w:hAnsi="Arial Narrow" w:cs="Segoe UI"/>
                <w:noProof/>
                <w:color w:val="006100"/>
                <w:sz w:val="20"/>
                <w:szCs w:val="20"/>
                <w:lang w:val="en-IE" w:eastAsia="en-IE"/>
              </w:rPr>
            </w:pPr>
            <w:r w:rsidRPr="00775AC6">
              <w:rPr>
                <w:rFonts w:ascii="Arial Narrow" w:eastAsia="Times New Roman" w:hAnsi="Arial Narrow" w:cs="Segoe UI"/>
                <w:noProof/>
                <w:color w:val="006100"/>
                <w:sz w:val="20"/>
                <w:szCs w:val="20"/>
                <w:lang w:val="en-IE" w:eastAsia="en-IE"/>
              </w:rPr>
              <w:t xml:space="preserve">Ensure that the award of concessions for electric recharging points promotes competition by encouraging a plurality of suppliers in the market. </w:t>
            </w:r>
          </w:p>
          <w:p w14:paraId="422E1A6F" w14:textId="77777777" w:rsidR="0039681A" w:rsidRPr="00647572" w:rsidRDefault="0039681A">
            <w:pPr>
              <w:spacing w:before="120" w:after="120"/>
              <w:rPr>
                <w:rFonts w:ascii="Arial Narrow" w:eastAsia="Times New Roman" w:hAnsi="Arial Narrow" w:cs="Segoe UI"/>
                <w:b/>
                <w:bCs/>
                <w:noProof/>
                <w:color w:val="006100"/>
                <w:sz w:val="20"/>
                <w:szCs w:val="20"/>
                <w:lang w:eastAsia="en-IE"/>
              </w:rPr>
            </w:pPr>
            <w:r w:rsidRPr="00647572">
              <w:rPr>
                <w:rFonts w:ascii="Arial Narrow" w:eastAsia="Times New Roman" w:hAnsi="Arial Narrow" w:cs="Segoe UI"/>
                <w:b/>
                <w:bCs/>
                <w:noProof/>
                <w:color w:val="006100"/>
                <w:sz w:val="20"/>
                <w:szCs w:val="20"/>
                <w:lang w:eastAsia="en-IE"/>
              </w:rPr>
              <w:t>IV - on Health:</w:t>
            </w:r>
          </w:p>
          <w:p w14:paraId="7DB8DFA0" w14:textId="77777777" w:rsidR="0039681A" w:rsidRPr="00A36E36" w:rsidRDefault="0039681A" w:rsidP="0039681A">
            <w:pPr>
              <w:numPr>
                <w:ilvl w:val="0"/>
                <w:numId w:val="38"/>
              </w:numPr>
              <w:spacing w:before="120" w:after="120" w:line="279" w:lineRule="auto"/>
              <w:ind w:left="227" w:hanging="227"/>
              <w:rPr>
                <w:rFonts w:ascii="Arial Narrow" w:eastAsia="Arial Narrow" w:hAnsi="Arial Narrow" w:cs="Arial Narrow"/>
                <w:noProof/>
                <w:sz w:val="20"/>
                <w:szCs w:val="20"/>
                <w:lang w:val="en-IE"/>
              </w:rPr>
            </w:pPr>
            <w:r w:rsidRPr="00A36E36">
              <w:rPr>
                <w:rFonts w:ascii="Arial Narrow" w:eastAsia="Times New Roman" w:hAnsi="Arial Narrow" w:cs="Segoe UI"/>
                <w:noProof/>
                <w:color w:val="006100"/>
                <w:sz w:val="20"/>
                <w:szCs w:val="20"/>
                <w:lang w:val="en-IE" w:eastAsia="en-IE"/>
              </w:rPr>
              <w:t>Establish common criteria for contractual agreements to ensure the effective implementation of Articles 8-quater and 8-quinquies of Legislative Decree 502/1992, as amended by Law 118/2022, on the accreditation of private companies to the Public Health System,</w:t>
            </w:r>
            <w:r w:rsidRPr="00A36E36" w:rsidDel="00F10905">
              <w:rPr>
                <w:rFonts w:ascii="Arial Narrow" w:eastAsia="Times New Roman" w:hAnsi="Arial Narrow" w:cs="Segoe UI"/>
                <w:noProof/>
                <w:color w:val="006100"/>
                <w:sz w:val="20"/>
                <w:szCs w:val="20"/>
                <w:lang w:val="en-IE" w:eastAsia="en-IE"/>
              </w:rPr>
              <w:t xml:space="preserve"> </w:t>
            </w:r>
            <w:r w:rsidRPr="00A36E36">
              <w:rPr>
                <w:rFonts w:ascii="Arial Narrow" w:eastAsia="Arial Narrow" w:hAnsi="Arial Narrow" w:cs="Arial Narrow"/>
                <w:noProof/>
                <w:color w:val="006100"/>
                <w:sz w:val="20"/>
                <w:szCs w:val="20"/>
                <w:lang w:val="en-IE"/>
              </w:rPr>
              <w:t>and to ensure the implementation of rules providing for open and transparent selection procedures.</w:t>
            </w:r>
          </w:p>
          <w:p w14:paraId="3867EC05" w14:textId="77777777" w:rsidR="0039681A" w:rsidRPr="00647572" w:rsidDel="008007BD" w:rsidRDefault="0039681A">
            <w:pPr>
              <w:spacing w:before="120" w:after="120"/>
              <w:rPr>
                <w:rFonts w:ascii="Arial Narrow" w:eastAsia="Times New Roman" w:hAnsi="Arial Narrow" w:cs="Segoe UI"/>
                <w:b/>
                <w:bCs/>
                <w:noProof/>
                <w:color w:val="006100"/>
                <w:sz w:val="20"/>
                <w:szCs w:val="20"/>
                <w:lang w:eastAsia="en-IE"/>
              </w:rPr>
            </w:pPr>
            <w:r w:rsidRPr="00647572">
              <w:rPr>
                <w:rFonts w:ascii="Arial Narrow" w:eastAsia="Times New Roman" w:hAnsi="Arial Narrow" w:cs="Segoe UI"/>
                <w:b/>
                <w:bCs/>
                <w:noProof/>
                <w:color w:val="006100"/>
                <w:sz w:val="20"/>
                <w:szCs w:val="20"/>
                <w:lang w:eastAsia="en-IE"/>
              </w:rPr>
              <w:t>V. - Technology transfer:</w:t>
            </w:r>
          </w:p>
          <w:p w14:paraId="05D64F11" w14:textId="77777777" w:rsidR="0039681A" w:rsidRPr="00A36E36" w:rsidDel="008007BD" w:rsidRDefault="0039681A" w:rsidP="0039681A">
            <w:pPr>
              <w:numPr>
                <w:ilvl w:val="0"/>
                <w:numId w:val="38"/>
              </w:numPr>
              <w:spacing w:before="120" w:after="120" w:line="279" w:lineRule="auto"/>
              <w:ind w:left="369" w:hanging="283"/>
              <w:rPr>
                <w:rFonts w:ascii="Arial Narrow" w:eastAsia="Times New Roman" w:hAnsi="Arial Narrow" w:cs="Segoe UI"/>
                <w:noProof/>
                <w:color w:val="006100"/>
                <w:lang w:val="en-IE" w:eastAsia="en-IE"/>
              </w:rPr>
            </w:pPr>
            <w:r w:rsidRPr="00A36E36">
              <w:rPr>
                <w:rFonts w:ascii="Arial Narrow" w:eastAsia="Times New Roman" w:hAnsi="Arial Narrow" w:cs="Segoe UI"/>
                <w:noProof/>
                <w:color w:val="006100"/>
                <w:sz w:val="20"/>
                <w:szCs w:val="20"/>
                <w:lang w:val="en-IE" w:eastAsia="en-IE"/>
              </w:rPr>
              <w:t xml:space="preserve">Require the Ministry of Enterprises and Made in Italy and the Ministry of University and Research to adopt by Q2 2026 a national strategy for technology transfer and knowledge valorisation, making the allocation of available resources more efficient, promoting a coordinated strategy between the various Foundations and other institutional subjects operating in the field of technology transfer. The initiative shall support and rationalise technology transfer offices also by promoting federative initiatives or other policies to enhance efficiency. </w:t>
            </w:r>
          </w:p>
          <w:p w14:paraId="09A3EB16" w14:textId="77777777" w:rsidR="0039681A" w:rsidRPr="00647572" w:rsidRDefault="0039681A">
            <w:pPr>
              <w:spacing w:before="120" w:after="120"/>
              <w:rPr>
                <w:rFonts w:ascii="Arial Narrow" w:eastAsia="Times New Roman" w:hAnsi="Arial Narrow" w:cs="Segoe UI"/>
                <w:b/>
                <w:bCs/>
                <w:noProof/>
                <w:color w:val="006100"/>
                <w:sz w:val="20"/>
                <w:szCs w:val="20"/>
                <w:lang w:eastAsia="en-IE"/>
              </w:rPr>
            </w:pPr>
            <w:r w:rsidRPr="00647572">
              <w:rPr>
                <w:rFonts w:ascii="Arial Narrow" w:eastAsia="Times New Roman" w:hAnsi="Arial Narrow" w:cs="Segoe UI"/>
                <w:b/>
                <w:bCs/>
                <w:noProof/>
                <w:color w:val="006100"/>
                <w:sz w:val="20"/>
                <w:szCs w:val="20"/>
                <w:lang w:eastAsia="en-IE"/>
              </w:rPr>
              <w:t>VI - on Regulated Professions:</w:t>
            </w:r>
          </w:p>
          <w:p w14:paraId="707E6F66" w14:textId="77777777" w:rsidR="0039681A" w:rsidRPr="00A36E36" w:rsidRDefault="0039681A" w:rsidP="0039681A">
            <w:pPr>
              <w:pStyle w:val="ListParagraph"/>
              <w:numPr>
                <w:ilvl w:val="0"/>
                <w:numId w:val="38"/>
              </w:numPr>
              <w:spacing w:before="120" w:after="120"/>
              <w:ind w:left="224" w:hanging="224"/>
              <w:jc w:val="both"/>
              <w:rPr>
                <w:rFonts w:ascii="Arial Narrow" w:hAnsi="Arial Narrow" w:cs="Segoe UI"/>
                <w:noProof/>
                <w:color w:val="006100"/>
                <w:sz w:val="20"/>
                <w:szCs w:val="20"/>
                <w:lang w:val="en-IE" w:eastAsia="en-IE"/>
              </w:rPr>
            </w:pPr>
            <w:r w:rsidRPr="00A36E36">
              <w:rPr>
                <w:rFonts w:ascii="Arial Narrow" w:hAnsi="Arial Narrow" w:cs="Segoe UI"/>
                <w:noProof/>
                <w:color w:val="006100"/>
                <w:sz w:val="20"/>
                <w:szCs w:val="20"/>
                <w:lang w:val="en-IE" w:eastAsia="en-IE"/>
              </w:rPr>
              <w:t>Simplify the requirements for incorporation and registration of professional companies.</w:t>
            </w:r>
          </w:p>
        </w:tc>
      </w:tr>
      <w:tr w:rsidR="0039681A" w:rsidRPr="0070054C" w14:paraId="46BF5B5A" w14:textId="77777777" w:rsidTr="00D619C4">
        <w:trPr>
          <w:trHeight w:val="300"/>
        </w:trPr>
        <w:tc>
          <w:tcPr>
            <w:tcW w:w="1135" w:type="dxa"/>
            <w:shd w:val="clear" w:color="auto" w:fill="C6EFCE"/>
            <w:vAlign w:val="center"/>
          </w:tcPr>
          <w:p w14:paraId="227CCC62"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M1C2-13bis</w:t>
            </w:r>
          </w:p>
        </w:tc>
        <w:tc>
          <w:tcPr>
            <w:tcW w:w="1276" w:type="dxa"/>
            <w:shd w:val="clear" w:color="auto" w:fill="C6EFCE"/>
            <w:vAlign w:val="center"/>
          </w:tcPr>
          <w:p w14:paraId="28B9A1C5"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Reform 2: Annual Competition Laws</w:t>
            </w:r>
          </w:p>
        </w:tc>
        <w:tc>
          <w:tcPr>
            <w:tcW w:w="1134" w:type="dxa"/>
            <w:shd w:val="clear" w:color="auto" w:fill="C6EFCE"/>
            <w:vAlign w:val="center"/>
          </w:tcPr>
          <w:p w14:paraId="747FD80F"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559" w:type="dxa"/>
            <w:shd w:val="clear" w:color="auto" w:fill="C6EFCE"/>
            <w:vAlign w:val="center"/>
          </w:tcPr>
          <w:p w14:paraId="67909AF4" w14:textId="3E3CEDC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eastAsia="Times New Roman" w:hAnsi="Arial Narrow" w:cs="Segoe UI"/>
                <w:noProof/>
                <w:color w:val="006100"/>
                <w:sz w:val="20"/>
                <w:szCs w:val="20"/>
                <w:lang w:val="en-IE" w:eastAsia="en-IE"/>
              </w:rPr>
              <w:t xml:space="preserve">Entry into force of </w:t>
            </w:r>
            <w:r w:rsidRPr="26F8F03F">
              <w:rPr>
                <w:rFonts w:ascii="Arial Narrow" w:eastAsia="Times New Roman" w:hAnsi="Arial Narrow" w:cs="Segoe UI"/>
                <w:noProof/>
                <w:color w:val="006100"/>
                <w:sz w:val="20"/>
                <w:szCs w:val="20"/>
                <w:lang w:val="en-IE" w:eastAsia="en-IE"/>
              </w:rPr>
              <w:t xml:space="preserve">legal act(s) </w:t>
            </w:r>
            <w:r w:rsidRPr="00A36E36">
              <w:rPr>
                <w:rFonts w:ascii="Arial Narrow" w:eastAsia="Times New Roman" w:hAnsi="Arial Narrow" w:cs="Segoe UI"/>
                <w:noProof/>
                <w:color w:val="006100"/>
                <w:sz w:val="20"/>
                <w:szCs w:val="20"/>
                <w:lang w:val="en-IE" w:eastAsia="en-IE"/>
              </w:rPr>
              <w:t>on Regional Railways and Technology Transfer</w:t>
            </w:r>
          </w:p>
        </w:tc>
        <w:tc>
          <w:tcPr>
            <w:tcW w:w="1843" w:type="dxa"/>
            <w:shd w:val="clear" w:color="auto" w:fill="C6EFCE"/>
            <w:vAlign w:val="center"/>
          </w:tcPr>
          <w:p w14:paraId="319564DF" w14:textId="427AB1BA" w:rsidR="0039681A" w:rsidRPr="00A36E36" w:rsidRDefault="0039681A">
            <w:pPr>
              <w:spacing w:before="120" w:after="120"/>
              <w:jc w:val="center"/>
              <w:rPr>
                <w:rFonts w:ascii="Arial Narrow" w:hAnsi="Arial Narrow"/>
                <w:noProof/>
                <w:color w:val="006100"/>
                <w:sz w:val="20"/>
                <w:szCs w:val="20"/>
                <w:lang w:val="en-IE"/>
              </w:rPr>
            </w:pPr>
            <w:r w:rsidRPr="26F8F03F">
              <w:rPr>
                <w:rFonts w:ascii="Arial Narrow" w:hAnsi="Arial Narrow"/>
                <w:noProof/>
                <w:color w:val="006100"/>
                <w:sz w:val="20"/>
                <w:szCs w:val="20"/>
                <w:lang w:val="en-IE"/>
              </w:rPr>
              <w:t>Provision indicating the e</w:t>
            </w:r>
            <w:r w:rsidRPr="00A36E36">
              <w:rPr>
                <w:rFonts w:ascii="Arial Narrow" w:eastAsia="Times New Roman" w:hAnsi="Arial Narrow" w:cs="Segoe UI"/>
                <w:noProof/>
                <w:color w:val="006100"/>
                <w:sz w:val="20"/>
                <w:szCs w:val="20"/>
                <w:lang w:val="en-IE" w:eastAsia="en-IE"/>
              </w:rPr>
              <w:t xml:space="preserve">ntry into force of </w:t>
            </w:r>
            <w:r w:rsidRPr="26F8F03F">
              <w:rPr>
                <w:rFonts w:ascii="Arial Narrow" w:eastAsia="Times New Roman" w:hAnsi="Arial Narrow" w:cs="Segoe UI"/>
                <w:noProof/>
                <w:color w:val="006100"/>
                <w:sz w:val="20"/>
                <w:szCs w:val="20"/>
                <w:lang w:val="en-IE" w:eastAsia="en-IE"/>
              </w:rPr>
              <w:t>legal act(s)</w:t>
            </w:r>
            <w:r w:rsidRPr="00A36E36">
              <w:rPr>
                <w:rFonts w:ascii="Arial Narrow" w:eastAsia="Times New Roman" w:hAnsi="Arial Narrow" w:cs="Segoe UI"/>
                <w:noProof/>
                <w:color w:val="006100"/>
                <w:sz w:val="20"/>
                <w:szCs w:val="20"/>
                <w:lang w:val="en-IE" w:eastAsia="en-IE"/>
              </w:rPr>
              <w:t>on Regional Railways and Technology Transfer</w:t>
            </w:r>
          </w:p>
        </w:tc>
        <w:tc>
          <w:tcPr>
            <w:tcW w:w="1359" w:type="dxa"/>
            <w:shd w:val="clear" w:color="auto" w:fill="C6EFCE"/>
            <w:vAlign w:val="center"/>
          </w:tcPr>
          <w:p w14:paraId="4B4B9DDF"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476" w:type="dxa"/>
            <w:shd w:val="clear" w:color="auto" w:fill="C6EFCE"/>
            <w:vAlign w:val="center"/>
          </w:tcPr>
          <w:p w14:paraId="2EF44C34"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134" w:type="dxa"/>
            <w:shd w:val="clear" w:color="auto" w:fill="C6EFCE"/>
            <w:vAlign w:val="center"/>
          </w:tcPr>
          <w:p w14:paraId="6D1C38B6"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021" w:type="dxa"/>
            <w:shd w:val="clear" w:color="auto" w:fill="C6EFCE"/>
            <w:vAlign w:val="center"/>
          </w:tcPr>
          <w:p w14:paraId="6EB88571"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Q2</w:t>
            </w:r>
          </w:p>
        </w:tc>
        <w:tc>
          <w:tcPr>
            <w:tcW w:w="709" w:type="dxa"/>
            <w:shd w:val="clear" w:color="auto" w:fill="C6EFCE"/>
            <w:vAlign w:val="center"/>
          </w:tcPr>
          <w:p w14:paraId="37E42C79"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2026</w:t>
            </w:r>
          </w:p>
        </w:tc>
        <w:tc>
          <w:tcPr>
            <w:tcW w:w="2814" w:type="dxa"/>
            <w:shd w:val="clear" w:color="auto" w:fill="C6EFCE"/>
            <w:vAlign w:val="center"/>
          </w:tcPr>
          <w:p w14:paraId="478AF180" w14:textId="58E44CE3" w:rsidR="0039681A" w:rsidRPr="00A36E36" w:rsidRDefault="0039681A" w:rsidP="00351087">
            <w:pPr>
              <w:spacing w:before="120" w:after="120"/>
              <w:rPr>
                <w:rFonts w:ascii="Arial Narrow" w:eastAsia="Times New Roman" w:hAnsi="Arial Narrow" w:cs="Segoe UI"/>
                <w:noProof/>
                <w:color w:val="006100"/>
                <w:sz w:val="20"/>
                <w:szCs w:val="20"/>
                <w:lang w:val="en-IE" w:eastAsia="en-IE"/>
              </w:rPr>
            </w:pPr>
            <w:r w:rsidRPr="20168200">
              <w:rPr>
                <w:rFonts w:ascii="Arial Narrow" w:eastAsia="Times New Roman" w:hAnsi="Arial Narrow" w:cs="Segoe UI"/>
                <w:noProof/>
                <w:color w:val="006100"/>
                <w:sz w:val="20"/>
                <w:szCs w:val="20"/>
                <w:lang w:val="en-IE" w:eastAsia="en-IE"/>
              </w:rPr>
              <w:t>Entry into force of legal act(s) on Regional Railways and Technology Transfer.</w:t>
            </w:r>
          </w:p>
          <w:p w14:paraId="385FA9A5" w14:textId="77777777" w:rsidR="0039681A" w:rsidRPr="00A36E36" w:rsidRDefault="0039681A" w:rsidP="00351087">
            <w:pPr>
              <w:spacing w:before="120" w:after="120"/>
              <w:rPr>
                <w:rFonts w:ascii="Arial Narrow" w:eastAsia="Times New Roman" w:hAnsi="Arial Narrow" w:cs="Segoe UI"/>
                <w:noProof/>
                <w:color w:val="006100"/>
                <w:sz w:val="20"/>
                <w:szCs w:val="20"/>
                <w:lang w:val="en-IE" w:eastAsia="en-IE"/>
              </w:rPr>
            </w:pPr>
            <w:r w:rsidRPr="26F8F03F">
              <w:rPr>
                <w:rFonts w:ascii="Arial Narrow" w:eastAsia="Times New Roman" w:hAnsi="Arial Narrow" w:cs="Segoe UI"/>
                <w:noProof/>
                <w:color w:val="006100"/>
                <w:sz w:val="20"/>
                <w:szCs w:val="20"/>
                <w:lang w:val="en-IE" w:eastAsia="en-IE"/>
              </w:rPr>
              <w:t>These shall include:</w:t>
            </w:r>
          </w:p>
          <w:p w14:paraId="48FBF93B" w14:textId="77777777" w:rsidR="0039681A" w:rsidRPr="00A36E36" w:rsidRDefault="0039681A" w:rsidP="00AF5341">
            <w:pPr>
              <w:pStyle w:val="ListParagraph"/>
              <w:numPr>
                <w:ilvl w:val="0"/>
                <w:numId w:val="48"/>
              </w:numPr>
              <w:spacing w:before="120" w:after="120"/>
              <w:rPr>
                <w:rFonts w:ascii="Arial Narrow" w:eastAsia="Times New Roman" w:hAnsi="Arial Narrow" w:cs="Segoe UI"/>
                <w:noProof/>
                <w:color w:val="006100"/>
                <w:sz w:val="20"/>
                <w:szCs w:val="20"/>
                <w:lang w:val="en-IE" w:eastAsia="en-IE"/>
              </w:rPr>
            </w:pPr>
            <w:r w:rsidRPr="53DDEE32">
              <w:rPr>
                <w:rFonts w:ascii="Arial Narrow" w:eastAsia="Times New Roman" w:hAnsi="Arial Narrow" w:cs="Segoe UI"/>
                <w:noProof/>
                <w:color w:val="006100"/>
                <w:sz w:val="20"/>
                <w:szCs w:val="20"/>
                <w:lang w:val="en-IE" w:eastAsia="en-IE"/>
              </w:rPr>
              <w:t>A Directorial Decree providing a template for the submission of the calendar of tenders and for the required infromation/procedural steps</w:t>
            </w:r>
          </w:p>
          <w:p w14:paraId="08F554B5" w14:textId="2B35E502" w:rsidR="0039681A" w:rsidRPr="00324E17" w:rsidRDefault="0039681A" w:rsidP="00324E17">
            <w:pPr>
              <w:pStyle w:val="ListParagraph"/>
              <w:numPr>
                <w:ilvl w:val="0"/>
                <w:numId w:val="48"/>
              </w:numPr>
              <w:spacing w:before="120" w:after="120"/>
              <w:rPr>
                <w:rFonts w:ascii="Arial Narrow" w:eastAsia="Times New Roman" w:hAnsi="Arial Narrow" w:cs="Segoe UI"/>
                <w:noProof/>
                <w:color w:val="006100"/>
                <w:sz w:val="20"/>
                <w:szCs w:val="20"/>
                <w:lang w:val="en-IE" w:eastAsia="en-IE"/>
              </w:rPr>
            </w:pPr>
            <w:r w:rsidRPr="53DDEE32">
              <w:rPr>
                <w:rFonts w:ascii="Arial Narrow" w:eastAsia="Times New Roman" w:hAnsi="Arial Narrow" w:cs="Segoe UI"/>
                <w:noProof/>
                <w:color w:val="006100"/>
                <w:sz w:val="20"/>
                <w:szCs w:val="20"/>
                <w:lang w:val="en-IE" w:eastAsia="en-IE"/>
              </w:rPr>
              <w:t>the Inter-Ministerial decree approving</w:t>
            </w:r>
            <w:r w:rsidR="00381DB1">
              <w:rPr>
                <w:rFonts w:ascii="Arial Narrow" w:eastAsia="Times New Roman" w:hAnsi="Arial Narrow" w:cs="Segoe UI"/>
                <w:noProof/>
                <w:color w:val="006100"/>
                <w:sz w:val="20"/>
                <w:szCs w:val="20"/>
                <w:lang w:val="en-IE" w:eastAsia="en-IE"/>
              </w:rPr>
              <w:t xml:space="preserve"> </w:t>
            </w:r>
            <w:r w:rsidRPr="53DDEE32">
              <w:rPr>
                <w:rFonts w:ascii="Arial Narrow" w:eastAsia="Times New Roman" w:hAnsi="Arial Narrow" w:cs="Segoe UI"/>
                <w:noProof/>
                <w:color w:val="006100"/>
                <w:sz w:val="20"/>
                <w:szCs w:val="20"/>
                <w:lang w:val="en-IE" w:eastAsia="en-IE"/>
              </w:rPr>
              <w:t>the National Strategy on Technology Transfer</w:t>
            </w:r>
            <w:r w:rsidR="00324E17">
              <w:rPr>
                <w:rFonts w:ascii="Arial Narrow" w:eastAsia="Times New Roman" w:hAnsi="Arial Narrow" w:cs="Segoe UI"/>
                <w:noProof/>
                <w:color w:val="006100"/>
                <w:sz w:val="20"/>
                <w:szCs w:val="20"/>
                <w:lang w:val="en-IE" w:eastAsia="en-IE"/>
              </w:rPr>
              <w:t>.</w:t>
            </w:r>
          </w:p>
        </w:tc>
      </w:tr>
      <w:tr w:rsidR="0039681A" w:rsidRPr="0070054C" w14:paraId="07F164FD" w14:textId="77777777" w:rsidTr="00D619C4">
        <w:trPr>
          <w:trHeight w:val="300"/>
        </w:trPr>
        <w:tc>
          <w:tcPr>
            <w:tcW w:w="1135" w:type="dxa"/>
            <w:shd w:val="clear" w:color="auto" w:fill="C6EFCE"/>
            <w:vAlign w:val="center"/>
          </w:tcPr>
          <w:p w14:paraId="36205CFE" w14:textId="77777777" w:rsidR="0039681A" w:rsidRPr="00647572" w:rsidRDefault="0039681A">
            <w:pPr>
              <w:spacing w:before="120" w:after="120"/>
              <w:jc w:val="center"/>
              <w:rPr>
                <w:rFonts w:ascii="Arial Narrow" w:hAnsi="Arial Narrow"/>
                <w:noProof/>
                <w:color w:val="006100"/>
                <w:sz w:val="20"/>
                <w:szCs w:val="20"/>
              </w:rPr>
            </w:pPr>
            <w:r w:rsidRPr="7C87C49D">
              <w:rPr>
                <w:rFonts w:ascii="Arial Narrow" w:hAnsi="Arial Narrow"/>
                <w:noProof/>
                <w:color w:val="006100"/>
                <w:sz w:val="20"/>
                <w:szCs w:val="20"/>
              </w:rPr>
              <w:t>M1C2-14</w:t>
            </w:r>
          </w:p>
        </w:tc>
        <w:tc>
          <w:tcPr>
            <w:tcW w:w="1276" w:type="dxa"/>
            <w:shd w:val="clear" w:color="auto" w:fill="C6EFCE"/>
            <w:vAlign w:val="center"/>
          </w:tcPr>
          <w:p w14:paraId="129C5930"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Reform 2: Annual Competition Laws</w:t>
            </w:r>
          </w:p>
        </w:tc>
        <w:tc>
          <w:tcPr>
            <w:tcW w:w="1134" w:type="dxa"/>
            <w:shd w:val="clear" w:color="auto" w:fill="C6EFCE"/>
            <w:vAlign w:val="center"/>
          </w:tcPr>
          <w:p w14:paraId="131642E8"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Target</w:t>
            </w:r>
          </w:p>
        </w:tc>
        <w:tc>
          <w:tcPr>
            <w:tcW w:w="1559" w:type="dxa"/>
            <w:shd w:val="clear" w:color="auto" w:fill="C6EFCE"/>
            <w:vAlign w:val="center"/>
          </w:tcPr>
          <w:p w14:paraId="58118829" w14:textId="77777777" w:rsidR="0039681A" w:rsidRPr="00A36E36" w:rsidRDefault="0039681A">
            <w:pPr>
              <w:spacing w:before="120" w:after="120"/>
              <w:jc w:val="center"/>
              <w:rPr>
                <w:rFonts w:ascii="Arial Narrow" w:eastAsia="Times New Roman" w:hAnsi="Arial Narrow" w:cs="Segoe UI"/>
                <w:noProof/>
                <w:color w:val="006100"/>
                <w:sz w:val="20"/>
                <w:szCs w:val="20"/>
                <w:lang w:val="en-IE" w:eastAsia="en-IE"/>
              </w:rPr>
            </w:pPr>
            <w:r w:rsidRPr="00A36E36">
              <w:rPr>
                <w:rFonts w:ascii="Arial Narrow" w:hAnsi="Arial Narrow"/>
                <w:noProof/>
                <w:color w:val="006100"/>
                <w:sz w:val="20"/>
                <w:szCs w:val="20"/>
                <w:lang w:val="en-IE"/>
              </w:rPr>
              <w:t>Millions of 2G smart meters installed</w:t>
            </w:r>
          </w:p>
        </w:tc>
        <w:tc>
          <w:tcPr>
            <w:tcW w:w="1843" w:type="dxa"/>
            <w:shd w:val="clear" w:color="auto" w:fill="C6EFCE"/>
            <w:vAlign w:val="center"/>
          </w:tcPr>
          <w:p w14:paraId="33A16A7B"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359" w:type="dxa"/>
            <w:shd w:val="clear" w:color="auto" w:fill="C6EFCE"/>
            <w:vAlign w:val="center"/>
          </w:tcPr>
          <w:p w14:paraId="527EC580"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Number</w:t>
            </w:r>
          </w:p>
        </w:tc>
        <w:tc>
          <w:tcPr>
            <w:tcW w:w="1476" w:type="dxa"/>
            <w:shd w:val="clear" w:color="auto" w:fill="C6EFCE"/>
            <w:vAlign w:val="center"/>
          </w:tcPr>
          <w:p w14:paraId="646BB104" w14:textId="77777777" w:rsidR="0039681A" w:rsidRPr="00647572" w:rsidRDefault="0039681A">
            <w:pPr>
              <w:spacing w:before="120" w:after="120"/>
              <w:jc w:val="center"/>
              <w:rPr>
                <w:rFonts w:ascii="Arial Narrow" w:hAnsi="Arial Narrow"/>
                <w:noProof/>
                <w:color w:val="006100"/>
                <w:sz w:val="20"/>
                <w:szCs w:val="20"/>
              </w:rPr>
            </w:pPr>
            <w:r>
              <w:rPr>
                <w:rFonts w:ascii="Arial Narrow" w:hAnsi="Arial Narrow"/>
                <w:noProof/>
                <w:color w:val="006100"/>
                <w:sz w:val="20"/>
                <w:szCs w:val="20"/>
              </w:rPr>
              <w:t>16</w:t>
            </w:r>
          </w:p>
        </w:tc>
        <w:tc>
          <w:tcPr>
            <w:tcW w:w="1134" w:type="dxa"/>
            <w:shd w:val="clear" w:color="auto" w:fill="C6EFCE"/>
            <w:vAlign w:val="center"/>
          </w:tcPr>
          <w:p w14:paraId="1272C76A" w14:textId="77777777" w:rsidR="0039681A" w:rsidRPr="00647572" w:rsidRDefault="0039681A">
            <w:pPr>
              <w:spacing w:before="120" w:after="120"/>
              <w:jc w:val="center"/>
              <w:rPr>
                <w:rFonts w:ascii="Arial Narrow" w:hAnsi="Arial Narrow"/>
                <w:noProof/>
                <w:color w:val="006100"/>
                <w:sz w:val="20"/>
                <w:szCs w:val="20"/>
              </w:rPr>
            </w:pPr>
            <w:r>
              <w:rPr>
                <w:rFonts w:ascii="Arial Narrow" w:hAnsi="Arial Narrow"/>
                <w:noProof/>
                <w:color w:val="006100"/>
                <w:sz w:val="20"/>
                <w:szCs w:val="20"/>
              </w:rPr>
              <w:t>3</w:t>
            </w:r>
            <w:r w:rsidRPr="3DE7284B">
              <w:rPr>
                <w:rFonts w:ascii="Arial Narrow" w:hAnsi="Arial Narrow"/>
                <w:noProof/>
                <w:color w:val="006100"/>
                <w:sz w:val="20"/>
                <w:szCs w:val="20"/>
              </w:rPr>
              <w:t>3</w:t>
            </w:r>
          </w:p>
        </w:tc>
        <w:tc>
          <w:tcPr>
            <w:tcW w:w="1021" w:type="dxa"/>
            <w:shd w:val="clear" w:color="auto" w:fill="C6EFCE"/>
            <w:vAlign w:val="center"/>
          </w:tcPr>
          <w:p w14:paraId="5858E2A1"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Q4</w:t>
            </w:r>
          </w:p>
        </w:tc>
        <w:tc>
          <w:tcPr>
            <w:tcW w:w="709" w:type="dxa"/>
            <w:shd w:val="clear" w:color="auto" w:fill="C6EFCE"/>
            <w:vAlign w:val="center"/>
          </w:tcPr>
          <w:p w14:paraId="64FB325F"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2025</w:t>
            </w:r>
          </w:p>
        </w:tc>
        <w:tc>
          <w:tcPr>
            <w:tcW w:w="2814" w:type="dxa"/>
            <w:shd w:val="clear" w:color="auto" w:fill="C6EFCE"/>
            <w:vAlign w:val="center"/>
          </w:tcPr>
          <w:p w14:paraId="13C85855" w14:textId="77777777" w:rsidR="0039681A" w:rsidRPr="00A36E36" w:rsidRDefault="0039681A">
            <w:pPr>
              <w:spacing w:before="120" w:after="120"/>
              <w:rPr>
                <w:rFonts w:ascii="Arial Narrow" w:eastAsia="Times New Roman" w:hAnsi="Arial Narrow" w:cs="Segoe UI"/>
                <w:noProof/>
                <w:color w:val="006100"/>
                <w:sz w:val="20"/>
                <w:szCs w:val="20"/>
                <w:lang w:val="en-IE" w:eastAsia="en-IE"/>
              </w:rPr>
            </w:pPr>
            <w:r w:rsidRPr="00A36E36">
              <w:rPr>
                <w:rFonts w:ascii="Arial Narrow" w:hAnsi="Arial Narrow"/>
                <w:noProof/>
                <w:color w:val="006100"/>
                <w:sz w:val="20"/>
                <w:szCs w:val="20"/>
                <w:lang w:val="en-IE"/>
              </w:rPr>
              <w:t xml:space="preserve">At least </w:t>
            </w:r>
            <w:r>
              <w:rPr>
                <w:rFonts w:ascii="Arial Narrow" w:hAnsi="Arial Narrow"/>
                <w:noProof/>
                <w:color w:val="006100"/>
                <w:sz w:val="20"/>
                <w:szCs w:val="20"/>
                <w:lang w:val="en-IE"/>
              </w:rPr>
              <w:t>17</w:t>
            </w:r>
            <w:r w:rsidRPr="00A36E36">
              <w:rPr>
                <w:rFonts w:ascii="Arial Narrow" w:hAnsi="Arial Narrow"/>
                <w:noProof/>
                <w:color w:val="006100"/>
                <w:sz w:val="20"/>
                <w:szCs w:val="20"/>
                <w:lang w:val="en-IE"/>
              </w:rPr>
              <w:t xml:space="preserve"> million 2G smart meters shall be installed</w:t>
            </w:r>
            <w:r>
              <w:rPr>
                <w:rFonts w:ascii="Arial Narrow" w:hAnsi="Arial Narrow"/>
                <w:noProof/>
                <w:color w:val="006100"/>
                <w:sz w:val="20"/>
                <w:szCs w:val="20"/>
                <w:lang w:val="en-IE"/>
              </w:rPr>
              <w:t xml:space="preserve"> since March 2021</w:t>
            </w:r>
            <w:r w:rsidRPr="00A36E36">
              <w:rPr>
                <w:rFonts w:ascii="Arial Narrow" w:hAnsi="Arial Narrow"/>
                <w:noProof/>
                <w:color w:val="006100"/>
                <w:sz w:val="20"/>
                <w:szCs w:val="20"/>
                <w:lang w:val="en-IE"/>
              </w:rPr>
              <w:t>.</w:t>
            </w:r>
          </w:p>
        </w:tc>
      </w:tr>
      <w:tr w:rsidR="0039681A" w:rsidRPr="0070054C" w14:paraId="1DF07AD8" w14:textId="77777777" w:rsidTr="00D619C4">
        <w:trPr>
          <w:trHeight w:val="300"/>
        </w:trPr>
        <w:tc>
          <w:tcPr>
            <w:tcW w:w="1135" w:type="dxa"/>
            <w:shd w:val="clear" w:color="auto" w:fill="C6EFCE"/>
            <w:vAlign w:val="center"/>
          </w:tcPr>
          <w:p w14:paraId="52BBE28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M1C2-14bis</w:t>
            </w:r>
          </w:p>
        </w:tc>
        <w:tc>
          <w:tcPr>
            <w:tcW w:w="1276" w:type="dxa"/>
            <w:shd w:val="clear" w:color="auto" w:fill="C6EFCE"/>
            <w:vAlign w:val="center"/>
          </w:tcPr>
          <w:p w14:paraId="0CEF0E3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3: rationalization and simplification of incentives for firms.</w:t>
            </w:r>
          </w:p>
        </w:tc>
        <w:tc>
          <w:tcPr>
            <w:tcW w:w="1134" w:type="dxa"/>
            <w:shd w:val="clear" w:color="auto" w:fill="C6EFCE"/>
            <w:vAlign w:val="center"/>
          </w:tcPr>
          <w:p w14:paraId="4A024441"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 xml:space="preserve">Milestone </w:t>
            </w:r>
          </w:p>
        </w:tc>
        <w:tc>
          <w:tcPr>
            <w:tcW w:w="1559" w:type="dxa"/>
            <w:shd w:val="clear" w:color="auto" w:fill="C6EFCE"/>
            <w:vAlign w:val="center"/>
          </w:tcPr>
          <w:p w14:paraId="54014263" w14:textId="77777777" w:rsidR="0039681A" w:rsidRPr="00A36E36" w:rsidRDefault="0039681A">
            <w:pPr>
              <w:jc w:val="both"/>
              <w:rPr>
                <w:rFonts w:ascii="Arial Narrow" w:hAnsi="Arial Narrow"/>
                <w:noProof/>
                <w:sz w:val="20"/>
                <w:szCs w:val="20"/>
                <w:lang w:val="en-IE"/>
              </w:rPr>
            </w:pPr>
            <w:r w:rsidRPr="00A36E36">
              <w:rPr>
                <w:rFonts w:ascii="Arial Narrow" w:hAnsi="Arial Narrow"/>
                <w:noProof/>
                <w:color w:val="006100"/>
                <w:sz w:val="20"/>
                <w:lang w:val="en-IE"/>
              </w:rPr>
              <w:t>Entry into force of an enabling act</w:t>
            </w:r>
          </w:p>
        </w:tc>
        <w:tc>
          <w:tcPr>
            <w:tcW w:w="1843" w:type="dxa"/>
            <w:shd w:val="clear" w:color="auto" w:fill="C6EFCE"/>
            <w:vAlign w:val="center"/>
          </w:tcPr>
          <w:p w14:paraId="4F5CA276" w14:textId="77777777" w:rsidR="0039681A" w:rsidRPr="00A36E36" w:rsidRDefault="0039681A">
            <w:pPr>
              <w:jc w:val="both"/>
              <w:rPr>
                <w:rFonts w:ascii="Arial Narrow" w:hAnsi="Arial Narrow"/>
                <w:noProof/>
                <w:sz w:val="20"/>
                <w:szCs w:val="20"/>
                <w:lang w:val="en-IE"/>
              </w:rPr>
            </w:pPr>
            <w:r w:rsidRPr="00A36E36">
              <w:rPr>
                <w:rFonts w:ascii="Arial Narrow" w:hAnsi="Arial Narrow"/>
                <w:noProof/>
                <w:color w:val="006100"/>
                <w:sz w:val="20"/>
                <w:lang w:val="en-IE"/>
              </w:rPr>
              <w:t>Entry into force of an enabling act for the reform of firms’ incentives</w:t>
            </w:r>
          </w:p>
        </w:tc>
        <w:tc>
          <w:tcPr>
            <w:tcW w:w="1359" w:type="dxa"/>
            <w:shd w:val="clear" w:color="auto" w:fill="C6EFCE"/>
            <w:vAlign w:val="center"/>
          </w:tcPr>
          <w:p w14:paraId="2FD1622F"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 xml:space="preserve">N/A </w:t>
            </w:r>
          </w:p>
        </w:tc>
        <w:tc>
          <w:tcPr>
            <w:tcW w:w="1476" w:type="dxa"/>
            <w:shd w:val="clear" w:color="auto" w:fill="C6EFCE"/>
            <w:vAlign w:val="center"/>
          </w:tcPr>
          <w:p w14:paraId="0EB06C56"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 xml:space="preserve">N/A </w:t>
            </w:r>
          </w:p>
        </w:tc>
        <w:tc>
          <w:tcPr>
            <w:tcW w:w="1134" w:type="dxa"/>
            <w:shd w:val="clear" w:color="auto" w:fill="C6EFCE"/>
            <w:vAlign w:val="center"/>
          </w:tcPr>
          <w:p w14:paraId="2138C8C1"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 xml:space="preserve">N/A </w:t>
            </w:r>
          </w:p>
        </w:tc>
        <w:tc>
          <w:tcPr>
            <w:tcW w:w="1021" w:type="dxa"/>
            <w:shd w:val="clear" w:color="auto" w:fill="C6EFCE"/>
            <w:vAlign w:val="center"/>
          </w:tcPr>
          <w:p w14:paraId="1A7A5FB8"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 xml:space="preserve">Q2 </w:t>
            </w:r>
          </w:p>
        </w:tc>
        <w:tc>
          <w:tcPr>
            <w:tcW w:w="709" w:type="dxa"/>
            <w:shd w:val="clear" w:color="auto" w:fill="C6EFCE"/>
            <w:vAlign w:val="center"/>
          </w:tcPr>
          <w:p w14:paraId="63B6D3E2"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 xml:space="preserve">2025 </w:t>
            </w:r>
          </w:p>
        </w:tc>
        <w:tc>
          <w:tcPr>
            <w:tcW w:w="2814" w:type="dxa"/>
            <w:shd w:val="clear" w:color="auto" w:fill="C6EFCE"/>
            <w:vAlign w:val="center"/>
          </w:tcPr>
          <w:p w14:paraId="77EB6E39" w14:textId="77777777" w:rsidR="0039681A" w:rsidRPr="00A36E36" w:rsidRDefault="0039681A">
            <w:pPr>
              <w:jc w:val="both"/>
              <w:rPr>
                <w:rFonts w:ascii="Arial Narrow" w:eastAsia="Calibri" w:hAnsi="Arial Narrow" w:cs="Calibri"/>
                <w:noProof/>
                <w:sz w:val="20"/>
                <w:szCs w:val="20"/>
                <w:highlight w:val="yellow"/>
                <w:lang w:val="en-IE"/>
              </w:rPr>
            </w:pPr>
            <w:r w:rsidRPr="00A36E36">
              <w:rPr>
                <w:rFonts w:ascii="Arial Narrow" w:hAnsi="Arial Narrow"/>
                <w:noProof/>
                <w:color w:val="006100"/>
                <w:sz w:val="20"/>
                <w:lang w:val="en-IE"/>
              </w:rPr>
              <w:t>Entry into force of an enabling act (</w:t>
            </w:r>
            <w:r w:rsidRPr="00A36E36">
              <w:rPr>
                <w:rFonts w:ascii="Arial Narrow" w:hAnsi="Arial Narrow"/>
                <w:i/>
                <w:iCs/>
                <w:noProof/>
                <w:color w:val="006100"/>
                <w:sz w:val="20"/>
                <w:lang w:val="en-IE"/>
              </w:rPr>
              <w:t>legge delega</w:t>
            </w:r>
            <w:r w:rsidRPr="00A36E36">
              <w:rPr>
                <w:rFonts w:ascii="Arial Narrow" w:hAnsi="Arial Narrow"/>
                <w:noProof/>
                <w:color w:val="006100"/>
                <w:sz w:val="20"/>
                <w:lang w:val="en-IE"/>
              </w:rPr>
              <w:t>) mandating the government to revise the firms’ incentives system.</w:t>
            </w:r>
          </w:p>
        </w:tc>
      </w:tr>
      <w:tr w:rsidR="0039681A" w:rsidRPr="0070054C" w14:paraId="1387C45F" w14:textId="77777777" w:rsidTr="00D619C4">
        <w:trPr>
          <w:trHeight w:val="300"/>
        </w:trPr>
        <w:tc>
          <w:tcPr>
            <w:tcW w:w="1135" w:type="dxa"/>
            <w:shd w:val="clear" w:color="auto" w:fill="C6EFCE"/>
            <w:vAlign w:val="center"/>
          </w:tcPr>
          <w:p w14:paraId="2DA566F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M1C2-14ter</w:t>
            </w:r>
          </w:p>
        </w:tc>
        <w:tc>
          <w:tcPr>
            <w:tcW w:w="1276" w:type="dxa"/>
            <w:shd w:val="clear" w:color="auto" w:fill="C6EFCE"/>
            <w:vAlign w:val="center"/>
          </w:tcPr>
          <w:p w14:paraId="3D6B076A" w14:textId="584AA795" w:rsidR="0039681A" w:rsidRPr="00A36E36" w:rsidRDefault="0039681A">
            <w:pPr>
              <w:jc w:val="center"/>
              <w:rPr>
                <w:rFonts w:ascii="Arial Narrow" w:hAnsi="Arial Narrow"/>
                <w:noProof/>
                <w:color w:val="006100"/>
                <w:sz w:val="20"/>
                <w:szCs w:val="20"/>
                <w:lang w:val="en-IE"/>
              </w:rPr>
            </w:pPr>
            <w:r w:rsidRPr="09E8FFE2">
              <w:rPr>
                <w:rFonts w:ascii="Arial Narrow" w:hAnsi="Arial Narrow"/>
                <w:noProof/>
                <w:color w:val="006100"/>
                <w:sz w:val="20"/>
                <w:szCs w:val="20"/>
                <w:lang w:val="en-IE"/>
              </w:rPr>
              <w:t>Reform 3:</w:t>
            </w:r>
            <w:r w:rsidR="00381DB1">
              <w:rPr>
                <w:rFonts w:ascii="Arial Narrow" w:hAnsi="Arial Narrow"/>
                <w:noProof/>
                <w:color w:val="006100"/>
                <w:sz w:val="20"/>
                <w:szCs w:val="20"/>
                <w:lang w:val="en-IE"/>
              </w:rPr>
              <w:t xml:space="preserve"> </w:t>
            </w:r>
            <w:r w:rsidR="00FC1361">
              <w:rPr>
                <w:rFonts w:ascii="Arial Narrow" w:hAnsi="Arial Narrow"/>
                <w:noProof/>
                <w:color w:val="006100"/>
                <w:sz w:val="20"/>
                <w:szCs w:val="20"/>
                <w:lang w:val="en-IE"/>
              </w:rPr>
              <w:t>Framework for s</w:t>
            </w:r>
            <w:r w:rsidRPr="09E8FFE2">
              <w:rPr>
                <w:rFonts w:ascii="Arial Narrow" w:hAnsi="Arial Narrow"/>
                <w:noProof/>
                <w:color w:val="006100"/>
                <w:sz w:val="20"/>
                <w:szCs w:val="20"/>
                <w:lang w:val="en-IE"/>
              </w:rPr>
              <w:t>implification</w:t>
            </w:r>
            <w:r w:rsidR="00FC1361">
              <w:rPr>
                <w:rFonts w:ascii="Arial Narrow" w:hAnsi="Arial Narrow"/>
                <w:noProof/>
                <w:color w:val="006100"/>
                <w:sz w:val="20"/>
                <w:szCs w:val="20"/>
                <w:lang w:val="en-IE"/>
              </w:rPr>
              <w:t xml:space="preserve"> and streamlining</w:t>
            </w:r>
            <w:r w:rsidRPr="09E8FFE2">
              <w:rPr>
                <w:rFonts w:ascii="Arial Narrow" w:hAnsi="Arial Narrow"/>
                <w:noProof/>
                <w:color w:val="006100"/>
                <w:sz w:val="20"/>
                <w:szCs w:val="20"/>
                <w:lang w:val="en-IE"/>
              </w:rPr>
              <w:t xml:space="preserve"> of incentives for firms.</w:t>
            </w:r>
          </w:p>
        </w:tc>
        <w:tc>
          <w:tcPr>
            <w:tcW w:w="1134" w:type="dxa"/>
            <w:shd w:val="clear" w:color="auto" w:fill="C6EFCE"/>
            <w:vAlign w:val="center"/>
          </w:tcPr>
          <w:p w14:paraId="4E083B82"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 xml:space="preserve">Milestone </w:t>
            </w:r>
          </w:p>
        </w:tc>
        <w:tc>
          <w:tcPr>
            <w:tcW w:w="1559" w:type="dxa"/>
            <w:shd w:val="clear" w:color="auto" w:fill="C6EFCE"/>
            <w:vAlign w:val="center"/>
          </w:tcPr>
          <w:p w14:paraId="2CDFC770" w14:textId="77777777" w:rsidR="0039681A" w:rsidRPr="00A36E36" w:rsidRDefault="0039681A">
            <w:pPr>
              <w:jc w:val="center"/>
              <w:rPr>
                <w:rFonts w:ascii="Arial Narrow" w:hAnsi="Arial Narrow"/>
                <w:noProof/>
                <w:sz w:val="20"/>
                <w:szCs w:val="20"/>
                <w:lang w:val="en-IE"/>
              </w:rPr>
            </w:pPr>
            <w:r w:rsidRPr="00A36E36">
              <w:rPr>
                <w:rFonts w:ascii="Arial Narrow" w:hAnsi="Arial Narrow"/>
                <w:noProof/>
                <w:color w:val="006100"/>
                <w:sz w:val="20"/>
                <w:lang w:val="en-IE"/>
              </w:rPr>
              <w:t>Entry into force of primary legislation</w:t>
            </w:r>
          </w:p>
        </w:tc>
        <w:tc>
          <w:tcPr>
            <w:tcW w:w="1843" w:type="dxa"/>
            <w:shd w:val="clear" w:color="auto" w:fill="C6EFCE"/>
            <w:vAlign w:val="center"/>
          </w:tcPr>
          <w:p w14:paraId="1FF2EC08" w14:textId="77777777" w:rsidR="0039681A" w:rsidRPr="00A36E36" w:rsidRDefault="0039681A" w:rsidP="00B31867">
            <w:pPr>
              <w:rPr>
                <w:rFonts w:ascii="Arial Narrow" w:hAnsi="Arial Narrow"/>
                <w:noProof/>
                <w:sz w:val="20"/>
                <w:szCs w:val="20"/>
                <w:lang w:val="en-IE"/>
              </w:rPr>
            </w:pPr>
            <w:r w:rsidRPr="00A36E36">
              <w:rPr>
                <w:rFonts w:ascii="Arial Narrow" w:hAnsi="Arial Narrow"/>
                <w:noProof/>
                <w:color w:val="006100"/>
                <w:sz w:val="20"/>
                <w:lang w:val="en-IE"/>
              </w:rPr>
              <w:t>Entry into force of primary legislation for the reform of firms incentives</w:t>
            </w:r>
          </w:p>
        </w:tc>
        <w:tc>
          <w:tcPr>
            <w:tcW w:w="1359" w:type="dxa"/>
            <w:shd w:val="clear" w:color="auto" w:fill="C6EFCE"/>
            <w:vAlign w:val="center"/>
          </w:tcPr>
          <w:p w14:paraId="4555A84D"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 xml:space="preserve">N/A </w:t>
            </w:r>
          </w:p>
        </w:tc>
        <w:tc>
          <w:tcPr>
            <w:tcW w:w="1476" w:type="dxa"/>
            <w:shd w:val="clear" w:color="auto" w:fill="C6EFCE"/>
            <w:vAlign w:val="center"/>
          </w:tcPr>
          <w:p w14:paraId="02267110"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 xml:space="preserve">N/A </w:t>
            </w:r>
          </w:p>
        </w:tc>
        <w:tc>
          <w:tcPr>
            <w:tcW w:w="1134" w:type="dxa"/>
            <w:shd w:val="clear" w:color="auto" w:fill="C6EFCE"/>
            <w:vAlign w:val="center"/>
          </w:tcPr>
          <w:p w14:paraId="17CC132F"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 xml:space="preserve">N/A </w:t>
            </w:r>
          </w:p>
        </w:tc>
        <w:tc>
          <w:tcPr>
            <w:tcW w:w="1021" w:type="dxa"/>
            <w:shd w:val="clear" w:color="auto" w:fill="C6EFCE"/>
            <w:vAlign w:val="center"/>
          </w:tcPr>
          <w:p w14:paraId="0B08B78A"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 xml:space="preserve">Q2 </w:t>
            </w:r>
          </w:p>
        </w:tc>
        <w:tc>
          <w:tcPr>
            <w:tcW w:w="709" w:type="dxa"/>
            <w:shd w:val="clear" w:color="auto" w:fill="C6EFCE"/>
            <w:vAlign w:val="center"/>
          </w:tcPr>
          <w:p w14:paraId="6875DBDB"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2026</w:t>
            </w:r>
          </w:p>
        </w:tc>
        <w:tc>
          <w:tcPr>
            <w:tcW w:w="2814" w:type="dxa"/>
            <w:shd w:val="clear" w:color="auto" w:fill="C6EFCE"/>
            <w:vAlign w:val="center"/>
          </w:tcPr>
          <w:p w14:paraId="786D489E" w14:textId="56FBEC0B" w:rsidR="0039681A" w:rsidRPr="00A36E36" w:rsidRDefault="0039681A">
            <w:pPr>
              <w:jc w:val="both"/>
              <w:rPr>
                <w:rFonts w:ascii="Arial Narrow" w:hAnsi="Arial Narrow"/>
                <w:noProof/>
                <w:color w:val="006100"/>
                <w:sz w:val="20"/>
                <w:szCs w:val="20"/>
                <w:lang w:val="en-IE"/>
              </w:rPr>
            </w:pPr>
            <w:r w:rsidRPr="00AF5341">
              <w:rPr>
                <w:rFonts w:ascii="Arial Narrow" w:eastAsia="Aptos" w:hAnsi="Arial Narrow" w:cs="Arial"/>
                <w:noProof/>
                <w:color w:val="006100"/>
                <w:sz w:val="20"/>
                <w:szCs w:val="20"/>
                <w:lang w:val="en-IE"/>
              </w:rPr>
              <w:t>Entry into force of primary legislation introducing a legal framework for the planning and design of new incentives</w:t>
            </w:r>
            <w:r w:rsidRPr="3A452140">
              <w:rPr>
                <w:rFonts w:ascii="Arial Narrow" w:eastAsia="Aptos" w:hAnsi="Arial Narrow" w:cs="Arial"/>
                <w:noProof/>
                <w:color w:val="006100"/>
                <w:sz w:val="20"/>
                <w:szCs w:val="20"/>
                <w:lang w:val="en-IE"/>
              </w:rPr>
              <w:t>, and the evaluation of existing ones.</w:t>
            </w:r>
          </w:p>
        </w:tc>
      </w:tr>
    </w:tbl>
    <w:p w14:paraId="5A852470" w14:textId="77777777" w:rsidR="0039681A" w:rsidRPr="00A36E36" w:rsidRDefault="0039681A" w:rsidP="00351087">
      <w:pPr>
        <w:spacing w:before="120" w:after="120"/>
        <w:jc w:val="both"/>
        <w:rPr>
          <w:rFonts w:eastAsia="Calibri"/>
          <w:noProof/>
          <w:lang w:val="en-IE"/>
        </w:rPr>
      </w:pPr>
    </w:p>
    <w:p w14:paraId="40D3B1CE" w14:textId="77777777" w:rsidR="0039681A" w:rsidRPr="00A36E36" w:rsidRDefault="0039681A" w:rsidP="00351087">
      <w:pPr>
        <w:spacing w:before="120" w:after="120"/>
        <w:ind w:left="709"/>
        <w:jc w:val="both"/>
        <w:rPr>
          <w:noProof/>
          <w:lang w:val="en-IE"/>
        </w:rPr>
        <w:sectPr w:rsidR="0039681A" w:rsidRPr="00A36E36" w:rsidSect="0039681A">
          <w:headerReference w:type="even" r:id="rId35"/>
          <w:headerReference w:type="default" r:id="rId36"/>
          <w:footerReference w:type="default" r:id="rId37"/>
          <w:headerReference w:type="first" r:id="rId38"/>
          <w:pgSz w:w="16839" w:h="11907" w:orient="landscape"/>
          <w:pgMar w:top="1134" w:right="1134" w:bottom="1134" w:left="1134" w:header="567" w:footer="567" w:gutter="0"/>
          <w:cols w:space="720"/>
          <w:docGrid w:linePitch="360"/>
        </w:sectPr>
      </w:pPr>
    </w:p>
    <w:p w14:paraId="145912DE" w14:textId="77777777" w:rsidR="0039681A" w:rsidRPr="00A36E36" w:rsidRDefault="0039681A" w:rsidP="00351087">
      <w:pPr>
        <w:pStyle w:val="Heading3"/>
        <w:numPr>
          <w:ilvl w:val="2"/>
          <w:numId w:val="0"/>
        </w:numPr>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B.3.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383578C2" w14:textId="77777777" w:rsidR="0039681A" w:rsidRPr="00A36E36" w:rsidRDefault="0039681A" w:rsidP="00351087">
      <w:pPr>
        <w:spacing w:before="120" w:after="120"/>
        <w:jc w:val="both"/>
        <w:rPr>
          <w:rFonts w:ascii="Times New Roman" w:hAnsi="Times New Roman" w:cs="Times New Roman"/>
          <w:b/>
          <w:bCs/>
          <w:i/>
          <w:iCs/>
          <w:noProof/>
          <w:lang w:val="en-IE"/>
        </w:rPr>
      </w:pPr>
      <w:r w:rsidRPr="00A36E36">
        <w:rPr>
          <w:rFonts w:ascii="Times New Roman" w:hAnsi="Times New Roman" w:cs="Times New Roman"/>
          <w:b/>
          <w:noProof/>
          <w:lang w:val="en-IE"/>
        </w:rPr>
        <w:t>Investment 2: Innovation and technology of microelectronics</w:t>
      </w:r>
    </w:p>
    <w:p w14:paraId="76668776" w14:textId="73D7EF15"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investment is to support the development of the strategic value chain of microelectronics by investing in Silicon Carbide substrates. The investment consists of the </w:t>
      </w:r>
      <w:r>
        <w:rPr>
          <w:rFonts w:ascii="Times New Roman" w:hAnsi="Times New Roman" w:cs="Times New Roman"/>
          <w:noProof/>
          <w:lang w:val="en-IE"/>
        </w:rPr>
        <w:t>installation</w:t>
      </w:r>
      <w:r w:rsidRPr="00A36E36">
        <w:rPr>
          <w:rFonts w:ascii="Times New Roman" w:hAnsi="Times New Roman" w:cs="Times New Roman"/>
          <w:noProof/>
          <w:lang w:val="en-IE"/>
        </w:rPr>
        <w:t xml:space="preserve"> of </w:t>
      </w:r>
      <w:r>
        <w:rPr>
          <w:rFonts w:ascii="Times New Roman" w:hAnsi="Times New Roman" w:cs="Times New Roman"/>
          <w:noProof/>
          <w:lang w:val="en-IE"/>
        </w:rPr>
        <w:t>theoretical</w:t>
      </w:r>
      <w:r w:rsidRPr="00A36E36">
        <w:rPr>
          <w:rFonts w:ascii="Times New Roman" w:hAnsi="Times New Roman" w:cs="Times New Roman"/>
          <w:noProof/>
          <w:lang w:val="en-IE"/>
        </w:rPr>
        <w:t xml:space="preserve"> production capacity of 8-inch Silicon Carbide substrates.</w:t>
      </w:r>
    </w:p>
    <w:p w14:paraId="5667A3AA"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Investment 3: Fast internet connections (Ultra Broadband and 5G)</w:t>
      </w:r>
    </w:p>
    <w:p w14:paraId="22D541B3" w14:textId="41BACBDB" w:rsidR="0039681A" w:rsidRPr="00A36E36" w:rsidRDefault="0039681A" w:rsidP="00700AB9">
      <w:pPr>
        <w:spacing w:after="120"/>
        <w:jc w:val="both"/>
        <w:rPr>
          <w:rFonts w:ascii="Times New Roman" w:hAnsi="Times New Roman" w:cs="Times New Roman"/>
          <w:noProof/>
          <w:lang w:val="en-IE"/>
        </w:rPr>
      </w:pPr>
      <w:r w:rsidRPr="3B4E2785">
        <w:rPr>
          <w:rFonts w:ascii="Times New Roman" w:hAnsi="Times New Roman" w:cs="Times New Roman"/>
          <w:noProof/>
          <w:lang w:val="en-IE"/>
        </w:rPr>
        <w:t>The objective of the investment is to complete the national ultra-fast and 5G telecommunications network throughout the national territory</w:t>
      </w:r>
      <w:r w:rsidR="00700AB9">
        <w:rPr>
          <w:rFonts w:ascii="Times New Roman" w:hAnsi="Times New Roman" w:cs="Times New Roman"/>
          <w:noProof/>
          <w:lang w:val="en-IE"/>
        </w:rPr>
        <w:t>,</w:t>
      </w:r>
      <w:r w:rsidRPr="3B4E2785">
        <w:rPr>
          <w:rFonts w:ascii="Times New Roman" w:hAnsi="Times New Roman" w:cs="Times New Roman"/>
          <w:noProof/>
          <w:lang w:val="en-IE"/>
        </w:rPr>
        <w:t xml:space="preserve"> contributing to the objectives of the digital transition and to reduce the digital divide in Italy.</w:t>
      </w:r>
      <w:r w:rsidR="00700AB9">
        <w:rPr>
          <w:rFonts w:ascii="Times New Roman" w:hAnsi="Times New Roman" w:cs="Times New Roman"/>
          <w:noProof/>
          <w:lang w:val="en-IE"/>
        </w:rPr>
        <w:t xml:space="preserve"> </w:t>
      </w:r>
      <w:r w:rsidRPr="00A36E36">
        <w:rPr>
          <w:rFonts w:ascii="Times New Roman" w:hAnsi="Times New Roman" w:cs="Times New Roman"/>
          <w:noProof/>
          <w:lang w:val="en-IE"/>
        </w:rPr>
        <w:t>The investment encompasses five faster connection projects:</w:t>
      </w:r>
    </w:p>
    <w:p w14:paraId="6A464153" w14:textId="0D262E17" w:rsidR="0039681A" w:rsidRPr="00A36E36" w:rsidRDefault="00700AB9" w:rsidP="00700AB9">
      <w:pPr>
        <w:pStyle w:val="ListParagraph"/>
        <w:numPr>
          <w:ilvl w:val="0"/>
          <w:numId w:val="39"/>
        </w:numPr>
        <w:spacing w:after="0" w:line="240" w:lineRule="auto"/>
        <w:jc w:val="both"/>
        <w:rPr>
          <w:rFonts w:ascii="Times New Roman" w:eastAsiaTheme="minorEastAsia" w:hAnsi="Times New Roman" w:cs="Times New Roman"/>
          <w:noProof/>
          <w:lang w:val="en-IE"/>
        </w:rPr>
      </w:pPr>
      <w:r>
        <w:rPr>
          <w:rFonts w:ascii="Times New Roman" w:hAnsi="Times New Roman" w:cs="Times New Roman"/>
          <w:noProof/>
          <w:lang w:val="en-IE"/>
        </w:rPr>
        <w:t>“</w:t>
      </w:r>
      <w:r w:rsidR="0039681A" w:rsidRPr="00A36E36">
        <w:rPr>
          <w:rFonts w:ascii="Times New Roman" w:hAnsi="Times New Roman" w:cs="Times New Roman"/>
          <w:noProof/>
          <w:lang w:val="en-IE"/>
        </w:rPr>
        <w:t>Italia a 1 Giga</w:t>
      </w:r>
      <w:r>
        <w:rPr>
          <w:rFonts w:ascii="Times New Roman" w:hAnsi="Times New Roman" w:cs="Times New Roman"/>
          <w:noProof/>
          <w:lang w:val="en-IE"/>
        </w:rPr>
        <w:t>”</w:t>
      </w:r>
      <w:r w:rsidR="0039681A" w:rsidRPr="00A36E36">
        <w:rPr>
          <w:rFonts w:ascii="Times New Roman" w:hAnsi="Times New Roman" w:cs="Times New Roman"/>
          <w:noProof/>
          <w:lang w:val="en-IE"/>
        </w:rPr>
        <w:t xml:space="preserve">, </w:t>
      </w:r>
      <w:r w:rsidR="0039681A">
        <w:rPr>
          <w:rFonts w:ascii="Times New Roman" w:hAnsi="Times New Roman" w:cs="Times New Roman"/>
          <w:noProof/>
          <w:lang w:val="en-IE"/>
        </w:rPr>
        <w:t>enabl</w:t>
      </w:r>
      <w:r w:rsidR="0039681A" w:rsidRPr="00A36E36">
        <w:rPr>
          <w:rFonts w:ascii="Times New Roman" w:hAnsi="Times New Roman" w:cs="Times New Roman"/>
          <w:noProof/>
          <w:lang w:val="en-IE"/>
        </w:rPr>
        <w:t>ing</w:t>
      </w:r>
      <w:r w:rsidR="0039681A">
        <w:rPr>
          <w:rFonts w:ascii="Times New Roman" w:hAnsi="Times New Roman" w:cs="Times New Roman"/>
          <w:noProof/>
          <w:lang w:val="en-IE"/>
        </w:rPr>
        <w:t xml:space="preserve"> at least</w:t>
      </w:r>
      <w:r w:rsidR="0039681A" w:rsidRPr="00A36E36">
        <w:rPr>
          <w:rFonts w:ascii="Times New Roman" w:hAnsi="Times New Roman" w:cs="Times New Roman"/>
          <w:noProof/>
          <w:lang w:val="en-IE"/>
        </w:rPr>
        <w:t xml:space="preserve"> 1 Gigabit/s in download and 200 Mbit/s in upload connectivity in next generation access (NGA) market failure areas</w:t>
      </w:r>
      <w:r w:rsidR="0039681A" w:rsidRPr="03095D15">
        <w:rPr>
          <w:rFonts w:ascii="Times New Roman" w:hAnsi="Times New Roman" w:cs="Times New Roman"/>
          <w:noProof/>
          <w:lang w:val="en-IE"/>
        </w:rPr>
        <w:t>,</w:t>
      </w:r>
      <w:r w:rsidR="00381DB1">
        <w:rPr>
          <w:rFonts w:ascii="Times New Roman" w:hAnsi="Times New Roman" w:cs="Times New Roman"/>
          <w:noProof/>
          <w:lang w:val="en-IE"/>
        </w:rPr>
        <w:t xml:space="preserve"> </w:t>
      </w:r>
      <w:r w:rsidR="0039681A">
        <w:rPr>
          <w:rFonts w:ascii="Times New Roman" w:hAnsi="Times New Roman" w:cs="Times New Roman"/>
          <w:noProof/>
          <w:lang w:val="en-IE"/>
        </w:rPr>
        <w:t xml:space="preserve">as identified </w:t>
      </w:r>
      <w:r w:rsidR="0039681A" w:rsidRPr="03095D15">
        <w:rPr>
          <w:rFonts w:ascii="Times New Roman" w:hAnsi="Times New Roman" w:cs="Times New Roman"/>
          <w:noProof/>
          <w:lang w:val="en-IE"/>
        </w:rPr>
        <w:t xml:space="preserve">by the </w:t>
      </w:r>
      <w:r w:rsidR="0039681A" w:rsidRPr="00A36E36">
        <w:rPr>
          <w:rFonts w:ascii="Times New Roman" w:hAnsi="Times New Roman" w:cs="Times New Roman"/>
          <w:noProof/>
          <w:lang w:val="en-IE"/>
        </w:rPr>
        <w:t>mapping exercise</w:t>
      </w:r>
      <w:r w:rsidR="0039681A">
        <w:rPr>
          <w:rFonts w:ascii="Times New Roman" w:hAnsi="Times New Roman" w:cs="Times New Roman"/>
          <w:noProof/>
          <w:lang w:val="en-IE"/>
        </w:rPr>
        <w:t xml:space="preserve"> carried out by Infratel in 2021 complemented by the results of the </w:t>
      </w:r>
      <w:r w:rsidR="0039681A" w:rsidRPr="0030500F">
        <w:rPr>
          <w:rFonts w:ascii="Times New Roman" w:hAnsi="Times New Roman" w:cs="Times New Roman"/>
          <w:noProof/>
          <w:lang w:val="en-US"/>
        </w:rPr>
        <w:t>field verification activities</w:t>
      </w:r>
      <w:r w:rsidR="0039681A">
        <w:rPr>
          <w:rFonts w:ascii="Times New Roman" w:hAnsi="Times New Roman" w:cs="Times New Roman"/>
          <w:noProof/>
          <w:lang w:val="en-US"/>
        </w:rPr>
        <w:t xml:space="preserve"> carried out in 2023</w:t>
      </w:r>
      <w:r w:rsidR="0039681A" w:rsidRPr="00A36E36">
        <w:rPr>
          <w:rFonts w:ascii="Times New Roman" w:hAnsi="Times New Roman" w:cs="Times New Roman"/>
          <w:noProof/>
          <w:lang w:val="en-IE"/>
        </w:rPr>
        <w:t>;</w:t>
      </w:r>
    </w:p>
    <w:p w14:paraId="2444EA11" w14:textId="630A48D3" w:rsidR="0039681A" w:rsidRPr="00A36E36" w:rsidRDefault="0039681A" w:rsidP="00700AB9">
      <w:pPr>
        <w:pStyle w:val="ListParagraph"/>
        <w:numPr>
          <w:ilvl w:val="0"/>
          <w:numId w:val="39"/>
        </w:numPr>
        <w:spacing w:after="0" w:line="240" w:lineRule="auto"/>
        <w:jc w:val="both"/>
        <w:rPr>
          <w:rFonts w:ascii="Times New Roman" w:eastAsiaTheme="minorEastAsia" w:hAnsi="Times New Roman" w:cs="Times New Roman"/>
          <w:noProof/>
          <w:lang w:val="en-IE"/>
        </w:rPr>
      </w:pPr>
      <w:r w:rsidRPr="3B4E2785">
        <w:rPr>
          <w:rFonts w:ascii="Times New Roman" w:hAnsi="Times New Roman" w:cs="Times New Roman"/>
          <w:noProof/>
          <w:lang w:val="en-IE"/>
        </w:rPr>
        <w:t>“Italia 5G</w:t>
      </w:r>
      <w:r w:rsidR="00700AB9">
        <w:rPr>
          <w:rFonts w:ascii="Times New Roman" w:hAnsi="Times New Roman" w:cs="Times New Roman"/>
          <w:noProof/>
          <w:lang w:val="en-IE"/>
        </w:rPr>
        <w:t>”</w:t>
      </w:r>
      <w:r w:rsidRPr="3B4E2785">
        <w:rPr>
          <w:rFonts w:ascii="Times New Roman" w:hAnsi="Times New Roman" w:cs="Times New Roman"/>
          <w:noProof/>
          <w:lang w:val="en-IE"/>
        </w:rPr>
        <w:t>, enabling or providing 5G connections in market failure areas, as identified in the mapping exercise carried out by Infratel in June 2021;</w:t>
      </w:r>
    </w:p>
    <w:p w14:paraId="02D44AA6" w14:textId="64D76672" w:rsidR="0039681A" w:rsidRPr="00A36E36" w:rsidRDefault="00700AB9" w:rsidP="00700AB9">
      <w:pPr>
        <w:pStyle w:val="ListParagraph"/>
        <w:numPr>
          <w:ilvl w:val="0"/>
          <w:numId w:val="39"/>
        </w:numPr>
        <w:spacing w:after="0" w:line="240" w:lineRule="auto"/>
        <w:jc w:val="both"/>
        <w:rPr>
          <w:rFonts w:ascii="Times New Roman" w:eastAsiaTheme="minorEastAsia" w:hAnsi="Times New Roman" w:cs="Times New Roman"/>
          <w:noProof/>
          <w:lang w:val="en-IE"/>
        </w:rPr>
      </w:pPr>
      <w:r>
        <w:rPr>
          <w:rFonts w:ascii="Times New Roman" w:hAnsi="Times New Roman" w:cs="Times New Roman"/>
          <w:noProof/>
          <w:lang w:val="en-IE"/>
        </w:rPr>
        <w:t>“</w:t>
      </w:r>
      <w:r w:rsidR="0039681A" w:rsidRPr="00A36E36">
        <w:rPr>
          <w:rFonts w:ascii="Times New Roman" w:hAnsi="Times New Roman" w:cs="Times New Roman"/>
          <w:noProof/>
          <w:lang w:val="en-IE"/>
        </w:rPr>
        <w:t>Connected schools</w:t>
      </w:r>
      <w:r>
        <w:rPr>
          <w:rFonts w:ascii="Times New Roman" w:hAnsi="Times New Roman" w:cs="Times New Roman"/>
          <w:noProof/>
          <w:lang w:val="en-IE"/>
        </w:rPr>
        <w:t>”</w:t>
      </w:r>
      <w:r w:rsidR="0039681A" w:rsidRPr="00A36E36">
        <w:rPr>
          <w:rFonts w:ascii="Times New Roman" w:hAnsi="Times New Roman" w:cs="Times New Roman"/>
          <w:noProof/>
          <w:lang w:val="en-IE"/>
        </w:rPr>
        <w:t xml:space="preserve">, providing school </w:t>
      </w:r>
      <w:r w:rsidR="0039681A">
        <w:rPr>
          <w:rFonts w:ascii="Times New Roman" w:hAnsi="Times New Roman" w:cs="Times New Roman"/>
          <w:noProof/>
          <w:lang w:val="en-IE"/>
        </w:rPr>
        <w:t>premises</w:t>
      </w:r>
      <w:r w:rsidR="0039681A" w:rsidRPr="00A36E36">
        <w:rPr>
          <w:rFonts w:ascii="Times New Roman" w:hAnsi="Times New Roman" w:cs="Times New Roman"/>
          <w:noProof/>
          <w:lang w:val="en-IE"/>
        </w:rPr>
        <w:t xml:space="preserve"> with 1 Gigabit/s broadband connectivity;</w:t>
      </w:r>
    </w:p>
    <w:p w14:paraId="254065D3" w14:textId="339F7535" w:rsidR="0039681A" w:rsidRPr="00A36E36" w:rsidRDefault="00700AB9" w:rsidP="00700AB9">
      <w:pPr>
        <w:pStyle w:val="ListParagraph"/>
        <w:numPr>
          <w:ilvl w:val="0"/>
          <w:numId w:val="39"/>
        </w:numPr>
        <w:spacing w:after="0" w:line="240" w:lineRule="auto"/>
        <w:jc w:val="both"/>
        <w:rPr>
          <w:rFonts w:ascii="Times New Roman" w:eastAsiaTheme="minorEastAsia" w:hAnsi="Times New Roman" w:cs="Times New Roman"/>
          <w:noProof/>
          <w:lang w:val="en-IE"/>
        </w:rPr>
      </w:pPr>
      <w:r>
        <w:rPr>
          <w:rFonts w:ascii="Times New Roman" w:hAnsi="Times New Roman" w:cs="Times New Roman"/>
          <w:noProof/>
          <w:lang w:val="en-IE"/>
        </w:rPr>
        <w:t>“</w:t>
      </w:r>
      <w:r w:rsidR="0039681A" w:rsidRPr="00A36E36">
        <w:rPr>
          <w:rFonts w:ascii="Times New Roman" w:hAnsi="Times New Roman" w:cs="Times New Roman"/>
          <w:noProof/>
          <w:lang w:val="en-IE"/>
        </w:rPr>
        <w:t>Connected health care facilities</w:t>
      </w:r>
      <w:r>
        <w:rPr>
          <w:rFonts w:ascii="Times New Roman" w:hAnsi="Times New Roman" w:cs="Times New Roman"/>
          <w:noProof/>
          <w:lang w:val="en-IE"/>
        </w:rPr>
        <w:t>”</w:t>
      </w:r>
      <w:r w:rsidR="0039681A" w:rsidRPr="00A36E36">
        <w:rPr>
          <w:rFonts w:ascii="Times New Roman" w:hAnsi="Times New Roman" w:cs="Times New Roman"/>
          <w:noProof/>
          <w:lang w:val="en-IE"/>
        </w:rPr>
        <w:t xml:space="preserve">, which shall provide 1 Gigabit/s broadband connectivity to public health care </w:t>
      </w:r>
      <w:r w:rsidR="0039681A" w:rsidRPr="00A36E36" w:rsidDel="00F444C2">
        <w:rPr>
          <w:rFonts w:ascii="Times New Roman" w:hAnsi="Times New Roman" w:cs="Times New Roman"/>
          <w:noProof/>
          <w:lang w:val="en-IE"/>
        </w:rPr>
        <w:t>facilities</w:t>
      </w:r>
      <w:r w:rsidR="0039681A" w:rsidRPr="00A36E36">
        <w:rPr>
          <w:rFonts w:ascii="Times New Roman" w:hAnsi="Times New Roman" w:cs="Times New Roman"/>
          <w:noProof/>
          <w:lang w:val="en-IE"/>
        </w:rPr>
        <w:t>;</w:t>
      </w:r>
    </w:p>
    <w:p w14:paraId="328F06E1" w14:textId="03D3D49A" w:rsidR="0039681A" w:rsidRPr="00A36E36" w:rsidRDefault="00700AB9" w:rsidP="00700AB9">
      <w:pPr>
        <w:pStyle w:val="ListParagraph"/>
        <w:numPr>
          <w:ilvl w:val="0"/>
          <w:numId w:val="39"/>
        </w:numPr>
        <w:spacing w:after="120" w:line="240" w:lineRule="auto"/>
        <w:ind w:left="714" w:hanging="357"/>
        <w:contextualSpacing w:val="0"/>
        <w:jc w:val="both"/>
        <w:rPr>
          <w:rFonts w:ascii="Times New Roman" w:hAnsi="Times New Roman" w:cs="Times New Roman"/>
          <w:noProof/>
          <w:lang w:val="en-IE"/>
        </w:rPr>
      </w:pPr>
      <w:r>
        <w:rPr>
          <w:rFonts w:ascii="Times New Roman" w:hAnsi="Times New Roman" w:cs="Times New Roman"/>
          <w:noProof/>
          <w:lang w:val="en-IE"/>
        </w:rPr>
        <w:t>“</w:t>
      </w:r>
      <w:r w:rsidR="0039681A" w:rsidRPr="00A36E36">
        <w:rPr>
          <w:rFonts w:ascii="Times New Roman" w:hAnsi="Times New Roman" w:cs="Times New Roman"/>
          <w:noProof/>
          <w:lang w:val="en-IE"/>
        </w:rPr>
        <w:t>Connected smaller islands</w:t>
      </w:r>
      <w:r>
        <w:rPr>
          <w:rFonts w:ascii="Times New Roman" w:hAnsi="Times New Roman" w:cs="Times New Roman"/>
          <w:noProof/>
          <w:lang w:val="en-IE"/>
        </w:rPr>
        <w:t>”</w:t>
      </w:r>
      <w:r w:rsidR="0039681A" w:rsidRPr="00A36E36">
        <w:rPr>
          <w:rFonts w:ascii="Times New Roman" w:hAnsi="Times New Roman" w:cs="Times New Roman"/>
          <w:noProof/>
          <w:lang w:val="en-IE"/>
        </w:rPr>
        <w:t>, providing ultra-broadband connectivity to selected smaller islands lacking fiber links to the continent.</w:t>
      </w:r>
    </w:p>
    <w:p w14:paraId="253F859E" w14:textId="77777777" w:rsidR="0039681A" w:rsidRPr="00A36E36" w:rsidRDefault="0039681A" w:rsidP="00700AB9">
      <w:pPr>
        <w:spacing w:before="120" w:after="120"/>
        <w:jc w:val="both"/>
        <w:rPr>
          <w:rFonts w:ascii="Times New Roman" w:hAnsi="Times New Roman" w:cs="Times New Roman"/>
          <w:b/>
          <w:bCs/>
          <w:noProof/>
          <w:lang w:val="en-IE"/>
        </w:rPr>
      </w:pPr>
      <w:r w:rsidRPr="00700AB9">
        <w:rPr>
          <w:rFonts w:ascii="Times New Roman" w:hAnsi="Times New Roman" w:cs="Times New Roman"/>
          <w:b/>
          <w:noProof/>
          <w:lang w:val="en-IE"/>
        </w:rPr>
        <w:t>Investment 4: Satellite</w:t>
      </w:r>
      <w:r w:rsidRPr="00A36E36">
        <w:rPr>
          <w:rFonts w:ascii="Times New Roman" w:hAnsi="Times New Roman" w:cs="Times New Roman"/>
          <w:b/>
          <w:noProof/>
          <w:lang w:val="en-IE"/>
        </w:rPr>
        <w:t xml:space="preserve"> technology and space economy</w:t>
      </w:r>
    </w:p>
    <w:p w14:paraId="10F5B9D2" w14:textId="77777777" w:rsidR="0039681A" w:rsidRPr="00647572" w:rsidRDefault="0039681A" w:rsidP="00351087">
      <w:pPr>
        <w:jc w:val="both"/>
        <w:rPr>
          <w:rFonts w:ascii="Times New Roman" w:hAnsi="Times New Roman" w:cs="Times New Roman"/>
          <w:noProof/>
        </w:rPr>
      </w:pPr>
      <w:r w:rsidRPr="00A36E36">
        <w:rPr>
          <w:rFonts w:ascii="Times New Roman" w:hAnsi="Times New Roman" w:cs="Times New Roman"/>
          <w:noProof/>
          <w:lang w:val="en-IE"/>
        </w:rPr>
        <w:t xml:space="preserve">The objective of the investment is to develop satellite connections in view of the digital and green transition and to contribute to the development of the space sector. </w:t>
      </w:r>
      <w:r w:rsidRPr="00647572">
        <w:rPr>
          <w:rFonts w:ascii="Times New Roman" w:hAnsi="Times New Roman" w:cs="Times New Roman"/>
          <w:noProof/>
          <w:color w:val="000000" w:themeColor="text1"/>
        </w:rPr>
        <w:t xml:space="preserve">The investment </w:t>
      </w:r>
      <w:r w:rsidRPr="00647572">
        <w:rPr>
          <w:rFonts w:ascii="Times New Roman" w:hAnsi="Times New Roman" w:cs="Times New Roman"/>
          <w:noProof/>
        </w:rPr>
        <w:t>consists in four projects:</w:t>
      </w:r>
    </w:p>
    <w:p w14:paraId="3DE66257" w14:textId="77777777" w:rsidR="0039681A" w:rsidRPr="00647572" w:rsidRDefault="0039681A" w:rsidP="0039681A">
      <w:pPr>
        <w:pStyle w:val="ListParagraph"/>
        <w:numPr>
          <w:ilvl w:val="0"/>
          <w:numId w:val="40"/>
        </w:numPr>
        <w:spacing w:after="0" w:line="240" w:lineRule="auto"/>
        <w:jc w:val="both"/>
        <w:rPr>
          <w:rFonts w:ascii="Times New Roman" w:eastAsiaTheme="minorEastAsia" w:hAnsi="Times New Roman" w:cs="Times New Roman"/>
          <w:noProof/>
        </w:rPr>
      </w:pPr>
      <w:r w:rsidRPr="00647572">
        <w:rPr>
          <w:rFonts w:ascii="Times New Roman" w:hAnsi="Times New Roman" w:cs="Times New Roman"/>
          <w:noProof/>
        </w:rPr>
        <w:t xml:space="preserve">Satcom, </w:t>
      </w:r>
    </w:p>
    <w:p w14:paraId="4A576E29" w14:textId="77777777" w:rsidR="0039681A" w:rsidRPr="00647572" w:rsidRDefault="0039681A" w:rsidP="0039681A">
      <w:pPr>
        <w:pStyle w:val="ListParagraph"/>
        <w:numPr>
          <w:ilvl w:val="0"/>
          <w:numId w:val="40"/>
        </w:numPr>
        <w:spacing w:after="0" w:line="240" w:lineRule="auto"/>
        <w:jc w:val="both"/>
        <w:rPr>
          <w:rFonts w:ascii="Times New Roman" w:eastAsiaTheme="minorEastAsia" w:hAnsi="Times New Roman" w:cs="Times New Roman"/>
          <w:noProof/>
        </w:rPr>
      </w:pPr>
      <w:r w:rsidRPr="00647572">
        <w:rPr>
          <w:rFonts w:ascii="Times New Roman" w:hAnsi="Times New Roman" w:cs="Times New Roman"/>
          <w:noProof/>
        </w:rPr>
        <w:t xml:space="preserve">Earth Observation (EO), </w:t>
      </w:r>
    </w:p>
    <w:p w14:paraId="1729EA79" w14:textId="77777777" w:rsidR="0039681A" w:rsidRPr="00647572" w:rsidRDefault="0039681A" w:rsidP="0039681A">
      <w:pPr>
        <w:pStyle w:val="ListParagraph"/>
        <w:numPr>
          <w:ilvl w:val="0"/>
          <w:numId w:val="40"/>
        </w:numPr>
        <w:spacing w:after="0" w:line="240" w:lineRule="auto"/>
        <w:jc w:val="both"/>
        <w:rPr>
          <w:rFonts w:ascii="Times New Roman" w:eastAsiaTheme="minorEastAsia" w:hAnsi="Times New Roman" w:cs="Times New Roman"/>
          <w:noProof/>
        </w:rPr>
      </w:pPr>
      <w:r w:rsidRPr="00647572">
        <w:rPr>
          <w:rFonts w:ascii="Times New Roman" w:hAnsi="Times New Roman" w:cs="Times New Roman"/>
          <w:noProof/>
        </w:rPr>
        <w:t xml:space="preserve">Space Factory, </w:t>
      </w:r>
    </w:p>
    <w:p w14:paraId="3E14D3B0" w14:textId="77777777" w:rsidR="0039681A" w:rsidRPr="00647572" w:rsidRDefault="0039681A" w:rsidP="0039681A">
      <w:pPr>
        <w:pStyle w:val="ListParagraph"/>
        <w:numPr>
          <w:ilvl w:val="0"/>
          <w:numId w:val="40"/>
        </w:numPr>
        <w:spacing w:after="0" w:line="240" w:lineRule="auto"/>
        <w:jc w:val="both"/>
        <w:rPr>
          <w:rFonts w:ascii="Times New Roman" w:eastAsiaTheme="minorEastAsia" w:hAnsi="Times New Roman" w:cs="Times New Roman"/>
          <w:noProof/>
        </w:rPr>
      </w:pPr>
      <w:r w:rsidRPr="00647572">
        <w:rPr>
          <w:rFonts w:ascii="Times New Roman" w:hAnsi="Times New Roman" w:cs="Times New Roman"/>
          <w:noProof/>
        </w:rPr>
        <w:t>In-Orbit Economy.</w:t>
      </w:r>
    </w:p>
    <w:p w14:paraId="4009D576"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It is envisaged that the investment does not have military or defence objectives and implications.</w:t>
      </w:r>
    </w:p>
    <w:p w14:paraId="544EF77E"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 xml:space="preserve">Investment 5: Industrial supply chain policies and internationalization </w:t>
      </w:r>
    </w:p>
    <w:p w14:paraId="74797EA0" w14:textId="77777777" w:rsidR="0039681A" w:rsidRPr="00A36E36" w:rsidRDefault="0039681A" w:rsidP="00351087">
      <w:pPr>
        <w:jc w:val="both"/>
        <w:rPr>
          <w:rFonts w:ascii="Times New Roman" w:hAnsi="Times New Roman" w:cs="Times New Roman"/>
          <w:noProof/>
          <w:lang w:val="en-IE"/>
        </w:rPr>
      </w:pPr>
      <w:r w:rsidRPr="00A36E36">
        <w:rPr>
          <w:rFonts w:ascii="Times New Roman" w:hAnsi="Times New Roman" w:cs="Times New Roman"/>
          <w:noProof/>
          <w:lang w:val="en-IE"/>
        </w:rPr>
        <w:t>The objective of the investment is to strengthen industrial supply chains, in particular by facilitating access to funding, and to promote the competitiveness of enterprises (notably SMEs), in particular by supporting their internationalisation and strengthening their resilience after the COVID-19 crisis.</w:t>
      </w:r>
    </w:p>
    <w:p w14:paraId="73FBC8DE" w14:textId="77777777" w:rsidR="0039681A" w:rsidRPr="00A36E36" w:rsidRDefault="0039681A" w:rsidP="00351087">
      <w:pPr>
        <w:jc w:val="both"/>
        <w:rPr>
          <w:rFonts w:ascii="Times New Roman" w:hAnsi="Times New Roman" w:cs="Times New Roman"/>
          <w:noProof/>
          <w:lang w:val="en-IE"/>
        </w:rPr>
      </w:pPr>
      <w:r w:rsidRPr="00A36E36">
        <w:rPr>
          <w:rFonts w:ascii="Times New Roman" w:hAnsi="Times New Roman" w:cs="Times New Roman"/>
          <w:noProof/>
          <w:lang w:val="en-IE"/>
        </w:rPr>
        <w:t>The investment consists of two lines of intervention:</w:t>
      </w:r>
    </w:p>
    <w:p w14:paraId="1D55D986" w14:textId="77777777" w:rsidR="0039681A" w:rsidRPr="00A36E36" w:rsidRDefault="0039681A" w:rsidP="0039681A">
      <w:pPr>
        <w:pStyle w:val="ListParagraph"/>
        <w:numPr>
          <w:ilvl w:val="3"/>
          <w:numId w:val="41"/>
        </w:numPr>
        <w:spacing w:before="120" w:after="120" w:line="240" w:lineRule="auto"/>
        <w:ind w:left="1134"/>
        <w:jc w:val="both"/>
        <w:rPr>
          <w:rFonts w:ascii="Times New Roman" w:eastAsiaTheme="minorEastAsia" w:hAnsi="Times New Roman" w:cs="Times New Roman"/>
          <w:noProof/>
          <w:lang w:val="en-IE"/>
        </w:rPr>
      </w:pPr>
      <w:r w:rsidRPr="00A36E36">
        <w:rPr>
          <w:rFonts w:ascii="Times New Roman" w:hAnsi="Times New Roman" w:cs="Times New Roman"/>
          <w:noProof/>
          <w:lang w:val="en-IE"/>
        </w:rPr>
        <w:t xml:space="preserve">Refinancing of Fund 394/81 managed by SIMEST. It consists of the re-financing of an existing Fund currently managed by public agency SIMEST, providing for financial support to enterprises, notably SMEs, to support their internationalisation through various tools such as programs to access foreign markets and development of e-commerce. </w:t>
      </w:r>
    </w:p>
    <w:p w14:paraId="01869A50" w14:textId="77777777" w:rsidR="0039681A" w:rsidRPr="00A36E36" w:rsidRDefault="0039681A" w:rsidP="0039681A">
      <w:pPr>
        <w:pStyle w:val="ListParagraph"/>
        <w:numPr>
          <w:ilvl w:val="3"/>
          <w:numId w:val="41"/>
        </w:numPr>
        <w:spacing w:before="120" w:after="120" w:line="240" w:lineRule="auto"/>
        <w:ind w:left="1134"/>
        <w:jc w:val="both"/>
        <w:rPr>
          <w:rFonts w:ascii="Times New Roman" w:eastAsiaTheme="minorEastAsia" w:hAnsi="Times New Roman" w:cs="Times New Roman"/>
          <w:noProof/>
          <w:lang w:val="en-IE"/>
        </w:rPr>
      </w:pPr>
      <w:r w:rsidRPr="00A36E36">
        <w:rPr>
          <w:rFonts w:ascii="Times New Roman" w:hAnsi="Times New Roman" w:cs="Times New Roman"/>
          <w:noProof/>
          <w:lang w:val="en-IE"/>
        </w:rPr>
        <w:t xml:space="preserve">Competitiveness and resilience of supply chains. It consists of financial support to enterprises, through the instrument of the Development Contract, for projects related to key strategic value chains, such as industrial development programs, environmental protection development programs, sustainable mobility and tourism activities. </w:t>
      </w:r>
    </w:p>
    <w:p w14:paraId="23DA9E1F"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The above interventions shall be conducted according to investment policies in line with the objectives of Regulation (EU) 2021/241, including in relation to the application of the principle of ‘Do no significant harm’, as further specified in the ‘Do no significant harm’ Technical Guidance (2021/C58/01).</w:t>
      </w:r>
    </w:p>
    <w:p w14:paraId="14F0C170"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In order to ensure that the measure complies with the ‘Do no significant harm’ Technical Guidance (2021/C58/01), the legal agreement between Italy and the entrusted entity or the financial intermediary in charge of the financial instrument and the subsequent investment policy of the financial instrument shall: </w:t>
      </w:r>
    </w:p>
    <w:p w14:paraId="7339B12D" w14:textId="557F193F" w:rsidR="0039681A" w:rsidRPr="00A36E36" w:rsidRDefault="0039681A" w:rsidP="0039681A">
      <w:pPr>
        <w:pStyle w:val="ListParagraph"/>
        <w:numPr>
          <w:ilvl w:val="0"/>
          <w:numId w:val="42"/>
        </w:numPr>
        <w:spacing w:after="0" w:line="240" w:lineRule="auto"/>
        <w:jc w:val="both"/>
        <w:rPr>
          <w:rFonts w:ascii="Times New Roman" w:eastAsiaTheme="minorEastAsia" w:hAnsi="Times New Roman" w:cs="Times New Roman"/>
          <w:noProof/>
          <w:lang w:val="en-IE"/>
        </w:rPr>
      </w:pPr>
      <w:r w:rsidRPr="00A36E36">
        <w:rPr>
          <w:rFonts w:ascii="Times New Roman" w:hAnsi="Times New Roman" w:cs="Times New Roman"/>
          <w:noProof/>
          <w:lang w:val="en-IE"/>
        </w:rPr>
        <w:t>require the application of the Commission</w:t>
      </w:r>
      <w:r>
        <w:rPr>
          <w:rFonts w:ascii="Times New Roman" w:hAnsi="Times New Roman" w:cs="Times New Roman"/>
          <w:noProof/>
          <w:lang w:val="en-IE"/>
        </w:rPr>
        <w:t>’</w:t>
      </w:r>
      <w:r w:rsidRPr="00A36E36">
        <w:rPr>
          <w:rFonts w:ascii="Times New Roman" w:hAnsi="Times New Roman" w:cs="Times New Roman"/>
          <w:noProof/>
          <w:lang w:val="en-IE"/>
        </w:rPr>
        <w:t>s technical guidance on sustainability proofing for the InvestEU Fund; and</w:t>
      </w:r>
    </w:p>
    <w:p w14:paraId="074EF87C" w14:textId="77777777" w:rsidR="0039681A" w:rsidRPr="00A36E36" w:rsidRDefault="0039681A" w:rsidP="0039681A">
      <w:pPr>
        <w:pStyle w:val="ListParagraph"/>
        <w:numPr>
          <w:ilvl w:val="0"/>
          <w:numId w:val="42"/>
        </w:numPr>
        <w:spacing w:after="0" w:line="240" w:lineRule="auto"/>
        <w:jc w:val="both"/>
        <w:rPr>
          <w:rFonts w:ascii="Times New Roman" w:eastAsiaTheme="minorEastAsia" w:hAnsi="Times New Roman" w:cs="Times New Roman"/>
          <w:noProof/>
          <w:lang w:val="en-IE"/>
        </w:rPr>
      </w:pPr>
      <w:r w:rsidRPr="00A36E36">
        <w:rPr>
          <w:rFonts w:ascii="Times New Roman" w:hAnsi="Times New Roman" w:cs="Times New Roman"/>
          <w:noProof/>
          <w:lang w:val="en-IE"/>
        </w:rPr>
        <w:t>exclude the following list of activities and assets from eligibility:</w:t>
      </w:r>
      <w:r w:rsidRPr="00A36E36">
        <w:rPr>
          <w:rFonts w:ascii="Times New Roman" w:hAnsi="Times New Roman" w:cs="Times New Roman"/>
          <w:noProof/>
          <w:color w:val="FF0000"/>
          <w:lang w:val="en-IE"/>
        </w:rPr>
        <w:t xml:space="preserve"> </w:t>
      </w:r>
      <w:r w:rsidRPr="00A36E36">
        <w:rPr>
          <w:rFonts w:ascii="Times New Roman" w:hAnsi="Times New Roman" w:cs="Times New Roman"/>
          <w:noProof/>
          <w:lang w:val="en-IE"/>
        </w:rPr>
        <w:t>(i) activities and assets related to fossil fuels, including downstream use</w:t>
      </w:r>
      <w:r w:rsidRPr="00647572">
        <w:rPr>
          <w:rFonts w:ascii="Times New Roman" w:hAnsi="Times New Roman" w:cs="Times New Roman"/>
          <w:noProof/>
          <w:vertAlign w:val="superscript"/>
        </w:rPr>
        <w:footnoteReference w:id="1"/>
      </w:r>
      <w:r w:rsidRPr="00A36E36">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647572">
        <w:rPr>
          <w:rFonts w:ascii="Times New Roman" w:hAnsi="Times New Roman" w:cs="Times New Roman"/>
          <w:noProof/>
          <w:vertAlign w:val="superscript"/>
        </w:rPr>
        <w:footnoteReference w:id="2"/>
      </w:r>
      <w:r w:rsidRPr="00A36E36">
        <w:rPr>
          <w:rFonts w:ascii="Times New Roman" w:hAnsi="Times New Roman" w:cs="Times New Roman"/>
          <w:noProof/>
          <w:lang w:val="en-IE"/>
        </w:rPr>
        <w:t>; (iii) activities and assets related to waste landfills, incinerators</w:t>
      </w:r>
      <w:r w:rsidRPr="00647572">
        <w:rPr>
          <w:rFonts w:ascii="Times New Roman" w:hAnsi="Times New Roman" w:cs="Times New Roman"/>
          <w:noProof/>
          <w:vertAlign w:val="superscript"/>
        </w:rPr>
        <w:footnoteReference w:id="3"/>
      </w:r>
      <w:r w:rsidRPr="00A36E36">
        <w:rPr>
          <w:rFonts w:ascii="Times New Roman" w:hAnsi="Times New Roman" w:cs="Times New Roman"/>
          <w:noProof/>
          <w:lang w:val="en-IE"/>
        </w:rPr>
        <w:t xml:space="preserve"> and mechanical biological treatment plants</w:t>
      </w:r>
      <w:r w:rsidRPr="00647572">
        <w:rPr>
          <w:rFonts w:ascii="Times New Roman" w:hAnsi="Times New Roman" w:cs="Times New Roman"/>
          <w:noProof/>
          <w:vertAlign w:val="superscript"/>
        </w:rPr>
        <w:footnoteReference w:id="4"/>
      </w:r>
      <w:r w:rsidRPr="00A36E36">
        <w:rPr>
          <w:rFonts w:ascii="Times New Roman" w:hAnsi="Times New Roman" w:cs="Times New Roman"/>
          <w:noProof/>
          <w:lang w:val="en-IE"/>
        </w:rPr>
        <w:t>; and (iv) activities and assets where the long-term disposal of waste may cause harm to the environment; and</w:t>
      </w:r>
    </w:p>
    <w:p w14:paraId="7B9F62EB" w14:textId="77777777" w:rsidR="0039681A" w:rsidRPr="00A36E36" w:rsidRDefault="0039681A" w:rsidP="0039681A">
      <w:pPr>
        <w:pStyle w:val="ListParagraph"/>
        <w:numPr>
          <w:ilvl w:val="0"/>
          <w:numId w:val="42"/>
        </w:numPr>
        <w:spacing w:after="0" w:line="240" w:lineRule="auto"/>
        <w:jc w:val="both"/>
        <w:rPr>
          <w:rFonts w:ascii="Times New Roman" w:eastAsiaTheme="minorEastAsia" w:hAnsi="Times New Roman" w:cs="Times New Roman"/>
          <w:noProof/>
          <w:lang w:val="en-IE"/>
        </w:rPr>
      </w:pPr>
      <w:r w:rsidRPr="00A36E36">
        <w:rPr>
          <w:rFonts w:ascii="Times New Roman" w:hAnsi="Times New Roman" w:cs="Times New Roman"/>
          <w:noProof/>
          <w:lang w:val="en-IE"/>
        </w:rPr>
        <w:t>require the verification of legal compliance with the relevant EU and national environmental legislation of the projects by the entrusted entity or financial intermediary for all transactions, including those exempted from sustainability proofing.</w:t>
      </w:r>
    </w:p>
    <w:p w14:paraId="2CA2C237" w14:textId="77777777" w:rsidR="0039681A" w:rsidRPr="00A36E36" w:rsidRDefault="0039681A" w:rsidP="00351087">
      <w:pPr>
        <w:rPr>
          <w:rFonts w:ascii="Times New Roman" w:hAnsi="Times New Roman" w:cs="Times New Roman"/>
          <w:b/>
          <w:noProof/>
          <w:u w:val="single"/>
          <w:lang w:val="en-IE"/>
        </w:rPr>
      </w:pPr>
    </w:p>
    <w:p w14:paraId="7B0180BC"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7: National Connectivity Fund</w:t>
      </w:r>
    </w:p>
    <w:p w14:paraId="03B49474" w14:textId="77777777" w:rsidR="0039681A" w:rsidRPr="00A36E36" w:rsidRDefault="0039681A" w:rsidP="00351087">
      <w:p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This measure shall consist of a </w:t>
      </w:r>
      <w:r w:rsidRPr="00A36E36">
        <w:rPr>
          <w:rFonts w:ascii="Times New Roman" w:eastAsia="@MS Mincho" w:hAnsi="Times New Roman" w:cs="Times New Roman"/>
          <w:noProof/>
          <w:lang w:val="en-IE"/>
        </w:rPr>
        <w:t>public investment</w:t>
      </w:r>
      <w:r w:rsidRPr="00A36E36">
        <w:rPr>
          <w:rFonts w:ascii="Times New Roman" w:eastAsia="Calibri" w:hAnsi="Times New Roman" w:cs="Times New Roman"/>
          <w:noProof/>
          <w:lang w:val="en-IE"/>
        </w:rPr>
        <w:t xml:space="preserve"> in a Grant Scheme “National Connectivity Fund”, </w:t>
      </w:r>
      <w:r w:rsidRPr="00A36E36">
        <w:rPr>
          <w:rFonts w:ascii="Times New Roman" w:eastAsia="@MS Mincho" w:hAnsi="Times New Roman" w:cs="Times New Roman"/>
          <w:noProof/>
          <w:lang w:val="en-IE"/>
        </w:rPr>
        <w:t xml:space="preserve">in order to incentivise private investment and improve access to finance in Italy’s ultra-broadband </w:t>
      </w:r>
      <w:r w:rsidRPr="00A36E36">
        <w:rPr>
          <w:rFonts w:ascii="Times New Roman" w:eastAsia="Calibri" w:hAnsi="Times New Roman" w:cs="Times New Roman"/>
          <w:noProof/>
          <w:lang w:val="en-IE"/>
        </w:rPr>
        <w:t>network infrastructure sector. The Scheme shall operate by providing grants directly to the private sector.</w:t>
      </w:r>
    </w:p>
    <w:p w14:paraId="41AFC5D6" w14:textId="77777777" w:rsidR="0039681A" w:rsidRPr="00647572" w:rsidRDefault="0039681A" w:rsidP="00351087">
      <w:pPr>
        <w:spacing w:line="240" w:lineRule="auto"/>
        <w:jc w:val="both"/>
        <w:rPr>
          <w:rFonts w:ascii="Times New Roman" w:eastAsia="Calibri" w:hAnsi="Times New Roman" w:cs="Times New Roman"/>
          <w:noProof/>
        </w:rPr>
      </w:pPr>
      <w:r w:rsidRPr="00A36E36">
        <w:rPr>
          <w:rFonts w:ascii="Times New Roman" w:eastAsia="Calibri" w:hAnsi="Times New Roman" w:cs="Times New Roman"/>
          <w:noProof/>
          <w:lang w:val="en-IE"/>
        </w:rPr>
        <w:t xml:space="preserve">The Scheme shall be managed by Invitalia S.p.A. as the implementing partner. </w:t>
      </w:r>
      <w:r w:rsidRPr="00647572">
        <w:rPr>
          <w:rFonts w:ascii="Times New Roman" w:eastAsia="Calibri" w:hAnsi="Times New Roman" w:cs="Times New Roman"/>
          <w:noProof/>
        </w:rPr>
        <w:t>The Scheme shall include the following product line:</w:t>
      </w:r>
    </w:p>
    <w:p w14:paraId="0F457637" w14:textId="77777777" w:rsidR="0039681A" w:rsidRPr="00A36E36" w:rsidRDefault="0039681A" w:rsidP="0039681A">
      <w:pPr>
        <w:keepNext/>
        <w:numPr>
          <w:ilvl w:val="0"/>
          <w:numId w:val="43"/>
        </w:numPr>
        <w:spacing w:line="240" w:lineRule="auto"/>
        <w:contextualSpacing/>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A viability gap grant requiring at least 30% of private co-financing on the overall cost of the project. </w:t>
      </w:r>
    </w:p>
    <w:p w14:paraId="76D4DCCA" w14:textId="77777777" w:rsidR="0039681A" w:rsidRPr="00A36E36" w:rsidRDefault="0039681A" w:rsidP="00351087">
      <w:p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In order to implement the investment into the Scheme, Italy and Invitalia S.p.A. shall sign an Implementing Agreement that shall include the following content:</w:t>
      </w:r>
    </w:p>
    <w:p w14:paraId="5F273627" w14:textId="77777777" w:rsidR="0039681A" w:rsidRPr="00A36E36" w:rsidRDefault="0039681A" w:rsidP="0039681A">
      <w:pPr>
        <w:pStyle w:val="ListParagraph"/>
        <w:numPr>
          <w:ilvl w:val="0"/>
          <w:numId w:val="44"/>
        </w:numPr>
        <w:jc w:val="both"/>
        <w:rPr>
          <w:rFonts w:ascii="Times New Roman" w:eastAsia="Times New Roman" w:hAnsi="Times New Roman" w:cs="Times New Roman"/>
          <w:noProof/>
          <w:lang w:val="en-IE"/>
        </w:rPr>
      </w:pPr>
      <w:r w:rsidRPr="00A36E36">
        <w:rPr>
          <w:rFonts w:ascii="Times New Roman" w:eastAsia="Calibri" w:hAnsi="Times New Roman" w:cs="Times New Roman"/>
          <w:noProof/>
          <w:lang w:val="en-IE"/>
        </w:rPr>
        <w:t xml:space="preserve">Description of the decision-making process of the </w:t>
      </w:r>
      <w:r w:rsidRPr="00A36E36">
        <w:rPr>
          <w:rFonts w:ascii="Times New Roman" w:eastAsia="Calibri" w:hAnsi="Times New Roman" w:cs="Times New Roman"/>
          <w:bCs/>
          <w:noProof/>
          <w:lang w:val="en-IE"/>
        </w:rPr>
        <w:t>Scheme</w:t>
      </w:r>
      <w:r w:rsidRPr="00A36E36">
        <w:rPr>
          <w:rFonts w:ascii="Times New Roman" w:eastAsia="Calibri" w:hAnsi="Times New Roman" w:cs="Times New Roman"/>
          <w:noProof/>
          <w:lang w:val="en-IE"/>
        </w:rPr>
        <w:t>: The final award decision of the Scheme shall be taken by an investment committee or other relevant equivalent governing body and approved by a majority of votes from members who are independent from the government.</w:t>
      </w:r>
    </w:p>
    <w:p w14:paraId="7E557146" w14:textId="77777777" w:rsidR="0039681A" w:rsidRPr="00A36E36" w:rsidRDefault="0039681A" w:rsidP="0039681A">
      <w:pPr>
        <w:pStyle w:val="ListParagraph"/>
        <w:numPr>
          <w:ilvl w:val="0"/>
          <w:numId w:val="44"/>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Key requirements of the associated grant policy,</w:t>
      </w:r>
      <w:r w:rsidRPr="00A36E36">
        <w:rPr>
          <w:rFonts w:ascii="Times New Roman" w:eastAsia="Calibri" w:hAnsi="Times New Roman" w:cs="Times New Roman"/>
          <w:b/>
          <w:noProof/>
          <w:lang w:val="en-IE"/>
        </w:rPr>
        <w:t xml:space="preserve"> </w:t>
      </w:r>
      <w:r w:rsidRPr="00A36E36">
        <w:rPr>
          <w:rFonts w:ascii="Times New Roman" w:eastAsia="Calibri" w:hAnsi="Times New Roman" w:cs="Times New Roman"/>
          <w:noProof/>
          <w:lang w:val="en-IE"/>
        </w:rPr>
        <w:t>which shall include:</w:t>
      </w:r>
    </w:p>
    <w:p w14:paraId="2EE774FB" w14:textId="77777777" w:rsidR="0039681A" w:rsidRPr="00A36E36" w:rsidRDefault="0039681A" w:rsidP="0039681A">
      <w:pPr>
        <w:pStyle w:val="ListParagraph"/>
        <w:numPr>
          <w:ilvl w:val="0"/>
          <w:numId w:val="45"/>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The description of the grants provided and eligible final beneficiaries. </w:t>
      </w:r>
    </w:p>
    <w:p w14:paraId="007F800D" w14:textId="77777777" w:rsidR="0039681A" w:rsidRPr="00A36E36" w:rsidRDefault="0039681A" w:rsidP="0039681A">
      <w:pPr>
        <w:pStyle w:val="ListParagraph"/>
        <w:numPr>
          <w:ilvl w:val="0"/>
          <w:numId w:val="45"/>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requirement that all investments supported are economically viable.</w:t>
      </w:r>
    </w:p>
    <w:p w14:paraId="36603569" w14:textId="77777777" w:rsidR="0039681A" w:rsidRPr="00A36E36" w:rsidRDefault="0039681A" w:rsidP="0039681A">
      <w:pPr>
        <w:pStyle w:val="ListParagraph"/>
        <w:numPr>
          <w:ilvl w:val="0"/>
          <w:numId w:val="45"/>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requirement to comply with the ‘Do no significant harm’ (DNSH) principle as set out in the DNSH Technical Guidance (2021/C58/01): In particular, the grant policy shall exclude the following list of activities and assets from eligibility: (i) activities and assets related to fossil fuels, including downstream use</w:t>
      </w:r>
      <w:r w:rsidRPr="00647572">
        <w:rPr>
          <w:noProof/>
          <w:vertAlign w:val="superscript"/>
        </w:rPr>
        <w:footnoteReference w:id="5"/>
      </w:r>
      <w:r w:rsidRPr="00A36E36">
        <w:rPr>
          <w:rFonts w:ascii="Times New Roman" w:eastAsia="Calibri" w:hAnsi="Times New Roman" w:cs="Times New Roman"/>
          <w:noProof/>
          <w:lang w:val="en-IE"/>
        </w:rPr>
        <w:t>, (ii) activities and assets under the EU Emission Trading System (ETS) achieving projected greenhouse gas emissions that are not lower than the relevant benchmarks</w:t>
      </w:r>
      <w:r w:rsidRPr="00647572">
        <w:rPr>
          <w:noProof/>
          <w:vertAlign w:val="superscript"/>
        </w:rPr>
        <w:footnoteReference w:id="6"/>
      </w:r>
      <w:r w:rsidRPr="00A36E36">
        <w:rPr>
          <w:rFonts w:ascii="Times New Roman" w:eastAsia="Calibri" w:hAnsi="Times New Roman" w:cs="Times New Roman"/>
          <w:noProof/>
          <w:lang w:val="en-IE"/>
        </w:rPr>
        <w:t>, (iii) activities and assets related to waste landfills, incinerators</w:t>
      </w:r>
      <w:r w:rsidRPr="00647572">
        <w:rPr>
          <w:noProof/>
          <w:vertAlign w:val="superscript"/>
        </w:rPr>
        <w:footnoteReference w:id="7"/>
      </w:r>
      <w:r w:rsidRPr="00A36E36">
        <w:rPr>
          <w:rFonts w:ascii="Times New Roman" w:eastAsia="Calibri" w:hAnsi="Times New Roman" w:cs="Times New Roman"/>
          <w:noProof/>
          <w:lang w:val="en-IE"/>
        </w:rPr>
        <w:t xml:space="preserve"> and mechanical biological treatment plants</w:t>
      </w:r>
      <w:r w:rsidRPr="00647572">
        <w:rPr>
          <w:noProof/>
          <w:vertAlign w:val="superscript"/>
        </w:rPr>
        <w:footnoteReference w:id="8"/>
      </w:r>
      <w:r w:rsidRPr="00A36E36">
        <w:rPr>
          <w:rFonts w:ascii="Times New Roman" w:eastAsia="Calibri" w:hAnsi="Times New Roman" w:cs="Times New Roman"/>
          <w:noProof/>
          <w:lang w:val="en-IE"/>
        </w:rPr>
        <w:t xml:space="preserve">. </w:t>
      </w:r>
    </w:p>
    <w:p w14:paraId="23EDC9F3" w14:textId="77777777" w:rsidR="0039681A" w:rsidRPr="00A36E36" w:rsidRDefault="0039681A" w:rsidP="0039681A">
      <w:pPr>
        <w:pStyle w:val="ListParagraph"/>
        <w:numPr>
          <w:ilvl w:val="0"/>
          <w:numId w:val="45"/>
        </w:numPr>
        <w:jc w:val="both"/>
        <w:rPr>
          <w:rFonts w:ascii="Times New Roman" w:eastAsia="Calibri" w:hAnsi="Times New Roman" w:cs="Times New Roman"/>
          <w:bCs/>
          <w:noProof/>
          <w:lang w:val="en-IE"/>
        </w:rPr>
      </w:pPr>
      <w:r w:rsidRPr="00A36E36">
        <w:rPr>
          <w:rFonts w:ascii="Times New Roman" w:eastAsia="Calibri" w:hAnsi="Times New Roman" w:cs="Times New Roman"/>
          <w:bCs/>
          <w:noProof/>
          <w:lang w:val="en-IE"/>
        </w:rPr>
        <w:t>The requirement</w:t>
      </w:r>
      <w:r w:rsidRPr="00A36E36" w:rsidDel="00E46B3C">
        <w:rPr>
          <w:rFonts w:ascii="Times New Roman" w:eastAsia="Calibri" w:hAnsi="Times New Roman" w:cs="Times New Roman"/>
          <w:bCs/>
          <w:noProof/>
          <w:lang w:val="en-IE"/>
        </w:rPr>
        <w:t xml:space="preserve"> </w:t>
      </w:r>
      <w:r w:rsidRPr="00A36E36">
        <w:rPr>
          <w:rFonts w:ascii="Times New Roman" w:eastAsia="Calibri" w:hAnsi="Times New Roman" w:cs="Times New Roman"/>
          <w:bCs/>
          <w:noProof/>
          <w:lang w:val="en-IE"/>
        </w:rPr>
        <w:t>that final beneficiaries of the Scheme shall not receive support from other Union instruments to cover the same cost.</w:t>
      </w:r>
    </w:p>
    <w:p w14:paraId="7469352F" w14:textId="77777777" w:rsidR="0039681A" w:rsidRPr="00A36E36" w:rsidRDefault="0039681A" w:rsidP="0039681A">
      <w:pPr>
        <w:pStyle w:val="ListParagraph"/>
        <w:numPr>
          <w:ilvl w:val="0"/>
          <w:numId w:val="44"/>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amount covered by the Implementing Agreement, the fee structure for the Implementing Partner and the requirement to use any unused proceeds of the scheme, including beyond 2026, for the same policy purposes.</w:t>
      </w:r>
    </w:p>
    <w:p w14:paraId="032A37FA" w14:textId="77777777" w:rsidR="0039681A" w:rsidRPr="00A36E36" w:rsidRDefault="0039681A" w:rsidP="0039681A">
      <w:pPr>
        <w:pStyle w:val="ListParagraph"/>
        <w:numPr>
          <w:ilvl w:val="0"/>
          <w:numId w:val="44"/>
        </w:numPr>
        <w:jc w:val="both"/>
        <w:rPr>
          <w:rFonts w:ascii="Times New Roman" w:eastAsia="Calibri" w:hAnsi="Times New Roman" w:cs="Times New Roman"/>
          <w:noProof/>
          <w:lang w:val="en-IE"/>
        </w:rPr>
      </w:pPr>
      <w:r w:rsidRPr="00A36E36">
        <w:rPr>
          <w:rFonts w:ascii="Times New Roman" w:eastAsia="Calibri" w:hAnsi="Times New Roman" w:cs="Times New Roman"/>
          <w:bCs/>
          <w:noProof/>
          <w:lang w:val="en-IE"/>
        </w:rPr>
        <w:t>Monitoring</w:t>
      </w:r>
      <w:r w:rsidRPr="00A36E36">
        <w:rPr>
          <w:rFonts w:ascii="Times New Roman" w:eastAsia="Calibri" w:hAnsi="Times New Roman" w:cs="Times New Roman"/>
          <w:noProof/>
          <w:lang w:val="en-IE"/>
        </w:rPr>
        <w:t>, audit, and control requirements, including:</w:t>
      </w:r>
    </w:p>
    <w:p w14:paraId="05B21484" w14:textId="77777777" w:rsidR="0039681A" w:rsidRPr="00A36E36" w:rsidRDefault="0039681A" w:rsidP="0039681A">
      <w:pPr>
        <w:numPr>
          <w:ilvl w:val="0"/>
          <w:numId w:val="46"/>
        </w:num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description of the implementing partner’s monitoring system to report on the grants mobilized.</w:t>
      </w:r>
    </w:p>
    <w:p w14:paraId="1BC9C341" w14:textId="77777777" w:rsidR="0039681A" w:rsidRPr="00A36E36" w:rsidRDefault="0039681A" w:rsidP="0039681A">
      <w:pPr>
        <w:numPr>
          <w:ilvl w:val="0"/>
          <w:numId w:val="46"/>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The description of the implementing partner’s procedures that will ensure the prevention, detection and correction of fraud, corruption, and conflicts of interests. </w:t>
      </w:r>
    </w:p>
    <w:p w14:paraId="26546108" w14:textId="77777777" w:rsidR="0039681A" w:rsidRPr="00A36E36" w:rsidRDefault="0039681A" w:rsidP="0039681A">
      <w:pPr>
        <w:numPr>
          <w:ilvl w:val="0"/>
          <w:numId w:val="46"/>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obligation to verify the eligibility of every operation in accordance with the requirements laid out in the Implementing Agreement before awarding a grant to an operation.</w:t>
      </w:r>
    </w:p>
    <w:p w14:paraId="0E1B44FE" w14:textId="77777777" w:rsidR="0039681A" w:rsidRPr="00A36E36" w:rsidRDefault="0039681A" w:rsidP="0039681A">
      <w:pPr>
        <w:numPr>
          <w:ilvl w:val="0"/>
          <w:numId w:val="46"/>
        </w:num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obligation of carrying out risk-based ex-post audits in accordance with an audit plan of Invitalia</w:t>
      </w:r>
      <w:r w:rsidRPr="00A36E36">
        <w:rPr>
          <w:rFonts w:ascii="Calibri" w:eastAsia="Calibri" w:hAnsi="Calibri" w:cs="Times New Roman"/>
          <w:noProof/>
          <w:lang w:val="en-IE"/>
        </w:rPr>
        <w:t xml:space="preserve"> </w:t>
      </w:r>
      <w:r w:rsidRPr="00A36E36">
        <w:rPr>
          <w:rFonts w:ascii="Times New Roman" w:eastAsia="Calibri" w:hAnsi="Times New Roman" w:cs="Times New Roman"/>
          <w:noProof/>
          <w:lang w:val="en-IE"/>
        </w:rPr>
        <w:t>S.p.A. These audits shall verify i) that the control systems are effective, including the detection of fraud, corruption, and conflict of interests; ii) compliance with the DNSH principle, the State Aid rules;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Grant Agreements are being respected.</w:t>
      </w:r>
    </w:p>
    <w:p w14:paraId="3069DC3A" w14:textId="77777777" w:rsidR="00992CEC" w:rsidRDefault="00992CEC" w:rsidP="00351087">
      <w:pPr>
        <w:spacing w:before="120" w:after="120"/>
        <w:jc w:val="both"/>
        <w:rPr>
          <w:rFonts w:ascii="Times New Roman" w:hAnsi="Times New Roman" w:cs="Times New Roman"/>
          <w:b/>
          <w:noProof/>
          <w:lang w:val="en-IE"/>
        </w:rPr>
      </w:pPr>
    </w:p>
    <w:p w14:paraId="74BD32C7" w14:textId="7D012809"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8: InvestEU Member State Compartment</w:t>
      </w:r>
    </w:p>
    <w:p w14:paraId="1951FF6C" w14:textId="77777777" w:rsidR="0039681A" w:rsidRPr="00A36E36" w:rsidRDefault="0039681A" w:rsidP="00351087">
      <w:pPr>
        <w:spacing w:after="120" w:line="240" w:lineRule="auto"/>
        <w:jc w:val="both"/>
        <w:rPr>
          <w:rFonts w:ascii="Times New Roman" w:hAnsi="Times New Roman" w:cs="Times New Roman"/>
          <w:noProof/>
          <w:lang w:val="en-IE"/>
        </w:rPr>
      </w:pPr>
      <w:bookmarkStart w:id="10" w:name="_Hlk212036381"/>
      <w:r w:rsidRPr="00A36E36">
        <w:rPr>
          <w:rFonts w:ascii="Times New Roman" w:hAnsi="Times New Roman" w:cs="Times New Roman"/>
          <w:noProof/>
          <w:lang w:val="en-IE"/>
        </w:rPr>
        <w:t>This measure shall consist of a public investment in the InvestEU Member State compartment in order to incentivise private investment and improve access to finance in sectors that may include but are not limited to manufacturing and construction. The contribution to the InvestEU Member State Compartment shall be used to enhance the competitiveness of SMEs, other companies and the Italian economy at large, supporting for example social and sustainable infrastructure projects, as well as initiatives in research, innovation and digitalisation. This financial product shall operate by providing, for example, guarantees, loans and equity directly or through intermediaries to the private sector, as well as to public sector entities engaged in similar activities.</w:t>
      </w:r>
    </w:p>
    <w:p w14:paraId="79C080E9" w14:textId="77777777" w:rsidR="0039681A" w:rsidRPr="00A36E36" w:rsidRDefault="0039681A" w:rsidP="00351087">
      <w:pPr>
        <w:spacing w:after="120" w:line="276"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A guarantee agreement between the Commission and one (or several) implementing partner(s), selected in accordance with the relevant provisions of Regulation (EU) 2021/523 of the European Parliament and of the Council of 24 March 2021 establishing the InvestEU Programme and amending Regulation (EU) 2015/1017, shall enter into force. </w:t>
      </w:r>
    </w:p>
    <w:p w14:paraId="691E7110" w14:textId="77777777" w:rsidR="0039681A" w:rsidRPr="00A36E36" w:rsidRDefault="0039681A" w:rsidP="00351087">
      <w:pPr>
        <w:spacing w:after="120" w:line="276" w:lineRule="auto"/>
        <w:jc w:val="both"/>
        <w:rPr>
          <w:rFonts w:ascii="Times New Roman" w:hAnsi="Times New Roman" w:cs="Times New Roman"/>
          <w:noProof/>
          <w:lang w:val="en-IE"/>
        </w:rPr>
      </w:pPr>
      <w:r w:rsidRPr="00A36E36">
        <w:rPr>
          <w:rFonts w:ascii="Times New Roman" w:hAnsi="Times New Roman" w:cs="Times New Roman"/>
          <w:noProof/>
          <w:lang w:val="en-IE"/>
        </w:rPr>
        <w:t>Italy shall sign a contribution agreement with the European Commission that shall include:</w:t>
      </w:r>
    </w:p>
    <w:p w14:paraId="4FE46DEB" w14:textId="77777777" w:rsidR="0039681A" w:rsidRPr="00A36E36" w:rsidRDefault="0039681A" w:rsidP="0039681A">
      <w:pPr>
        <w:pStyle w:val="ListParagraph"/>
        <w:numPr>
          <w:ilvl w:val="0"/>
          <w:numId w:val="47"/>
        </w:numPr>
        <w:rPr>
          <w:rFonts w:ascii="Times New Roman" w:hAnsi="Times New Roman" w:cs="Times New Roman"/>
          <w:noProof/>
          <w:lang w:val="en-IE"/>
        </w:rPr>
      </w:pPr>
      <w:r w:rsidRPr="00A36E36">
        <w:rPr>
          <w:rFonts w:ascii="Times New Roman" w:hAnsi="Times New Roman" w:cs="Times New Roman"/>
          <w:noProof/>
          <w:lang w:val="en-IE"/>
        </w:rPr>
        <w:t xml:space="preserve">The proposed Implementing Partner(s). </w:t>
      </w:r>
    </w:p>
    <w:p w14:paraId="0959BAEC" w14:textId="77777777" w:rsidR="0039681A" w:rsidRPr="00A36E36" w:rsidRDefault="0039681A" w:rsidP="0039681A">
      <w:pPr>
        <w:pStyle w:val="ListParagraph"/>
        <w:numPr>
          <w:ilvl w:val="0"/>
          <w:numId w:val="47"/>
        </w:numPr>
        <w:rPr>
          <w:rFonts w:ascii="Times New Roman" w:hAnsi="Times New Roman" w:cs="Times New Roman"/>
          <w:noProof/>
          <w:lang w:val="en-IE"/>
        </w:rPr>
      </w:pPr>
      <w:r w:rsidRPr="00A36E36">
        <w:rPr>
          <w:rFonts w:ascii="Times New Roman" w:hAnsi="Times New Roman" w:cs="Times New Roman"/>
          <w:noProof/>
          <w:lang w:val="en-IE"/>
        </w:rPr>
        <w:t>The requirement of compliance with the DNSH Technical Guidance (2023/C111). If necessary, the amended Guarantee Agreements shall exclude the following list of activities and assets from eligibility: (i) activities and assets related to fossil fuels, including downstream use</w:t>
      </w:r>
      <w:r w:rsidRPr="00647572">
        <w:rPr>
          <w:rStyle w:val="FootnoteReference"/>
          <w:rFonts w:ascii="Times New Roman" w:hAnsi="Times New Roman" w:cs="Times New Roman"/>
          <w:noProof/>
        </w:rPr>
        <w:footnoteReference w:id="9"/>
      </w:r>
      <w:r w:rsidRPr="00A36E36">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647572">
        <w:rPr>
          <w:rStyle w:val="FootnoteReference"/>
          <w:rFonts w:ascii="Times New Roman" w:hAnsi="Times New Roman" w:cs="Times New Roman"/>
          <w:noProof/>
        </w:rPr>
        <w:footnoteReference w:id="10"/>
      </w:r>
      <w:r w:rsidRPr="00A36E36">
        <w:rPr>
          <w:rFonts w:ascii="Times New Roman" w:hAnsi="Times New Roman" w:cs="Times New Roman"/>
          <w:noProof/>
          <w:lang w:val="en-IE"/>
        </w:rPr>
        <w:t>; (iii) activities and assets related to waste landfills, incinerators</w:t>
      </w:r>
      <w:r w:rsidRPr="00647572">
        <w:rPr>
          <w:rStyle w:val="FootnoteReference"/>
          <w:rFonts w:ascii="Times New Roman" w:hAnsi="Times New Roman" w:cs="Times New Roman"/>
          <w:noProof/>
        </w:rPr>
        <w:footnoteReference w:id="11"/>
      </w:r>
      <w:r w:rsidRPr="00A36E36">
        <w:rPr>
          <w:rFonts w:ascii="Times New Roman" w:hAnsi="Times New Roman" w:cs="Times New Roman"/>
          <w:noProof/>
          <w:lang w:val="en-IE"/>
        </w:rPr>
        <w:t xml:space="preserve"> and mechanical biological treatment plants</w:t>
      </w:r>
      <w:r w:rsidRPr="00647572">
        <w:rPr>
          <w:rStyle w:val="FootnoteReference"/>
          <w:rFonts w:ascii="Times New Roman" w:hAnsi="Times New Roman" w:cs="Times New Roman"/>
          <w:noProof/>
        </w:rPr>
        <w:footnoteReference w:id="12"/>
      </w:r>
      <w:r w:rsidRPr="00A36E36">
        <w:rPr>
          <w:rFonts w:ascii="Times New Roman" w:hAnsi="Times New Roman" w:cs="Times New Roman"/>
          <w:noProof/>
          <w:lang w:val="en-IE"/>
        </w:rPr>
        <w:t xml:space="preserve"> .</w:t>
      </w:r>
    </w:p>
    <w:p w14:paraId="5264AE73" w14:textId="77777777" w:rsidR="0039681A" w:rsidRPr="00A36E36" w:rsidRDefault="0039681A" w:rsidP="0039681A">
      <w:pPr>
        <w:pStyle w:val="ListParagraph"/>
        <w:numPr>
          <w:ilvl w:val="0"/>
          <w:numId w:val="47"/>
        </w:numPr>
        <w:spacing w:after="120" w:line="276"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monitoring system to be used to report on the funds being mobilized.</w:t>
      </w:r>
    </w:p>
    <w:bookmarkEnd w:id="10"/>
    <w:p w14:paraId="7B854CE3" w14:textId="77777777" w:rsidR="0039681A" w:rsidRPr="00A36E36" w:rsidRDefault="0039681A" w:rsidP="00351087">
      <w:pPr>
        <w:spacing w:line="240" w:lineRule="auto"/>
        <w:jc w:val="both"/>
        <w:rPr>
          <w:rFonts w:ascii="Times New Roman" w:eastAsia="Calibri" w:hAnsi="Times New Roman" w:cs="Times New Roman"/>
          <w:noProof/>
          <w:lang w:val="en-IE"/>
        </w:rPr>
      </w:pPr>
    </w:p>
    <w:p w14:paraId="43E39BDF" w14:textId="77777777" w:rsidR="0039681A" w:rsidRPr="00A36E36" w:rsidRDefault="0039681A" w:rsidP="00351087">
      <w:pPr>
        <w:spacing w:before="120" w:after="120"/>
        <w:jc w:val="both"/>
        <w:rPr>
          <w:rFonts w:ascii="Times New Roman" w:hAnsi="Times New Roman" w:cs="Times New Roman"/>
          <w:b/>
          <w:bCs/>
          <w:i/>
          <w:iCs/>
          <w:noProof/>
          <w:lang w:val="en-IE"/>
        </w:rPr>
      </w:pPr>
      <w:r w:rsidRPr="00A36E36">
        <w:rPr>
          <w:rFonts w:ascii="Times New Roman" w:hAnsi="Times New Roman" w:cs="Times New Roman"/>
          <w:b/>
          <w:noProof/>
          <w:lang w:val="en-IE"/>
        </w:rPr>
        <w:t xml:space="preserve">Investment 9: </w:t>
      </w:r>
      <w:r w:rsidRPr="00A36E36">
        <w:rPr>
          <w:rFonts w:ascii="Times New Roman" w:hAnsi="Times New Roman" w:cs="Times New Roman"/>
          <w:b/>
          <w:bCs/>
          <w:noProof/>
          <w:lang w:val="en-IE"/>
        </w:rPr>
        <w:t xml:space="preserve">Scale-up measure: </w:t>
      </w:r>
      <w:r w:rsidRPr="00A36E36">
        <w:rPr>
          <w:rFonts w:ascii="Times New Roman" w:hAnsi="Times New Roman" w:cs="Times New Roman"/>
          <w:b/>
          <w:noProof/>
          <w:lang w:val="en-IE"/>
        </w:rPr>
        <w:t xml:space="preserve">Transition 4.0 </w:t>
      </w:r>
    </w:p>
    <w:p w14:paraId="0DDF9A26" w14:textId="77777777" w:rsidR="0039681A" w:rsidRPr="00A36E36" w:rsidRDefault="0039681A" w:rsidP="00351087">
      <w:pPr>
        <w:spacing w:after="120" w:line="240" w:lineRule="auto"/>
        <w:jc w:val="both"/>
        <w:rPr>
          <w:rFonts w:ascii="Times New Roman" w:hAnsi="Times New Roman" w:cs="Times New Roman"/>
          <w:noProof/>
          <w:lang w:val="en-IE"/>
        </w:rPr>
        <w:sectPr w:rsidR="0039681A" w:rsidRPr="00A36E36" w:rsidSect="0039681A">
          <w:headerReference w:type="even" r:id="rId39"/>
          <w:headerReference w:type="default" r:id="rId40"/>
          <w:footerReference w:type="default" r:id="rId41"/>
          <w:headerReference w:type="first" r:id="rId42"/>
          <w:pgSz w:w="11907" w:h="16838" w:code="12"/>
          <w:pgMar w:top="1134" w:right="1134" w:bottom="1134" w:left="1134" w:header="567" w:footer="567" w:gutter="0"/>
          <w:cols w:space="720"/>
          <w:docGrid w:linePitch="360"/>
        </w:sectPr>
      </w:pPr>
      <w:r w:rsidRPr="00A36E36">
        <w:rPr>
          <w:rFonts w:ascii="Times New Roman" w:hAnsi="Times New Roman" w:cs="Times New Roman"/>
          <w:noProof/>
          <w:lang w:val="en-IE"/>
        </w:rPr>
        <w:t>The objective of the measure is to support the digital transformation of businesses by incentivising private investment in assets and activities supporting digitalisation. The measure consists of a tax credit scheme.</w:t>
      </w:r>
    </w:p>
    <w:p w14:paraId="56295901" w14:textId="77777777" w:rsidR="0039681A" w:rsidRPr="00A36E36" w:rsidRDefault="0039681A" w:rsidP="00351087">
      <w:pPr>
        <w:pStyle w:val="Heading3"/>
        <w:numPr>
          <w:ilvl w:val="2"/>
          <w:numId w:val="0"/>
        </w:numPr>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B.4.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1985"/>
        <w:gridCol w:w="1275"/>
        <w:gridCol w:w="1276"/>
        <w:gridCol w:w="1276"/>
        <w:gridCol w:w="1134"/>
        <w:gridCol w:w="1163"/>
        <w:gridCol w:w="992"/>
        <w:gridCol w:w="850"/>
        <w:gridCol w:w="709"/>
        <w:gridCol w:w="3232"/>
      </w:tblGrid>
      <w:tr w:rsidR="0039681A" w:rsidRPr="0070054C" w14:paraId="154B7C3F" w14:textId="77777777" w:rsidTr="00351087">
        <w:trPr>
          <w:trHeight w:val="315"/>
          <w:tblHeader/>
        </w:trPr>
        <w:tc>
          <w:tcPr>
            <w:tcW w:w="1418" w:type="dxa"/>
            <w:vMerge w:val="restart"/>
            <w:shd w:val="clear" w:color="auto" w:fill="BDD7EE"/>
            <w:vAlign w:val="center"/>
          </w:tcPr>
          <w:p w14:paraId="0B4853D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b/>
                <w:noProof/>
                <w:sz w:val="20"/>
              </w:rPr>
              <w:t>Sequential Number</w:t>
            </w:r>
          </w:p>
        </w:tc>
        <w:tc>
          <w:tcPr>
            <w:tcW w:w="1985" w:type="dxa"/>
            <w:vMerge w:val="restart"/>
            <w:shd w:val="clear" w:color="auto" w:fill="BDD7EE"/>
            <w:vAlign w:val="center"/>
          </w:tcPr>
          <w:p w14:paraId="70C5BFE3"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b/>
                <w:noProof/>
                <w:sz w:val="20"/>
              </w:rPr>
              <w:t>Measure</w:t>
            </w:r>
          </w:p>
        </w:tc>
        <w:tc>
          <w:tcPr>
            <w:tcW w:w="1275" w:type="dxa"/>
            <w:vMerge w:val="restart"/>
            <w:shd w:val="clear" w:color="auto" w:fill="BDD7EE"/>
            <w:vAlign w:val="center"/>
          </w:tcPr>
          <w:p w14:paraId="6D5F64A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b/>
                <w:noProof/>
                <w:sz w:val="20"/>
              </w:rPr>
              <w:t>Milestone / Target</w:t>
            </w:r>
          </w:p>
        </w:tc>
        <w:tc>
          <w:tcPr>
            <w:tcW w:w="1276" w:type="dxa"/>
            <w:vMerge w:val="restart"/>
            <w:shd w:val="clear" w:color="auto" w:fill="BDD7EE"/>
            <w:vAlign w:val="center"/>
          </w:tcPr>
          <w:p w14:paraId="7FA5E20A"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b/>
                <w:noProof/>
                <w:sz w:val="20"/>
              </w:rPr>
              <w:t>Name</w:t>
            </w:r>
          </w:p>
        </w:tc>
        <w:tc>
          <w:tcPr>
            <w:tcW w:w="1276" w:type="dxa"/>
            <w:vMerge w:val="restart"/>
            <w:shd w:val="clear" w:color="auto" w:fill="BDD7EE"/>
            <w:vAlign w:val="center"/>
          </w:tcPr>
          <w:p w14:paraId="19DD857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b/>
                <w:noProof/>
                <w:sz w:val="20"/>
              </w:rPr>
              <w:t>Qualitative indicators</w:t>
            </w:r>
            <w:r w:rsidRPr="00647572">
              <w:rPr>
                <w:noProof/>
              </w:rPr>
              <w:t xml:space="preserve"> </w:t>
            </w:r>
            <w:r w:rsidRPr="00647572">
              <w:rPr>
                <w:noProof/>
              </w:rPr>
              <w:br/>
            </w:r>
            <w:r w:rsidRPr="00647572">
              <w:rPr>
                <w:rFonts w:ascii="Arial Narrow" w:hAnsi="Arial Narrow"/>
                <w:b/>
                <w:noProof/>
                <w:sz w:val="20"/>
              </w:rPr>
              <w:t>(for milestones)</w:t>
            </w:r>
          </w:p>
        </w:tc>
        <w:tc>
          <w:tcPr>
            <w:tcW w:w="3289" w:type="dxa"/>
            <w:gridSpan w:val="3"/>
            <w:shd w:val="clear" w:color="auto" w:fill="BDD7EE"/>
            <w:vAlign w:val="center"/>
          </w:tcPr>
          <w:p w14:paraId="62559BAA"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b/>
                <w:noProof/>
                <w:sz w:val="20"/>
              </w:rPr>
              <w:t>Quantitative indicators</w:t>
            </w:r>
            <w:r w:rsidRPr="00647572">
              <w:rPr>
                <w:noProof/>
              </w:rPr>
              <w:t xml:space="preserve"> </w:t>
            </w:r>
            <w:r w:rsidRPr="00647572">
              <w:rPr>
                <w:noProof/>
              </w:rPr>
              <w:br/>
            </w:r>
            <w:r w:rsidRPr="00647572">
              <w:rPr>
                <w:rFonts w:ascii="Arial Narrow" w:hAnsi="Arial Narrow"/>
                <w:b/>
                <w:noProof/>
                <w:sz w:val="20"/>
              </w:rPr>
              <w:t>(for targets)</w:t>
            </w:r>
          </w:p>
        </w:tc>
        <w:tc>
          <w:tcPr>
            <w:tcW w:w="1559" w:type="dxa"/>
            <w:gridSpan w:val="2"/>
            <w:shd w:val="clear" w:color="auto" w:fill="BDD7EE"/>
            <w:vAlign w:val="center"/>
          </w:tcPr>
          <w:p w14:paraId="0941B183"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b/>
                <w:noProof/>
                <w:sz w:val="20"/>
              </w:rPr>
              <w:t>Indicative timeline for completion</w:t>
            </w:r>
          </w:p>
        </w:tc>
        <w:tc>
          <w:tcPr>
            <w:tcW w:w="3232" w:type="dxa"/>
            <w:vMerge w:val="restart"/>
            <w:shd w:val="clear" w:color="auto" w:fill="BDD7EE"/>
            <w:vAlign w:val="center"/>
          </w:tcPr>
          <w:p w14:paraId="38439F85" w14:textId="77777777" w:rsidR="0039681A" w:rsidRPr="00A36E36" w:rsidRDefault="0039681A">
            <w:pPr>
              <w:spacing w:before="120" w:after="120"/>
              <w:jc w:val="center"/>
              <w:rPr>
                <w:rFonts w:ascii="Arial Narrow" w:hAnsi="Arial Narrow"/>
                <w:b/>
                <w:bCs/>
                <w:noProof/>
                <w:sz w:val="20"/>
                <w:szCs w:val="20"/>
                <w:lang w:val="en-IE"/>
              </w:rPr>
            </w:pPr>
            <w:r w:rsidRPr="00A36E36">
              <w:rPr>
                <w:rFonts w:ascii="Arial Narrow" w:hAnsi="Arial Narrow"/>
                <w:b/>
                <w:noProof/>
                <w:sz w:val="20"/>
                <w:lang w:val="en-IE"/>
              </w:rPr>
              <w:t>Description of each milestone and target</w:t>
            </w:r>
          </w:p>
        </w:tc>
      </w:tr>
      <w:tr w:rsidR="0039681A" w:rsidRPr="00647572" w14:paraId="1C85D803" w14:textId="77777777" w:rsidTr="00351087">
        <w:trPr>
          <w:trHeight w:val="315"/>
          <w:tblHeader/>
        </w:trPr>
        <w:tc>
          <w:tcPr>
            <w:tcW w:w="1418" w:type="dxa"/>
            <w:vMerge/>
            <w:vAlign w:val="center"/>
          </w:tcPr>
          <w:p w14:paraId="0BEA48F1" w14:textId="77777777" w:rsidR="0039681A" w:rsidRPr="00A36E36" w:rsidRDefault="0039681A">
            <w:pPr>
              <w:spacing w:before="120" w:after="120"/>
              <w:jc w:val="center"/>
              <w:rPr>
                <w:rFonts w:ascii="Arial Narrow" w:hAnsi="Arial Narrow"/>
                <w:noProof/>
                <w:color w:val="006100"/>
                <w:sz w:val="20"/>
                <w:szCs w:val="20"/>
                <w:lang w:val="en-IE"/>
              </w:rPr>
            </w:pPr>
          </w:p>
        </w:tc>
        <w:tc>
          <w:tcPr>
            <w:tcW w:w="1985" w:type="dxa"/>
            <w:vMerge/>
            <w:vAlign w:val="center"/>
          </w:tcPr>
          <w:p w14:paraId="35FD070A" w14:textId="77777777" w:rsidR="0039681A" w:rsidRPr="00A36E36" w:rsidRDefault="0039681A">
            <w:pPr>
              <w:spacing w:before="120" w:after="120"/>
              <w:jc w:val="center"/>
              <w:rPr>
                <w:rFonts w:ascii="Arial Narrow" w:hAnsi="Arial Narrow"/>
                <w:noProof/>
                <w:color w:val="006100"/>
                <w:sz w:val="20"/>
                <w:szCs w:val="20"/>
                <w:lang w:val="en-IE"/>
              </w:rPr>
            </w:pPr>
          </w:p>
        </w:tc>
        <w:tc>
          <w:tcPr>
            <w:tcW w:w="1275" w:type="dxa"/>
            <w:vMerge/>
            <w:vAlign w:val="center"/>
          </w:tcPr>
          <w:p w14:paraId="4703DB08" w14:textId="77777777" w:rsidR="0039681A" w:rsidRPr="00A36E36" w:rsidRDefault="0039681A">
            <w:pPr>
              <w:spacing w:before="120" w:after="120"/>
              <w:jc w:val="center"/>
              <w:rPr>
                <w:rFonts w:ascii="Arial Narrow" w:hAnsi="Arial Narrow"/>
                <w:noProof/>
                <w:color w:val="006100"/>
                <w:sz w:val="20"/>
                <w:szCs w:val="20"/>
                <w:lang w:val="en-IE"/>
              </w:rPr>
            </w:pPr>
          </w:p>
        </w:tc>
        <w:tc>
          <w:tcPr>
            <w:tcW w:w="1276" w:type="dxa"/>
            <w:vMerge/>
            <w:vAlign w:val="center"/>
          </w:tcPr>
          <w:p w14:paraId="79F697EC" w14:textId="77777777" w:rsidR="0039681A" w:rsidRPr="00A36E36" w:rsidRDefault="0039681A">
            <w:pPr>
              <w:spacing w:before="120" w:after="120"/>
              <w:jc w:val="center"/>
              <w:rPr>
                <w:rFonts w:ascii="Arial Narrow" w:hAnsi="Arial Narrow"/>
                <w:noProof/>
                <w:color w:val="006100"/>
                <w:sz w:val="20"/>
                <w:szCs w:val="20"/>
                <w:lang w:val="en-IE"/>
              </w:rPr>
            </w:pPr>
          </w:p>
        </w:tc>
        <w:tc>
          <w:tcPr>
            <w:tcW w:w="1276" w:type="dxa"/>
            <w:vMerge/>
            <w:vAlign w:val="center"/>
          </w:tcPr>
          <w:p w14:paraId="042F26A8" w14:textId="77777777" w:rsidR="0039681A" w:rsidRPr="00A36E36" w:rsidRDefault="0039681A">
            <w:pPr>
              <w:spacing w:before="120" w:after="120"/>
              <w:jc w:val="center"/>
              <w:rPr>
                <w:rFonts w:ascii="Arial Narrow" w:hAnsi="Arial Narrow"/>
                <w:noProof/>
                <w:color w:val="006100"/>
                <w:sz w:val="20"/>
                <w:szCs w:val="20"/>
                <w:lang w:val="en-IE"/>
              </w:rPr>
            </w:pPr>
          </w:p>
        </w:tc>
        <w:tc>
          <w:tcPr>
            <w:tcW w:w="1134" w:type="dxa"/>
            <w:shd w:val="clear" w:color="auto" w:fill="BDD7EE"/>
            <w:vAlign w:val="center"/>
          </w:tcPr>
          <w:p w14:paraId="1FEAC07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b/>
                <w:noProof/>
                <w:sz w:val="20"/>
              </w:rPr>
              <w:t>Unit of measure</w:t>
            </w:r>
          </w:p>
        </w:tc>
        <w:tc>
          <w:tcPr>
            <w:tcW w:w="1163" w:type="dxa"/>
            <w:shd w:val="clear" w:color="auto" w:fill="BDD7EE"/>
            <w:vAlign w:val="center"/>
          </w:tcPr>
          <w:p w14:paraId="0BE763D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b/>
                <w:noProof/>
                <w:sz w:val="20"/>
              </w:rPr>
              <w:t>Baseline</w:t>
            </w:r>
          </w:p>
        </w:tc>
        <w:tc>
          <w:tcPr>
            <w:tcW w:w="992" w:type="dxa"/>
            <w:shd w:val="clear" w:color="auto" w:fill="BDD7EE"/>
            <w:vAlign w:val="center"/>
          </w:tcPr>
          <w:p w14:paraId="46EED0B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b/>
                <w:noProof/>
                <w:sz w:val="20"/>
              </w:rPr>
              <w:t>Goal</w:t>
            </w:r>
          </w:p>
        </w:tc>
        <w:tc>
          <w:tcPr>
            <w:tcW w:w="850" w:type="dxa"/>
            <w:shd w:val="clear" w:color="auto" w:fill="BDD7EE"/>
            <w:vAlign w:val="center"/>
          </w:tcPr>
          <w:p w14:paraId="52C964C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b/>
                <w:noProof/>
                <w:sz w:val="20"/>
              </w:rPr>
              <w:t>Quarter</w:t>
            </w:r>
          </w:p>
        </w:tc>
        <w:tc>
          <w:tcPr>
            <w:tcW w:w="709" w:type="dxa"/>
            <w:shd w:val="clear" w:color="auto" w:fill="BDD7EE"/>
            <w:vAlign w:val="center"/>
          </w:tcPr>
          <w:p w14:paraId="132CFD6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b/>
                <w:noProof/>
                <w:sz w:val="20"/>
              </w:rPr>
              <w:t>Year</w:t>
            </w:r>
          </w:p>
        </w:tc>
        <w:tc>
          <w:tcPr>
            <w:tcW w:w="3232" w:type="dxa"/>
            <w:vMerge/>
            <w:vAlign w:val="center"/>
          </w:tcPr>
          <w:p w14:paraId="4001B4E7" w14:textId="77777777" w:rsidR="0039681A" w:rsidRPr="00647572" w:rsidRDefault="0039681A">
            <w:pPr>
              <w:spacing w:before="120" w:after="120"/>
              <w:rPr>
                <w:rFonts w:ascii="Arial Narrow" w:hAnsi="Arial Narrow"/>
                <w:noProof/>
                <w:color w:val="006100"/>
                <w:sz w:val="20"/>
                <w:szCs w:val="20"/>
              </w:rPr>
            </w:pPr>
          </w:p>
        </w:tc>
      </w:tr>
      <w:tr w:rsidR="0039681A" w:rsidRPr="0070054C" w14:paraId="6E20707D" w14:textId="77777777" w:rsidTr="00351087">
        <w:trPr>
          <w:trHeight w:val="315"/>
        </w:trPr>
        <w:tc>
          <w:tcPr>
            <w:tcW w:w="1418" w:type="dxa"/>
            <w:shd w:val="clear" w:color="auto" w:fill="C6EFCE"/>
            <w:vAlign w:val="center"/>
          </w:tcPr>
          <w:p w14:paraId="55BCB99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M1C2-15</w:t>
            </w:r>
          </w:p>
        </w:tc>
        <w:tc>
          <w:tcPr>
            <w:tcW w:w="1985" w:type="dxa"/>
            <w:shd w:val="clear" w:color="auto" w:fill="C6EFCE"/>
            <w:vAlign w:val="center"/>
          </w:tcPr>
          <w:p w14:paraId="4429A3A9"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Investment 2: Innovation and technology of microelectronics</w:t>
            </w:r>
          </w:p>
        </w:tc>
        <w:tc>
          <w:tcPr>
            <w:tcW w:w="1275" w:type="dxa"/>
            <w:shd w:val="clear" w:color="auto" w:fill="C6EFCE"/>
            <w:vAlign w:val="center"/>
          </w:tcPr>
          <w:p w14:paraId="0C786C41" w14:textId="07F8669F" w:rsidR="0039681A" w:rsidRPr="00647572" w:rsidRDefault="0039681A">
            <w:pPr>
              <w:spacing w:before="120" w:after="120"/>
              <w:jc w:val="center"/>
              <w:rPr>
                <w:rFonts w:ascii="Arial Narrow" w:hAnsi="Arial Narrow"/>
                <w:noProof/>
                <w:sz w:val="20"/>
                <w:szCs w:val="20"/>
              </w:rPr>
            </w:pPr>
            <w:r>
              <w:rPr>
                <w:rFonts w:ascii="Arial Narrow" w:hAnsi="Arial Narrow"/>
                <w:noProof/>
                <w:color w:val="006100"/>
                <w:sz w:val="20"/>
              </w:rPr>
              <w:t>Milestone</w:t>
            </w:r>
          </w:p>
        </w:tc>
        <w:tc>
          <w:tcPr>
            <w:tcW w:w="1276" w:type="dxa"/>
            <w:shd w:val="clear" w:color="auto" w:fill="C6EFCE"/>
            <w:vAlign w:val="center"/>
          </w:tcPr>
          <w:p w14:paraId="02DDB5A3"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Production capacity of Silicon Carbide substrates</w:t>
            </w:r>
          </w:p>
        </w:tc>
        <w:tc>
          <w:tcPr>
            <w:tcW w:w="1276" w:type="dxa"/>
            <w:shd w:val="clear" w:color="auto" w:fill="C6EFCE"/>
            <w:vAlign w:val="center"/>
          </w:tcPr>
          <w:p w14:paraId="0E8DCE4A" w14:textId="568B3CE3" w:rsidR="0039681A" w:rsidRPr="00AF5341" w:rsidRDefault="0039681A">
            <w:pPr>
              <w:spacing w:before="120" w:after="120"/>
              <w:jc w:val="center"/>
              <w:rPr>
                <w:rFonts w:ascii="Arial Narrow" w:hAnsi="Arial Narrow"/>
                <w:noProof/>
                <w:sz w:val="20"/>
                <w:szCs w:val="20"/>
                <w:lang w:val="en-IE"/>
              </w:rPr>
            </w:pPr>
            <w:r>
              <w:rPr>
                <w:rFonts w:ascii="Arial Narrow" w:hAnsi="Arial Narrow"/>
                <w:noProof/>
                <w:color w:val="006100"/>
                <w:sz w:val="20"/>
                <w:lang w:val="en-IE"/>
              </w:rPr>
              <w:t>Installed</w:t>
            </w:r>
            <w:r w:rsidRPr="00A36E36">
              <w:rPr>
                <w:rFonts w:ascii="Arial Narrow" w:hAnsi="Arial Narrow"/>
                <w:noProof/>
                <w:color w:val="006100"/>
                <w:sz w:val="20"/>
                <w:szCs w:val="20"/>
                <w:lang w:val="en-IE"/>
              </w:rPr>
              <w:t xml:space="preserve"> </w:t>
            </w:r>
            <w:r>
              <w:rPr>
                <w:rFonts w:ascii="Arial Narrow" w:hAnsi="Arial Narrow"/>
                <w:noProof/>
                <w:color w:val="006100"/>
                <w:sz w:val="20"/>
                <w:szCs w:val="20"/>
                <w:lang w:val="en-IE"/>
              </w:rPr>
              <w:t xml:space="preserve">theoretical </w:t>
            </w:r>
            <w:r w:rsidRPr="00A36E36">
              <w:rPr>
                <w:rFonts w:ascii="Arial Narrow" w:hAnsi="Arial Narrow"/>
                <w:noProof/>
                <w:color w:val="006100"/>
                <w:sz w:val="20"/>
                <w:szCs w:val="20"/>
                <w:lang w:val="en-IE"/>
              </w:rPr>
              <w:t>production capacity of 8-inch Silicon Carbide substrates</w:t>
            </w:r>
          </w:p>
        </w:tc>
        <w:tc>
          <w:tcPr>
            <w:tcW w:w="1134" w:type="dxa"/>
            <w:shd w:val="clear" w:color="auto" w:fill="C6EFCE"/>
            <w:vAlign w:val="center"/>
          </w:tcPr>
          <w:p w14:paraId="712F9678" w14:textId="36ABB17F"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N/A</w:t>
            </w:r>
          </w:p>
        </w:tc>
        <w:tc>
          <w:tcPr>
            <w:tcW w:w="1163" w:type="dxa"/>
            <w:shd w:val="clear" w:color="auto" w:fill="C6EFCE"/>
            <w:vAlign w:val="center"/>
          </w:tcPr>
          <w:p w14:paraId="49AC632B" w14:textId="73C5379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vAlign w:val="center"/>
          </w:tcPr>
          <w:p w14:paraId="75653FE9" w14:textId="6FF28F9E"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vAlign w:val="center"/>
          </w:tcPr>
          <w:p w14:paraId="4851BEF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shd w:val="clear" w:color="auto" w:fill="C6EFCE"/>
            <w:vAlign w:val="center"/>
          </w:tcPr>
          <w:p w14:paraId="0316C93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32" w:type="dxa"/>
            <w:shd w:val="clear" w:color="auto" w:fill="C6EFCE"/>
            <w:vAlign w:val="center"/>
          </w:tcPr>
          <w:p w14:paraId="1C331103" w14:textId="11135DC0" w:rsidR="0039681A" w:rsidRPr="00A36E36" w:rsidRDefault="0039681A">
            <w:pPr>
              <w:spacing w:before="120" w:after="120"/>
              <w:rPr>
                <w:rFonts w:ascii="Arial Narrow" w:hAnsi="Arial Narrow"/>
                <w:noProof/>
                <w:color w:val="006100"/>
                <w:sz w:val="20"/>
                <w:szCs w:val="20"/>
                <w:lang w:val="en-IE"/>
              </w:rPr>
            </w:pPr>
            <w:r>
              <w:rPr>
                <w:rFonts w:ascii="Arial Narrow" w:hAnsi="Arial Narrow"/>
                <w:noProof/>
                <w:color w:val="006100"/>
                <w:sz w:val="20"/>
                <w:szCs w:val="20"/>
                <w:lang w:val="en-IE"/>
              </w:rPr>
              <w:t xml:space="preserve">Installed theoretical </w:t>
            </w:r>
            <w:r w:rsidRPr="00A36E36">
              <w:rPr>
                <w:rFonts w:ascii="Arial Narrow" w:hAnsi="Arial Narrow"/>
                <w:noProof/>
                <w:color w:val="006100"/>
                <w:sz w:val="20"/>
                <w:szCs w:val="20"/>
                <w:lang w:val="en-IE"/>
              </w:rPr>
              <w:t>production capacity of at least 197 028 8-inch Silicon Carbide substrates/year.</w:t>
            </w:r>
          </w:p>
        </w:tc>
      </w:tr>
      <w:tr w:rsidR="0039681A" w:rsidRPr="0070054C" w14:paraId="42B5ACC9" w14:textId="77777777" w:rsidTr="00351087">
        <w:trPr>
          <w:trHeight w:val="315"/>
        </w:trPr>
        <w:tc>
          <w:tcPr>
            <w:tcW w:w="1418" w:type="dxa"/>
            <w:shd w:val="clear" w:color="auto" w:fill="C6EFCE"/>
            <w:vAlign w:val="center"/>
          </w:tcPr>
          <w:p w14:paraId="6D88586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M1C2-16</w:t>
            </w:r>
          </w:p>
        </w:tc>
        <w:tc>
          <w:tcPr>
            <w:tcW w:w="1985" w:type="dxa"/>
            <w:shd w:val="clear" w:color="auto" w:fill="C6EFCE"/>
            <w:vAlign w:val="center"/>
          </w:tcPr>
          <w:p w14:paraId="22B558E4"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Investment 3: Fast internet connections (Ultra-Broadband and 5G)</w:t>
            </w:r>
          </w:p>
        </w:tc>
        <w:tc>
          <w:tcPr>
            <w:tcW w:w="1275" w:type="dxa"/>
            <w:shd w:val="clear" w:color="auto" w:fill="C6EFCE"/>
            <w:vAlign w:val="center"/>
          </w:tcPr>
          <w:p w14:paraId="221FF015"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Milestone</w:t>
            </w:r>
          </w:p>
        </w:tc>
        <w:tc>
          <w:tcPr>
            <w:tcW w:w="1276" w:type="dxa"/>
            <w:shd w:val="clear" w:color="auto" w:fill="C6EFCE"/>
            <w:vAlign w:val="center"/>
          </w:tcPr>
          <w:p w14:paraId="3E4A1385"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Award of all public contracts for faster connection projects</w:t>
            </w:r>
          </w:p>
        </w:tc>
        <w:tc>
          <w:tcPr>
            <w:tcW w:w="1276" w:type="dxa"/>
            <w:shd w:val="clear" w:color="auto" w:fill="C6EFCE"/>
            <w:vAlign w:val="center"/>
          </w:tcPr>
          <w:p w14:paraId="3ADBB081"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Notification of the award of all public contracts for faster connection projects</w:t>
            </w:r>
          </w:p>
        </w:tc>
        <w:tc>
          <w:tcPr>
            <w:tcW w:w="1134" w:type="dxa"/>
            <w:shd w:val="clear" w:color="auto" w:fill="C6EFCE"/>
            <w:vAlign w:val="center"/>
          </w:tcPr>
          <w:p w14:paraId="190F20E1"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63" w:type="dxa"/>
            <w:shd w:val="clear" w:color="auto" w:fill="C6EFCE"/>
            <w:vAlign w:val="center"/>
          </w:tcPr>
          <w:p w14:paraId="746D0D4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vAlign w:val="center"/>
          </w:tcPr>
          <w:p w14:paraId="16A48B0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vAlign w:val="center"/>
          </w:tcPr>
          <w:p w14:paraId="41768B25"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Q2</w:t>
            </w:r>
          </w:p>
        </w:tc>
        <w:tc>
          <w:tcPr>
            <w:tcW w:w="709" w:type="dxa"/>
            <w:shd w:val="clear" w:color="auto" w:fill="C6EFCE"/>
            <w:vAlign w:val="center"/>
          </w:tcPr>
          <w:p w14:paraId="7BC4F117"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2022</w:t>
            </w:r>
          </w:p>
        </w:tc>
        <w:tc>
          <w:tcPr>
            <w:tcW w:w="3232" w:type="dxa"/>
            <w:shd w:val="clear" w:color="auto" w:fill="C6EFCE"/>
            <w:vAlign w:val="center"/>
          </w:tcPr>
          <w:p w14:paraId="4D61F9B6"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faster connection projects, which shall consist of (i) “Italia a 1 Giga”, (ii) “Italia 5G”, (iii) “Connected schools”, (iv) “Connected healthcare facilities”; and (v) “Connected smaller islands”.</w:t>
            </w:r>
          </w:p>
        </w:tc>
      </w:tr>
      <w:tr w:rsidR="0039681A" w:rsidRPr="0070054C" w14:paraId="13AE2ADD" w14:textId="77777777" w:rsidTr="00351087">
        <w:trPr>
          <w:trHeight w:val="315"/>
        </w:trPr>
        <w:tc>
          <w:tcPr>
            <w:tcW w:w="1418" w:type="dxa"/>
            <w:shd w:val="clear" w:color="auto" w:fill="C6EFCE"/>
            <w:vAlign w:val="center"/>
          </w:tcPr>
          <w:p w14:paraId="4EB2638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M1C2-17</w:t>
            </w:r>
          </w:p>
        </w:tc>
        <w:tc>
          <w:tcPr>
            <w:tcW w:w="1985" w:type="dxa"/>
            <w:shd w:val="clear" w:color="auto" w:fill="C6EFCE"/>
            <w:vAlign w:val="center"/>
          </w:tcPr>
          <w:p w14:paraId="2CA1EB78"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 Fast internet connections (Ultra-Broadband and 5G)</w:t>
            </w:r>
          </w:p>
        </w:tc>
        <w:tc>
          <w:tcPr>
            <w:tcW w:w="1275" w:type="dxa"/>
            <w:shd w:val="clear" w:color="auto" w:fill="C6EFCE"/>
            <w:vAlign w:val="center"/>
          </w:tcPr>
          <w:p w14:paraId="5AD32CDD"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726D050E" w14:textId="2F0047FF" w:rsidR="0039681A" w:rsidRPr="00A36E36" w:rsidRDefault="0039681A">
            <w:pPr>
              <w:spacing w:before="120" w:after="120"/>
              <w:jc w:val="center"/>
              <w:rPr>
                <w:rFonts w:ascii="Arial Narrow" w:hAnsi="Arial Narrow"/>
                <w:noProof/>
                <w:sz w:val="20"/>
                <w:szCs w:val="20"/>
                <w:lang w:val="en-IE"/>
              </w:rPr>
            </w:pPr>
            <w:r w:rsidRPr="218BB0D4">
              <w:rPr>
                <w:rFonts w:ascii="Arial Narrow" w:hAnsi="Arial Narrow"/>
                <w:noProof/>
                <w:color w:val="006100"/>
                <w:sz w:val="20"/>
                <w:szCs w:val="20"/>
                <w:lang w:val="en-IE"/>
              </w:rPr>
              <w:t>House numbers enabled with 1 Gbps connectivity</w:t>
            </w:r>
          </w:p>
        </w:tc>
        <w:tc>
          <w:tcPr>
            <w:tcW w:w="1276" w:type="dxa"/>
            <w:shd w:val="clear" w:color="auto" w:fill="C6EFCE"/>
            <w:vAlign w:val="center"/>
          </w:tcPr>
          <w:p w14:paraId="5B67E411"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3BA5554A"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Number</w:t>
            </w:r>
          </w:p>
        </w:tc>
        <w:tc>
          <w:tcPr>
            <w:tcW w:w="1163" w:type="dxa"/>
            <w:shd w:val="clear" w:color="auto" w:fill="C6EFCE"/>
            <w:vAlign w:val="center"/>
          </w:tcPr>
          <w:p w14:paraId="50C5CE0D"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992" w:type="dxa"/>
            <w:shd w:val="clear" w:color="auto" w:fill="C6EFCE"/>
            <w:vAlign w:val="center"/>
          </w:tcPr>
          <w:p w14:paraId="4F7E9E37"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2 692 905</w:t>
            </w:r>
          </w:p>
        </w:tc>
        <w:tc>
          <w:tcPr>
            <w:tcW w:w="850" w:type="dxa"/>
            <w:shd w:val="clear" w:color="auto" w:fill="C6EFCE"/>
            <w:vAlign w:val="center"/>
          </w:tcPr>
          <w:p w14:paraId="4788877C"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shd w:val="clear" w:color="auto" w:fill="C6EFCE"/>
            <w:vAlign w:val="center"/>
          </w:tcPr>
          <w:p w14:paraId="5BC2824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32" w:type="dxa"/>
            <w:shd w:val="clear" w:color="auto" w:fill="C6EFCE"/>
            <w:vAlign w:val="center"/>
          </w:tcPr>
          <w:p w14:paraId="500CBCA7" w14:textId="441F651D"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2</w:t>
            </w:r>
            <w:r w:rsidRPr="396CE7EE">
              <w:rPr>
                <w:rFonts w:ascii="Arial Narrow" w:hAnsi="Arial Narrow"/>
                <w:noProof/>
                <w:color w:val="006100"/>
                <w:sz w:val="20"/>
                <w:szCs w:val="20"/>
                <w:lang w:val="en-IE"/>
              </w:rPr>
              <w:t> </w:t>
            </w:r>
            <w:r w:rsidRPr="00A36E36">
              <w:rPr>
                <w:rFonts w:ascii="Arial Narrow" w:hAnsi="Arial Narrow"/>
                <w:noProof/>
                <w:color w:val="006100"/>
                <w:sz w:val="20"/>
                <w:szCs w:val="20"/>
                <w:lang w:val="en-IE"/>
              </w:rPr>
              <w:t>692</w:t>
            </w:r>
            <w:r w:rsidRPr="396CE7EE">
              <w:rPr>
                <w:rFonts w:ascii="Arial Narrow" w:hAnsi="Arial Narrow"/>
                <w:noProof/>
                <w:color w:val="006100"/>
                <w:sz w:val="20"/>
                <w:szCs w:val="20"/>
                <w:lang w:val="en-IE"/>
              </w:rPr>
              <w:t> </w:t>
            </w:r>
            <w:r w:rsidRPr="00A36E36">
              <w:rPr>
                <w:rFonts w:ascii="Arial Narrow" w:hAnsi="Arial Narrow"/>
                <w:noProof/>
                <w:color w:val="006100"/>
                <w:sz w:val="20"/>
                <w:szCs w:val="20"/>
                <w:lang w:val="en-IE"/>
              </w:rPr>
              <w:t xml:space="preserve">905 house numbers </w:t>
            </w:r>
            <w:r w:rsidRPr="00E8367B">
              <w:rPr>
                <w:rFonts w:ascii="Arial Narrow" w:hAnsi="Arial Narrow"/>
                <w:noProof/>
                <w:color w:val="006100"/>
                <w:sz w:val="20"/>
                <w:szCs w:val="20"/>
                <w:lang w:val="en-IE"/>
              </w:rPr>
              <w:t xml:space="preserve">in next generation access (NGA) market failure areas </w:t>
            </w:r>
            <w:r w:rsidRPr="00A36E36">
              <w:rPr>
                <w:rFonts w:ascii="Arial Narrow" w:hAnsi="Arial Narrow"/>
                <w:noProof/>
                <w:color w:val="006100"/>
                <w:sz w:val="20"/>
                <w:szCs w:val="20"/>
                <w:lang w:val="en-IE"/>
              </w:rPr>
              <w:t>(among which at least 266</w:t>
            </w:r>
            <w:r>
              <w:rPr>
                <w:rFonts w:ascii="Arial Narrow" w:hAnsi="Arial Narrow"/>
                <w:noProof/>
                <w:color w:val="006100"/>
                <w:sz w:val="20"/>
                <w:szCs w:val="20"/>
                <w:lang w:val="en-IE"/>
              </w:rPr>
              <w:t> </w:t>
            </w:r>
            <w:r w:rsidRPr="00A36E36">
              <w:rPr>
                <w:rFonts w:ascii="Arial Narrow" w:hAnsi="Arial Narrow"/>
                <w:noProof/>
                <w:color w:val="006100"/>
                <w:sz w:val="20"/>
                <w:szCs w:val="20"/>
                <w:lang w:val="en-IE"/>
              </w:rPr>
              <w:t xml:space="preserve">782 </w:t>
            </w:r>
            <w:r>
              <w:rPr>
                <w:rFonts w:ascii="Arial Narrow" w:hAnsi="Arial Narrow"/>
                <w:noProof/>
                <w:color w:val="006100"/>
                <w:sz w:val="20"/>
                <w:szCs w:val="20"/>
                <w:lang w:val="en-IE"/>
              </w:rPr>
              <w:t>located in</w:t>
            </w:r>
            <w:r w:rsidRPr="00A36E36">
              <w:rPr>
                <w:rFonts w:ascii="Arial Narrow" w:hAnsi="Arial Narrow"/>
                <w:noProof/>
                <w:color w:val="006100"/>
                <w:sz w:val="20"/>
                <w:szCs w:val="20"/>
                <w:lang w:val="en-IE"/>
              </w:rPr>
              <w:t xml:space="preserve"> scattered house</w:t>
            </w:r>
            <w:r>
              <w:rPr>
                <w:rFonts w:ascii="Arial Narrow" w:hAnsi="Arial Narrow"/>
                <w:noProof/>
                <w:color w:val="006100"/>
                <w:sz w:val="20"/>
                <w:szCs w:val="20"/>
                <w:lang w:val="en-IE"/>
              </w:rPr>
              <w:t>s areas</w:t>
            </w:r>
            <w:r w:rsidRPr="00A36E36">
              <w:rPr>
                <w:rFonts w:ascii="Arial Narrow" w:hAnsi="Arial Narrow"/>
                <w:noProof/>
                <w:color w:val="006100"/>
                <w:sz w:val="20"/>
                <w:szCs w:val="20"/>
                <w:lang w:val="en-IE"/>
              </w:rPr>
              <w:t xml:space="preserve"> </w:t>
            </w:r>
            <w:r>
              <w:rPr>
                <w:rFonts w:ascii="Arial Narrow" w:hAnsi="Arial Narrow"/>
                <w:noProof/>
                <w:color w:val="006100"/>
                <w:sz w:val="20"/>
                <w:szCs w:val="20"/>
                <w:lang w:val="en-IE"/>
              </w:rPr>
              <w:t>as defined according to the 2011 ISTAT census</w:t>
            </w:r>
            <w:r w:rsidRPr="00A36E36">
              <w:rPr>
                <w:rFonts w:ascii="Arial Narrow" w:hAnsi="Arial Narrow"/>
                <w:noProof/>
                <w:color w:val="006100"/>
                <w:sz w:val="20"/>
                <w:szCs w:val="20"/>
                <w:lang w:val="en-IE"/>
              </w:rPr>
              <w:t xml:space="preserve">) </w:t>
            </w:r>
            <w:r>
              <w:rPr>
                <w:rFonts w:ascii="Arial Narrow" w:hAnsi="Arial Narrow"/>
                <w:noProof/>
                <w:color w:val="006100"/>
                <w:sz w:val="20"/>
                <w:szCs w:val="20"/>
                <w:lang w:val="en-IE"/>
              </w:rPr>
              <w:t>enabled</w:t>
            </w:r>
            <w:r w:rsidRPr="00A36E36">
              <w:rPr>
                <w:rFonts w:ascii="Arial Narrow" w:hAnsi="Arial Narrow"/>
                <w:noProof/>
                <w:color w:val="006100"/>
                <w:sz w:val="20"/>
                <w:szCs w:val="20"/>
                <w:lang w:val="en-IE"/>
              </w:rPr>
              <w:t xml:space="preserve"> with at least 1 Gbps connectivity via Fiber-to-the-home/building (FTTH/B)</w:t>
            </w:r>
            <w:r>
              <w:rPr>
                <w:rFonts w:ascii="Arial Narrow" w:hAnsi="Arial Narrow"/>
                <w:noProof/>
                <w:color w:val="006100"/>
                <w:sz w:val="20"/>
                <w:szCs w:val="20"/>
                <w:lang w:val="en-IE"/>
              </w:rPr>
              <w:t xml:space="preserve"> or</w:t>
            </w:r>
            <w:r w:rsidRPr="00A36E36">
              <w:rPr>
                <w:rFonts w:ascii="Arial Narrow" w:hAnsi="Arial Narrow"/>
                <w:noProof/>
                <w:color w:val="006100"/>
                <w:sz w:val="20"/>
                <w:szCs w:val="20"/>
                <w:lang w:val="en-IE"/>
              </w:rPr>
              <w:t xml:space="preserve"> Fixed Wireless Access (FWA)</w:t>
            </w:r>
            <w:r>
              <w:rPr>
                <w:rFonts w:ascii="Arial Narrow" w:hAnsi="Arial Narrow"/>
                <w:noProof/>
                <w:color w:val="006100"/>
                <w:sz w:val="20"/>
                <w:szCs w:val="20"/>
                <w:lang w:val="en-IE"/>
              </w:rPr>
              <w:t>.</w:t>
            </w:r>
          </w:p>
        </w:tc>
      </w:tr>
      <w:tr w:rsidR="0039681A" w:rsidRPr="0070054C" w14:paraId="2BFE3A97" w14:textId="77777777" w:rsidTr="00351087">
        <w:trPr>
          <w:trHeight w:val="315"/>
        </w:trPr>
        <w:tc>
          <w:tcPr>
            <w:tcW w:w="1418" w:type="dxa"/>
            <w:shd w:val="clear" w:color="auto" w:fill="C6EFCE"/>
            <w:vAlign w:val="center"/>
          </w:tcPr>
          <w:p w14:paraId="1BAF0BB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M1C2-18</w:t>
            </w:r>
          </w:p>
        </w:tc>
        <w:tc>
          <w:tcPr>
            <w:tcW w:w="1985" w:type="dxa"/>
            <w:shd w:val="clear" w:color="auto" w:fill="C6EFCE"/>
            <w:vAlign w:val="center"/>
          </w:tcPr>
          <w:p w14:paraId="25625F5A"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 Fast internet connections (Ultra-Broadband and 5G)</w:t>
            </w:r>
          </w:p>
        </w:tc>
        <w:tc>
          <w:tcPr>
            <w:tcW w:w="1275" w:type="dxa"/>
            <w:shd w:val="clear" w:color="auto" w:fill="C6EFCE"/>
            <w:vAlign w:val="center"/>
          </w:tcPr>
          <w:p w14:paraId="49F0C5AE"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34DC70B7" w14:textId="0376E33A"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 xml:space="preserve">School </w:t>
            </w:r>
            <w:r>
              <w:rPr>
                <w:rFonts w:ascii="Arial Narrow" w:hAnsi="Arial Narrow"/>
                <w:noProof/>
                <w:color w:val="006100"/>
                <w:sz w:val="20"/>
                <w:lang w:val="en-IE"/>
              </w:rPr>
              <w:t>premises</w:t>
            </w:r>
            <w:r w:rsidRPr="00A36E36">
              <w:rPr>
                <w:rFonts w:ascii="Arial Narrow" w:hAnsi="Arial Narrow"/>
                <w:noProof/>
                <w:color w:val="006100"/>
                <w:sz w:val="20"/>
                <w:lang w:val="en-IE"/>
              </w:rPr>
              <w:t xml:space="preserve"> and healthcare facilities provided with 1 Gbps connectivity</w:t>
            </w:r>
          </w:p>
        </w:tc>
        <w:tc>
          <w:tcPr>
            <w:tcW w:w="1276" w:type="dxa"/>
            <w:shd w:val="clear" w:color="auto" w:fill="C6EFCE"/>
            <w:vAlign w:val="center"/>
          </w:tcPr>
          <w:p w14:paraId="07DCE16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3FC07D8B"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Number</w:t>
            </w:r>
          </w:p>
        </w:tc>
        <w:tc>
          <w:tcPr>
            <w:tcW w:w="1163" w:type="dxa"/>
            <w:shd w:val="clear" w:color="auto" w:fill="C6EFCE"/>
            <w:vAlign w:val="center"/>
          </w:tcPr>
          <w:p w14:paraId="569D15C3"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992" w:type="dxa"/>
            <w:shd w:val="clear" w:color="auto" w:fill="C6EFCE"/>
            <w:vAlign w:val="center"/>
          </w:tcPr>
          <w:p w14:paraId="6358B2A1"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17 700</w:t>
            </w:r>
          </w:p>
        </w:tc>
        <w:tc>
          <w:tcPr>
            <w:tcW w:w="850" w:type="dxa"/>
            <w:shd w:val="clear" w:color="auto" w:fill="C6EFCE"/>
            <w:vAlign w:val="center"/>
          </w:tcPr>
          <w:p w14:paraId="5CC9ADB1"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shd w:val="clear" w:color="auto" w:fill="C6EFCE"/>
            <w:vAlign w:val="center"/>
          </w:tcPr>
          <w:p w14:paraId="40194C0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32" w:type="dxa"/>
            <w:shd w:val="clear" w:color="auto" w:fill="C6EFCE"/>
            <w:vAlign w:val="center"/>
          </w:tcPr>
          <w:p w14:paraId="25864B29" w14:textId="729B22A2" w:rsidR="0039681A" w:rsidRPr="00A36E36" w:rsidRDefault="0039681A">
            <w:pPr>
              <w:spacing w:before="120" w:after="120"/>
              <w:rPr>
                <w:rFonts w:ascii="Arial Narrow" w:hAnsi="Arial Narrow"/>
                <w:noProof/>
                <w:color w:val="006100"/>
                <w:sz w:val="20"/>
                <w:szCs w:val="20"/>
                <w:lang w:val="en-IE"/>
              </w:rPr>
            </w:pPr>
            <w:r w:rsidRPr="396CE7EE">
              <w:rPr>
                <w:rFonts w:ascii="Arial Narrow" w:hAnsi="Arial Narrow"/>
                <w:noProof/>
                <w:color w:val="006100"/>
                <w:sz w:val="20"/>
                <w:szCs w:val="20"/>
                <w:lang w:val="en-IE"/>
              </w:rPr>
              <w:t xml:space="preserve">At least 17 700 </w:t>
            </w:r>
            <w:r w:rsidRPr="37E7D42D">
              <w:rPr>
                <w:rFonts w:ascii="Arial Narrow" w:hAnsi="Arial Narrow"/>
                <w:noProof/>
                <w:color w:val="006100"/>
                <w:sz w:val="20"/>
                <w:szCs w:val="20"/>
                <w:lang w:val="en-IE"/>
              </w:rPr>
              <w:t>fast</w:t>
            </w:r>
            <w:r w:rsidRPr="396CE7EE">
              <w:rPr>
                <w:rFonts w:ascii="Arial Narrow" w:hAnsi="Arial Narrow"/>
                <w:noProof/>
                <w:color w:val="006100"/>
                <w:sz w:val="20"/>
                <w:szCs w:val="20"/>
                <w:lang w:val="en-IE"/>
              </w:rPr>
              <w:t xml:space="preserve"> </w:t>
            </w:r>
            <w:r>
              <w:rPr>
                <w:rFonts w:ascii="Arial Narrow" w:hAnsi="Arial Narrow"/>
                <w:noProof/>
                <w:color w:val="006100"/>
                <w:sz w:val="20"/>
                <w:szCs w:val="20"/>
                <w:lang w:val="en-IE"/>
              </w:rPr>
              <w:t>broadband</w:t>
            </w:r>
            <w:r w:rsidRPr="396CE7EE">
              <w:rPr>
                <w:rFonts w:ascii="Arial Narrow" w:hAnsi="Arial Narrow"/>
                <w:noProof/>
                <w:color w:val="006100"/>
                <w:sz w:val="20"/>
                <w:szCs w:val="20"/>
                <w:lang w:val="en-IE"/>
              </w:rPr>
              <w:t xml:space="preserve"> connections </w:t>
            </w:r>
            <w:r>
              <w:rPr>
                <w:rFonts w:ascii="Arial Narrow" w:hAnsi="Arial Narrow"/>
                <w:noProof/>
                <w:color w:val="006100"/>
                <w:sz w:val="20"/>
                <w:szCs w:val="20"/>
                <w:lang w:val="en-IE"/>
              </w:rPr>
              <w:t>(i.e.</w:t>
            </w:r>
            <w:r w:rsidRPr="396CE7EE">
              <w:rPr>
                <w:rFonts w:ascii="Arial Narrow" w:hAnsi="Arial Narrow"/>
                <w:noProof/>
                <w:color w:val="006100"/>
                <w:sz w:val="20"/>
                <w:szCs w:val="20"/>
                <w:lang w:val="en-IE"/>
              </w:rPr>
              <w:t xml:space="preserve"> with at least 1 Gbps connectivity</w:t>
            </w:r>
            <w:r>
              <w:rPr>
                <w:rFonts w:ascii="Arial Narrow" w:hAnsi="Arial Narrow"/>
                <w:noProof/>
                <w:color w:val="006100"/>
                <w:sz w:val="20"/>
                <w:szCs w:val="20"/>
                <w:lang w:val="en-IE"/>
              </w:rPr>
              <w:t>)</w:t>
            </w:r>
            <w:r w:rsidRPr="396CE7EE">
              <w:rPr>
                <w:rFonts w:ascii="Arial Narrow" w:hAnsi="Arial Narrow"/>
                <w:noProof/>
                <w:color w:val="006100"/>
                <w:sz w:val="20"/>
                <w:szCs w:val="20"/>
                <w:lang w:val="en-IE"/>
              </w:rPr>
              <w:t xml:space="preserve"> shall be provided, of which at least 9 000 concerning school premises and at least 8 700 concerning public healthcare facilities.</w:t>
            </w:r>
          </w:p>
        </w:tc>
      </w:tr>
      <w:tr w:rsidR="0039681A" w:rsidRPr="0070054C" w14:paraId="3D4900D9" w14:textId="77777777" w:rsidTr="00351087">
        <w:trPr>
          <w:trHeight w:val="315"/>
        </w:trPr>
        <w:tc>
          <w:tcPr>
            <w:tcW w:w="1418" w:type="dxa"/>
            <w:shd w:val="clear" w:color="auto" w:fill="C6EFCE"/>
            <w:vAlign w:val="center"/>
          </w:tcPr>
          <w:p w14:paraId="531A6C6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M1C2-19</w:t>
            </w:r>
          </w:p>
        </w:tc>
        <w:tc>
          <w:tcPr>
            <w:tcW w:w="1985" w:type="dxa"/>
            <w:shd w:val="clear" w:color="auto" w:fill="C6EFCE"/>
            <w:vAlign w:val="center"/>
          </w:tcPr>
          <w:p w14:paraId="37BD7214"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 Fast internet connections (Ultra-Broadband and 5G)</w:t>
            </w:r>
          </w:p>
        </w:tc>
        <w:tc>
          <w:tcPr>
            <w:tcW w:w="1275" w:type="dxa"/>
            <w:shd w:val="clear" w:color="auto" w:fill="C6EFCE"/>
            <w:vAlign w:val="center"/>
          </w:tcPr>
          <w:p w14:paraId="79CE27C1"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74D803AE"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Islands provided with ultra-broadband connectivity</w:t>
            </w:r>
          </w:p>
        </w:tc>
        <w:tc>
          <w:tcPr>
            <w:tcW w:w="1276" w:type="dxa"/>
            <w:shd w:val="clear" w:color="auto" w:fill="C6EFCE"/>
            <w:vAlign w:val="center"/>
          </w:tcPr>
          <w:p w14:paraId="1E12320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3B17291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63" w:type="dxa"/>
            <w:shd w:val="clear" w:color="auto" w:fill="C6EFCE"/>
            <w:vAlign w:val="center"/>
          </w:tcPr>
          <w:p w14:paraId="028F2CD3"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992" w:type="dxa"/>
            <w:shd w:val="clear" w:color="auto" w:fill="C6EFCE"/>
            <w:vAlign w:val="center"/>
          </w:tcPr>
          <w:p w14:paraId="49B73E3E"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18</w:t>
            </w:r>
          </w:p>
        </w:tc>
        <w:tc>
          <w:tcPr>
            <w:tcW w:w="850" w:type="dxa"/>
            <w:shd w:val="clear" w:color="auto" w:fill="C6EFCE"/>
            <w:vAlign w:val="center"/>
          </w:tcPr>
          <w:p w14:paraId="15DBB515"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Q4</w:t>
            </w:r>
          </w:p>
        </w:tc>
        <w:tc>
          <w:tcPr>
            <w:tcW w:w="709" w:type="dxa"/>
            <w:shd w:val="clear" w:color="auto" w:fill="C6EFCE"/>
            <w:vAlign w:val="center"/>
          </w:tcPr>
          <w:p w14:paraId="28BEA7F8"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2024</w:t>
            </w:r>
          </w:p>
        </w:tc>
        <w:tc>
          <w:tcPr>
            <w:tcW w:w="3232" w:type="dxa"/>
            <w:shd w:val="clear" w:color="auto" w:fill="C6EFCE"/>
            <w:vAlign w:val="center"/>
          </w:tcPr>
          <w:p w14:paraId="353E978E" w14:textId="77777777" w:rsidR="0039681A" w:rsidRPr="00A36E36" w:rsidRDefault="0039681A">
            <w:pPr>
              <w:spacing w:before="120" w:after="120"/>
              <w:rPr>
                <w:rFonts w:ascii="Arial Narrow" w:hAnsi="Arial Narrow"/>
                <w:noProof/>
                <w:sz w:val="20"/>
                <w:szCs w:val="20"/>
                <w:lang w:val="en-IE"/>
              </w:rPr>
            </w:pPr>
            <w:r w:rsidRPr="00A36E36">
              <w:rPr>
                <w:rFonts w:ascii="Arial Narrow" w:hAnsi="Arial Narrow"/>
                <w:noProof/>
                <w:color w:val="006100"/>
                <w:sz w:val="20"/>
                <w:lang w:val="en-IE"/>
              </w:rPr>
              <w:t>At least additional 18 islands lacking fiber links to the continent provided with ultra-broadband connectivity trough new optical backhaul.</w:t>
            </w:r>
          </w:p>
        </w:tc>
      </w:tr>
      <w:tr w:rsidR="0039681A" w:rsidRPr="0070054C" w14:paraId="023FB179" w14:textId="77777777" w:rsidTr="00351087">
        <w:trPr>
          <w:trHeight w:val="315"/>
        </w:trPr>
        <w:tc>
          <w:tcPr>
            <w:tcW w:w="1418" w:type="dxa"/>
            <w:shd w:val="clear" w:color="auto" w:fill="C6EFCE"/>
            <w:vAlign w:val="center"/>
          </w:tcPr>
          <w:p w14:paraId="34B24BA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M1C2-20</w:t>
            </w:r>
          </w:p>
        </w:tc>
        <w:tc>
          <w:tcPr>
            <w:tcW w:w="1985" w:type="dxa"/>
            <w:shd w:val="clear" w:color="auto" w:fill="C6EFCE"/>
            <w:vAlign w:val="center"/>
          </w:tcPr>
          <w:p w14:paraId="370C9F01"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 Fast internet connections (Ultra-Broadband and 5G)</w:t>
            </w:r>
          </w:p>
        </w:tc>
        <w:tc>
          <w:tcPr>
            <w:tcW w:w="1275" w:type="dxa"/>
            <w:shd w:val="clear" w:color="auto" w:fill="C6EFCE"/>
            <w:vAlign w:val="center"/>
          </w:tcPr>
          <w:p w14:paraId="7A3CCDB0"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09ABE176" w14:textId="77777777" w:rsidR="0039681A" w:rsidRPr="00A36E36" w:rsidRDefault="0039681A">
            <w:pPr>
              <w:spacing w:before="120" w:after="120"/>
              <w:jc w:val="center"/>
              <w:rPr>
                <w:rFonts w:ascii="Arial Narrow" w:hAnsi="Arial Narrow"/>
                <w:noProof/>
                <w:sz w:val="20"/>
                <w:szCs w:val="20"/>
                <w:lang w:val="en-IE"/>
              </w:rPr>
            </w:pPr>
            <w:r w:rsidRPr="55E5C939">
              <w:rPr>
                <w:rFonts w:ascii="Arial Narrow" w:hAnsi="Arial Narrow"/>
                <w:noProof/>
                <w:color w:val="006100"/>
                <w:sz w:val="20"/>
                <w:szCs w:val="20"/>
                <w:lang w:val="en-IE"/>
              </w:rPr>
              <w:t>Extra-urban roads and TEN-T corridors enabled with 5G coverage</w:t>
            </w:r>
          </w:p>
        </w:tc>
        <w:tc>
          <w:tcPr>
            <w:tcW w:w="1276" w:type="dxa"/>
            <w:shd w:val="clear" w:color="auto" w:fill="C6EFCE"/>
            <w:vAlign w:val="center"/>
          </w:tcPr>
          <w:p w14:paraId="21F51D8C"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N/A</w:t>
            </w:r>
          </w:p>
        </w:tc>
        <w:tc>
          <w:tcPr>
            <w:tcW w:w="1134" w:type="dxa"/>
            <w:shd w:val="clear" w:color="auto" w:fill="C6EFCE"/>
            <w:vAlign w:val="center"/>
          </w:tcPr>
          <w:p w14:paraId="537B47B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63" w:type="dxa"/>
            <w:shd w:val="clear" w:color="auto" w:fill="C6EFCE"/>
            <w:vAlign w:val="center"/>
          </w:tcPr>
          <w:p w14:paraId="3B7C3398"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992" w:type="dxa"/>
            <w:shd w:val="clear" w:color="auto" w:fill="C6EFCE"/>
            <w:vAlign w:val="center"/>
          </w:tcPr>
          <w:p w14:paraId="26D41374" w14:textId="77777777" w:rsidR="0039681A" w:rsidRPr="00647572" w:rsidRDefault="0039681A">
            <w:pPr>
              <w:spacing w:before="120" w:line="257" w:lineRule="auto"/>
              <w:jc w:val="center"/>
              <w:rPr>
                <w:rFonts w:ascii="Arial Narrow" w:hAnsi="Arial Narrow"/>
                <w:noProof/>
                <w:sz w:val="20"/>
                <w:szCs w:val="20"/>
              </w:rPr>
            </w:pPr>
            <w:r w:rsidRPr="00647572">
              <w:rPr>
                <w:rFonts w:ascii="Arial Narrow" w:hAnsi="Arial Narrow"/>
                <w:noProof/>
                <w:color w:val="006100"/>
                <w:sz w:val="20"/>
              </w:rPr>
              <w:t>12 600</w:t>
            </w:r>
          </w:p>
        </w:tc>
        <w:tc>
          <w:tcPr>
            <w:tcW w:w="850" w:type="dxa"/>
            <w:shd w:val="clear" w:color="auto" w:fill="C6EFCE"/>
            <w:vAlign w:val="center"/>
          </w:tcPr>
          <w:p w14:paraId="30FB1CB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shd w:val="clear" w:color="auto" w:fill="C6EFCE"/>
            <w:vAlign w:val="center"/>
          </w:tcPr>
          <w:p w14:paraId="2C8853B8"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32" w:type="dxa"/>
            <w:shd w:val="clear" w:color="auto" w:fill="C6EFCE"/>
            <w:vAlign w:val="center"/>
          </w:tcPr>
          <w:p w14:paraId="05009423" w14:textId="448C98E3"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A</w:t>
            </w:r>
            <w:r>
              <w:rPr>
                <w:rFonts w:ascii="Arial Narrow" w:hAnsi="Arial Narrow"/>
                <w:noProof/>
                <w:color w:val="006100"/>
                <w:sz w:val="20"/>
                <w:lang w:val="en-IE"/>
              </w:rPr>
              <w:t xml:space="preserve"> total of a</w:t>
            </w:r>
            <w:r w:rsidRPr="00A36E36">
              <w:rPr>
                <w:rFonts w:ascii="Arial Narrow" w:hAnsi="Arial Narrow"/>
                <w:noProof/>
                <w:color w:val="006100"/>
                <w:sz w:val="20"/>
                <w:lang w:val="en-IE"/>
              </w:rPr>
              <w:t xml:space="preserve">t least 12 600 km of extra-urban roads and </w:t>
            </w:r>
            <w:r>
              <w:rPr>
                <w:rFonts w:ascii="Arial Narrow" w:hAnsi="Arial Narrow"/>
                <w:noProof/>
                <w:color w:val="006100"/>
                <w:sz w:val="20"/>
                <w:lang w:val="en-IE"/>
              </w:rPr>
              <w:t>TEN-T</w:t>
            </w:r>
            <w:r w:rsidRPr="00A36E36">
              <w:rPr>
                <w:rFonts w:ascii="Arial Narrow" w:hAnsi="Arial Narrow"/>
                <w:noProof/>
                <w:color w:val="006100"/>
                <w:sz w:val="20"/>
                <w:lang w:val="en-IE"/>
              </w:rPr>
              <w:t xml:space="preserve"> corridors enabled with 5G coverage.</w:t>
            </w:r>
          </w:p>
        </w:tc>
      </w:tr>
      <w:tr w:rsidR="0039681A" w:rsidRPr="0070054C" w14:paraId="4E36FB66" w14:textId="77777777" w:rsidTr="00351087">
        <w:trPr>
          <w:trHeight w:val="315"/>
        </w:trPr>
        <w:tc>
          <w:tcPr>
            <w:tcW w:w="1418" w:type="dxa"/>
            <w:shd w:val="clear" w:color="auto" w:fill="C6EFCE"/>
            <w:vAlign w:val="center"/>
          </w:tcPr>
          <w:p w14:paraId="60882F9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M1C2-21</w:t>
            </w:r>
          </w:p>
        </w:tc>
        <w:tc>
          <w:tcPr>
            <w:tcW w:w="1985" w:type="dxa"/>
            <w:shd w:val="clear" w:color="auto" w:fill="C6EFCE"/>
            <w:vAlign w:val="center"/>
          </w:tcPr>
          <w:p w14:paraId="6397B73C"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 Fast internet connections (Ultra-Broadband and 5G)</w:t>
            </w:r>
          </w:p>
        </w:tc>
        <w:tc>
          <w:tcPr>
            <w:tcW w:w="1275" w:type="dxa"/>
            <w:shd w:val="clear" w:color="auto" w:fill="C6EFCE"/>
            <w:vAlign w:val="center"/>
          </w:tcPr>
          <w:p w14:paraId="4E5D6CC9"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71233BC0" w14:textId="77777777" w:rsidR="0039681A" w:rsidRPr="00A36E36" w:rsidRDefault="0039681A">
            <w:pPr>
              <w:spacing w:before="120" w:after="120"/>
              <w:jc w:val="center"/>
              <w:rPr>
                <w:rFonts w:ascii="Arial Narrow" w:hAnsi="Arial Narrow"/>
                <w:noProof/>
                <w:sz w:val="20"/>
                <w:szCs w:val="20"/>
                <w:lang w:val="en-IE"/>
              </w:rPr>
            </w:pPr>
            <w:r w:rsidRPr="396CE7EE">
              <w:rPr>
                <w:rFonts w:ascii="Arial Narrow" w:hAnsi="Arial Narrow"/>
                <w:noProof/>
                <w:color w:val="006100"/>
                <w:sz w:val="20"/>
                <w:szCs w:val="20"/>
                <w:lang w:val="en-IE"/>
              </w:rPr>
              <w:t>Market failure areas enabled or provided with 5G coverage</w:t>
            </w:r>
          </w:p>
        </w:tc>
        <w:tc>
          <w:tcPr>
            <w:tcW w:w="1276" w:type="dxa"/>
            <w:shd w:val="clear" w:color="auto" w:fill="C6EFCE"/>
            <w:vAlign w:val="center"/>
          </w:tcPr>
          <w:p w14:paraId="6FB821B1"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N/A</w:t>
            </w:r>
          </w:p>
        </w:tc>
        <w:tc>
          <w:tcPr>
            <w:tcW w:w="1134" w:type="dxa"/>
            <w:shd w:val="clear" w:color="auto" w:fill="C6EFCE"/>
            <w:vAlign w:val="center"/>
          </w:tcPr>
          <w:p w14:paraId="05F187B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63" w:type="dxa"/>
            <w:shd w:val="clear" w:color="auto" w:fill="C6EFCE"/>
            <w:vAlign w:val="center"/>
          </w:tcPr>
          <w:p w14:paraId="1DEFB65F"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992" w:type="dxa"/>
            <w:shd w:val="clear" w:color="auto" w:fill="C6EFCE"/>
            <w:vAlign w:val="center"/>
          </w:tcPr>
          <w:p w14:paraId="103413E9"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1 400</w:t>
            </w:r>
          </w:p>
        </w:tc>
        <w:tc>
          <w:tcPr>
            <w:tcW w:w="850" w:type="dxa"/>
            <w:shd w:val="clear" w:color="auto" w:fill="C6EFCE"/>
            <w:vAlign w:val="center"/>
          </w:tcPr>
          <w:p w14:paraId="38EC8A5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shd w:val="clear" w:color="auto" w:fill="C6EFCE"/>
            <w:vAlign w:val="center"/>
          </w:tcPr>
          <w:p w14:paraId="6584FEE1"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232" w:type="dxa"/>
            <w:shd w:val="clear" w:color="auto" w:fill="C6EFCE"/>
            <w:vAlign w:val="center"/>
          </w:tcPr>
          <w:p w14:paraId="3A32E990" w14:textId="76A30086"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At least 1 400 sqkm of market failure areas enabled with 5G coverage, out of which, at least 500 sqkm provided with 5G coverage.</w:t>
            </w:r>
          </w:p>
        </w:tc>
      </w:tr>
      <w:tr w:rsidR="0039681A" w:rsidRPr="0070054C" w14:paraId="32D8C962" w14:textId="77777777" w:rsidTr="00351087">
        <w:trPr>
          <w:trHeight w:val="315"/>
        </w:trPr>
        <w:tc>
          <w:tcPr>
            <w:tcW w:w="1418" w:type="dxa"/>
            <w:shd w:val="clear" w:color="auto" w:fill="C6EFCE"/>
            <w:vAlign w:val="center"/>
          </w:tcPr>
          <w:p w14:paraId="2E5759D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M1C2-22</w:t>
            </w:r>
          </w:p>
        </w:tc>
        <w:tc>
          <w:tcPr>
            <w:tcW w:w="1985" w:type="dxa"/>
            <w:shd w:val="clear" w:color="auto" w:fill="C6EFCE"/>
            <w:vAlign w:val="center"/>
          </w:tcPr>
          <w:p w14:paraId="681E4227"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Investment 4: Satellite Technology and Space economy</w:t>
            </w:r>
          </w:p>
        </w:tc>
        <w:tc>
          <w:tcPr>
            <w:tcW w:w="1275" w:type="dxa"/>
            <w:shd w:val="clear" w:color="auto" w:fill="C6EFCE"/>
            <w:vAlign w:val="center"/>
          </w:tcPr>
          <w:p w14:paraId="6BDCC315"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Milestone</w:t>
            </w:r>
          </w:p>
        </w:tc>
        <w:tc>
          <w:tcPr>
            <w:tcW w:w="1276" w:type="dxa"/>
            <w:shd w:val="clear" w:color="auto" w:fill="C6EFCE"/>
            <w:vAlign w:val="center"/>
          </w:tcPr>
          <w:p w14:paraId="0F34F292"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satellite technology and space projects</w:t>
            </w:r>
          </w:p>
        </w:tc>
        <w:tc>
          <w:tcPr>
            <w:tcW w:w="1276" w:type="dxa"/>
            <w:shd w:val="clear" w:color="auto" w:fill="C6EFCE"/>
            <w:vAlign w:val="center"/>
          </w:tcPr>
          <w:p w14:paraId="7D4A7AEA"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Notification of the award of all public contracts for satellite technology and space projects</w:t>
            </w:r>
          </w:p>
        </w:tc>
        <w:tc>
          <w:tcPr>
            <w:tcW w:w="1134" w:type="dxa"/>
            <w:shd w:val="clear" w:color="auto" w:fill="C6EFCE"/>
            <w:vAlign w:val="center"/>
          </w:tcPr>
          <w:p w14:paraId="2D5A65D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63" w:type="dxa"/>
            <w:shd w:val="clear" w:color="auto" w:fill="C6EFCE"/>
            <w:vAlign w:val="center"/>
          </w:tcPr>
          <w:p w14:paraId="00017BE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vAlign w:val="center"/>
          </w:tcPr>
          <w:p w14:paraId="53FB8A3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vAlign w:val="center"/>
          </w:tcPr>
          <w:p w14:paraId="73F12688"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Q1</w:t>
            </w:r>
          </w:p>
        </w:tc>
        <w:tc>
          <w:tcPr>
            <w:tcW w:w="709" w:type="dxa"/>
            <w:shd w:val="clear" w:color="auto" w:fill="C6EFCE"/>
            <w:vAlign w:val="center"/>
          </w:tcPr>
          <w:p w14:paraId="056027F8"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2023</w:t>
            </w:r>
          </w:p>
        </w:tc>
        <w:tc>
          <w:tcPr>
            <w:tcW w:w="3232" w:type="dxa"/>
            <w:shd w:val="clear" w:color="auto" w:fill="C6EFCE"/>
            <w:vAlign w:val="center"/>
          </w:tcPr>
          <w:p w14:paraId="54EA129C" w14:textId="77777777" w:rsidR="0039681A" w:rsidRPr="00A36E36" w:rsidRDefault="0039681A">
            <w:pPr>
              <w:spacing w:before="120" w:after="120"/>
              <w:rPr>
                <w:rFonts w:ascii="Arial Narrow" w:hAnsi="Arial Narrow"/>
                <w:noProof/>
                <w:sz w:val="20"/>
                <w:szCs w:val="20"/>
                <w:lang w:val="en-IE"/>
              </w:rPr>
            </w:pPr>
            <w:r w:rsidRPr="00A36E36">
              <w:rPr>
                <w:rFonts w:ascii="Arial Narrow" w:hAnsi="Arial Narrow"/>
                <w:noProof/>
                <w:color w:val="006100"/>
                <w:sz w:val="20"/>
                <w:lang w:val="en-IE"/>
              </w:rPr>
              <w:t>Notification of the award of all public contracts for satellite technology and space projects, which shall consist of (i) Satcom, (ii) Earth Observation, (iii) Space Factory, and (iv) In-Orbit economy.</w:t>
            </w:r>
          </w:p>
        </w:tc>
      </w:tr>
      <w:tr w:rsidR="0039681A" w:rsidRPr="0070054C" w14:paraId="6E85A8CD" w14:textId="77777777" w:rsidTr="00351087">
        <w:trPr>
          <w:trHeight w:val="315"/>
        </w:trPr>
        <w:tc>
          <w:tcPr>
            <w:tcW w:w="1418" w:type="dxa"/>
            <w:shd w:val="clear" w:color="auto" w:fill="C6EFCE"/>
            <w:vAlign w:val="center"/>
          </w:tcPr>
          <w:p w14:paraId="41B27ED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M1C2-23 bis</w:t>
            </w:r>
          </w:p>
        </w:tc>
        <w:tc>
          <w:tcPr>
            <w:tcW w:w="1985" w:type="dxa"/>
            <w:shd w:val="clear" w:color="auto" w:fill="C6EFCE"/>
            <w:vAlign w:val="center"/>
          </w:tcPr>
          <w:p w14:paraId="77B9719F" w14:textId="77777777" w:rsidR="0039681A" w:rsidRPr="00A36E36" w:rsidRDefault="0039681A">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4: Satellite Technology and Space economy</w:t>
            </w:r>
          </w:p>
        </w:tc>
        <w:tc>
          <w:tcPr>
            <w:tcW w:w="1275" w:type="dxa"/>
            <w:shd w:val="clear" w:color="auto" w:fill="C6EFCE"/>
            <w:vAlign w:val="center"/>
          </w:tcPr>
          <w:p w14:paraId="2048C757"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shd w:val="clear" w:color="auto" w:fill="C6EFCE"/>
            <w:vAlign w:val="center"/>
          </w:tcPr>
          <w:p w14:paraId="231421B5" w14:textId="77777777" w:rsidR="0039681A" w:rsidRPr="00A36E36" w:rsidRDefault="0039681A">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Satellite technology and space projects</w:t>
            </w:r>
          </w:p>
        </w:tc>
        <w:tc>
          <w:tcPr>
            <w:tcW w:w="1276" w:type="dxa"/>
            <w:shd w:val="clear" w:color="auto" w:fill="C6EFCE"/>
            <w:vAlign w:val="center"/>
          </w:tcPr>
          <w:p w14:paraId="565DF312" w14:textId="58CD5A63" w:rsidR="0039681A" w:rsidRPr="00A36E36" w:rsidRDefault="0039681A">
            <w:pPr>
              <w:spacing w:before="120" w:after="120"/>
              <w:jc w:val="center"/>
              <w:rPr>
                <w:rFonts w:ascii="Arial Narrow" w:hAnsi="Arial Narrow"/>
                <w:noProof/>
                <w:color w:val="006100"/>
                <w:sz w:val="20"/>
                <w:szCs w:val="20"/>
                <w:lang w:val="en-IE"/>
              </w:rPr>
            </w:pPr>
            <w:r w:rsidRPr="76146856">
              <w:rPr>
                <w:rFonts w:ascii="Arial Narrow" w:hAnsi="Arial Narrow"/>
                <w:noProof/>
                <w:color w:val="006100"/>
                <w:sz w:val="20"/>
                <w:szCs w:val="20"/>
                <w:lang w:val="en-IE"/>
              </w:rPr>
              <w:t xml:space="preserve">Final reports for satellite technology and space projects and payment orders </w:t>
            </w:r>
            <w:r>
              <w:rPr>
                <w:rFonts w:ascii="Arial Narrow" w:hAnsi="Arial Narrow"/>
                <w:noProof/>
                <w:color w:val="006100"/>
                <w:sz w:val="20"/>
                <w:szCs w:val="20"/>
                <w:lang w:val="en-IE"/>
              </w:rPr>
              <w:t xml:space="preserve">issued </w:t>
            </w:r>
            <w:r w:rsidRPr="76146856">
              <w:rPr>
                <w:rFonts w:ascii="Arial Narrow" w:hAnsi="Arial Narrow"/>
                <w:noProof/>
                <w:color w:val="006100"/>
                <w:sz w:val="20"/>
                <w:szCs w:val="20"/>
                <w:lang w:val="en-IE"/>
              </w:rPr>
              <w:t>to the implementing bodies</w:t>
            </w:r>
          </w:p>
        </w:tc>
        <w:tc>
          <w:tcPr>
            <w:tcW w:w="1134" w:type="dxa"/>
            <w:shd w:val="clear" w:color="auto" w:fill="C6EFCE"/>
            <w:vAlign w:val="center"/>
          </w:tcPr>
          <w:p w14:paraId="6D42DCF7"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163" w:type="dxa"/>
            <w:shd w:val="clear" w:color="auto" w:fill="C6EFCE"/>
            <w:vAlign w:val="center"/>
          </w:tcPr>
          <w:p w14:paraId="3923F15B"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992" w:type="dxa"/>
            <w:shd w:val="clear" w:color="auto" w:fill="C6EFCE"/>
            <w:vAlign w:val="center"/>
          </w:tcPr>
          <w:p w14:paraId="32EF1331"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850" w:type="dxa"/>
            <w:shd w:val="clear" w:color="auto" w:fill="C6EFCE"/>
            <w:vAlign w:val="center"/>
          </w:tcPr>
          <w:p w14:paraId="18BFFE31"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Q2</w:t>
            </w:r>
          </w:p>
        </w:tc>
        <w:tc>
          <w:tcPr>
            <w:tcW w:w="709" w:type="dxa"/>
            <w:shd w:val="clear" w:color="auto" w:fill="C6EFCE"/>
            <w:vAlign w:val="center"/>
          </w:tcPr>
          <w:p w14:paraId="18876AE8"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2026</w:t>
            </w:r>
          </w:p>
        </w:tc>
        <w:tc>
          <w:tcPr>
            <w:tcW w:w="3232" w:type="dxa"/>
            <w:shd w:val="clear" w:color="auto" w:fill="C6EFCE"/>
            <w:vAlign w:val="center"/>
          </w:tcPr>
          <w:p w14:paraId="1E1CF63D" w14:textId="49C9DBAB" w:rsidR="0039681A"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 total value of at least EUR</w:t>
            </w:r>
            <w:r w:rsidR="00CC43E5" w:rsidRPr="0039681A">
              <w:rPr>
                <w:rFonts w:ascii="Arial Narrow" w:eastAsia="Aptos" w:hAnsi="Arial Narrow" w:cs="Times New Roman"/>
                <w:noProof/>
                <w:color w:val="006100"/>
                <w:sz w:val="20"/>
                <w:lang w:val="en-IE"/>
              </w:rPr>
              <w:t> </w:t>
            </w:r>
            <w:r w:rsidRPr="00A36E36">
              <w:rPr>
                <w:rFonts w:ascii="Arial Narrow" w:hAnsi="Arial Narrow"/>
                <w:noProof/>
                <w:color w:val="006100"/>
                <w:sz w:val="20"/>
                <w:szCs w:val="20"/>
                <w:lang w:val="en-IE"/>
              </w:rPr>
              <w:t>1</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340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 of payment orders shall be issued to the implementing bodies</w:t>
            </w:r>
            <w:r>
              <w:rPr>
                <w:rFonts w:ascii="Arial Narrow" w:hAnsi="Arial Narrow"/>
                <w:noProof/>
                <w:color w:val="006100"/>
                <w:sz w:val="20"/>
                <w:szCs w:val="20"/>
                <w:lang w:val="en-IE"/>
              </w:rPr>
              <w:t xml:space="preserve"> (Italian Space Agency and European Space Agency)</w:t>
            </w:r>
            <w:r w:rsidRPr="00A36E36">
              <w:rPr>
                <w:rFonts w:ascii="Arial Narrow" w:hAnsi="Arial Narrow"/>
                <w:noProof/>
                <w:color w:val="006100"/>
                <w:sz w:val="20"/>
                <w:szCs w:val="20"/>
                <w:lang w:val="en-IE"/>
              </w:rPr>
              <w:t>.</w:t>
            </w:r>
          </w:p>
          <w:p w14:paraId="581F3F3A"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Final reports </w:t>
            </w:r>
            <w:r>
              <w:rPr>
                <w:rFonts w:ascii="Arial Narrow" w:hAnsi="Arial Narrow"/>
                <w:noProof/>
                <w:color w:val="006100"/>
                <w:sz w:val="20"/>
                <w:szCs w:val="20"/>
                <w:lang w:val="en-IE"/>
              </w:rPr>
              <w:t xml:space="preserve">from the implementing bodies </w:t>
            </w:r>
            <w:r w:rsidRPr="00A36E36">
              <w:rPr>
                <w:rFonts w:ascii="Arial Narrow" w:hAnsi="Arial Narrow"/>
                <w:noProof/>
                <w:color w:val="006100"/>
                <w:sz w:val="20"/>
                <w:szCs w:val="20"/>
                <w:lang w:val="en-IE"/>
              </w:rPr>
              <w:t xml:space="preserve">are delivered for the following activities: </w:t>
            </w:r>
          </w:p>
          <w:p w14:paraId="41C96F55" w14:textId="77777777" w:rsidR="0039681A" w:rsidRPr="00A36E36" w:rsidRDefault="0039681A">
            <w:pPr>
              <w:spacing w:before="120" w:after="120"/>
              <w:ind w:left="313" w:hanging="313"/>
              <w:rPr>
                <w:rFonts w:ascii="Arial Narrow" w:hAnsi="Arial Narrow"/>
                <w:noProof/>
                <w:color w:val="006100"/>
                <w:sz w:val="20"/>
                <w:szCs w:val="20"/>
                <w:lang w:val="en-IE"/>
              </w:rPr>
            </w:pPr>
            <w:r w:rsidRPr="00A36E36">
              <w:rPr>
                <w:rFonts w:ascii="Arial Narrow" w:hAnsi="Arial Narrow"/>
                <w:noProof/>
                <w:color w:val="006100"/>
                <w:sz w:val="20"/>
                <w:szCs w:val="20"/>
                <w:lang w:val="en-IE"/>
              </w:rPr>
              <w:t>1.</w:t>
            </w:r>
            <w:r w:rsidRPr="00A36E36">
              <w:rPr>
                <w:rFonts w:ascii="Arial Narrow" w:hAnsi="Arial Narrow"/>
                <w:noProof/>
                <w:color w:val="006100"/>
                <w:sz w:val="20"/>
                <w:szCs w:val="20"/>
                <w:lang w:val="en-IE"/>
              </w:rPr>
              <w:tab/>
              <w:t xml:space="preserve">Satcom: creation of dual-use technologies and systems to be used for the provision of highly secure satellite communication services for governmental use. </w:t>
            </w:r>
          </w:p>
          <w:p w14:paraId="67C0F2DB" w14:textId="77777777" w:rsidR="0039681A" w:rsidRPr="00A36E36" w:rsidRDefault="0039681A">
            <w:pPr>
              <w:spacing w:before="120" w:after="120"/>
              <w:ind w:left="313" w:hanging="313"/>
              <w:rPr>
                <w:rFonts w:ascii="Arial Narrow" w:hAnsi="Arial Narrow"/>
                <w:noProof/>
                <w:color w:val="006100"/>
                <w:sz w:val="20"/>
                <w:szCs w:val="20"/>
                <w:lang w:val="en-IE"/>
              </w:rPr>
            </w:pPr>
            <w:r w:rsidRPr="00A36E36">
              <w:rPr>
                <w:rFonts w:ascii="Arial Narrow" w:hAnsi="Arial Narrow"/>
                <w:noProof/>
                <w:color w:val="006100"/>
                <w:sz w:val="20"/>
                <w:szCs w:val="20"/>
                <w:lang w:val="en-IE"/>
              </w:rPr>
              <w:t>2.</w:t>
            </w:r>
            <w:r w:rsidRPr="00A36E36">
              <w:rPr>
                <w:noProof/>
                <w:lang w:val="en-IE"/>
              </w:rPr>
              <w:tab/>
            </w:r>
            <w:r w:rsidRPr="00A36E36">
              <w:rPr>
                <w:rFonts w:ascii="Arial Narrow" w:hAnsi="Arial Narrow"/>
                <w:noProof/>
                <w:color w:val="006100"/>
                <w:sz w:val="20"/>
                <w:szCs w:val="20"/>
                <w:lang w:val="en-IE"/>
              </w:rPr>
              <w:t>Earth Observation (EO), which consists of (i) upstream activities: including specification, design, manufacturing of a multisensor constellation of constellations for remote sensing (Synthetic Aperture Radar (SAR), hyperspectral, optical) and the procurement of launches focused on monitoring land, sea and atmosphere; at least one constellation or proof of concept of constellations is in orbit (ii) downstream activities: CyberItaly Project, Marketplace and related services.</w:t>
            </w:r>
          </w:p>
          <w:p w14:paraId="7031B9BC" w14:textId="77777777" w:rsidR="0039681A" w:rsidRPr="00A36E36" w:rsidRDefault="0039681A">
            <w:pPr>
              <w:spacing w:before="120" w:after="120"/>
              <w:ind w:left="313" w:hanging="313"/>
              <w:rPr>
                <w:rFonts w:ascii="Arial Narrow" w:hAnsi="Arial Narrow"/>
                <w:noProof/>
                <w:color w:val="006100"/>
                <w:sz w:val="20"/>
                <w:szCs w:val="20"/>
                <w:lang w:val="en-IE"/>
              </w:rPr>
            </w:pPr>
            <w:r w:rsidRPr="00A36E36">
              <w:rPr>
                <w:rFonts w:ascii="Arial Narrow" w:hAnsi="Arial Narrow"/>
                <w:noProof/>
                <w:color w:val="006100"/>
                <w:sz w:val="20"/>
                <w:szCs w:val="20"/>
                <w:lang w:val="en-IE"/>
              </w:rPr>
              <w:t>3.</w:t>
            </w:r>
            <w:r w:rsidRPr="00A36E36">
              <w:rPr>
                <w:rFonts w:ascii="Arial Narrow" w:hAnsi="Arial Narrow"/>
                <w:noProof/>
                <w:color w:val="006100"/>
                <w:sz w:val="20"/>
                <w:szCs w:val="20"/>
                <w:lang w:val="en-IE"/>
              </w:rPr>
              <w:tab/>
              <w:t>Space Factory, consisting of two sub-projects: (i) Space Factory 4.0: (integrated lines for Manufacturing, Assembly, Integration and Testing (M-AIT) of small satellites); (ii) Access to Space: R&amp;D and prototyping for the realization of green technologies for future generation of thrusters and launchers.</w:t>
            </w:r>
          </w:p>
          <w:p w14:paraId="688FC501" w14:textId="2F3D9727" w:rsidR="0039681A" w:rsidRPr="00A36E36" w:rsidRDefault="0039681A" w:rsidP="00AF5341">
            <w:pPr>
              <w:spacing w:before="120" w:after="120"/>
              <w:ind w:left="313" w:hanging="313"/>
              <w:rPr>
                <w:rFonts w:ascii="Arial Narrow" w:hAnsi="Arial Narrow"/>
                <w:noProof/>
                <w:color w:val="006100"/>
                <w:sz w:val="20"/>
                <w:szCs w:val="20"/>
                <w:lang w:val="en-IE"/>
              </w:rPr>
            </w:pPr>
            <w:r w:rsidRPr="00A36E36">
              <w:rPr>
                <w:rFonts w:ascii="Arial Narrow" w:hAnsi="Arial Narrow"/>
                <w:noProof/>
                <w:color w:val="006100"/>
                <w:sz w:val="20"/>
                <w:szCs w:val="20"/>
                <w:lang w:val="en-IE"/>
              </w:rPr>
              <w:t>4.</w:t>
            </w:r>
            <w:r w:rsidRPr="00A36E36">
              <w:rPr>
                <w:noProof/>
                <w:lang w:val="en-IE"/>
              </w:rPr>
              <w:tab/>
            </w:r>
            <w:r w:rsidRPr="00A36E36">
              <w:rPr>
                <w:rFonts w:ascii="Arial Narrow" w:hAnsi="Arial Narrow"/>
                <w:noProof/>
                <w:color w:val="006100"/>
                <w:sz w:val="20"/>
                <w:szCs w:val="20"/>
                <w:lang w:val="en-IE"/>
              </w:rPr>
              <w:t>In-Orbit Economy: activities for a demonstrator for in orbit servicing technologies; the increase of the national Space Surveillance and Tracking (SST) capacity; design and manufacturingof assets for the acquisition and management and provision of the data service in support of Space Traffic Management activities.</w:t>
            </w:r>
          </w:p>
        </w:tc>
      </w:tr>
      <w:tr w:rsidR="0039681A" w:rsidRPr="0070054C" w14:paraId="41885E95" w14:textId="77777777" w:rsidTr="00351087">
        <w:trPr>
          <w:trHeight w:val="315"/>
        </w:trPr>
        <w:tc>
          <w:tcPr>
            <w:tcW w:w="1418" w:type="dxa"/>
            <w:shd w:val="clear" w:color="auto" w:fill="C6EFCE"/>
            <w:vAlign w:val="center"/>
          </w:tcPr>
          <w:p w14:paraId="18A9C0D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M1C2-26</w:t>
            </w:r>
          </w:p>
        </w:tc>
        <w:tc>
          <w:tcPr>
            <w:tcW w:w="1985" w:type="dxa"/>
            <w:shd w:val="clear" w:color="auto" w:fill="C6EFCE"/>
            <w:vAlign w:val="center"/>
          </w:tcPr>
          <w:p w14:paraId="43573E56"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5.1: Refinancing and remodelling of Fund 394/81 managed by SIMEST</w:t>
            </w:r>
          </w:p>
        </w:tc>
        <w:tc>
          <w:tcPr>
            <w:tcW w:w="1275" w:type="dxa"/>
            <w:shd w:val="clear" w:color="auto" w:fill="C6EFCE"/>
            <w:vAlign w:val="center"/>
          </w:tcPr>
          <w:p w14:paraId="04FF415D"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Milestone</w:t>
            </w:r>
          </w:p>
        </w:tc>
        <w:tc>
          <w:tcPr>
            <w:tcW w:w="1276" w:type="dxa"/>
            <w:shd w:val="clear" w:color="auto" w:fill="C6EFCE"/>
            <w:vAlign w:val="center"/>
          </w:tcPr>
          <w:p w14:paraId="4F7B3146"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Entry into force of the re-financing of Fund 394/81 and adoption of the investment policy</w:t>
            </w:r>
          </w:p>
        </w:tc>
        <w:tc>
          <w:tcPr>
            <w:tcW w:w="1276" w:type="dxa"/>
            <w:shd w:val="clear" w:color="auto" w:fill="C6EFCE"/>
            <w:vAlign w:val="center"/>
          </w:tcPr>
          <w:p w14:paraId="441E35E0"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Law Decree(s) refinancing the grant and loan component of Fund 394/81</w:t>
            </w:r>
          </w:p>
          <w:p w14:paraId="5605BE58"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Approval of Decision of the Board establishing the selection criteria of the projects to be financed</w:t>
            </w:r>
          </w:p>
        </w:tc>
        <w:tc>
          <w:tcPr>
            <w:tcW w:w="1134" w:type="dxa"/>
            <w:shd w:val="clear" w:color="auto" w:fill="C6EFCE"/>
            <w:vAlign w:val="center"/>
          </w:tcPr>
          <w:p w14:paraId="35642C5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63" w:type="dxa"/>
            <w:shd w:val="clear" w:color="auto" w:fill="C6EFCE"/>
            <w:vAlign w:val="center"/>
          </w:tcPr>
          <w:p w14:paraId="5F06789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vAlign w:val="center"/>
          </w:tcPr>
          <w:p w14:paraId="164D61B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vAlign w:val="center"/>
          </w:tcPr>
          <w:p w14:paraId="31AB9FE6"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Q3</w:t>
            </w:r>
          </w:p>
        </w:tc>
        <w:tc>
          <w:tcPr>
            <w:tcW w:w="709" w:type="dxa"/>
            <w:shd w:val="clear" w:color="auto" w:fill="C6EFCE"/>
            <w:vAlign w:val="center"/>
          </w:tcPr>
          <w:p w14:paraId="20220749"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2021</w:t>
            </w:r>
          </w:p>
        </w:tc>
        <w:tc>
          <w:tcPr>
            <w:tcW w:w="3232" w:type="dxa"/>
            <w:shd w:val="clear" w:color="auto" w:fill="C6EFCE"/>
            <w:vAlign w:val="center"/>
          </w:tcPr>
          <w:p w14:paraId="547E2EFF" w14:textId="77777777" w:rsidR="0039681A" w:rsidRPr="00A36E36" w:rsidRDefault="0039681A">
            <w:pPr>
              <w:spacing w:before="120"/>
              <w:rPr>
                <w:rFonts w:ascii="Arial Narrow" w:hAnsi="Arial Narrow"/>
                <w:noProof/>
                <w:color w:val="006100"/>
                <w:sz w:val="20"/>
                <w:szCs w:val="20"/>
                <w:lang w:val="en-IE"/>
              </w:rPr>
            </w:pPr>
            <w:r w:rsidRPr="00A36E36">
              <w:rPr>
                <w:rFonts w:ascii="Arial Narrow" w:hAnsi="Arial Narrow"/>
                <w:noProof/>
                <w:color w:val="006100"/>
                <w:sz w:val="20"/>
                <w:lang w:val="en-IE"/>
              </w:rPr>
              <w:t>The Law Decree(s) shall provide for the refinancing of the grant and loan component of Fund 394/81. The Board of the Fund shall approve a Decision establishing the investment policy.</w:t>
            </w:r>
          </w:p>
          <w:p w14:paraId="07DDBE50" w14:textId="77777777" w:rsidR="0039681A" w:rsidRPr="00A36E36" w:rsidRDefault="0039681A">
            <w:pPr>
              <w:spacing w:before="120"/>
              <w:rPr>
                <w:rFonts w:ascii="Arial Narrow" w:hAnsi="Arial Narrow"/>
                <w:noProof/>
                <w:sz w:val="20"/>
                <w:szCs w:val="20"/>
                <w:lang w:val="en-IE"/>
              </w:rPr>
            </w:pPr>
            <w:r w:rsidRPr="00A36E36">
              <w:rPr>
                <w:rFonts w:ascii="Arial Narrow" w:hAnsi="Arial Narrow"/>
                <w:noProof/>
                <w:color w:val="006100"/>
                <w:sz w:val="20"/>
                <w:lang w:val="en-IE"/>
              </w:rPr>
              <w:t>The investment policy linked to the refinancing of Fund 394/81 shall define as a minimum: (i) the nature and scope of the projects supported, which shall be in line with the objectives of Regulation (EU) 2021/241; the terms of reference shall include eligibility criteria to ensure compliance with the ‘Do no significant harm’ Technical Guidance (2021/C58/01) of supported projects under this measure through the use of sustainability proofing, an exclusion list, and the requirement of compliance with the relevant EU and national environmental legislation, (ii) the type of operations supported, (iii) the targeted beneficiaries, with a prevalence of SMEs, and their eligibility criteria, (iv) provisions to re-invest potential reflows for similar policy objectives, also beyond 2026, in case they are not re-used to re-pay interest rates stemming from loans provided under Regulation (EU) 2021/241.</w:t>
            </w:r>
          </w:p>
          <w:p w14:paraId="60DAB616" w14:textId="77777777" w:rsidR="0039681A" w:rsidRPr="00A36E36" w:rsidRDefault="0039681A">
            <w:pPr>
              <w:spacing w:before="120"/>
              <w:rPr>
                <w:rFonts w:ascii="Arial Narrow" w:hAnsi="Arial Narrow"/>
                <w:noProof/>
                <w:sz w:val="20"/>
                <w:szCs w:val="20"/>
                <w:lang w:val="en-IE"/>
              </w:rPr>
            </w:pPr>
            <w:r w:rsidRPr="00A36E36">
              <w:rPr>
                <w:rFonts w:ascii="Arial Narrow" w:hAnsi="Arial Narrow"/>
                <w:noProof/>
                <w:color w:val="006100"/>
                <w:sz w:val="20"/>
                <w:lang w:val="en-IE"/>
              </w:rPr>
              <w:t>The contractual agreement with the entrusted entity or financial intermediary shall require the use of the ‘Do no significant harm’ Technical Guidance (2021/C58/01).</w:t>
            </w:r>
          </w:p>
        </w:tc>
      </w:tr>
      <w:tr w:rsidR="0039681A" w:rsidRPr="0070054C" w14:paraId="2770C671" w14:textId="77777777" w:rsidTr="00351087">
        <w:trPr>
          <w:trHeight w:val="315"/>
        </w:trPr>
        <w:tc>
          <w:tcPr>
            <w:tcW w:w="1418" w:type="dxa"/>
            <w:shd w:val="clear" w:color="auto" w:fill="C6EFCE"/>
            <w:vAlign w:val="center"/>
          </w:tcPr>
          <w:p w14:paraId="27A145E2"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M1C2-27</w:t>
            </w:r>
          </w:p>
        </w:tc>
        <w:tc>
          <w:tcPr>
            <w:tcW w:w="1985" w:type="dxa"/>
            <w:shd w:val="clear" w:color="auto" w:fill="C6EFCE"/>
            <w:vAlign w:val="center"/>
          </w:tcPr>
          <w:p w14:paraId="7102BB14"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5.1: Refinancing and remodelling of Fund 394/81 managed by SIMEST</w:t>
            </w:r>
          </w:p>
        </w:tc>
        <w:tc>
          <w:tcPr>
            <w:tcW w:w="1275" w:type="dxa"/>
            <w:shd w:val="clear" w:color="auto" w:fill="C6EFCE"/>
            <w:vAlign w:val="center"/>
          </w:tcPr>
          <w:p w14:paraId="10CFCF27"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0F4AB967"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SMEs that received support from Fund 394/81</w:t>
            </w:r>
          </w:p>
        </w:tc>
        <w:tc>
          <w:tcPr>
            <w:tcW w:w="1276" w:type="dxa"/>
            <w:shd w:val="clear" w:color="auto" w:fill="C6EFCE"/>
            <w:vAlign w:val="center"/>
          </w:tcPr>
          <w:p w14:paraId="40B75AA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551E1914"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Number</w:t>
            </w:r>
          </w:p>
        </w:tc>
        <w:tc>
          <w:tcPr>
            <w:tcW w:w="1163" w:type="dxa"/>
            <w:shd w:val="clear" w:color="auto" w:fill="C6EFCE"/>
            <w:vAlign w:val="center"/>
          </w:tcPr>
          <w:p w14:paraId="7EB4EEA0"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992" w:type="dxa"/>
            <w:shd w:val="clear" w:color="auto" w:fill="C6EFCE"/>
            <w:vAlign w:val="center"/>
          </w:tcPr>
          <w:p w14:paraId="7E337292"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4 000</w:t>
            </w:r>
          </w:p>
        </w:tc>
        <w:tc>
          <w:tcPr>
            <w:tcW w:w="850" w:type="dxa"/>
            <w:shd w:val="clear" w:color="auto" w:fill="C6EFCE"/>
            <w:vAlign w:val="center"/>
          </w:tcPr>
          <w:p w14:paraId="16BF5463"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Q4</w:t>
            </w:r>
          </w:p>
        </w:tc>
        <w:tc>
          <w:tcPr>
            <w:tcW w:w="709" w:type="dxa"/>
            <w:shd w:val="clear" w:color="auto" w:fill="C6EFCE"/>
            <w:vAlign w:val="center"/>
          </w:tcPr>
          <w:p w14:paraId="45150B7E"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2021</w:t>
            </w:r>
          </w:p>
        </w:tc>
        <w:tc>
          <w:tcPr>
            <w:tcW w:w="3232" w:type="dxa"/>
            <w:shd w:val="clear" w:color="auto" w:fill="C6EFCE"/>
            <w:vAlign w:val="center"/>
          </w:tcPr>
          <w:p w14:paraId="5366BD16"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At least additional 4 000 SMEs received support from Fund 394/81 starting from 1 January 2021.</w:t>
            </w:r>
          </w:p>
        </w:tc>
      </w:tr>
      <w:tr w:rsidR="0039681A" w:rsidRPr="0070054C" w14:paraId="78BD2179" w14:textId="77777777" w:rsidTr="00351087">
        <w:trPr>
          <w:trHeight w:val="315"/>
        </w:trPr>
        <w:tc>
          <w:tcPr>
            <w:tcW w:w="1418" w:type="dxa"/>
            <w:shd w:val="clear" w:color="auto" w:fill="C6EFCE"/>
            <w:vAlign w:val="center"/>
          </w:tcPr>
          <w:p w14:paraId="2C79A18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M1C2-28</w:t>
            </w:r>
          </w:p>
        </w:tc>
        <w:tc>
          <w:tcPr>
            <w:tcW w:w="1985" w:type="dxa"/>
            <w:shd w:val="clear" w:color="auto" w:fill="C6EFCE"/>
            <w:vAlign w:val="center"/>
          </w:tcPr>
          <w:p w14:paraId="5136DF5B"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Investment 5.2: Competitiveness and resilience of supply chains</w:t>
            </w:r>
          </w:p>
        </w:tc>
        <w:tc>
          <w:tcPr>
            <w:tcW w:w="1275" w:type="dxa"/>
            <w:shd w:val="clear" w:color="auto" w:fill="C6EFCE"/>
            <w:vAlign w:val="center"/>
          </w:tcPr>
          <w:p w14:paraId="4123970D"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Milestone</w:t>
            </w:r>
          </w:p>
        </w:tc>
        <w:tc>
          <w:tcPr>
            <w:tcW w:w="1276" w:type="dxa"/>
            <w:shd w:val="clear" w:color="auto" w:fill="C6EFCE"/>
            <w:vAlign w:val="center"/>
          </w:tcPr>
          <w:p w14:paraId="0D66A445"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Entry into force of a decree including the investment policy of the Development Contracts</w:t>
            </w:r>
          </w:p>
        </w:tc>
        <w:tc>
          <w:tcPr>
            <w:tcW w:w="1276" w:type="dxa"/>
            <w:shd w:val="clear" w:color="auto" w:fill="C6EFCE"/>
            <w:vAlign w:val="center"/>
          </w:tcPr>
          <w:p w14:paraId="35B896AD"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100"/>
                <w:sz w:val="20"/>
                <w:lang w:val="en-IE"/>
              </w:rPr>
              <w:t>Provision in the law indicating the entry into force of the decree</w:t>
            </w:r>
          </w:p>
        </w:tc>
        <w:tc>
          <w:tcPr>
            <w:tcW w:w="1134" w:type="dxa"/>
            <w:shd w:val="clear" w:color="auto" w:fill="C6EFCE"/>
            <w:vAlign w:val="center"/>
          </w:tcPr>
          <w:p w14:paraId="057939C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63" w:type="dxa"/>
            <w:shd w:val="clear" w:color="auto" w:fill="C6EFCE"/>
            <w:vAlign w:val="center"/>
          </w:tcPr>
          <w:p w14:paraId="16A9387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vAlign w:val="center"/>
          </w:tcPr>
          <w:p w14:paraId="74E9070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vAlign w:val="center"/>
          </w:tcPr>
          <w:p w14:paraId="2ABF556F"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Q1</w:t>
            </w:r>
          </w:p>
        </w:tc>
        <w:tc>
          <w:tcPr>
            <w:tcW w:w="709" w:type="dxa"/>
            <w:shd w:val="clear" w:color="auto" w:fill="C6EFCE"/>
            <w:vAlign w:val="center"/>
          </w:tcPr>
          <w:p w14:paraId="093D5EAA"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2022</w:t>
            </w:r>
          </w:p>
        </w:tc>
        <w:tc>
          <w:tcPr>
            <w:tcW w:w="3232" w:type="dxa"/>
            <w:shd w:val="clear" w:color="auto" w:fill="C6EFCE"/>
            <w:vAlign w:val="center"/>
          </w:tcPr>
          <w:p w14:paraId="12656359" w14:textId="77777777" w:rsidR="0039681A" w:rsidRPr="00A36E36" w:rsidRDefault="0039681A">
            <w:pPr>
              <w:rPr>
                <w:rFonts w:ascii="Arial Narrow" w:hAnsi="Arial Narrow"/>
                <w:noProof/>
                <w:sz w:val="20"/>
                <w:szCs w:val="20"/>
                <w:lang w:val="en-IE"/>
              </w:rPr>
            </w:pPr>
            <w:r w:rsidRPr="00A36E36">
              <w:rPr>
                <w:rFonts w:ascii="Arial Narrow" w:hAnsi="Arial Narrow"/>
                <w:noProof/>
                <w:color w:val="006100"/>
                <w:sz w:val="20"/>
                <w:lang w:val="en-IE"/>
              </w:rPr>
              <w:t>The investment policy of the Development Contracts shall define as a minimum: (i) the nature and scope of the projects supported, which shall be in line with the objectives of Regulation (EU) 2021/241; the terms of reference shall include eligibility criteria to ensure compliance with the ‘Do no significant harm’ Technical Guidance (2021/C58/01) of supported projects under this measure through the use of sustainability proofing, an exclusion list, and the requirement of compliance with the relevant EU and national environmental legislation, (ii) the type of operations supported, (iii) the targeted beneficiaries and their eligibility criteria, (iv) provisions to re-invest potential reflows for similar policy objectives, also beyond 2026, in case they are not re-used to re-pay interest rates stemming from loans provided under Regulation (EU) 2021/241.</w:t>
            </w:r>
          </w:p>
          <w:p w14:paraId="56A0FAAA" w14:textId="77777777" w:rsidR="0039681A" w:rsidRPr="00A36E36" w:rsidRDefault="0039681A">
            <w:pPr>
              <w:rPr>
                <w:rFonts w:ascii="Arial Narrow" w:hAnsi="Arial Narrow"/>
                <w:noProof/>
                <w:sz w:val="20"/>
                <w:szCs w:val="20"/>
                <w:lang w:val="en-IE"/>
              </w:rPr>
            </w:pPr>
            <w:r w:rsidRPr="00A36E36">
              <w:rPr>
                <w:rFonts w:ascii="Arial Narrow" w:hAnsi="Arial Narrow"/>
                <w:noProof/>
                <w:color w:val="006100"/>
                <w:sz w:val="20"/>
                <w:lang w:val="en-IE"/>
              </w:rPr>
              <w:t>The contractual agreement with the entrusted entity or financial intermediary shall require the use of the ‘Do no significant harm’ Technical Guidance (2021/C58/01).</w:t>
            </w:r>
          </w:p>
        </w:tc>
      </w:tr>
      <w:tr w:rsidR="0039681A" w:rsidRPr="0070054C" w14:paraId="7380CC35" w14:textId="77777777" w:rsidTr="00351087">
        <w:trPr>
          <w:trHeight w:val="315"/>
        </w:trPr>
        <w:tc>
          <w:tcPr>
            <w:tcW w:w="1418" w:type="dxa"/>
            <w:shd w:val="clear" w:color="auto" w:fill="C6EFCE"/>
            <w:vAlign w:val="center"/>
          </w:tcPr>
          <w:p w14:paraId="0ABA175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M1C2-29</w:t>
            </w:r>
          </w:p>
        </w:tc>
        <w:tc>
          <w:tcPr>
            <w:tcW w:w="1985" w:type="dxa"/>
            <w:shd w:val="clear" w:color="auto" w:fill="C6EFCE"/>
            <w:vAlign w:val="center"/>
          </w:tcPr>
          <w:p w14:paraId="201F4718"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5.2: Competitiveness and resilience of supply chains</w:t>
            </w:r>
          </w:p>
        </w:tc>
        <w:tc>
          <w:tcPr>
            <w:tcW w:w="1275" w:type="dxa"/>
            <w:shd w:val="clear" w:color="auto" w:fill="C6EFCE"/>
            <w:vAlign w:val="center"/>
          </w:tcPr>
          <w:p w14:paraId="6AF7244E" w14:textId="77777777" w:rsidR="0039681A" w:rsidRPr="00647572" w:rsidRDefault="0039681A">
            <w:pPr>
              <w:spacing w:before="120" w:after="120"/>
              <w:jc w:val="center"/>
              <w:rPr>
                <w:rFonts w:ascii="Arial Narrow" w:hAnsi="Arial Narrow"/>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2638B43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Development Contracts approved</w:t>
            </w:r>
          </w:p>
        </w:tc>
        <w:tc>
          <w:tcPr>
            <w:tcW w:w="1276" w:type="dxa"/>
            <w:shd w:val="clear" w:color="auto" w:fill="C6EFCE"/>
            <w:vAlign w:val="center"/>
          </w:tcPr>
          <w:p w14:paraId="6866101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vAlign w:val="center"/>
          </w:tcPr>
          <w:p w14:paraId="2E8372E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63" w:type="dxa"/>
            <w:shd w:val="clear" w:color="auto" w:fill="C6EFCE"/>
            <w:vAlign w:val="center"/>
          </w:tcPr>
          <w:p w14:paraId="03DCFFFD"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0</w:t>
            </w:r>
          </w:p>
        </w:tc>
        <w:tc>
          <w:tcPr>
            <w:tcW w:w="992" w:type="dxa"/>
            <w:shd w:val="clear" w:color="auto" w:fill="C6EFCE"/>
            <w:vAlign w:val="center"/>
          </w:tcPr>
          <w:p w14:paraId="5055331F"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40</w:t>
            </w:r>
          </w:p>
        </w:tc>
        <w:tc>
          <w:tcPr>
            <w:tcW w:w="850" w:type="dxa"/>
            <w:shd w:val="clear" w:color="auto" w:fill="C6EFCE"/>
            <w:vAlign w:val="center"/>
          </w:tcPr>
          <w:p w14:paraId="6F971E8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shd w:val="clear" w:color="auto" w:fill="C6EFCE"/>
            <w:vAlign w:val="center"/>
          </w:tcPr>
          <w:p w14:paraId="137AFAF6" w14:textId="77777777" w:rsidR="0039681A" w:rsidRPr="00647572" w:rsidRDefault="0039681A" w:rsidP="00351087">
            <w:pPr>
              <w:jc w:val="center"/>
              <w:rPr>
                <w:rFonts w:ascii="Arial Narrow" w:hAnsi="Arial Narrow"/>
                <w:noProof/>
                <w:sz w:val="20"/>
                <w:szCs w:val="20"/>
              </w:rPr>
            </w:pPr>
            <w:r w:rsidRPr="00647572">
              <w:rPr>
                <w:rFonts w:ascii="Arial Narrow" w:hAnsi="Arial Narrow"/>
                <w:noProof/>
                <w:color w:val="006100"/>
                <w:sz w:val="20"/>
              </w:rPr>
              <w:t>2023</w:t>
            </w:r>
          </w:p>
        </w:tc>
        <w:tc>
          <w:tcPr>
            <w:tcW w:w="3232" w:type="dxa"/>
            <w:shd w:val="clear" w:color="auto" w:fill="C6EFCE"/>
            <w:vAlign w:val="center"/>
          </w:tcPr>
          <w:p w14:paraId="6FFA61A4"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At least 40 Development Contracts approved, in line with their investment policy. The satisfactory fulfilment of the target also depends on the activation of at least EUR 1 500 million of investments.</w:t>
            </w:r>
          </w:p>
        </w:tc>
      </w:tr>
      <w:tr w:rsidR="0039681A" w:rsidRPr="0070054C" w14:paraId="35BD7A76" w14:textId="77777777" w:rsidTr="00351087">
        <w:trPr>
          <w:trHeight w:val="315"/>
        </w:trPr>
        <w:tc>
          <w:tcPr>
            <w:tcW w:w="1418" w:type="dxa"/>
            <w:shd w:val="clear" w:color="auto" w:fill="C6EFCE"/>
            <w:vAlign w:val="center"/>
          </w:tcPr>
          <w:p w14:paraId="2F27025E"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M1C2-30</w:t>
            </w:r>
          </w:p>
        </w:tc>
        <w:tc>
          <w:tcPr>
            <w:tcW w:w="1985" w:type="dxa"/>
            <w:shd w:val="clear" w:color="auto" w:fill="C6EFCE"/>
            <w:vAlign w:val="center"/>
          </w:tcPr>
          <w:p w14:paraId="0692A665"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Investment 7: National Connectivity Fund</w:t>
            </w:r>
          </w:p>
        </w:tc>
        <w:tc>
          <w:tcPr>
            <w:tcW w:w="1275" w:type="dxa"/>
            <w:shd w:val="clear" w:color="auto" w:fill="C6EFCE"/>
            <w:vAlign w:val="center"/>
          </w:tcPr>
          <w:p w14:paraId="430626CA"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shd w:val="clear" w:color="auto" w:fill="C6EFCE"/>
          </w:tcPr>
          <w:p w14:paraId="5E0AF2C4"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Implementing Agreement</w:t>
            </w:r>
          </w:p>
        </w:tc>
        <w:tc>
          <w:tcPr>
            <w:tcW w:w="1276" w:type="dxa"/>
            <w:shd w:val="clear" w:color="auto" w:fill="C6EFCE"/>
          </w:tcPr>
          <w:p w14:paraId="65102BCF" w14:textId="77777777"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tc>
        <w:tc>
          <w:tcPr>
            <w:tcW w:w="1134" w:type="dxa"/>
            <w:shd w:val="clear" w:color="auto" w:fill="C6EFCE"/>
            <w:vAlign w:val="center"/>
          </w:tcPr>
          <w:p w14:paraId="386D7F8A"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1163" w:type="dxa"/>
            <w:shd w:val="clear" w:color="auto" w:fill="C6EFCE"/>
            <w:vAlign w:val="center"/>
          </w:tcPr>
          <w:p w14:paraId="5BC294B7"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shd w:val="clear" w:color="auto" w:fill="C6EFCE"/>
            <w:vAlign w:val="center"/>
          </w:tcPr>
          <w:p w14:paraId="52D02A8A"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shd w:val="clear" w:color="auto" w:fill="C6EFCE"/>
            <w:vAlign w:val="center"/>
          </w:tcPr>
          <w:p w14:paraId="16FCC5DB"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Q4</w:t>
            </w:r>
          </w:p>
        </w:tc>
        <w:tc>
          <w:tcPr>
            <w:tcW w:w="709" w:type="dxa"/>
            <w:shd w:val="clear" w:color="auto" w:fill="C6EFCE"/>
            <w:vAlign w:val="center"/>
          </w:tcPr>
          <w:p w14:paraId="7A3F0E3D"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2025</w:t>
            </w:r>
          </w:p>
        </w:tc>
        <w:tc>
          <w:tcPr>
            <w:tcW w:w="3232" w:type="dxa"/>
            <w:shd w:val="clear" w:color="auto" w:fill="C6EFCE"/>
          </w:tcPr>
          <w:p w14:paraId="60123664" w14:textId="77777777" w:rsidR="0039681A" w:rsidRPr="00A36E36" w:rsidRDefault="0039681A">
            <w:pPr>
              <w:spacing w:before="120" w:after="120"/>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tc>
      </w:tr>
      <w:tr w:rsidR="0039681A" w:rsidRPr="0070054C" w14:paraId="0AE78546" w14:textId="77777777" w:rsidTr="00351087">
        <w:trPr>
          <w:trHeight w:val="315"/>
        </w:trPr>
        <w:tc>
          <w:tcPr>
            <w:tcW w:w="1418" w:type="dxa"/>
            <w:shd w:val="clear" w:color="auto" w:fill="C6EFCE"/>
            <w:vAlign w:val="center"/>
          </w:tcPr>
          <w:p w14:paraId="410FDC6E"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M1C2-31</w:t>
            </w:r>
          </w:p>
        </w:tc>
        <w:tc>
          <w:tcPr>
            <w:tcW w:w="1985" w:type="dxa"/>
            <w:shd w:val="clear" w:color="auto" w:fill="C6EFCE"/>
            <w:vAlign w:val="center"/>
          </w:tcPr>
          <w:p w14:paraId="18884074"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Investment 7: National Connectivity Fund</w:t>
            </w:r>
          </w:p>
        </w:tc>
        <w:tc>
          <w:tcPr>
            <w:tcW w:w="1275" w:type="dxa"/>
            <w:shd w:val="clear" w:color="auto" w:fill="C6EFCE"/>
            <w:vAlign w:val="center"/>
          </w:tcPr>
          <w:p w14:paraId="3E1D6979"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shd w:val="clear" w:color="auto" w:fill="C6EFCE"/>
            <w:vAlign w:val="center"/>
          </w:tcPr>
          <w:p w14:paraId="09641DCD" w14:textId="68DC922D" w:rsidR="0039681A" w:rsidRPr="00A36E36" w:rsidRDefault="0039681A">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 xml:space="preserve">Legal agreements signed with final beneficiaries </w:t>
            </w:r>
          </w:p>
        </w:tc>
        <w:tc>
          <w:tcPr>
            <w:tcW w:w="1276" w:type="dxa"/>
            <w:shd w:val="clear" w:color="auto" w:fill="C6EFCE"/>
            <w:vAlign w:val="center"/>
          </w:tcPr>
          <w:p w14:paraId="60D808F4" w14:textId="77777777"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Legal agreements signed and certificate of transfer</w:t>
            </w:r>
          </w:p>
        </w:tc>
        <w:tc>
          <w:tcPr>
            <w:tcW w:w="1134" w:type="dxa"/>
            <w:shd w:val="clear" w:color="auto" w:fill="C6EFCE"/>
            <w:vAlign w:val="center"/>
          </w:tcPr>
          <w:p w14:paraId="5ADC5D6B"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1163" w:type="dxa"/>
            <w:shd w:val="clear" w:color="auto" w:fill="C6EFCE"/>
            <w:vAlign w:val="center"/>
          </w:tcPr>
          <w:p w14:paraId="52F8B779"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shd w:val="clear" w:color="auto" w:fill="C6EFCE"/>
            <w:vAlign w:val="center"/>
          </w:tcPr>
          <w:p w14:paraId="2AA3827D"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shd w:val="clear" w:color="auto" w:fill="C6EFCE"/>
            <w:vAlign w:val="center"/>
          </w:tcPr>
          <w:p w14:paraId="5DD1AD9B"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Q2</w:t>
            </w:r>
          </w:p>
        </w:tc>
        <w:tc>
          <w:tcPr>
            <w:tcW w:w="709" w:type="dxa"/>
            <w:shd w:val="clear" w:color="auto" w:fill="C6EFCE"/>
            <w:vAlign w:val="center"/>
          </w:tcPr>
          <w:p w14:paraId="4FFDF5FD"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2026</w:t>
            </w:r>
          </w:p>
        </w:tc>
        <w:tc>
          <w:tcPr>
            <w:tcW w:w="3232" w:type="dxa"/>
            <w:shd w:val="clear" w:color="auto" w:fill="C6EFCE"/>
          </w:tcPr>
          <w:p w14:paraId="5CD2CD37" w14:textId="77777777" w:rsidR="0039681A" w:rsidRPr="00A36E36" w:rsidRDefault="0039681A">
            <w:pPr>
              <w:spacing w:line="240" w:lineRule="auto"/>
              <w:jc w:val="both"/>
              <w:rPr>
                <w:rFonts w:ascii="Arial Narrow" w:hAnsi="Arial Narrow"/>
                <w:noProof/>
                <w:color w:val="006100"/>
                <w:sz w:val="20"/>
                <w:lang w:val="en-IE"/>
              </w:rPr>
            </w:pPr>
            <w:r w:rsidRPr="00A36E36">
              <w:rPr>
                <w:rFonts w:ascii="Arial Narrow" w:hAnsi="Arial Narrow"/>
                <w:noProof/>
                <w:color w:val="006100"/>
                <w:sz w:val="20"/>
                <w:lang w:val="en-IE"/>
              </w:rPr>
              <w:t>Invitalia S.p.A. shall have entered into legal grant agreements with final beneficiaries for an amount necessary to use 100% of the RRF investment into the Scheme (taking into account management fees).</w:t>
            </w:r>
          </w:p>
          <w:p w14:paraId="1E179CCF" w14:textId="7FCE1560" w:rsidR="0039681A" w:rsidRPr="00A36E36" w:rsidRDefault="0039681A">
            <w:pPr>
              <w:spacing w:before="120" w:after="120"/>
              <w:rPr>
                <w:rFonts w:ascii="Arial Narrow" w:hAnsi="Arial Narrow"/>
                <w:noProof/>
                <w:color w:val="006100"/>
                <w:sz w:val="20"/>
                <w:lang w:val="en-IE"/>
              </w:rPr>
            </w:pPr>
            <w:r w:rsidRPr="00A36E36">
              <w:rPr>
                <w:rFonts w:ascii="Arial Narrow" w:hAnsi="Arial Narrow"/>
                <w:noProof/>
                <w:color w:val="006100"/>
                <w:sz w:val="20"/>
                <w:lang w:val="en-IE"/>
              </w:rPr>
              <w:t>Italy shall transfer EUR</w:t>
            </w:r>
            <w:r w:rsidR="00CC43E5" w:rsidRPr="0039681A">
              <w:rPr>
                <w:rFonts w:ascii="Arial Narrow" w:eastAsia="Aptos" w:hAnsi="Arial Narrow" w:cs="Times New Roman"/>
                <w:noProof/>
                <w:color w:val="006100"/>
                <w:sz w:val="20"/>
                <w:lang w:val="en-IE"/>
              </w:rPr>
              <w:t> </w:t>
            </w:r>
            <w:r w:rsidRPr="00A36E36">
              <w:rPr>
                <w:rFonts w:ascii="Arial Narrow" w:hAnsi="Arial Narrow"/>
                <w:noProof/>
                <w:color w:val="006100"/>
                <w:sz w:val="20"/>
                <w:lang w:val="en-IE"/>
              </w:rPr>
              <w:t>733 402 818 to Invitalia S.p.A. for the Facility.</w:t>
            </w:r>
          </w:p>
        </w:tc>
      </w:tr>
      <w:tr w:rsidR="0039681A" w:rsidRPr="0070054C" w14:paraId="1CCB6B86" w14:textId="77777777" w:rsidTr="00351087">
        <w:trPr>
          <w:trHeight w:val="315"/>
        </w:trPr>
        <w:tc>
          <w:tcPr>
            <w:tcW w:w="1418" w:type="dxa"/>
            <w:shd w:val="clear" w:color="auto" w:fill="C6EFCE"/>
            <w:vAlign w:val="center"/>
          </w:tcPr>
          <w:p w14:paraId="6EF07A43"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M1C2-32</w:t>
            </w:r>
          </w:p>
        </w:tc>
        <w:tc>
          <w:tcPr>
            <w:tcW w:w="1985" w:type="dxa"/>
            <w:shd w:val="clear" w:color="auto" w:fill="C6EFCE"/>
            <w:vAlign w:val="center"/>
          </w:tcPr>
          <w:p w14:paraId="1A8F4026" w14:textId="77777777" w:rsidR="0039681A" w:rsidRPr="00D44735" w:rsidRDefault="0039681A" w:rsidP="00351087">
            <w:pPr>
              <w:spacing w:before="120" w:after="120"/>
              <w:jc w:val="center"/>
              <w:rPr>
                <w:rFonts w:ascii="Arial Narrow" w:hAnsi="Arial Narrow"/>
                <w:noProof/>
                <w:color w:val="006100"/>
                <w:sz w:val="20"/>
                <w:lang w:val="en-IE"/>
              </w:rPr>
            </w:pPr>
            <w:r w:rsidRPr="00D44735">
              <w:rPr>
                <w:rFonts w:ascii="Arial Narrow" w:hAnsi="Arial Narrow"/>
                <w:noProof/>
                <w:color w:val="006100"/>
                <w:sz w:val="20"/>
                <w:lang w:val="en-IE"/>
              </w:rPr>
              <w:t>Investment 8: InvestEU Member State Compartment</w:t>
            </w:r>
          </w:p>
        </w:tc>
        <w:tc>
          <w:tcPr>
            <w:tcW w:w="1275" w:type="dxa"/>
            <w:shd w:val="clear" w:color="auto" w:fill="C6EFCE"/>
            <w:vAlign w:val="center"/>
          </w:tcPr>
          <w:p w14:paraId="049CA330"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shd w:val="clear" w:color="auto" w:fill="C6EFCE"/>
            <w:vAlign w:val="center"/>
          </w:tcPr>
          <w:p w14:paraId="082D1074" w14:textId="77777777" w:rsidR="0039681A" w:rsidRPr="00A36E36" w:rsidRDefault="0039681A">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Signature of the Contribution Agreement between the government of Italy and the European Commission</w:t>
            </w:r>
          </w:p>
        </w:tc>
        <w:tc>
          <w:tcPr>
            <w:tcW w:w="1276" w:type="dxa"/>
            <w:shd w:val="clear" w:color="auto" w:fill="C6EFCE"/>
            <w:vAlign w:val="center"/>
          </w:tcPr>
          <w:p w14:paraId="43DCE577" w14:textId="77777777"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Signature of the Contribution Agreement</w:t>
            </w:r>
          </w:p>
        </w:tc>
        <w:tc>
          <w:tcPr>
            <w:tcW w:w="1134" w:type="dxa"/>
            <w:shd w:val="clear" w:color="auto" w:fill="C6EFCE"/>
            <w:vAlign w:val="center"/>
          </w:tcPr>
          <w:p w14:paraId="0C5BF055"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1163" w:type="dxa"/>
            <w:shd w:val="clear" w:color="auto" w:fill="C6EFCE"/>
            <w:vAlign w:val="center"/>
          </w:tcPr>
          <w:p w14:paraId="3E1FA826"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992" w:type="dxa"/>
            <w:shd w:val="clear" w:color="auto" w:fill="C6EFCE"/>
            <w:vAlign w:val="center"/>
          </w:tcPr>
          <w:p w14:paraId="5F828747"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shd w:val="clear" w:color="auto" w:fill="C6EFCE"/>
            <w:vAlign w:val="center"/>
          </w:tcPr>
          <w:p w14:paraId="2D8CA7F4"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Q1</w:t>
            </w:r>
          </w:p>
        </w:tc>
        <w:tc>
          <w:tcPr>
            <w:tcW w:w="709" w:type="dxa"/>
            <w:shd w:val="clear" w:color="auto" w:fill="C6EFCE"/>
            <w:vAlign w:val="center"/>
          </w:tcPr>
          <w:p w14:paraId="08140A78"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2026</w:t>
            </w:r>
          </w:p>
        </w:tc>
        <w:tc>
          <w:tcPr>
            <w:tcW w:w="3232" w:type="dxa"/>
            <w:shd w:val="clear" w:color="auto" w:fill="C6EFCE"/>
            <w:vAlign w:val="center"/>
          </w:tcPr>
          <w:p w14:paraId="03E2545F" w14:textId="0B308151" w:rsidR="0039681A" w:rsidRPr="00A36E36" w:rsidRDefault="0039681A">
            <w:pPr>
              <w:spacing w:line="240" w:lineRule="auto"/>
              <w:jc w:val="both"/>
              <w:rPr>
                <w:rFonts w:ascii="Arial Narrow" w:hAnsi="Arial Narrow"/>
                <w:noProof/>
                <w:color w:val="006100"/>
                <w:sz w:val="20"/>
                <w:lang w:val="en-IE"/>
              </w:rPr>
            </w:pPr>
            <w:r w:rsidRPr="00A36E36">
              <w:rPr>
                <w:rFonts w:ascii="Arial Narrow" w:hAnsi="Arial Narrow"/>
                <w:noProof/>
                <w:color w:val="006100"/>
                <w:sz w:val="20"/>
                <w:lang w:val="en-IE"/>
              </w:rPr>
              <w:t>Signature of the Contribution Agreement between the government of Italy and the European Commission for an amount of EUR</w:t>
            </w:r>
            <w:r w:rsidR="00CC43E5" w:rsidRPr="0039681A">
              <w:rPr>
                <w:rFonts w:ascii="Arial Narrow" w:eastAsia="Aptos" w:hAnsi="Arial Narrow" w:cs="Times New Roman"/>
                <w:noProof/>
                <w:color w:val="006100"/>
                <w:sz w:val="20"/>
                <w:lang w:val="en-IE"/>
              </w:rPr>
              <w:t> </w:t>
            </w:r>
            <w:r w:rsidRPr="00A36E36">
              <w:rPr>
                <w:rFonts w:ascii="Arial Narrow" w:hAnsi="Arial Narrow"/>
                <w:noProof/>
                <w:color w:val="006100"/>
                <w:sz w:val="20"/>
                <w:lang w:val="en-IE"/>
              </w:rPr>
              <w:t xml:space="preserve">500 000 000. </w:t>
            </w:r>
          </w:p>
        </w:tc>
      </w:tr>
      <w:tr w:rsidR="0039681A" w:rsidRPr="0070054C" w14:paraId="1FC43E3A" w14:textId="77777777" w:rsidTr="00351087">
        <w:trPr>
          <w:trHeight w:val="315"/>
        </w:trPr>
        <w:tc>
          <w:tcPr>
            <w:tcW w:w="1418" w:type="dxa"/>
            <w:shd w:val="clear" w:color="auto" w:fill="C6EFCE"/>
            <w:vAlign w:val="center"/>
          </w:tcPr>
          <w:p w14:paraId="42E8B132"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M1C2-33</w:t>
            </w:r>
          </w:p>
        </w:tc>
        <w:tc>
          <w:tcPr>
            <w:tcW w:w="1985" w:type="dxa"/>
            <w:shd w:val="clear" w:color="auto" w:fill="C6EFCE"/>
            <w:vAlign w:val="center"/>
          </w:tcPr>
          <w:p w14:paraId="73E2A9DF" w14:textId="77777777" w:rsidR="0039681A" w:rsidRPr="00A36E36" w:rsidRDefault="0039681A">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8: InvestEU Member State Compartment</w:t>
            </w:r>
          </w:p>
        </w:tc>
        <w:tc>
          <w:tcPr>
            <w:tcW w:w="1275" w:type="dxa"/>
            <w:shd w:val="clear" w:color="auto" w:fill="C6EFCE"/>
            <w:vAlign w:val="center"/>
          </w:tcPr>
          <w:p w14:paraId="599BC0A1"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276" w:type="dxa"/>
            <w:shd w:val="clear" w:color="auto" w:fill="C6EFCE"/>
            <w:vAlign w:val="center"/>
          </w:tcPr>
          <w:p w14:paraId="4739BAA0"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Financing or investment operations approved by the InvestEU Investment Committee.</w:t>
            </w:r>
          </w:p>
        </w:tc>
        <w:tc>
          <w:tcPr>
            <w:tcW w:w="1276" w:type="dxa"/>
            <w:shd w:val="clear" w:color="auto" w:fill="C6EFCE"/>
            <w:vAlign w:val="center"/>
          </w:tcPr>
          <w:p w14:paraId="0CB979A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34" w:type="dxa"/>
            <w:shd w:val="clear" w:color="auto" w:fill="C6EFCE"/>
            <w:vAlign w:val="center"/>
          </w:tcPr>
          <w:p w14:paraId="427D846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Percentage</w:t>
            </w:r>
          </w:p>
        </w:tc>
        <w:tc>
          <w:tcPr>
            <w:tcW w:w="1163" w:type="dxa"/>
            <w:shd w:val="clear" w:color="auto" w:fill="C6EFCE"/>
            <w:vAlign w:val="center"/>
          </w:tcPr>
          <w:p w14:paraId="644CC00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992" w:type="dxa"/>
            <w:shd w:val="clear" w:color="auto" w:fill="C6EFCE"/>
            <w:vAlign w:val="center"/>
          </w:tcPr>
          <w:p w14:paraId="6F7096C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100</w:t>
            </w:r>
          </w:p>
        </w:tc>
        <w:tc>
          <w:tcPr>
            <w:tcW w:w="850" w:type="dxa"/>
            <w:shd w:val="clear" w:color="auto" w:fill="C6EFCE"/>
            <w:vAlign w:val="center"/>
          </w:tcPr>
          <w:p w14:paraId="4D54306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09" w:type="dxa"/>
            <w:shd w:val="clear" w:color="auto" w:fill="C6EFCE"/>
            <w:vAlign w:val="center"/>
          </w:tcPr>
          <w:p w14:paraId="31D17B38"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32" w:type="dxa"/>
            <w:shd w:val="clear" w:color="auto" w:fill="C6EFCE"/>
            <w:vAlign w:val="center"/>
          </w:tcPr>
          <w:p w14:paraId="4C70D5BB" w14:textId="77777777" w:rsidR="0039681A" w:rsidRPr="00A36E36" w:rsidRDefault="0039681A">
            <w:pPr>
              <w:spacing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Financing or investment operations amounting to 100% of the total amount of RRF resources allocated to the instrument shall have been approved by the InvestEU Investment Committee.</w:t>
            </w:r>
          </w:p>
        </w:tc>
      </w:tr>
      <w:tr w:rsidR="0039681A" w:rsidRPr="0070054C" w14:paraId="53C0635E" w14:textId="77777777" w:rsidTr="00351087">
        <w:trPr>
          <w:trHeight w:val="315"/>
        </w:trPr>
        <w:tc>
          <w:tcPr>
            <w:tcW w:w="1418" w:type="dxa"/>
            <w:shd w:val="clear" w:color="auto" w:fill="C6EFCE"/>
            <w:vAlign w:val="center"/>
          </w:tcPr>
          <w:p w14:paraId="46940200"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M1C2-34</w:t>
            </w:r>
          </w:p>
        </w:tc>
        <w:tc>
          <w:tcPr>
            <w:tcW w:w="1985" w:type="dxa"/>
            <w:shd w:val="clear" w:color="auto" w:fill="C6EFCE"/>
            <w:vAlign w:val="center"/>
          </w:tcPr>
          <w:p w14:paraId="371D860E" w14:textId="77777777" w:rsidR="0039681A" w:rsidRPr="00A36E36" w:rsidRDefault="0039681A">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9: Scale-up measure: Transition 4.0</w:t>
            </w:r>
          </w:p>
        </w:tc>
        <w:tc>
          <w:tcPr>
            <w:tcW w:w="1275" w:type="dxa"/>
            <w:shd w:val="clear" w:color="auto" w:fill="C6EFCE"/>
            <w:vAlign w:val="center"/>
          </w:tcPr>
          <w:p w14:paraId="02AC8894" w14:textId="77777777" w:rsidR="0039681A" w:rsidRPr="00647572" w:rsidRDefault="0039681A">
            <w:pPr>
              <w:spacing w:before="120" w:after="120"/>
              <w:jc w:val="center"/>
              <w:rPr>
                <w:rFonts w:ascii="Arial Narrow" w:hAnsi="Arial Narrow" w:cs="Times New Roman"/>
                <w:noProof/>
                <w:sz w:val="20"/>
                <w:szCs w:val="20"/>
              </w:rPr>
            </w:pPr>
            <w:r w:rsidRPr="00647572">
              <w:rPr>
                <w:rFonts w:ascii="Arial Narrow" w:hAnsi="Arial Narrow"/>
                <w:noProof/>
                <w:color w:val="006100"/>
                <w:sz w:val="20"/>
              </w:rPr>
              <w:t>Target</w:t>
            </w:r>
          </w:p>
        </w:tc>
        <w:tc>
          <w:tcPr>
            <w:tcW w:w="1276" w:type="dxa"/>
            <w:shd w:val="clear" w:color="auto" w:fill="C6EFCE"/>
            <w:vAlign w:val="center"/>
          </w:tcPr>
          <w:p w14:paraId="30003FCD" w14:textId="77777777" w:rsidR="0039681A" w:rsidRPr="00A36E36" w:rsidRDefault="0039681A">
            <w:pPr>
              <w:spacing w:before="120" w:after="120"/>
              <w:jc w:val="center"/>
              <w:rPr>
                <w:rFonts w:ascii="Arial Narrow" w:hAnsi="Arial Narrow" w:cs="Times New Roman"/>
                <w:noProof/>
                <w:sz w:val="20"/>
                <w:szCs w:val="20"/>
                <w:lang w:val="en-IE"/>
              </w:rPr>
            </w:pPr>
            <w:r w:rsidRPr="00A36E36">
              <w:rPr>
                <w:rFonts w:ascii="Arial Narrow" w:hAnsi="Arial Narrow"/>
                <w:noProof/>
                <w:color w:val="006100"/>
                <w:sz w:val="20"/>
                <w:lang w:val="en-IE"/>
              </w:rPr>
              <w:t>Transition 4.0 tax credits granted to firms based on documents presented in 2021-2026</w:t>
            </w:r>
          </w:p>
        </w:tc>
        <w:tc>
          <w:tcPr>
            <w:tcW w:w="1276" w:type="dxa"/>
            <w:shd w:val="clear" w:color="auto" w:fill="C6EFCE"/>
            <w:vAlign w:val="center"/>
          </w:tcPr>
          <w:p w14:paraId="149C717F" w14:textId="77777777" w:rsidR="0039681A" w:rsidRPr="00647572" w:rsidRDefault="0039681A">
            <w:pPr>
              <w:jc w:val="center"/>
              <w:rPr>
                <w:rFonts w:ascii="Arial Narrow" w:hAnsi="Arial Narrow" w:cs="Times New Roman"/>
                <w:noProof/>
                <w:sz w:val="20"/>
                <w:szCs w:val="20"/>
              </w:rPr>
            </w:pPr>
            <w:r w:rsidRPr="00647572">
              <w:rPr>
                <w:rFonts w:ascii="Arial Narrow" w:hAnsi="Arial Narrow"/>
                <w:noProof/>
                <w:color w:val="006100"/>
                <w:sz w:val="20"/>
              </w:rPr>
              <w:t>N/A</w:t>
            </w:r>
          </w:p>
        </w:tc>
        <w:tc>
          <w:tcPr>
            <w:tcW w:w="1134" w:type="dxa"/>
            <w:shd w:val="clear" w:color="auto" w:fill="C6EFCE"/>
            <w:vAlign w:val="center"/>
          </w:tcPr>
          <w:p w14:paraId="50BACD55" w14:textId="77777777" w:rsidR="0039681A" w:rsidRPr="00647572" w:rsidRDefault="0039681A">
            <w:pPr>
              <w:jc w:val="center"/>
              <w:rPr>
                <w:rFonts w:ascii="Arial Narrow" w:hAnsi="Arial Narrow" w:cs="Times New Roman"/>
                <w:noProof/>
                <w:sz w:val="20"/>
                <w:szCs w:val="20"/>
              </w:rPr>
            </w:pPr>
            <w:r w:rsidRPr="00647572">
              <w:rPr>
                <w:rFonts w:ascii="Arial Narrow" w:hAnsi="Arial Narrow"/>
                <w:noProof/>
                <w:color w:val="006100"/>
                <w:sz w:val="20"/>
              </w:rPr>
              <w:t>Number</w:t>
            </w:r>
          </w:p>
        </w:tc>
        <w:tc>
          <w:tcPr>
            <w:tcW w:w="1163" w:type="dxa"/>
            <w:shd w:val="clear" w:color="auto" w:fill="C6EFCE"/>
            <w:vAlign w:val="center"/>
          </w:tcPr>
          <w:p w14:paraId="29641890" w14:textId="77777777" w:rsidR="0039681A" w:rsidRPr="00647572" w:rsidRDefault="0039681A">
            <w:pPr>
              <w:jc w:val="center"/>
              <w:rPr>
                <w:rFonts w:ascii="Arial Narrow" w:hAnsi="Arial Narrow" w:cs="Times New Roman"/>
                <w:noProof/>
                <w:sz w:val="20"/>
                <w:szCs w:val="20"/>
              </w:rPr>
            </w:pPr>
            <w:r w:rsidRPr="00647572">
              <w:rPr>
                <w:rFonts w:ascii="Arial Narrow" w:hAnsi="Arial Narrow"/>
                <w:noProof/>
                <w:color w:val="006100"/>
                <w:sz w:val="20"/>
              </w:rPr>
              <w:t>0</w:t>
            </w:r>
          </w:p>
        </w:tc>
        <w:tc>
          <w:tcPr>
            <w:tcW w:w="992" w:type="dxa"/>
            <w:shd w:val="clear" w:color="auto" w:fill="C6EFCE"/>
            <w:vAlign w:val="center"/>
          </w:tcPr>
          <w:p w14:paraId="000F0842" w14:textId="64DD2AC7" w:rsidR="0039681A" w:rsidRPr="00647572" w:rsidRDefault="0039681A">
            <w:pPr>
              <w:jc w:val="center"/>
              <w:rPr>
                <w:rFonts w:ascii="Arial Narrow" w:hAnsi="Arial Narrow" w:cs="Times New Roman"/>
                <w:noProof/>
                <w:sz w:val="20"/>
                <w:szCs w:val="20"/>
              </w:rPr>
            </w:pPr>
            <w:r w:rsidRPr="00647572">
              <w:rPr>
                <w:rFonts w:ascii="Arial Narrow" w:hAnsi="Arial Narrow"/>
                <w:noProof/>
                <w:color w:val="006100"/>
                <w:sz w:val="20"/>
              </w:rPr>
              <w:t>5</w:t>
            </w:r>
            <w:r>
              <w:rPr>
                <w:rFonts w:ascii="Arial Narrow" w:hAnsi="Arial Narrow"/>
                <w:noProof/>
                <w:color w:val="006100"/>
                <w:sz w:val="20"/>
              </w:rPr>
              <w:t>3</w:t>
            </w:r>
            <w:r w:rsidRPr="00647572">
              <w:rPr>
                <w:rFonts w:ascii="Arial Narrow" w:hAnsi="Arial Narrow"/>
                <w:noProof/>
                <w:color w:val="006100"/>
                <w:sz w:val="20"/>
              </w:rPr>
              <w:t> </w:t>
            </w:r>
            <w:r>
              <w:rPr>
                <w:rFonts w:ascii="Arial Narrow" w:hAnsi="Arial Narrow"/>
                <w:noProof/>
                <w:color w:val="006100"/>
                <w:sz w:val="20"/>
              </w:rPr>
              <w:t>110</w:t>
            </w:r>
          </w:p>
        </w:tc>
        <w:tc>
          <w:tcPr>
            <w:tcW w:w="850" w:type="dxa"/>
            <w:shd w:val="clear" w:color="auto" w:fill="C6EFCE"/>
            <w:vAlign w:val="center"/>
          </w:tcPr>
          <w:p w14:paraId="5BBC8B71" w14:textId="77777777" w:rsidR="0039681A" w:rsidRPr="00647572" w:rsidRDefault="0039681A">
            <w:pPr>
              <w:jc w:val="center"/>
              <w:rPr>
                <w:rFonts w:ascii="Arial Narrow" w:hAnsi="Arial Narrow" w:cs="Times New Roman"/>
                <w:noProof/>
                <w:sz w:val="20"/>
                <w:szCs w:val="20"/>
              </w:rPr>
            </w:pPr>
            <w:r w:rsidRPr="00647572">
              <w:rPr>
                <w:rFonts w:ascii="Arial Narrow" w:hAnsi="Arial Narrow"/>
                <w:noProof/>
                <w:color w:val="006100"/>
                <w:sz w:val="20"/>
              </w:rPr>
              <w:t>Q2</w:t>
            </w:r>
          </w:p>
        </w:tc>
        <w:tc>
          <w:tcPr>
            <w:tcW w:w="709" w:type="dxa"/>
            <w:shd w:val="clear" w:color="auto" w:fill="C6EFCE"/>
            <w:vAlign w:val="center"/>
          </w:tcPr>
          <w:p w14:paraId="6B3E421F" w14:textId="77777777" w:rsidR="0039681A" w:rsidRPr="0086067F" w:rsidRDefault="0039681A" w:rsidP="00351087">
            <w:pPr>
              <w:jc w:val="center"/>
              <w:rPr>
                <w:rFonts w:ascii="Arial Narrow" w:hAnsi="Arial Narrow"/>
                <w:noProof/>
                <w:color w:val="006100"/>
                <w:sz w:val="20"/>
              </w:rPr>
            </w:pPr>
            <w:r w:rsidRPr="00647572">
              <w:rPr>
                <w:rFonts w:ascii="Arial Narrow" w:hAnsi="Arial Narrow"/>
                <w:noProof/>
                <w:color w:val="006100"/>
                <w:sz w:val="20"/>
              </w:rPr>
              <w:t>2026</w:t>
            </w:r>
          </w:p>
        </w:tc>
        <w:tc>
          <w:tcPr>
            <w:tcW w:w="3232" w:type="dxa"/>
            <w:shd w:val="clear" w:color="auto" w:fill="C6EFCE"/>
            <w:vAlign w:val="center"/>
          </w:tcPr>
          <w:p w14:paraId="4E7B7F18" w14:textId="08ED8E4B"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5</w:t>
            </w:r>
            <w:r>
              <w:rPr>
                <w:rFonts w:ascii="Arial Narrow" w:hAnsi="Arial Narrow"/>
                <w:noProof/>
                <w:color w:val="006100"/>
                <w:sz w:val="20"/>
                <w:szCs w:val="20"/>
                <w:lang w:val="en-IE"/>
              </w:rPr>
              <w:t>3</w:t>
            </w:r>
            <w:r w:rsidRPr="00A36E36">
              <w:rPr>
                <w:rFonts w:ascii="Arial Narrow" w:hAnsi="Arial Narrow"/>
                <w:noProof/>
                <w:color w:val="006100"/>
                <w:sz w:val="20"/>
                <w:szCs w:val="20"/>
                <w:lang w:val="en-IE"/>
              </w:rPr>
              <w:t> </w:t>
            </w:r>
            <w:r>
              <w:rPr>
                <w:rFonts w:ascii="Arial Narrow" w:hAnsi="Arial Narrow"/>
                <w:noProof/>
                <w:color w:val="006100"/>
                <w:sz w:val="20"/>
                <w:szCs w:val="20"/>
                <w:lang w:val="en-IE"/>
              </w:rPr>
              <w:t>110</w:t>
            </w:r>
            <w:r w:rsidRPr="00A36E36">
              <w:rPr>
                <w:rFonts w:ascii="Arial Narrow" w:hAnsi="Arial Narrow"/>
                <w:noProof/>
                <w:color w:val="006100"/>
                <w:sz w:val="20"/>
                <w:szCs w:val="20"/>
                <w:lang w:val="en-IE"/>
              </w:rPr>
              <w:t xml:space="preserve"> Transition 4.0 tax credits have been granted to firms in relation to 4.0 tangible capital goods, 4.0 intangible capital goods, standard intangible capital goods, research, development and innovation activities. A tax credit shall be considered granted with the presentation of a tax return or </w:t>
            </w:r>
            <w:r w:rsidRPr="00A36E36">
              <w:rPr>
                <w:rFonts w:ascii="Arial Narrow" w:hAnsi="Arial Narrow"/>
                <w:noProof/>
                <w:color w:val="006100"/>
                <w:sz w:val="20"/>
                <w:lang w:val="en-IE"/>
              </w:rPr>
              <w:t>with the presentation to the Gestore Servizi Energetici (“GSE”) of completion forms for the years 2024 and 2025</w:t>
            </w:r>
            <w:r w:rsidRPr="00A36E36">
              <w:rPr>
                <w:rFonts w:ascii="Arial Narrow" w:hAnsi="Arial Narrow"/>
                <w:noProof/>
                <w:color w:val="006100"/>
                <w:sz w:val="20"/>
                <w:szCs w:val="20"/>
                <w:lang w:val="en-IE"/>
              </w:rPr>
              <w:t>. Tax returns shall be presented between 1 January 2021 and 31 December 2024. For firms whose tax year does not correspond to the calendar year, the end of the considered period for the presentation of the tax returns related to all the above-listed tax credits shall be extended from 31 December 2024 to 30</w:t>
            </w:r>
            <w:r w:rsidR="00471FB7" w:rsidRPr="00D72865">
              <w:rPr>
                <w:rFonts w:ascii="Arial Narrow" w:hAnsi="Arial Narrow"/>
                <w:noProof/>
                <w:color w:val="006100"/>
                <w:sz w:val="20"/>
                <w:lang w:val="en-IE"/>
              </w:rPr>
              <w:t> </w:t>
            </w:r>
            <w:r w:rsidRPr="00A36E36">
              <w:rPr>
                <w:rFonts w:ascii="Arial Narrow" w:hAnsi="Arial Narrow"/>
                <w:noProof/>
                <w:color w:val="006100"/>
                <w:sz w:val="20"/>
                <w:szCs w:val="20"/>
                <w:lang w:val="en-IE"/>
              </w:rPr>
              <w:t>November 2025.</w:t>
            </w:r>
          </w:p>
          <w:p w14:paraId="72C7A1D8" w14:textId="176F4266" w:rsidR="0039681A" w:rsidRPr="00A36E36" w:rsidRDefault="0039681A">
            <w:pPr>
              <w:rPr>
                <w:rFonts w:ascii="Arial Narrow" w:hAnsi="Arial Narrow"/>
                <w:noProof/>
                <w:color w:val="006100"/>
                <w:sz w:val="20"/>
                <w:szCs w:val="20"/>
                <w:lang w:val="en-IE"/>
              </w:rPr>
            </w:pPr>
            <w:r w:rsidRPr="1220DA3F">
              <w:rPr>
                <w:rFonts w:ascii="Arial Narrow" w:hAnsi="Arial Narrow"/>
                <w:noProof/>
                <w:color w:val="006100"/>
                <w:sz w:val="20"/>
                <w:szCs w:val="20"/>
                <w:lang w:val="en-IE"/>
              </w:rPr>
              <w:t xml:space="preserve">Completion forms shall be presented to GSE by 31 </w:t>
            </w:r>
            <w:r w:rsidRPr="2DC03F37">
              <w:rPr>
                <w:rFonts w:ascii="Arial Narrow" w:hAnsi="Arial Narrow"/>
                <w:noProof/>
                <w:color w:val="006100"/>
                <w:sz w:val="20"/>
                <w:szCs w:val="20"/>
                <w:lang w:val="en-IE"/>
              </w:rPr>
              <w:t>March 2026</w:t>
            </w:r>
            <w:r w:rsidRPr="1220DA3F">
              <w:rPr>
                <w:rFonts w:ascii="Arial Narrow" w:hAnsi="Arial Narrow"/>
                <w:noProof/>
                <w:color w:val="006100"/>
                <w:sz w:val="20"/>
                <w:szCs w:val="20"/>
                <w:lang w:val="en-IE"/>
              </w:rPr>
              <w:t>.</w:t>
            </w:r>
          </w:p>
          <w:p w14:paraId="6F98CB69" w14:textId="38578210" w:rsidR="0039681A" w:rsidRPr="00AD6AD7" w:rsidRDefault="0039681A">
            <w:pPr>
              <w:spacing w:line="240" w:lineRule="auto"/>
              <w:jc w:val="both"/>
              <w:rPr>
                <w:rFonts w:ascii="Arial Narrow" w:hAnsi="Arial Narrow" w:cs="Times New Roman"/>
                <w:noProof/>
                <w:sz w:val="20"/>
                <w:szCs w:val="20"/>
                <w:lang w:val="en-IE"/>
              </w:rPr>
            </w:pPr>
            <w:r w:rsidRPr="00AF5341">
              <w:rPr>
                <w:rFonts w:ascii="Arial Narrow" w:hAnsi="Arial Narrow"/>
                <w:noProof/>
                <w:color w:val="006100"/>
                <w:sz w:val="20"/>
                <w:szCs w:val="20"/>
                <w:lang w:val="en-IE"/>
              </w:rPr>
              <w:t xml:space="preserve">No tax returns or communication to GSE with a credit related to </w:t>
            </w:r>
            <w:r w:rsidRPr="6EFEA8E6">
              <w:rPr>
                <w:rFonts w:ascii="Arial Narrow" w:hAnsi="Arial Narrow"/>
                <w:noProof/>
                <w:color w:val="006100"/>
                <w:sz w:val="20"/>
                <w:szCs w:val="20"/>
                <w:lang w:val="en-IE"/>
              </w:rPr>
              <w:t>sectors of activity identified by ATECO codes 05, 06, 07 and 09 shall be considered for the target. In addition, concerning investments in 4.0 tangible capital goods as well as in development and innovation activities,</w:t>
            </w:r>
            <w:r w:rsidRPr="00AF5341">
              <w:rPr>
                <w:rFonts w:ascii="Arial Narrow" w:hAnsi="Arial Narrow"/>
                <w:noProof/>
                <w:color w:val="006100"/>
                <w:sz w:val="20"/>
                <w:szCs w:val="20"/>
                <w:lang w:val="en-IE"/>
              </w:rPr>
              <w:t xml:space="preserve"> no tax returns or communication to GSE with a credit related to </w:t>
            </w:r>
            <w:r w:rsidRPr="6EFEA8E6">
              <w:rPr>
                <w:rFonts w:ascii="Arial Narrow" w:hAnsi="Arial Narrow"/>
                <w:noProof/>
                <w:color w:val="006100"/>
                <w:sz w:val="20"/>
                <w:szCs w:val="20"/>
                <w:lang w:val="en-IE"/>
              </w:rPr>
              <w:t>sectors of activity identified by ATECO codes 30, 08, 22, 29, 38, 41, 42, 43, 17, 01, 50, 19, 20, 51, 24, 49, 23 and 35 shall be considered for the target.</w:t>
            </w:r>
          </w:p>
        </w:tc>
      </w:tr>
    </w:tbl>
    <w:p w14:paraId="16B10077" w14:textId="77777777" w:rsidR="0039681A" w:rsidRPr="00AD6AD7" w:rsidRDefault="0039681A" w:rsidP="00351087">
      <w:pPr>
        <w:spacing w:before="120" w:after="120"/>
        <w:jc w:val="both"/>
        <w:rPr>
          <w:b/>
          <w:noProof/>
          <w:lang w:val="en-IE"/>
        </w:rPr>
        <w:sectPr w:rsidR="0039681A" w:rsidRPr="00AD6AD7" w:rsidSect="0039681A">
          <w:headerReference w:type="even" r:id="rId43"/>
          <w:headerReference w:type="default" r:id="rId44"/>
          <w:footerReference w:type="default" r:id="rId45"/>
          <w:headerReference w:type="first" r:id="rId46"/>
          <w:pgSz w:w="16838" w:h="11906" w:orient="landscape"/>
          <w:pgMar w:top="1134" w:right="1134" w:bottom="1134" w:left="1134" w:header="567" w:footer="567" w:gutter="0"/>
          <w:cols w:space="708"/>
          <w:docGrid w:linePitch="360"/>
        </w:sectPr>
      </w:pPr>
    </w:p>
    <w:p w14:paraId="77F02C8B" w14:textId="77777777" w:rsidR="0039681A" w:rsidRPr="00AF5341" w:rsidRDefault="0039681A" w:rsidP="00351087">
      <w:pPr>
        <w:pStyle w:val="Heading2"/>
        <w:ind w:left="1080"/>
        <w:rPr>
          <w:rFonts w:ascii="Times New Roman" w:eastAsia="Times New Roman" w:hAnsi="Times New Roman" w:cs="Times New Roman"/>
          <w:noProof/>
          <w:sz w:val="24"/>
          <w:szCs w:val="24"/>
          <w:u w:val="single"/>
          <w:lang w:val="en-IE"/>
        </w:rPr>
      </w:pPr>
      <w:r w:rsidRPr="00AF5341">
        <w:rPr>
          <w:rFonts w:ascii="Times New Roman" w:eastAsia="Times New Roman" w:hAnsi="Times New Roman" w:cs="Times New Roman"/>
          <w:b/>
          <w:bCs/>
          <w:noProof/>
          <w:color w:val="auto"/>
          <w:sz w:val="24"/>
          <w:szCs w:val="24"/>
          <w:lang w:val="en-IE"/>
        </w:rPr>
        <w:t xml:space="preserve">C. MISSION 1 COMPONENT 3: Tourism and Culture 4.0. </w:t>
      </w:r>
    </w:p>
    <w:p w14:paraId="53E9C3A9" w14:textId="77777777"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This component of the Italian recovery and resilience plan focuses on relaunching two sectors heavily hit by the Covid crisis: culture and tourism. The measures related to the culture sector aim at making cultural sites more accessible both digitally and physically, more energy efficient and safer with respect to natural disasters, at supporting the recovery of the cultural and creative sectors, including by supporting the attractiveness of small cultural sites and rural architecture as also to enhance territorial cohesion. Three sets of measures are envisaged: i) interventions to develop the cultural heritage for the next generation, including investment for the digital transition and to improve the energy efficiency of cultural sites, ii) culture-led regeneration of small historical sites, religious and rural heritage; iii) interventions for cultural and creative industries 4.0. Measures related to tourism aim at enhancing the competitiveness of the sector, including by reducing the fragmentation of the sector and enhancing the economies of scale, improving and upgrading the standards of the hospitality sector, encouraging digital innovation and the use of new technologies by operators, and support the green transition of the sector. In this respect, measures are envisaged to support firms, including SMEs, working in the tourism sector and tourist operators, including through investment in digital tools. </w:t>
      </w:r>
    </w:p>
    <w:p w14:paraId="4A040B47" w14:textId="77777777"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The investments and reforms under this component shall contribute addressing the Country- Specific Recommendations addressed to Italy, in particular on the need to “promote private investment to foster the economic recovery and focus investment on the green and digital transition” (Country Specific Recommendation 3, 2020). They also support social and territorial cohesion and the competitiveness of the Italian economy, while promoting the digitalisation and sustainability of the tourism sector. </w:t>
      </w:r>
    </w:p>
    <w:p w14:paraId="18317751" w14:textId="77777777" w:rsidR="0039681A" w:rsidRPr="00A36E36" w:rsidRDefault="0039681A" w:rsidP="00351087">
      <w:pPr>
        <w:pStyle w:val="Heading3"/>
        <w:ind w:left="850" w:hanging="850"/>
        <w:rPr>
          <w:rFonts w:ascii="Times New Roman" w:eastAsia="Times New Roman" w:hAnsi="Times New Roman" w:cs="Times New Roman"/>
          <w:b/>
          <w:bCs/>
          <w:i/>
          <w:iCs/>
          <w:noProof/>
          <w:sz w:val="24"/>
          <w:szCs w:val="24"/>
          <w:u w:val="single"/>
          <w:lang w:val="en-IE"/>
        </w:rPr>
      </w:pPr>
      <w:r w:rsidRPr="00A36E36">
        <w:rPr>
          <w:rFonts w:ascii="Times New Roman" w:eastAsia="Times New Roman" w:hAnsi="Times New Roman" w:cs="Times New Roman"/>
          <w:b/>
          <w:bCs/>
          <w:noProof/>
          <w:sz w:val="24"/>
          <w:szCs w:val="24"/>
          <w:u w:val="single"/>
          <w:lang w:val="en-IE"/>
        </w:rPr>
        <w:t xml:space="preserve">C.1. </w:t>
      </w:r>
      <w:r w:rsidRPr="00A36E36">
        <w:rPr>
          <w:rFonts w:ascii="Times New Roman" w:hAnsi="Times New Roman" w:cs="Times New Roman"/>
          <w:noProof/>
          <w:sz w:val="24"/>
          <w:szCs w:val="24"/>
          <w:lang w:val="en-IE"/>
        </w:rPr>
        <w:tab/>
      </w:r>
      <w:r w:rsidRPr="00A36E36">
        <w:rPr>
          <w:rFonts w:ascii="Times New Roman" w:eastAsia="Times New Roman" w:hAnsi="Times New Roman" w:cs="Times New Roman"/>
          <w:b/>
          <w:bCs/>
          <w:noProof/>
          <w:sz w:val="24"/>
          <w:szCs w:val="24"/>
          <w:u w:val="single"/>
          <w:lang w:val="en-IE"/>
        </w:rPr>
        <w:t>Description of the reforms and investments for non-repayable financial support</w:t>
      </w:r>
    </w:p>
    <w:p w14:paraId="3CBB0DB5" w14:textId="77777777" w:rsidR="0039681A" w:rsidRPr="00A36E36" w:rsidRDefault="0039681A" w:rsidP="00351087">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 xml:space="preserve">Investment 1.1 Digital Strategy and Platforms of Culture Heritage </w:t>
      </w:r>
    </w:p>
    <w:p w14:paraId="6F09A3D4" w14:textId="77777777"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objective of this measure is to digitise the Italian cultural heritage and provide access to cultural resources and digital services. The measure consists in creating a digital infrastructure to collect, integrate and retain digital resources, making them available for public use through dedicated platforms.</w:t>
      </w:r>
    </w:p>
    <w:p w14:paraId="5FDEFC5E" w14:textId="77777777" w:rsidR="0039681A" w:rsidRPr="00A36E36" w:rsidRDefault="0039681A" w:rsidP="00351087">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Investment 1.2: Removal of physical and cognitive barriers in museums, libraries and archives to enable wider access and participation in culture</w:t>
      </w:r>
    </w:p>
    <w:p w14:paraId="088481D6" w14:textId="77777777"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objective of this measure is to enable physical and cognitive access to a number of Italian cultural institutions. The measure consists in removing architectural and cognitive barriers in Italian cultural institutions.</w:t>
      </w:r>
    </w:p>
    <w:p w14:paraId="5E75A07E" w14:textId="77777777" w:rsidR="0039681A" w:rsidRPr="00A36E36" w:rsidRDefault="0039681A" w:rsidP="00351087">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Investment 1.3: Improve energy efficiency, in cinema, theatres and museums</w:t>
      </w:r>
    </w:p>
    <w:p w14:paraId="619AF2FD" w14:textId="77777777"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objective of this measure is to increase the energy efficiency of cultural and creative premises, such as public and private museums, cinemas, and theatres. The measure consists of energy efficiency interventions in cultural and creative premises.</w:t>
      </w:r>
    </w:p>
    <w:p w14:paraId="1068BF5C" w14:textId="77777777" w:rsidR="0039681A" w:rsidRPr="00A36E36" w:rsidRDefault="0039681A" w:rsidP="00351087">
      <w:pPr>
        <w:spacing w:before="120" w:after="120"/>
        <w:jc w:val="both"/>
        <w:rPr>
          <w:rFonts w:ascii="Times New Roman" w:eastAsia="Times New Roman" w:hAnsi="Times New Roman" w:cs="Times New Roman"/>
          <w:b/>
          <w:noProof/>
          <w:lang w:val="en-IE"/>
        </w:rPr>
      </w:pPr>
      <w:r w:rsidRPr="00A36E36">
        <w:rPr>
          <w:rFonts w:ascii="Times New Roman" w:eastAsia="Times New Roman" w:hAnsi="Times New Roman" w:cs="Times New Roman"/>
          <w:b/>
          <w:noProof/>
          <w:lang w:val="en-IE"/>
        </w:rPr>
        <w:t>Reform 3.1: Adoption of minimum environmental criteria for cultural events</w:t>
      </w:r>
    </w:p>
    <w:p w14:paraId="1D81F208" w14:textId="77777777"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aim of the reform is to improve the ecological footprint of cultural events (such as exhibitions, festivals, cultural events and musical events) by including social and environmental criteria in public procurement for cultural events funded, promoted or organised by the public authority.</w:t>
      </w:r>
    </w:p>
    <w:p w14:paraId="2C444000" w14:textId="77777777" w:rsidR="0039681A" w:rsidRPr="00A36E36" w:rsidRDefault="0039681A" w:rsidP="00351087">
      <w:pPr>
        <w:spacing w:before="120" w:after="120"/>
        <w:jc w:val="both"/>
        <w:rPr>
          <w:rFonts w:ascii="Times New Roman" w:eastAsia="Times New Roman" w:hAnsi="Times New Roman" w:cs="Times New Roman"/>
          <w:b/>
          <w:noProof/>
          <w:color w:val="000000" w:themeColor="text1"/>
          <w:lang w:val="en-IE"/>
        </w:rPr>
      </w:pPr>
      <w:r w:rsidRPr="00A36E36">
        <w:rPr>
          <w:rFonts w:ascii="Times New Roman" w:eastAsia="Times New Roman" w:hAnsi="Times New Roman" w:cs="Times New Roman"/>
          <w:b/>
          <w:noProof/>
          <w:color w:val="000000" w:themeColor="text1"/>
          <w:lang w:val="en-IE"/>
        </w:rPr>
        <w:t xml:space="preserve">Investment 3.3: Capacity building for culture operators to manage the digital and green transition </w:t>
      </w:r>
    </w:p>
    <w:p w14:paraId="51581C29" w14:textId="77777777"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The overall objective of the investment is to support the recovery of the cultural and creative sectors. This consists of two interventions. </w:t>
      </w:r>
    </w:p>
    <w:p w14:paraId="3C3D3AC5" w14:textId="77777777"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hAnsi="Times New Roman" w:cs="Times New Roman"/>
          <w:noProof/>
          <w:lang w:val="en-IE"/>
        </w:rPr>
        <w:t>The first intervention (Supporting the recovery of cultural activities by encouraging innovation and the use of digital technology throughout the value chain) aims to support cultural and creative operators to implement digital strategies and to increase their management capacities.</w:t>
      </w:r>
    </w:p>
    <w:p w14:paraId="1404644C" w14:textId="77777777"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hAnsi="Times New Roman" w:cs="Times New Roman"/>
          <w:noProof/>
          <w:lang w:val="en-IE"/>
        </w:rPr>
        <w:t>The second intervention (Promoting a green approach throughout the cultural and creative chain) aims to encourage an environmentally sustainable approach throughout the chain, reducing the ecological footprint, promoting innovative and inclusive eco-design, including in the context of the circular economy, in order to steer the public towards more responsible environmental behaviour.</w:t>
      </w:r>
    </w:p>
    <w:p w14:paraId="07886B17" w14:textId="77777777" w:rsidR="0039681A" w:rsidRPr="00A36E36" w:rsidRDefault="0039681A" w:rsidP="00351087">
      <w:pPr>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In order to ensure that the measure complies with the ‘Do no significant harm’ Technical Guidance (2021/C58/01), the eligibility criteria contained in terms of reference for upcoming calls for projects shall exclude the following list of activities: (i) activities related to fossil fuels, including downstream use</w:t>
      </w:r>
      <w:r w:rsidRPr="00647572">
        <w:rPr>
          <w:rStyle w:val="FootnoteReference"/>
          <w:rFonts w:ascii="Times New Roman" w:eastAsia="Times New Roman" w:hAnsi="Times New Roman" w:cs="Times New Roman"/>
          <w:noProof/>
        </w:rPr>
        <w:footnoteReference w:id="13"/>
      </w:r>
      <w:r w:rsidRPr="00A36E36">
        <w:rPr>
          <w:rFonts w:ascii="Times New Roman" w:eastAsia="Times New Roman" w:hAnsi="Times New Roman" w:cs="Times New Roman"/>
          <w:noProof/>
          <w:lang w:val="en-IE"/>
        </w:rPr>
        <w:t>; (ii) activities under the EU Emission Trading System (ETS) achieving projected greenhouse gas emissions that are not lower than the relevant benchmarks</w:t>
      </w:r>
      <w:r w:rsidRPr="00647572">
        <w:rPr>
          <w:rStyle w:val="FootnoteReference"/>
          <w:rFonts w:ascii="Times New Roman" w:eastAsia="Times New Roman" w:hAnsi="Times New Roman" w:cs="Times New Roman"/>
          <w:noProof/>
        </w:rPr>
        <w:footnoteReference w:id="14"/>
      </w:r>
      <w:r w:rsidRPr="00A36E36">
        <w:rPr>
          <w:rFonts w:ascii="Times New Roman" w:eastAsia="Times New Roman" w:hAnsi="Times New Roman" w:cs="Times New Roman"/>
          <w:noProof/>
          <w:lang w:val="en-IE"/>
        </w:rPr>
        <w:t>; (iii) activities related to waste landfills, incinerators</w:t>
      </w:r>
      <w:r w:rsidRPr="00647572">
        <w:rPr>
          <w:rStyle w:val="FootnoteReference"/>
          <w:rFonts w:ascii="Times New Roman" w:eastAsia="Times New Roman" w:hAnsi="Times New Roman" w:cs="Times New Roman"/>
          <w:noProof/>
        </w:rPr>
        <w:footnoteReference w:id="15"/>
      </w:r>
      <w:r w:rsidRPr="00A36E36">
        <w:rPr>
          <w:rFonts w:ascii="Times New Roman" w:eastAsia="Times New Roman" w:hAnsi="Times New Roman" w:cs="Times New Roman"/>
          <w:noProof/>
          <w:lang w:val="en-IE"/>
        </w:rPr>
        <w:t xml:space="preserve"> and mechanical biological treatment plants</w:t>
      </w:r>
      <w:r w:rsidRPr="00647572">
        <w:rPr>
          <w:rStyle w:val="FootnoteReference"/>
          <w:rFonts w:ascii="Times New Roman" w:eastAsia="Times New Roman" w:hAnsi="Times New Roman" w:cs="Times New Roman"/>
          <w:noProof/>
        </w:rPr>
        <w:footnoteReference w:id="16"/>
      </w:r>
      <w:r w:rsidRPr="00A36E36">
        <w:rPr>
          <w:rFonts w:ascii="Times New Roman" w:eastAsia="Times New Roman" w:hAnsi="Times New Roman" w:cs="Times New Roman"/>
          <w:noProof/>
          <w:lang w:val="en-IE"/>
        </w:rPr>
        <w:t>; and (iv) activities where the long-term disposal of waste may cause harm to the environment. The terms of reference shall additionally require that only activities that comply with relevant EU and national environmental legislation may be selected.</w:t>
      </w:r>
    </w:p>
    <w:p w14:paraId="1780FCAB" w14:textId="77777777" w:rsidR="0039681A" w:rsidRPr="00A36E36" w:rsidRDefault="0039681A" w:rsidP="00351087">
      <w:pPr>
        <w:rPr>
          <w:rFonts w:ascii="Times New Roman" w:eastAsia="Times New Roman" w:hAnsi="Times New Roman" w:cs="Times New Roman"/>
          <w:b/>
          <w:i/>
          <w:noProof/>
          <w:lang w:val="en-IE"/>
        </w:rPr>
      </w:pPr>
      <w:bookmarkStart w:id="11" w:name="_Hlk160472807"/>
      <w:r w:rsidRPr="00A36E36">
        <w:rPr>
          <w:rFonts w:ascii="Times New Roman" w:eastAsia="Times New Roman" w:hAnsi="Times New Roman" w:cs="Times New Roman"/>
          <w:b/>
          <w:noProof/>
          <w:lang w:val="en-IE"/>
        </w:rPr>
        <w:t>Investment 4.1: Digital Tourism Hub</w:t>
      </w:r>
    </w:p>
    <w:bookmarkEnd w:id="11"/>
    <w:p w14:paraId="4A69DF26" w14:textId="77777777" w:rsidR="0039681A" w:rsidRPr="00A36E36" w:rsidRDefault="0039681A" w:rsidP="00351087">
      <w:pPr>
        <w:spacing w:before="120" w:after="120"/>
        <w:jc w:val="both"/>
        <w:rPr>
          <w:rStyle w:val="eop"/>
          <w:rFonts w:eastAsiaTheme="majorEastAsia"/>
          <w:noProof/>
          <w:snapToGrid w:val="0"/>
          <w:color w:val="000000"/>
          <w:w w:val="0"/>
          <w:sz w:val="0"/>
          <w:szCs w:val="0"/>
          <w:u w:color="000000"/>
          <w:bdr w:val="none" w:sz="0" w:space="0" w:color="000000"/>
          <w:shd w:val="clear" w:color="000000" w:fill="000000"/>
          <w:lang w:val="en-IE" w:eastAsia="x-none" w:bidi="x-none"/>
        </w:rPr>
      </w:pPr>
      <w:r w:rsidRPr="00A36E36">
        <w:rPr>
          <w:rFonts w:ascii="Times New Roman" w:eastAsia="Times New Roman" w:hAnsi="Times New Roman" w:cs="Times New Roman"/>
          <w:noProof/>
          <w:lang w:val="en-IE"/>
        </w:rPr>
        <w:t>The objective of this measure is to enable the entire tourism ecosystem to increase, integrate, and disseminate its own offer. The measure consists of the creation of a Digital Tourism Hub, accessible via a dedicated web platform.</w:t>
      </w:r>
    </w:p>
    <w:p w14:paraId="5AA28307" w14:textId="77777777" w:rsidR="0039681A" w:rsidRPr="00A36E36" w:rsidRDefault="0039681A" w:rsidP="00351087">
      <w:pPr>
        <w:jc w:val="both"/>
        <w:rPr>
          <w:rFonts w:ascii="Times New Roman" w:eastAsia="Times New Roman" w:hAnsi="Times New Roman" w:cs="Times New Roman"/>
          <w:b/>
          <w:noProof/>
          <w:color w:val="000000" w:themeColor="text1"/>
          <w:lang w:val="en-IE"/>
        </w:rPr>
      </w:pPr>
      <w:r w:rsidRPr="00A36E36">
        <w:rPr>
          <w:rFonts w:ascii="Times New Roman" w:eastAsia="Times New Roman" w:hAnsi="Times New Roman" w:cs="Times New Roman"/>
          <w:b/>
          <w:noProof/>
          <w:color w:val="000000" w:themeColor="text1"/>
          <w:lang w:val="en-IE"/>
        </w:rPr>
        <w:t>Reform 4.1: Regulation ordering of the professions of tourist guides</w:t>
      </w:r>
    </w:p>
    <w:p w14:paraId="278995A9" w14:textId="77777777" w:rsidR="0039681A" w:rsidRPr="00A36E36" w:rsidRDefault="0039681A" w:rsidP="00351087">
      <w:pPr>
        <w:spacing w:before="120" w:after="120"/>
        <w:jc w:val="both"/>
        <w:rPr>
          <w:rFonts w:eastAsiaTheme="majorEastAsia" w:cstheme="majorBidi"/>
          <w:b/>
          <w:noProof/>
          <w:color w:val="0F4761" w:themeColor="accent1" w:themeShade="BF"/>
          <w:sz w:val="28"/>
          <w:szCs w:val="28"/>
          <w:u w:val="single"/>
          <w:lang w:val="en-IE"/>
        </w:rPr>
      </w:pPr>
      <w:r w:rsidRPr="00A36E36">
        <w:rPr>
          <w:rFonts w:ascii="Times New Roman" w:eastAsia="Times New Roman" w:hAnsi="Times New Roman" w:cs="Times New Roman"/>
          <w:noProof/>
          <w:lang w:val="en-IE"/>
        </w:rPr>
        <w:t>The investment in the Digital Tourism Hub is complemented by a reform to streamline the touristic guides regulations. The measure provides, with due regard for local regulation, a professional organisation for tourist guides and their area of origin. The systematic and uniform application of the reform would make it possible to regulate the fundamental principles of the profession and to standardize the levels of service provision throughout the national territory, with a positive effect on the market. The</w:t>
      </w:r>
      <w:r w:rsidRPr="00A36E36">
        <w:rPr>
          <w:noProof/>
          <w:lang w:val="en-IE"/>
        </w:rPr>
        <w:t xml:space="preserve"> </w:t>
      </w:r>
      <w:r w:rsidRPr="00A36E36">
        <w:rPr>
          <w:rFonts w:ascii="Times New Roman" w:eastAsia="Times New Roman" w:hAnsi="Times New Roman" w:cs="Times New Roman"/>
          <w:noProof/>
          <w:lang w:val="en-IE"/>
        </w:rPr>
        <w:t>reform shall include training and further training in order to best support the offer.</w:t>
      </w:r>
    </w:p>
    <w:p w14:paraId="643F405F" w14:textId="77777777" w:rsidR="0039681A" w:rsidRPr="00A36E36" w:rsidRDefault="0039681A" w:rsidP="00351087">
      <w:pPr>
        <w:pStyle w:val="Heading3"/>
        <w:ind w:left="850" w:hanging="850"/>
        <w:rPr>
          <w:b/>
          <w:noProof/>
          <w:u w:val="single"/>
          <w:lang w:val="en-IE"/>
        </w:rPr>
        <w:sectPr w:rsidR="0039681A" w:rsidRPr="00A36E36" w:rsidSect="00AF5341">
          <w:headerReference w:type="even" r:id="rId47"/>
          <w:headerReference w:type="default" r:id="rId48"/>
          <w:footerReference w:type="default" r:id="rId49"/>
          <w:headerReference w:type="first" r:id="rId50"/>
          <w:pgSz w:w="11906" w:h="16838"/>
          <w:pgMar w:top="1440" w:right="1440" w:bottom="1440" w:left="1440" w:header="708" w:footer="708" w:gutter="0"/>
          <w:cols w:space="708"/>
          <w:docGrid w:linePitch="360"/>
        </w:sectPr>
      </w:pPr>
    </w:p>
    <w:p w14:paraId="69955D64"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C.2.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8"/>
        <w:gridCol w:w="1705"/>
        <w:gridCol w:w="990"/>
        <w:gridCol w:w="1563"/>
        <w:gridCol w:w="1243"/>
        <w:gridCol w:w="1135"/>
        <w:gridCol w:w="1307"/>
        <w:gridCol w:w="1132"/>
        <w:gridCol w:w="848"/>
        <w:gridCol w:w="694"/>
        <w:gridCol w:w="3672"/>
      </w:tblGrid>
      <w:tr w:rsidR="0039681A" w:rsidRPr="0070054C" w14:paraId="15620350" w14:textId="77777777" w:rsidTr="00D65011">
        <w:trPr>
          <w:trHeight w:val="1013"/>
          <w:tblHeader/>
          <w:jc w:val="center"/>
        </w:trPr>
        <w:tc>
          <w:tcPr>
            <w:tcW w:w="366" w:type="pct"/>
            <w:vMerge w:val="restart"/>
            <w:shd w:val="clear" w:color="auto" w:fill="BDD7EE"/>
            <w:vAlign w:val="center"/>
          </w:tcPr>
          <w:p w14:paraId="222CC036" w14:textId="77777777" w:rsidR="0039681A" w:rsidRPr="00647572" w:rsidRDefault="0039681A" w:rsidP="00D65011">
            <w:pPr>
              <w:spacing w:after="200" w:line="276" w:lineRule="auto"/>
              <w:rPr>
                <w:rFonts w:ascii="Arial Narrow" w:hAnsi="Arial Narrow"/>
                <w:bCs/>
                <w:noProof/>
                <w:sz w:val="20"/>
                <w:szCs w:val="20"/>
              </w:rPr>
            </w:pPr>
            <w:r w:rsidRPr="00647572">
              <w:rPr>
                <w:rFonts w:ascii="Arial Narrow" w:hAnsi="Arial Narrow"/>
                <w:b/>
                <w:noProof/>
                <w:sz w:val="20"/>
              </w:rPr>
              <w:t>Sequential Number</w:t>
            </w:r>
          </w:p>
        </w:tc>
        <w:tc>
          <w:tcPr>
            <w:tcW w:w="553" w:type="pct"/>
            <w:vMerge w:val="restart"/>
            <w:shd w:val="clear" w:color="auto" w:fill="BDD7EE"/>
            <w:vAlign w:val="center"/>
          </w:tcPr>
          <w:p w14:paraId="29D6AD43" w14:textId="77777777" w:rsidR="0039681A" w:rsidRPr="00647572" w:rsidRDefault="0039681A" w:rsidP="00D65011">
            <w:pPr>
              <w:jc w:val="center"/>
              <w:rPr>
                <w:rFonts w:ascii="Arial Narrow" w:hAnsi="Arial Narrow"/>
                <w:b/>
                <w:noProof/>
                <w:sz w:val="20"/>
                <w:szCs w:val="20"/>
              </w:rPr>
            </w:pPr>
            <w:r w:rsidRPr="00647572">
              <w:rPr>
                <w:rFonts w:ascii="Arial Narrow" w:hAnsi="Arial Narrow"/>
                <w:b/>
                <w:noProof/>
                <w:sz w:val="20"/>
              </w:rPr>
              <w:t>Measure</w:t>
            </w:r>
          </w:p>
        </w:tc>
        <w:tc>
          <w:tcPr>
            <w:tcW w:w="321" w:type="pct"/>
            <w:vMerge w:val="restart"/>
            <w:shd w:val="clear" w:color="auto" w:fill="BDD7EE"/>
            <w:vAlign w:val="center"/>
          </w:tcPr>
          <w:p w14:paraId="2BC1AE6B" w14:textId="77777777" w:rsidR="0039681A" w:rsidRPr="00647572" w:rsidRDefault="0039681A" w:rsidP="00D65011">
            <w:pPr>
              <w:jc w:val="center"/>
              <w:rPr>
                <w:rFonts w:ascii="Arial Narrow" w:hAnsi="Arial Narrow"/>
                <w:b/>
                <w:noProof/>
                <w:sz w:val="20"/>
                <w:szCs w:val="20"/>
              </w:rPr>
            </w:pPr>
            <w:r w:rsidRPr="00647572">
              <w:rPr>
                <w:rFonts w:ascii="Arial Narrow" w:hAnsi="Arial Narrow"/>
                <w:b/>
                <w:noProof/>
                <w:sz w:val="20"/>
              </w:rPr>
              <w:t>Milestone / Target</w:t>
            </w:r>
          </w:p>
        </w:tc>
        <w:tc>
          <w:tcPr>
            <w:tcW w:w="507" w:type="pct"/>
            <w:vMerge w:val="restart"/>
            <w:shd w:val="clear" w:color="auto" w:fill="BDD7EE"/>
            <w:vAlign w:val="center"/>
          </w:tcPr>
          <w:p w14:paraId="404D18DC" w14:textId="77777777" w:rsidR="0039681A" w:rsidRPr="00647572" w:rsidRDefault="0039681A" w:rsidP="00D65011">
            <w:pPr>
              <w:jc w:val="center"/>
              <w:rPr>
                <w:rFonts w:ascii="Arial Narrow" w:hAnsi="Arial Narrow"/>
                <w:b/>
                <w:noProof/>
                <w:sz w:val="20"/>
                <w:szCs w:val="20"/>
              </w:rPr>
            </w:pPr>
            <w:r w:rsidRPr="00647572">
              <w:rPr>
                <w:rFonts w:ascii="Arial Narrow" w:hAnsi="Arial Narrow"/>
                <w:b/>
                <w:noProof/>
                <w:sz w:val="20"/>
              </w:rPr>
              <w:t>Name</w:t>
            </w:r>
          </w:p>
        </w:tc>
        <w:tc>
          <w:tcPr>
            <w:tcW w:w="403" w:type="pct"/>
            <w:vMerge w:val="restart"/>
            <w:shd w:val="clear" w:color="auto" w:fill="BDD7EE"/>
            <w:vAlign w:val="center"/>
          </w:tcPr>
          <w:p w14:paraId="68BF8F87" w14:textId="76C9F137" w:rsidR="0039681A" w:rsidRPr="00647572" w:rsidRDefault="0039681A" w:rsidP="00D65011">
            <w:pPr>
              <w:jc w:val="center"/>
              <w:rPr>
                <w:rFonts w:ascii="Arial Narrow" w:hAnsi="Arial Narrow"/>
                <w:b/>
                <w:noProof/>
                <w:sz w:val="20"/>
                <w:szCs w:val="20"/>
              </w:rPr>
            </w:pPr>
            <w:r w:rsidRPr="00647572">
              <w:rPr>
                <w:rFonts w:ascii="Arial Narrow" w:hAnsi="Arial Narrow"/>
                <w:b/>
                <w:noProof/>
                <w:sz w:val="20"/>
              </w:rPr>
              <w:t>Qualitative indicators</w:t>
            </w:r>
            <w:r w:rsidR="00381DB1">
              <w:rPr>
                <w:rFonts w:ascii="Arial Narrow" w:hAnsi="Arial Narrow"/>
                <w:b/>
                <w:noProof/>
                <w:sz w:val="20"/>
              </w:rPr>
              <w:t xml:space="preserve"> </w:t>
            </w:r>
            <w:r w:rsidRPr="00647572">
              <w:rPr>
                <w:noProof/>
              </w:rPr>
              <w:br/>
            </w:r>
            <w:r w:rsidRPr="00647572">
              <w:rPr>
                <w:rFonts w:ascii="Arial Narrow" w:hAnsi="Arial Narrow"/>
                <w:b/>
                <w:noProof/>
                <w:sz w:val="20"/>
              </w:rPr>
              <w:t>(for milestones)</w:t>
            </w:r>
          </w:p>
        </w:tc>
        <w:tc>
          <w:tcPr>
            <w:tcW w:w="1159" w:type="pct"/>
            <w:gridSpan w:val="3"/>
            <w:shd w:val="clear" w:color="auto" w:fill="BDD7EE"/>
            <w:vAlign w:val="center"/>
          </w:tcPr>
          <w:p w14:paraId="17F2258E" w14:textId="4313207A" w:rsidR="0039681A" w:rsidRPr="00647572" w:rsidRDefault="0039681A" w:rsidP="00D65011">
            <w:pPr>
              <w:jc w:val="center"/>
              <w:rPr>
                <w:rFonts w:ascii="Arial Narrow" w:hAnsi="Arial Narrow"/>
                <w:b/>
                <w:noProof/>
                <w:sz w:val="20"/>
                <w:szCs w:val="20"/>
              </w:rPr>
            </w:pPr>
            <w:r w:rsidRPr="00647572">
              <w:rPr>
                <w:rFonts w:ascii="Arial Narrow" w:hAnsi="Arial Narrow"/>
                <w:b/>
                <w:noProof/>
                <w:sz w:val="20"/>
              </w:rPr>
              <w:t>Quantitative indicators</w:t>
            </w:r>
            <w:r w:rsidR="00381DB1">
              <w:rPr>
                <w:rFonts w:ascii="Arial Narrow" w:hAnsi="Arial Narrow"/>
                <w:b/>
                <w:noProof/>
                <w:sz w:val="20"/>
              </w:rPr>
              <w:t xml:space="preserve"> </w:t>
            </w:r>
            <w:r w:rsidRPr="00647572">
              <w:rPr>
                <w:noProof/>
              </w:rPr>
              <w:br/>
            </w:r>
            <w:r w:rsidRPr="00647572">
              <w:rPr>
                <w:rFonts w:ascii="Arial Narrow" w:hAnsi="Arial Narrow"/>
                <w:b/>
                <w:noProof/>
                <w:sz w:val="20"/>
              </w:rPr>
              <w:t>(for targets)</w:t>
            </w:r>
          </w:p>
        </w:tc>
        <w:tc>
          <w:tcPr>
            <w:tcW w:w="500" w:type="pct"/>
            <w:gridSpan w:val="2"/>
            <w:shd w:val="clear" w:color="auto" w:fill="BDD7EE"/>
            <w:vAlign w:val="center"/>
          </w:tcPr>
          <w:p w14:paraId="3F978790" w14:textId="77777777" w:rsidR="0039681A" w:rsidRPr="00647572" w:rsidRDefault="0039681A" w:rsidP="00D65011">
            <w:pPr>
              <w:jc w:val="center"/>
              <w:rPr>
                <w:rFonts w:ascii="Arial Narrow" w:hAnsi="Arial Narrow"/>
                <w:b/>
                <w:bCs/>
                <w:noProof/>
                <w:sz w:val="20"/>
                <w:szCs w:val="20"/>
              </w:rPr>
            </w:pPr>
            <w:r w:rsidRPr="1966C98E">
              <w:rPr>
                <w:rFonts w:ascii="Arial Narrow" w:hAnsi="Arial Narrow"/>
                <w:b/>
                <w:bCs/>
                <w:noProof/>
                <w:sz w:val="20"/>
                <w:szCs w:val="20"/>
              </w:rPr>
              <w:t>Indicative timeline for completion</w:t>
            </w:r>
          </w:p>
        </w:tc>
        <w:tc>
          <w:tcPr>
            <w:tcW w:w="1191" w:type="pct"/>
            <w:vMerge w:val="restart"/>
            <w:shd w:val="clear" w:color="auto" w:fill="BDD7EE"/>
            <w:vAlign w:val="center"/>
          </w:tcPr>
          <w:p w14:paraId="33386406" w14:textId="77777777" w:rsidR="0039681A" w:rsidRPr="00A36E36" w:rsidRDefault="0039681A" w:rsidP="00D65011">
            <w:pP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5460FE7A" w14:textId="77777777" w:rsidTr="00D65011">
        <w:trPr>
          <w:trHeight w:val="363"/>
          <w:tblHeader/>
          <w:jc w:val="center"/>
        </w:trPr>
        <w:tc>
          <w:tcPr>
            <w:tcW w:w="366" w:type="pct"/>
            <w:vMerge/>
            <w:vAlign w:val="center"/>
            <w:hideMark/>
          </w:tcPr>
          <w:p w14:paraId="6C25D253" w14:textId="77777777" w:rsidR="0039681A" w:rsidRPr="00A36E36" w:rsidRDefault="0039681A" w:rsidP="00D65011">
            <w:pPr>
              <w:spacing w:after="200" w:line="276" w:lineRule="auto"/>
              <w:rPr>
                <w:rFonts w:ascii="Arial Narrow" w:hAnsi="Arial Narrow"/>
                <w:b/>
                <w:noProof/>
                <w:sz w:val="20"/>
                <w:szCs w:val="20"/>
                <w:lang w:val="en-IE"/>
              </w:rPr>
            </w:pPr>
          </w:p>
        </w:tc>
        <w:tc>
          <w:tcPr>
            <w:tcW w:w="553" w:type="pct"/>
            <w:vMerge/>
            <w:vAlign w:val="center"/>
            <w:hideMark/>
          </w:tcPr>
          <w:p w14:paraId="0202B830" w14:textId="77777777" w:rsidR="0039681A" w:rsidRPr="00A36E36" w:rsidRDefault="0039681A" w:rsidP="00D65011">
            <w:pPr>
              <w:jc w:val="center"/>
              <w:rPr>
                <w:rFonts w:ascii="Arial Narrow" w:hAnsi="Arial Narrow"/>
                <w:b/>
                <w:noProof/>
                <w:sz w:val="20"/>
                <w:szCs w:val="20"/>
                <w:lang w:val="en-IE"/>
              </w:rPr>
            </w:pPr>
          </w:p>
        </w:tc>
        <w:tc>
          <w:tcPr>
            <w:tcW w:w="321" w:type="pct"/>
            <w:vMerge/>
            <w:vAlign w:val="center"/>
            <w:hideMark/>
          </w:tcPr>
          <w:p w14:paraId="3D60AAA2" w14:textId="77777777" w:rsidR="0039681A" w:rsidRPr="00A36E36" w:rsidRDefault="0039681A" w:rsidP="00D65011">
            <w:pPr>
              <w:jc w:val="center"/>
              <w:rPr>
                <w:rFonts w:ascii="Arial Narrow" w:hAnsi="Arial Narrow"/>
                <w:b/>
                <w:noProof/>
                <w:sz w:val="20"/>
                <w:szCs w:val="20"/>
                <w:lang w:val="en-IE"/>
              </w:rPr>
            </w:pPr>
          </w:p>
        </w:tc>
        <w:tc>
          <w:tcPr>
            <w:tcW w:w="507" w:type="pct"/>
            <w:vMerge/>
            <w:vAlign w:val="center"/>
            <w:hideMark/>
          </w:tcPr>
          <w:p w14:paraId="407ECE3D" w14:textId="77777777" w:rsidR="0039681A" w:rsidRPr="00A36E36" w:rsidRDefault="0039681A" w:rsidP="00D65011">
            <w:pPr>
              <w:jc w:val="center"/>
              <w:rPr>
                <w:rFonts w:ascii="Arial Narrow" w:hAnsi="Arial Narrow"/>
                <w:b/>
                <w:noProof/>
                <w:sz w:val="20"/>
                <w:szCs w:val="20"/>
                <w:lang w:val="en-IE"/>
              </w:rPr>
            </w:pPr>
          </w:p>
        </w:tc>
        <w:tc>
          <w:tcPr>
            <w:tcW w:w="403" w:type="pct"/>
            <w:vMerge/>
            <w:vAlign w:val="center"/>
            <w:hideMark/>
          </w:tcPr>
          <w:p w14:paraId="5BBACC48" w14:textId="77777777" w:rsidR="0039681A" w:rsidRPr="00A36E36" w:rsidRDefault="0039681A" w:rsidP="00D65011">
            <w:pPr>
              <w:jc w:val="center"/>
              <w:rPr>
                <w:rFonts w:ascii="Arial Narrow" w:hAnsi="Arial Narrow"/>
                <w:b/>
                <w:noProof/>
                <w:sz w:val="20"/>
                <w:szCs w:val="20"/>
                <w:lang w:val="en-IE"/>
              </w:rPr>
            </w:pPr>
          </w:p>
        </w:tc>
        <w:tc>
          <w:tcPr>
            <w:tcW w:w="368" w:type="pct"/>
            <w:shd w:val="clear" w:color="auto" w:fill="BDD7EE"/>
            <w:vAlign w:val="center"/>
            <w:hideMark/>
          </w:tcPr>
          <w:p w14:paraId="283BC2FF" w14:textId="77777777" w:rsidR="0039681A" w:rsidRPr="00647572" w:rsidRDefault="0039681A" w:rsidP="00D65011">
            <w:pPr>
              <w:jc w:val="center"/>
              <w:rPr>
                <w:rFonts w:ascii="Arial Narrow" w:hAnsi="Arial Narrow"/>
                <w:b/>
                <w:noProof/>
                <w:sz w:val="20"/>
                <w:szCs w:val="20"/>
              </w:rPr>
            </w:pPr>
            <w:r w:rsidRPr="00647572">
              <w:rPr>
                <w:rFonts w:ascii="Arial Narrow" w:hAnsi="Arial Narrow"/>
                <w:b/>
                <w:noProof/>
                <w:sz w:val="20"/>
              </w:rPr>
              <w:t>Unit of measure</w:t>
            </w:r>
          </w:p>
        </w:tc>
        <w:tc>
          <w:tcPr>
            <w:tcW w:w="424" w:type="pct"/>
            <w:shd w:val="clear" w:color="auto" w:fill="BDD7EE"/>
            <w:vAlign w:val="center"/>
            <w:hideMark/>
          </w:tcPr>
          <w:p w14:paraId="17B46623" w14:textId="77777777" w:rsidR="0039681A" w:rsidRPr="00647572" w:rsidRDefault="0039681A" w:rsidP="00D65011">
            <w:pPr>
              <w:jc w:val="center"/>
              <w:rPr>
                <w:rFonts w:ascii="Arial Narrow" w:hAnsi="Arial Narrow"/>
                <w:b/>
                <w:noProof/>
                <w:sz w:val="20"/>
                <w:szCs w:val="20"/>
              </w:rPr>
            </w:pPr>
            <w:r w:rsidRPr="00647572">
              <w:rPr>
                <w:rFonts w:ascii="Arial Narrow" w:hAnsi="Arial Narrow"/>
                <w:b/>
                <w:noProof/>
                <w:sz w:val="20"/>
              </w:rPr>
              <w:t>Baseline</w:t>
            </w:r>
          </w:p>
        </w:tc>
        <w:tc>
          <w:tcPr>
            <w:tcW w:w="367" w:type="pct"/>
            <w:shd w:val="clear" w:color="auto" w:fill="BDD7EE"/>
            <w:vAlign w:val="center"/>
            <w:hideMark/>
          </w:tcPr>
          <w:p w14:paraId="7EBF1AB6" w14:textId="77777777" w:rsidR="0039681A" w:rsidRPr="00647572" w:rsidRDefault="0039681A" w:rsidP="00D65011">
            <w:pPr>
              <w:jc w:val="center"/>
              <w:rPr>
                <w:rFonts w:ascii="Arial Narrow" w:hAnsi="Arial Narrow"/>
                <w:b/>
                <w:noProof/>
                <w:sz w:val="20"/>
                <w:szCs w:val="20"/>
              </w:rPr>
            </w:pPr>
            <w:r w:rsidRPr="00647572">
              <w:rPr>
                <w:rFonts w:ascii="Arial Narrow" w:hAnsi="Arial Narrow"/>
                <w:b/>
                <w:noProof/>
                <w:sz w:val="20"/>
              </w:rPr>
              <w:t>Goal</w:t>
            </w:r>
          </w:p>
        </w:tc>
        <w:tc>
          <w:tcPr>
            <w:tcW w:w="275" w:type="pct"/>
            <w:shd w:val="clear" w:color="auto" w:fill="BDD7EE"/>
            <w:vAlign w:val="center"/>
            <w:hideMark/>
          </w:tcPr>
          <w:p w14:paraId="0470BBB2" w14:textId="77777777" w:rsidR="0039681A" w:rsidRPr="00647572" w:rsidRDefault="0039681A" w:rsidP="00D65011">
            <w:pPr>
              <w:jc w:val="center"/>
              <w:rPr>
                <w:rFonts w:ascii="Arial Narrow" w:hAnsi="Arial Narrow"/>
                <w:b/>
                <w:noProof/>
                <w:sz w:val="20"/>
                <w:szCs w:val="20"/>
              </w:rPr>
            </w:pPr>
            <w:r w:rsidRPr="00647572">
              <w:rPr>
                <w:rFonts w:ascii="Arial Narrow" w:hAnsi="Arial Narrow"/>
                <w:b/>
                <w:noProof/>
                <w:sz w:val="20"/>
              </w:rPr>
              <w:t>Quarter</w:t>
            </w:r>
          </w:p>
        </w:tc>
        <w:tc>
          <w:tcPr>
            <w:tcW w:w="225" w:type="pct"/>
            <w:shd w:val="clear" w:color="auto" w:fill="BDD7EE"/>
            <w:vAlign w:val="center"/>
            <w:hideMark/>
          </w:tcPr>
          <w:p w14:paraId="73DD4DA3" w14:textId="77777777" w:rsidR="0039681A" w:rsidRPr="00647572" w:rsidRDefault="0039681A" w:rsidP="00D65011">
            <w:pPr>
              <w:jc w:val="center"/>
              <w:rPr>
                <w:rFonts w:ascii="Arial Narrow" w:hAnsi="Arial Narrow"/>
                <w:b/>
                <w:noProof/>
                <w:sz w:val="20"/>
                <w:szCs w:val="20"/>
              </w:rPr>
            </w:pPr>
            <w:r w:rsidRPr="00647572">
              <w:rPr>
                <w:rFonts w:ascii="Arial Narrow" w:hAnsi="Arial Narrow"/>
                <w:b/>
                <w:noProof/>
                <w:sz w:val="20"/>
              </w:rPr>
              <w:t>Year</w:t>
            </w:r>
          </w:p>
        </w:tc>
        <w:tc>
          <w:tcPr>
            <w:tcW w:w="1191" w:type="pct"/>
            <w:vMerge/>
            <w:vAlign w:val="center"/>
            <w:hideMark/>
          </w:tcPr>
          <w:p w14:paraId="0BF86C57" w14:textId="77777777" w:rsidR="0039681A" w:rsidRPr="00647572" w:rsidRDefault="0039681A" w:rsidP="00D65011">
            <w:pPr>
              <w:rPr>
                <w:rFonts w:ascii="Arial Narrow" w:hAnsi="Arial Narrow"/>
                <w:b/>
                <w:noProof/>
                <w:sz w:val="20"/>
                <w:szCs w:val="20"/>
              </w:rPr>
            </w:pPr>
          </w:p>
        </w:tc>
      </w:tr>
      <w:tr w:rsidR="0039681A" w:rsidRPr="0070054C" w14:paraId="0467B5AE" w14:textId="77777777" w:rsidTr="00D65011">
        <w:trPr>
          <w:trHeight w:val="309"/>
          <w:jc w:val="center"/>
        </w:trPr>
        <w:tc>
          <w:tcPr>
            <w:tcW w:w="366" w:type="pct"/>
            <w:shd w:val="clear" w:color="auto" w:fill="C6EFCE"/>
            <w:noWrap/>
            <w:vAlign w:val="center"/>
            <w:hideMark/>
          </w:tcPr>
          <w:p w14:paraId="280F62FE"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szCs w:val="20"/>
              </w:rPr>
              <w:t>M1C3-2</w:t>
            </w:r>
          </w:p>
        </w:tc>
        <w:tc>
          <w:tcPr>
            <w:tcW w:w="553" w:type="pct"/>
            <w:shd w:val="clear" w:color="auto" w:fill="C6EFCE"/>
            <w:noWrap/>
            <w:vAlign w:val="center"/>
            <w:hideMark/>
          </w:tcPr>
          <w:p w14:paraId="7155677D" w14:textId="77777777" w:rsidR="0039681A" w:rsidRPr="00A36E36" w:rsidRDefault="0039681A" w:rsidP="00D65011">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- 1.1 Digital Strategy and Platforms for Cultural Heritage</w:t>
            </w:r>
          </w:p>
        </w:tc>
        <w:tc>
          <w:tcPr>
            <w:tcW w:w="321" w:type="pct"/>
            <w:shd w:val="clear" w:color="auto" w:fill="C6EFCE"/>
            <w:noWrap/>
            <w:vAlign w:val="center"/>
            <w:hideMark/>
          </w:tcPr>
          <w:p w14:paraId="74700F9B"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07" w:type="pct"/>
            <w:shd w:val="clear" w:color="auto" w:fill="C6EFCE"/>
            <w:noWrap/>
            <w:vAlign w:val="center"/>
            <w:hideMark/>
          </w:tcPr>
          <w:p w14:paraId="0A13AE6A"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Published digital media resources</w:t>
            </w:r>
          </w:p>
        </w:tc>
        <w:tc>
          <w:tcPr>
            <w:tcW w:w="403" w:type="pct"/>
            <w:shd w:val="clear" w:color="auto" w:fill="C6EFCE"/>
            <w:noWrap/>
            <w:vAlign w:val="center"/>
            <w:hideMark/>
          </w:tcPr>
          <w:p w14:paraId="3016CAC9"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68" w:type="pct"/>
            <w:shd w:val="clear" w:color="auto" w:fill="C6EFCE"/>
            <w:noWrap/>
            <w:vAlign w:val="center"/>
            <w:hideMark/>
          </w:tcPr>
          <w:p w14:paraId="756E5649"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424" w:type="pct"/>
            <w:shd w:val="clear" w:color="auto" w:fill="C6EFCE"/>
            <w:noWrap/>
            <w:vAlign w:val="center"/>
            <w:hideMark/>
          </w:tcPr>
          <w:p w14:paraId="24F1237C"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367" w:type="pct"/>
            <w:shd w:val="clear" w:color="auto" w:fill="C6EFCE"/>
            <w:noWrap/>
            <w:vAlign w:val="center"/>
            <w:hideMark/>
          </w:tcPr>
          <w:p w14:paraId="51EB145A"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65 000 000</w:t>
            </w:r>
          </w:p>
        </w:tc>
        <w:tc>
          <w:tcPr>
            <w:tcW w:w="275" w:type="pct"/>
            <w:shd w:val="clear" w:color="auto" w:fill="C6EFCE"/>
            <w:noWrap/>
            <w:vAlign w:val="center"/>
            <w:hideMark/>
          </w:tcPr>
          <w:p w14:paraId="4278A566"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5" w:type="pct"/>
            <w:shd w:val="clear" w:color="auto" w:fill="C6EFCE"/>
            <w:noWrap/>
            <w:vAlign w:val="center"/>
            <w:hideMark/>
          </w:tcPr>
          <w:p w14:paraId="296E18B1"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1191" w:type="pct"/>
            <w:shd w:val="clear" w:color="auto" w:fill="C6EFCE"/>
            <w:noWrap/>
            <w:vAlign w:val="center"/>
            <w:hideMark/>
          </w:tcPr>
          <w:p w14:paraId="7FB60195"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At least 65 000 000 digital media resources shall be published.</w:t>
            </w:r>
          </w:p>
        </w:tc>
      </w:tr>
      <w:tr w:rsidR="0039681A" w:rsidRPr="0070054C" w14:paraId="6FA5C4C0" w14:textId="77777777" w:rsidTr="00D65011">
        <w:trPr>
          <w:trHeight w:val="309"/>
          <w:jc w:val="center"/>
        </w:trPr>
        <w:tc>
          <w:tcPr>
            <w:tcW w:w="366" w:type="pct"/>
            <w:shd w:val="clear" w:color="auto" w:fill="C6EFCE"/>
            <w:noWrap/>
            <w:vAlign w:val="center"/>
            <w:hideMark/>
          </w:tcPr>
          <w:p w14:paraId="19B19421"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szCs w:val="20"/>
              </w:rPr>
              <w:t>M1C3-3</w:t>
            </w:r>
          </w:p>
        </w:tc>
        <w:tc>
          <w:tcPr>
            <w:tcW w:w="553" w:type="pct"/>
            <w:shd w:val="clear" w:color="auto" w:fill="C6EFCE"/>
            <w:noWrap/>
            <w:vAlign w:val="center"/>
            <w:hideMark/>
          </w:tcPr>
          <w:p w14:paraId="4C8C6724" w14:textId="77777777" w:rsidR="0039681A" w:rsidRPr="00A36E36" w:rsidRDefault="0039681A" w:rsidP="00D65011">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- 1.2 Removal of physical and cognitive barriers in museums, libraries and archives to enable wider access to and participation in culture</w:t>
            </w:r>
          </w:p>
        </w:tc>
        <w:tc>
          <w:tcPr>
            <w:tcW w:w="321" w:type="pct"/>
            <w:shd w:val="clear" w:color="auto" w:fill="C6EFCE"/>
            <w:noWrap/>
            <w:vAlign w:val="center"/>
            <w:hideMark/>
          </w:tcPr>
          <w:p w14:paraId="415DAFE9"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07" w:type="pct"/>
            <w:shd w:val="clear" w:color="auto" w:fill="C6EFCE"/>
            <w:noWrap/>
            <w:vAlign w:val="center"/>
            <w:hideMark/>
          </w:tcPr>
          <w:p w14:paraId="423263B2" w14:textId="407F2A51" w:rsidR="0039681A" w:rsidRPr="00A36E36" w:rsidRDefault="0039681A" w:rsidP="00D65011">
            <w:pPr>
              <w:jc w:val="center"/>
              <w:rPr>
                <w:rFonts w:ascii="Arial Narrow" w:hAnsi="Arial Narrow"/>
                <w:noProof/>
                <w:color w:val="006100"/>
                <w:sz w:val="20"/>
                <w:szCs w:val="20"/>
                <w:lang w:val="en-IE"/>
              </w:rPr>
            </w:pPr>
            <w:r w:rsidRPr="11119C30">
              <w:rPr>
                <w:rFonts w:ascii="Arial Narrow" w:hAnsi="Arial Narrow"/>
                <w:noProof/>
                <w:color w:val="006100"/>
                <w:sz w:val="20"/>
                <w:szCs w:val="20"/>
                <w:lang w:val="en-IE"/>
              </w:rPr>
              <w:t xml:space="preserve">Interventions in museums, monuments, archaeological areas and parks, archives and libraries </w:t>
            </w:r>
          </w:p>
        </w:tc>
        <w:tc>
          <w:tcPr>
            <w:tcW w:w="403" w:type="pct"/>
            <w:shd w:val="clear" w:color="auto" w:fill="C6EFCE"/>
            <w:noWrap/>
            <w:vAlign w:val="center"/>
            <w:hideMark/>
          </w:tcPr>
          <w:p w14:paraId="22278CA4"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68" w:type="pct"/>
            <w:shd w:val="clear" w:color="auto" w:fill="C6EFCE"/>
            <w:noWrap/>
            <w:vAlign w:val="center"/>
            <w:hideMark/>
          </w:tcPr>
          <w:p w14:paraId="624B3569"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424" w:type="pct"/>
            <w:shd w:val="clear" w:color="auto" w:fill="C6EFCE"/>
            <w:noWrap/>
            <w:vAlign w:val="center"/>
            <w:hideMark/>
          </w:tcPr>
          <w:p w14:paraId="7A4CE212"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367" w:type="pct"/>
            <w:shd w:val="clear" w:color="auto" w:fill="C6EFCE"/>
            <w:noWrap/>
            <w:vAlign w:val="center"/>
            <w:hideMark/>
          </w:tcPr>
          <w:p w14:paraId="7289C013"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617</w:t>
            </w:r>
          </w:p>
        </w:tc>
        <w:tc>
          <w:tcPr>
            <w:tcW w:w="275" w:type="pct"/>
            <w:shd w:val="clear" w:color="auto" w:fill="C6EFCE"/>
            <w:noWrap/>
            <w:vAlign w:val="center"/>
            <w:hideMark/>
          </w:tcPr>
          <w:p w14:paraId="299A9CB4"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5" w:type="pct"/>
            <w:shd w:val="clear" w:color="auto" w:fill="C6EFCE"/>
            <w:noWrap/>
            <w:vAlign w:val="center"/>
            <w:hideMark/>
          </w:tcPr>
          <w:p w14:paraId="2B7A6C59"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1191" w:type="pct"/>
            <w:shd w:val="clear" w:color="auto" w:fill="C6EFCE"/>
            <w:noWrap/>
            <w:vAlign w:val="center"/>
            <w:hideMark/>
          </w:tcPr>
          <w:p w14:paraId="129B6CB3" w14:textId="77777777" w:rsidR="0039681A" w:rsidRPr="00A01C2D" w:rsidRDefault="0039681A" w:rsidP="00D65011">
            <w:pPr>
              <w:rPr>
                <w:rFonts w:ascii="Arial Narrow" w:hAnsi="Arial Narrow"/>
                <w:noProof/>
                <w:color w:val="006100"/>
                <w:sz w:val="20"/>
                <w:szCs w:val="20"/>
                <w:lang w:val="en-IE"/>
              </w:rPr>
            </w:pPr>
            <w:r w:rsidRPr="11119C30">
              <w:rPr>
                <w:rFonts w:ascii="Arial Narrow" w:hAnsi="Arial Narrow"/>
                <w:noProof/>
                <w:color w:val="006100"/>
                <w:sz w:val="20"/>
                <w:szCs w:val="20"/>
                <w:lang w:val="en-IE"/>
              </w:rPr>
              <w:t>The certificates of completion of works and/or services shall be issued for a total of at least 617 museums, monuments, archaeological areas and parks, archives and libraries.</w:t>
            </w:r>
          </w:p>
        </w:tc>
      </w:tr>
      <w:tr w:rsidR="0039681A" w:rsidRPr="0070054C" w14:paraId="07FB24EA" w14:textId="77777777" w:rsidTr="00D65011">
        <w:trPr>
          <w:trHeight w:val="309"/>
          <w:jc w:val="center"/>
        </w:trPr>
        <w:tc>
          <w:tcPr>
            <w:tcW w:w="366" w:type="pct"/>
            <w:shd w:val="clear" w:color="auto" w:fill="C6EFCE"/>
            <w:noWrap/>
            <w:vAlign w:val="center"/>
            <w:hideMark/>
          </w:tcPr>
          <w:p w14:paraId="4579DCA8"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M1C3-4</w:t>
            </w:r>
          </w:p>
        </w:tc>
        <w:tc>
          <w:tcPr>
            <w:tcW w:w="553" w:type="pct"/>
            <w:shd w:val="clear" w:color="auto" w:fill="C6EFCE"/>
            <w:noWrap/>
            <w:vAlign w:val="center"/>
            <w:hideMark/>
          </w:tcPr>
          <w:p w14:paraId="6F12E9E0" w14:textId="77777777" w:rsidR="0039681A" w:rsidRPr="00A36E36" w:rsidRDefault="0039681A" w:rsidP="00D65011">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- 1.3 Improve energy efficiency in cinema, theatres and museums</w:t>
            </w:r>
          </w:p>
        </w:tc>
        <w:tc>
          <w:tcPr>
            <w:tcW w:w="321" w:type="pct"/>
            <w:shd w:val="clear" w:color="auto" w:fill="C6EFCE"/>
            <w:noWrap/>
            <w:vAlign w:val="center"/>
            <w:hideMark/>
          </w:tcPr>
          <w:p w14:paraId="43A33634"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07" w:type="pct"/>
            <w:shd w:val="clear" w:color="auto" w:fill="C6EFCE"/>
            <w:noWrap/>
            <w:vAlign w:val="center"/>
            <w:hideMark/>
          </w:tcPr>
          <w:p w14:paraId="67633E3B" w14:textId="3D490E1C" w:rsidR="0039681A" w:rsidRPr="00A36E36" w:rsidRDefault="0039681A" w:rsidP="00D65011">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Interventions on State museums and cultural sites, theatrical halls and</w:t>
            </w:r>
            <w:r w:rsidR="00381DB1">
              <w:rPr>
                <w:rFonts w:ascii="Arial Narrow" w:hAnsi="Arial Narrow"/>
                <w:noProof/>
                <w:color w:val="006100"/>
                <w:sz w:val="20"/>
                <w:lang w:val="en-IE"/>
              </w:rPr>
              <w:t xml:space="preserve"> </w:t>
            </w:r>
            <w:r w:rsidRPr="00A36E36">
              <w:rPr>
                <w:rFonts w:ascii="Arial Narrow" w:hAnsi="Arial Narrow"/>
                <w:noProof/>
                <w:color w:val="006100"/>
                <w:sz w:val="20"/>
                <w:lang w:val="en-IE"/>
              </w:rPr>
              <w:t>cinemas concluded (first batch)</w:t>
            </w:r>
          </w:p>
        </w:tc>
        <w:tc>
          <w:tcPr>
            <w:tcW w:w="403" w:type="pct"/>
            <w:shd w:val="clear" w:color="auto" w:fill="C6EFCE"/>
            <w:noWrap/>
            <w:vAlign w:val="center"/>
            <w:hideMark/>
          </w:tcPr>
          <w:p w14:paraId="6557595D"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68" w:type="pct"/>
            <w:shd w:val="clear" w:color="auto" w:fill="C6EFCE"/>
            <w:noWrap/>
            <w:vAlign w:val="center"/>
            <w:hideMark/>
          </w:tcPr>
          <w:p w14:paraId="630C2F42"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424" w:type="pct"/>
            <w:shd w:val="clear" w:color="auto" w:fill="C6EFCE"/>
            <w:noWrap/>
            <w:vAlign w:val="center"/>
            <w:hideMark/>
          </w:tcPr>
          <w:p w14:paraId="657DD516"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367" w:type="pct"/>
            <w:shd w:val="clear" w:color="auto" w:fill="C6EFCE"/>
            <w:noWrap/>
            <w:vAlign w:val="center"/>
            <w:hideMark/>
          </w:tcPr>
          <w:p w14:paraId="27648C3A"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80</w:t>
            </w:r>
          </w:p>
        </w:tc>
        <w:tc>
          <w:tcPr>
            <w:tcW w:w="275" w:type="pct"/>
            <w:shd w:val="clear" w:color="auto" w:fill="C6EFCE"/>
            <w:noWrap/>
            <w:vAlign w:val="center"/>
            <w:hideMark/>
          </w:tcPr>
          <w:p w14:paraId="576461BD"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225" w:type="pct"/>
            <w:shd w:val="clear" w:color="auto" w:fill="C6EFCE"/>
            <w:noWrap/>
            <w:vAlign w:val="center"/>
            <w:hideMark/>
          </w:tcPr>
          <w:p w14:paraId="4106733D"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1191" w:type="pct"/>
            <w:shd w:val="clear" w:color="auto" w:fill="C6EFCE"/>
            <w:noWrap/>
            <w:vAlign w:val="center"/>
            <w:hideMark/>
          </w:tcPr>
          <w:p w14:paraId="2F7FD45C"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The indicator refers to the number of interventions concluded as proved by the certification of regular execution of the works.</w:t>
            </w:r>
          </w:p>
          <w:p w14:paraId="5602A829"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The type of interventions to be completed include:</w:t>
            </w:r>
          </w:p>
          <w:p w14:paraId="3EFA0576" w14:textId="77777777" w:rsidR="0039681A" w:rsidRPr="00A36E36" w:rsidRDefault="0039681A" w:rsidP="00D65011">
            <w:pPr>
              <w:ind w:left="315" w:hanging="315"/>
              <w:rPr>
                <w:rFonts w:ascii="Arial Narrow" w:hAnsi="Arial Narrow"/>
                <w:noProof/>
                <w:color w:val="006100"/>
                <w:sz w:val="20"/>
                <w:szCs w:val="20"/>
                <w:lang w:val="en-IE"/>
              </w:rPr>
            </w:pPr>
            <w:r w:rsidRPr="00A36E36">
              <w:rPr>
                <w:rFonts w:ascii="Arial Narrow" w:hAnsi="Arial Narrow"/>
                <w:noProof/>
                <w:color w:val="003A00"/>
                <w:sz w:val="20"/>
                <w:lang w:val="en-IE"/>
              </w:rPr>
              <w:t>-</w:t>
            </w:r>
            <w:r w:rsidRPr="00A36E36">
              <w:rPr>
                <w:noProof/>
                <w:color w:val="003A00"/>
                <w:lang w:val="en-IE"/>
              </w:rPr>
              <w:tab/>
            </w:r>
            <w:r w:rsidRPr="00A36E36">
              <w:rPr>
                <w:rFonts w:ascii="Arial Narrow" w:hAnsi="Arial Narrow"/>
                <w:noProof/>
                <w:color w:val="006100"/>
                <w:sz w:val="20"/>
                <w:lang w:val="en-IE"/>
              </w:rPr>
              <w:t>technical and economic-financial planning, energy audits, initial environmental analyses, environmental impact assessment, reliefs and assessments aimed at identifying critical issues, identification of the consequent interventions for the improvement of energy performance;</w:t>
            </w:r>
          </w:p>
          <w:p w14:paraId="18B04E2C" w14:textId="77777777" w:rsidR="0039681A" w:rsidRPr="00A36E36" w:rsidRDefault="0039681A" w:rsidP="00D65011">
            <w:pPr>
              <w:ind w:left="315" w:hanging="315"/>
              <w:rPr>
                <w:rFonts w:ascii="Arial Narrow" w:hAnsi="Arial Narrow"/>
                <w:noProof/>
                <w:color w:val="006100"/>
                <w:sz w:val="20"/>
                <w:szCs w:val="20"/>
                <w:lang w:val="en-IE"/>
              </w:rPr>
            </w:pPr>
            <w:r w:rsidRPr="00A36E36">
              <w:rPr>
                <w:rFonts w:ascii="Arial Narrow" w:hAnsi="Arial Narrow"/>
                <w:noProof/>
                <w:color w:val="003A00"/>
                <w:sz w:val="20"/>
                <w:lang w:val="en-IE"/>
              </w:rPr>
              <w:t>-</w:t>
            </w:r>
            <w:r w:rsidRPr="00A36E36">
              <w:rPr>
                <w:noProof/>
                <w:color w:val="003A00"/>
                <w:lang w:val="en-IE"/>
              </w:rPr>
              <w:tab/>
            </w:r>
            <w:r w:rsidRPr="00A36E36">
              <w:rPr>
                <w:rFonts w:ascii="Arial Narrow" w:hAnsi="Arial Narrow"/>
                <w:noProof/>
                <w:color w:val="006100"/>
                <w:sz w:val="20"/>
                <w:lang w:val="en-IE"/>
              </w:rPr>
              <w:t>interventions on the building envelope;</w:t>
            </w:r>
          </w:p>
          <w:p w14:paraId="3EB39A58" w14:textId="77777777" w:rsidR="0039681A" w:rsidRPr="00A36E36" w:rsidRDefault="0039681A" w:rsidP="00D65011">
            <w:pPr>
              <w:ind w:left="315" w:hanging="315"/>
              <w:rPr>
                <w:rFonts w:ascii="Arial Narrow" w:hAnsi="Arial Narrow"/>
                <w:noProof/>
                <w:color w:val="006100"/>
                <w:sz w:val="20"/>
                <w:szCs w:val="20"/>
                <w:lang w:val="en-IE"/>
              </w:rPr>
            </w:pPr>
            <w:r w:rsidRPr="00A36E36">
              <w:rPr>
                <w:rFonts w:ascii="Arial Narrow" w:hAnsi="Arial Narrow"/>
                <w:noProof/>
                <w:color w:val="003A00"/>
                <w:sz w:val="20"/>
                <w:lang w:val="en-IE"/>
              </w:rPr>
              <w:t>-</w:t>
            </w:r>
            <w:r w:rsidRPr="00A36E36">
              <w:rPr>
                <w:noProof/>
                <w:color w:val="003A00"/>
                <w:lang w:val="en-IE"/>
              </w:rPr>
              <w:tab/>
            </w:r>
            <w:r w:rsidRPr="00A36E36">
              <w:rPr>
                <w:rFonts w:ascii="Arial Narrow" w:hAnsi="Arial Narrow"/>
                <w:noProof/>
                <w:color w:val="006100"/>
                <w:sz w:val="20"/>
                <w:lang w:val="en-IE"/>
              </w:rPr>
              <w:t>interventions of replacement/acquisition of equipment, tools, systems, devices, digital application software, as well as accessory instrumentation for their operation, the acquisition of patents, licenses and know-how;</w:t>
            </w:r>
          </w:p>
          <w:p w14:paraId="0B34E9D4" w14:textId="77777777" w:rsidR="0039681A" w:rsidRPr="00A36E36" w:rsidRDefault="0039681A" w:rsidP="00D65011">
            <w:pPr>
              <w:ind w:left="315" w:hanging="315"/>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color w:val="003A00"/>
                <w:lang w:val="en-IE"/>
              </w:rPr>
              <w:tab/>
            </w:r>
            <w:r w:rsidRPr="00A36E36">
              <w:rPr>
                <w:rFonts w:ascii="Arial Narrow" w:hAnsi="Arial Narrow"/>
                <w:noProof/>
                <w:color w:val="006100"/>
                <w:sz w:val="20"/>
                <w:lang w:val="en-IE"/>
              </w:rPr>
              <w:t>installation of intelligent systems for remote control, regulation, management, monitoring and optimisation of energy consumption (smart buildings) and polluting emissions also through the use of technological mixes.</w:t>
            </w:r>
          </w:p>
        </w:tc>
      </w:tr>
      <w:tr w:rsidR="0039681A" w:rsidRPr="0070054C" w14:paraId="5EDD1C70" w14:textId="77777777" w:rsidTr="00D65011">
        <w:trPr>
          <w:trHeight w:val="309"/>
          <w:jc w:val="center"/>
        </w:trPr>
        <w:tc>
          <w:tcPr>
            <w:tcW w:w="366" w:type="pct"/>
            <w:shd w:val="clear" w:color="auto" w:fill="C6EFCE"/>
            <w:noWrap/>
            <w:vAlign w:val="center"/>
            <w:hideMark/>
          </w:tcPr>
          <w:p w14:paraId="48C3CFA4"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M1C3-5</w:t>
            </w:r>
          </w:p>
        </w:tc>
        <w:tc>
          <w:tcPr>
            <w:tcW w:w="553" w:type="pct"/>
            <w:shd w:val="clear" w:color="auto" w:fill="C6EFCE"/>
            <w:noWrap/>
            <w:vAlign w:val="center"/>
            <w:hideMark/>
          </w:tcPr>
          <w:p w14:paraId="1B01ADFB" w14:textId="77777777" w:rsidR="0039681A" w:rsidRPr="00A36E36" w:rsidRDefault="0039681A" w:rsidP="00D65011">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1.3 Improve energy efficiency in cinema, theatres and museums</w:t>
            </w:r>
          </w:p>
        </w:tc>
        <w:tc>
          <w:tcPr>
            <w:tcW w:w="321" w:type="pct"/>
            <w:shd w:val="clear" w:color="auto" w:fill="C6EFCE"/>
            <w:noWrap/>
            <w:vAlign w:val="center"/>
            <w:hideMark/>
          </w:tcPr>
          <w:p w14:paraId="2A7C4323"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07" w:type="pct"/>
            <w:shd w:val="clear" w:color="auto" w:fill="C6EFCE"/>
            <w:noWrap/>
            <w:vAlign w:val="center"/>
            <w:hideMark/>
          </w:tcPr>
          <w:p w14:paraId="7C285E18" w14:textId="77777777" w:rsidR="0039681A" w:rsidRPr="00A36E36" w:rsidRDefault="0039681A" w:rsidP="00D65011">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Interventions on State museums and cultural sites, theatrical halls and cinemas are concluded (second batch)</w:t>
            </w:r>
          </w:p>
        </w:tc>
        <w:tc>
          <w:tcPr>
            <w:tcW w:w="403" w:type="pct"/>
            <w:shd w:val="clear" w:color="auto" w:fill="C6EFCE"/>
            <w:noWrap/>
            <w:vAlign w:val="center"/>
            <w:hideMark/>
          </w:tcPr>
          <w:p w14:paraId="33AEAA64"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68" w:type="pct"/>
            <w:shd w:val="clear" w:color="auto" w:fill="C6EFCE"/>
            <w:noWrap/>
            <w:vAlign w:val="center"/>
            <w:hideMark/>
          </w:tcPr>
          <w:p w14:paraId="4ECB98EA"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424" w:type="pct"/>
            <w:shd w:val="clear" w:color="auto" w:fill="C6EFCE"/>
            <w:noWrap/>
            <w:vAlign w:val="center"/>
            <w:hideMark/>
          </w:tcPr>
          <w:p w14:paraId="73B639FF"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80</w:t>
            </w:r>
          </w:p>
        </w:tc>
        <w:tc>
          <w:tcPr>
            <w:tcW w:w="367" w:type="pct"/>
            <w:shd w:val="clear" w:color="auto" w:fill="C6EFCE"/>
            <w:noWrap/>
            <w:vAlign w:val="center"/>
            <w:hideMark/>
          </w:tcPr>
          <w:p w14:paraId="30DBE88B"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szCs w:val="20"/>
              </w:rPr>
              <w:t>420</w:t>
            </w:r>
          </w:p>
        </w:tc>
        <w:tc>
          <w:tcPr>
            <w:tcW w:w="275" w:type="pct"/>
            <w:shd w:val="clear" w:color="auto" w:fill="C6EFCE"/>
            <w:noWrap/>
            <w:vAlign w:val="center"/>
            <w:hideMark/>
          </w:tcPr>
          <w:p w14:paraId="7F74EE8A"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5" w:type="pct"/>
            <w:shd w:val="clear" w:color="auto" w:fill="C6EFCE"/>
            <w:noWrap/>
            <w:vAlign w:val="center"/>
            <w:hideMark/>
          </w:tcPr>
          <w:p w14:paraId="43F0205D"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1191" w:type="pct"/>
            <w:shd w:val="clear" w:color="auto" w:fill="C6EFCE"/>
            <w:noWrap/>
            <w:vAlign w:val="center"/>
            <w:hideMark/>
          </w:tcPr>
          <w:p w14:paraId="6E166FEA" w14:textId="77777777" w:rsidR="0039681A" w:rsidRPr="00A36E36" w:rsidDel="00646FCA"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certificates of completion of works shall be </w:t>
            </w:r>
            <w:r w:rsidRPr="00A36E36">
              <w:rPr>
                <w:rFonts w:ascii="Arial Narrow" w:hAnsi="Arial Narrow"/>
                <w:noProof/>
                <w:color w:val="006100"/>
                <w:sz w:val="20"/>
                <w:szCs w:val="20"/>
                <w:lang w:val="en-IE"/>
              </w:rPr>
              <w:t xml:space="preserve">issued </w:t>
            </w:r>
            <w:r w:rsidRPr="00A36E36">
              <w:rPr>
                <w:rFonts w:ascii="Arial Narrow" w:hAnsi="Arial Narrow"/>
                <w:noProof/>
                <w:color w:val="006100"/>
                <w:sz w:val="20"/>
                <w:lang w:val="en-IE"/>
              </w:rPr>
              <w:t>for at least 340 interventions, including for</w:t>
            </w:r>
            <w:r w:rsidRPr="00A36E36" w:rsidDel="00646FCA">
              <w:rPr>
                <w:rFonts w:ascii="Arial Narrow" w:hAnsi="Arial Narrow"/>
                <w:noProof/>
                <w:color w:val="006100"/>
                <w:sz w:val="20"/>
                <w:lang w:val="en-IE"/>
              </w:rPr>
              <w:t>:</w:t>
            </w:r>
          </w:p>
          <w:p w14:paraId="6DD065EE" w14:textId="77777777" w:rsidR="0039681A" w:rsidRPr="00A36E36" w:rsidDel="00646FCA" w:rsidRDefault="0039681A" w:rsidP="00D65011">
            <w:pPr>
              <w:pStyle w:val="ListParagraph"/>
              <w:numPr>
                <w:ilvl w:val="0"/>
                <w:numId w:val="49"/>
              </w:numPr>
              <w:rPr>
                <w:rFonts w:ascii="Arial Narrow" w:hAnsi="Arial Narrow"/>
                <w:noProof/>
                <w:color w:val="006100"/>
                <w:sz w:val="20"/>
                <w:szCs w:val="20"/>
                <w:lang w:val="en-IE"/>
              </w:rPr>
            </w:pPr>
            <w:r w:rsidRPr="00A36E36" w:rsidDel="00646FCA">
              <w:rPr>
                <w:rFonts w:ascii="Arial Narrow" w:hAnsi="Arial Narrow"/>
                <w:noProof/>
                <w:color w:val="006100"/>
                <w:sz w:val="20"/>
                <w:lang w:val="en-IE"/>
              </w:rPr>
              <w:t>technical and economic-financial planning, energy audits, initial environmental analyses, environmental impact assessment, reliefs and assessments aimed at identifying critical issues, identification of the consequent interventions for the improvement of energy performance;</w:t>
            </w:r>
          </w:p>
          <w:p w14:paraId="6EE35A76" w14:textId="77777777" w:rsidR="0039681A" w:rsidRPr="00A36E36" w:rsidDel="00646FCA" w:rsidRDefault="0039681A" w:rsidP="00D65011">
            <w:pPr>
              <w:pStyle w:val="ListParagraph"/>
              <w:numPr>
                <w:ilvl w:val="0"/>
                <w:numId w:val="49"/>
              </w:numPr>
              <w:rPr>
                <w:rFonts w:ascii="Arial Narrow" w:hAnsi="Arial Narrow"/>
                <w:noProof/>
                <w:color w:val="006100"/>
                <w:sz w:val="20"/>
                <w:szCs w:val="20"/>
                <w:lang w:val="en-IE"/>
              </w:rPr>
            </w:pPr>
            <w:r w:rsidRPr="00A36E36" w:rsidDel="00646FCA">
              <w:rPr>
                <w:rFonts w:ascii="Arial Narrow" w:hAnsi="Arial Narrow"/>
                <w:noProof/>
                <w:color w:val="006100"/>
                <w:sz w:val="20"/>
                <w:lang w:val="en-IE"/>
              </w:rPr>
              <w:t>interventions on the building envelope;</w:t>
            </w:r>
          </w:p>
          <w:p w14:paraId="23125C93" w14:textId="77777777" w:rsidR="0039681A" w:rsidRPr="00A36E36" w:rsidDel="00646FCA" w:rsidRDefault="0039681A" w:rsidP="00D65011">
            <w:pPr>
              <w:pStyle w:val="ListParagraph"/>
              <w:numPr>
                <w:ilvl w:val="0"/>
                <w:numId w:val="49"/>
              </w:numPr>
              <w:rPr>
                <w:rFonts w:ascii="Arial Narrow" w:hAnsi="Arial Narrow"/>
                <w:noProof/>
                <w:color w:val="006100"/>
                <w:sz w:val="20"/>
                <w:szCs w:val="20"/>
                <w:lang w:val="en-IE"/>
              </w:rPr>
            </w:pPr>
            <w:r w:rsidRPr="00A36E36" w:rsidDel="00646FCA">
              <w:rPr>
                <w:rFonts w:ascii="Arial Narrow" w:hAnsi="Arial Narrow"/>
                <w:noProof/>
                <w:color w:val="006100"/>
                <w:sz w:val="20"/>
                <w:lang w:val="en-IE"/>
              </w:rPr>
              <w:t>interventions of replacement/acquisition of equipment, tools, systems, devices, digital application software, as well as accessory instrumentation for their operation, the acquisition of patents, licenses and know-how;</w:t>
            </w:r>
          </w:p>
          <w:p w14:paraId="1276490C" w14:textId="77777777" w:rsidR="0039681A" w:rsidRPr="00A36E36" w:rsidRDefault="0039681A" w:rsidP="00D65011">
            <w:pPr>
              <w:pStyle w:val="ListParagraph"/>
              <w:numPr>
                <w:ilvl w:val="0"/>
                <w:numId w:val="49"/>
              </w:numPr>
              <w:rPr>
                <w:rFonts w:ascii="Arial Narrow" w:hAnsi="Arial Narrow"/>
                <w:noProof/>
                <w:color w:val="006100"/>
                <w:sz w:val="20"/>
                <w:szCs w:val="20"/>
                <w:lang w:val="en-IE"/>
              </w:rPr>
            </w:pPr>
            <w:r w:rsidRPr="00A36E36" w:rsidDel="00646FCA">
              <w:rPr>
                <w:rFonts w:ascii="Arial Narrow" w:hAnsi="Arial Narrow"/>
                <w:noProof/>
                <w:color w:val="006100"/>
                <w:sz w:val="20"/>
                <w:lang w:val="en-IE"/>
              </w:rPr>
              <w:t>installation of intelligent systems for remote control, regulation, management, monitoring and optimisation of energy consumption (smart buildings) and polluting emissions also through the use of technological mixes.</w:t>
            </w:r>
          </w:p>
        </w:tc>
      </w:tr>
      <w:tr w:rsidR="0039681A" w:rsidRPr="0070054C" w14:paraId="00AF80C7" w14:textId="77777777" w:rsidTr="00D65011">
        <w:trPr>
          <w:trHeight w:val="309"/>
          <w:jc w:val="center"/>
        </w:trPr>
        <w:tc>
          <w:tcPr>
            <w:tcW w:w="366" w:type="pct"/>
            <w:shd w:val="clear" w:color="auto" w:fill="C6EFCE"/>
            <w:noWrap/>
            <w:vAlign w:val="center"/>
          </w:tcPr>
          <w:p w14:paraId="6398CEAD"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M1C3-6</w:t>
            </w:r>
          </w:p>
        </w:tc>
        <w:tc>
          <w:tcPr>
            <w:tcW w:w="553" w:type="pct"/>
            <w:shd w:val="clear" w:color="auto" w:fill="C6EFCE"/>
            <w:noWrap/>
            <w:vAlign w:val="center"/>
          </w:tcPr>
          <w:p w14:paraId="783DA274" w14:textId="77777777" w:rsidR="0039681A" w:rsidRPr="00A36E36" w:rsidRDefault="0039681A" w:rsidP="00D65011">
            <w:pPr>
              <w:jc w:val="center"/>
              <w:rPr>
                <w:rFonts w:ascii="Arial Narrow" w:hAnsi="Arial Narrow"/>
                <w:noProof/>
                <w:color w:val="006100"/>
                <w:sz w:val="20"/>
                <w:lang w:val="en-IE"/>
              </w:rPr>
            </w:pPr>
            <w:r w:rsidRPr="00A36E36">
              <w:rPr>
                <w:rFonts w:ascii="Arial Narrow" w:hAnsi="Arial Narrow"/>
                <w:noProof/>
                <w:color w:val="006100"/>
                <w:sz w:val="20"/>
                <w:lang w:val="en-IE"/>
              </w:rPr>
              <w:t>Reform – 3.1 Minimum Environmental Criteria for Cultural events</w:t>
            </w:r>
          </w:p>
        </w:tc>
        <w:tc>
          <w:tcPr>
            <w:tcW w:w="321" w:type="pct"/>
            <w:shd w:val="clear" w:color="auto" w:fill="C6EFCE"/>
            <w:noWrap/>
            <w:vAlign w:val="center"/>
          </w:tcPr>
          <w:p w14:paraId="6F8E33A6"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Milestone</w:t>
            </w:r>
          </w:p>
        </w:tc>
        <w:tc>
          <w:tcPr>
            <w:tcW w:w="507" w:type="pct"/>
            <w:shd w:val="clear" w:color="auto" w:fill="C6EFCE"/>
            <w:noWrap/>
            <w:vAlign w:val="center"/>
          </w:tcPr>
          <w:p w14:paraId="3D605CB8" w14:textId="77777777" w:rsidR="0039681A" w:rsidRPr="00A36E36" w:rsidRDefault="0039681A" w:rsidP="00D65011">
            <w:pPr>
              <w:jc w:val="center"/>
              <w:rPr>
                <w:rFonts w:ascii="Arial Narrow" w:hAnsi="Arial Narrow"/>
                <w:noProof/>
                <w:color w:val="006100"/>
                <w:sz w:val="20"/>
                <w:lang w:val="en-IE"/>
              </w:rPr>
            </w:pPr>
            <w:r w:rsidRPr="00A36E36">
              <w:rPr>
                <w:rFonts w:ascii="Arial Narrow" w:hAnsi="Arial Narrow"/>
                <w:noProof/>
                <w:color w:val="006100"/>
                <w:sz w:val="20"/>
                <w:lang w:val="en-IE"/>
              </w:rPr>
              <w:t>Entry into force a decree defining social and environmental criteria in public procurement tenders concerning cultural events publicly financed</w:t>
            </w:r>
          </w:p>
        </w:tc>
        <w:tc>
          <w:tcPr>
            <w:tcW w:w="403" w:type="pct"/>
            <w:shd w:val="clear" w:color="auto" w:fill="C6EFCE"/>
            <w:noWrap/>
            <w:vAlign w:val="center"/>
          </w:tcPr>
          <w:p w14:paraId="34D1CA99" w14:textId="77777777" w:rsidR="0039681A" w:rsidRPr="00A36E36" w:rsidRDefault="0039681A" w:rsidP="00D65011">
            <w:pPr>
              <w:jc w:val="center"/>
              <w:rPr>
                <w:rFonts w:ascii="Arial Narrow" w:hAnsi="Arial Narrow"/>
                <w:noProof/>
                <w:color w:val="006100"/>
                <w:sz w:val="20"/>
                <w:lang w:val="en-IE"/>
              </w:rPr>
            </w:pPr>
            <w:r w:rsidRPr="00A36E36">
              <w:rPr>
                <w:rFonts w:ascii="Arial Narrow" w:hAnsi="Arial Narrow"/>
                <w:noProof/>
                <w:color w:val="006100"/>
                <w:sz w:val="20"/>
                <w:lang w:val="en-IE"/>
              </w:rPr>
              <w:t>Provision in the decree mentioning the entry into force of decree for the adoption of minimum environmental criteria for cultural events</w:t>
            </w:r>
          </w:p>
        </w:tc>
        <w:tc>
          <w:tcPr>
            <w:tcW w:w="368" w:type="pct"/>
            <w:shd w:val="clear" w:color="auto" w:fill="C6EFCE"/>
            <w:noWrap/>
            <w:vAlign w:val="center"/>
          </w:tcPr>
          <w:p w14:paraId="6F561B8F"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shd w:val="clear" w:color="auto" w:fill="C6EFCE"/>
            <w:noWrap/>
            <w:vAlign w:val="center"/>
          </w:tcPr>
          <w:p w14:paraId="556C1DD5"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N/A</w:t>
            </w:r>
          </w:p>
        </w:tc>
        <w:tc>
          <w:tcPr>
            <w:tcW w:w="367" w:type="pct"/>
            <w:shd w:val="clear" w:color="auto" w:fill="C6EFCE"/>
            <w:noWrap/>
            <w:vAlign w:val="center"/>
          </w:tcPr>
          <w:p w14:paraId="2FC148F9"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N/A</w:t>
            </w:r>
          </w:p>
        </w:tc>
        <w:tc>
          <w:tcPr>
            <w:tcW w:w="275" w:type="pct"/>
            <w:shd w:val="clear" w:color="auto" w:fill="C6EFCE"/>
            <w:noWrap/>
            <w:vAlign w:val="center"/>
          </w:tcPr>
          <w:p w14:paraId="25195512"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Q4</w:t>
            </w:r>
          </w:p>
        </w:tc>
        <w:tc>
          <w:tcPr>
            <w:tcW w:w="225" w:type="pct"/>
            <w:shd w:val="clear" w:color="auto" w:fill="C6EFCE"/>
            <w:noWrap/>
            <w:vAlign w:val="center"/>
          </w:tcPr>
          <w:p w14:paraId="57E15A7F"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2022</w:t>
            </w:r>
          </w:p>
        </w:tc>
        <w:tc>
          <w:tcPr>
            <w:tcW w:w="1191" w:type="pct"/>
            <w:shd w:val="clear" w:color="auto" w:fill="C6EFCE"/>
            <w:noWrap/>
            <w:vAlign w:val="center"/>
          </w:tcPr>
          <w:p w14:paraId="7B59947F"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Criteria shall be adopted for the following aspects: reduction in the use of paper and prints, use of eco-friendly materials, stage set-up made with recycled and reused materials and sustainable furnishings, low environmental impact gadgets, selection of the location based on the protection of biodiversity, low environmental impact catering services, transport to reach the event and transport of materials, energy consumption for the organization of the event.</w:t>
            </w:r>
          </w:p>
          <w:p w14:paraId="36A2CE96"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Social criteria promoting accessibility and inclusion shall include : the promotion of accessibility for persons with disabilities; the promotion of opportunities for youth employment, for the long-term unemployed, for people belonging to disadvantaged groups (such as migrant workers and ethnic minorities) and for people with disabilities ; to ensure equal access to procurement for businesses whose owners or employees belong to ethnic or minority groups, such as cooperatives, social enterprises and non-profit organizations; the promotion of “decent work” understood as the right to productive and freely chosen work, to fundamental principles and rights at work, to decent wages, social protection and social dialogue.</w:t>
            </w:r>
          </w:p>
          <w:p w14:paraId="1EDC337A" w14:textId="77777777" w:rsidR="0039681A" w:rsidRPr="00A36E36" w:rsidRDefault="0039681A" w:rsidP="00D65011">
            <w:pPr>
              <w:rPr>
                <w:rFonts w:ascii="Arial Narrow" w:hAnsi="Arial Narrow"/>
                <w:noProof/>
                <w:color w:val="006100"/>
                <w:sz w:val="20"/>
                <w:lang w:val="en-IE"/>
              </w:rPr>
            </w:pPr>
            <w:r w:rsidRPr="00A36E36">
              <w:rPr>
                <w:rFonts w:ascii="Arial Narrow" w:hAnsi="Arial Narrow"/>
                <w:noProof/>
                <w:color w:val="006100"/>
                <w:sz w:val="20"/>
                <w:lang w:val="en-IE"/>
              </w:rPr>
              <w:t>The reform shall cover cultural events such as exhibitions, festivals and performing arts events.</w:t>
            </w:r>
          </w:p>
        </w:tc>
      </w:tr>
      <w:tr w:rsidR="0039681A" w:rsidRPr="0070054C" w14:paraId="597019E6" w14:textId="77777777" w:rsidTr="00D65011">
        <w:trPr>
          <w:trHeight w:val="309"/>
          <w:jc w:val="center"/>
        </w:trPr>
        <w:tc>
          <w:tcPr>
            <w:tcW w:w="366" w:type="pct"/>
            <w:shd w:val="clear" w:color="auto" w:fill="C6EFCE"/>
            <w:noWrap/>
            <w:vAlign w:val="center"/>
            <w:hideMark/>
          </w:tcPr>
          <w:p w14:paraId="67EC0145"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M1C3-7</w:t>
            </w:r>
          </w:p>
        </w:tc>
        <w:tc>
          <w:tcPr>
            <w:tcW w:w="553" w:type="pct"/>
            <w:shd w:val="clear" w:color="auto" w:fill="C6EFCE"/>
            <w:noWrap/>
            <w:vAlign w:val="center"/>
            <w:hideMark/>
          </w:tcPr>
          <w:p w14:paraId="63F9AFFF" w14:textId="77777777" w:rsidR="0039681A" w:rsidRPr="00A36E36" w:rsidRDefault="0039681A" w:rsidP="00D65011">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3.3 Capacity building for culture operators to manage the digital and green transition.</w:t>
            </w:r>
          </w:p>
        </w:tc>
        <w:tc>
          <w:tcPr>
            <w:tcW w:w="321" w:type="pct"/>
            <w:shd w:val="clear" w:color="auto" w:fill="C6EFCE"/>
            <w:noWrap/>
            <w:vAlign w:val="center"/>
            <w:hideMark/>
          </w:tcPr>
          <w:p w14:paraId="7CE1BF92"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07" w:type="pct"/>
            <w:shd w:val="clear" w:color="auto" w:fill="C6EFCE"/>
            <w:noWrap/>
            <w:vAlign w:val="center"/>
            <w:hideMark/>
          </w:tcPr>
          <w:p w14:paraId="7B7F407E" w14:textId="77777777" w:rsidR="0039681A" w:rsidRPr="00A36E36" w:rsidRDefault="0039681A" w:rsidP="00D65011">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with the implementing organisation/beneficiaries for all interventions to manage the digital and green transition of cultural operators</w:t>
            </w:r>
          </w:p>
        </w:tc>
        <w:tc>
          <w:tcPr>
            <w:tcW w:w="403" w:type="pct"/>
            <w:shd w:val="clear" w:color="auto" w:fill="C6EFCE"/>
            <w:noWrap/>
            <w:vAlign w:val="center"/>
            <w:hideMark/>
          </w:tcPr>
          <w:p w14:paraId="5BDA16BC" w14:textId="77777777" w:rsidR="0039681A" w:rsidRPr="00A36E36" w:rsidRDefault="0039681A" w:rsidP="00D65011">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the organisations and networks that shall be in charge of the realization of the capacity building activities</w:t>
            </w:r>
          </w:p>
        </w:tc>
        <w:tc>
          <w:tcPr>
            <w:tcW w:w="368" w:type="pct"/>
            <w:shd w:val="clear" w:color="auto" w:fill="C6EFCE"/>
            <w:noWrap/>
            <w:vAlign w:val="center"/>
            <w:hideMark/>
          </w:tcPr>
          <w:p w14:paraId="58A718F7"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shd w:val="clear" w:color="auto" w:fill="C6EFCE"/>
            <w:noWrap/>
            <w:vAlign w:val="center"/>
            <w:hideMark/>
          </w:tcPr>
          <w:p w14:paraId="1D75A070"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67" w:type="pct"/>
            <w:shd w:val="clear" w:color="auto" w:fill="C6EFCE"/>
            <w:noWrap/>
            <w:vAlign w:val="center"/>
            <w:hideMark/>
          </w:tcPr>
          <w:p w14:paraId="4498A0F5"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275" w:type="pct"/>
            <w:shd w:val="clear" w:color="auto" w:fill="C6EFCE"/>
            <w:noWrap/>
            <w:vAlign w:val="center"/>
            <w:hideMark/>
          </w:tcPr>
          <w:p w14:paraId="2E63C0A7"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5" w:type="pct"/>
            <w:shd w:val="clear" w:color="auto" w:fill="C6EFCE"/>
            <w:noWrap/>
            <w:vAlign w:val="center"/>
            <w:hideMark/>
          </w:tcPr>
          <w:p w14:paraId="43E2A4DA"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1191" w:type="pct"/>
            <w:shd w:val="clear" w:color="auto" w:fill="C6EFCE"/>
            <w:noWrap/>
            <w:vAlign w:val="center"/>
            <w:hideMark/>
          </w:tcPr>
          <w:p w14:paraId="68DB2565"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The selected implementing bodies shall be specialized organizations or networks that possess skills and experience both in the field of training and in the field of cultural production, environment, cultural management and training.</w:t>
            </w:r>
          </w:p>
          <w:p w14:paraId="3A368A9A"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projects selected under the competitive calls for proposals, shall be in compliance with the ’Do no significant harm’ Technical Guidance (2021/C58/01) through the use of an exclusion list and the requirement of compliance with the relevant EU and national environmental legislation</w:t>
            </w:r>
          </w:p>
        </w:tc>
      </w:tr>
      <w:tr w:rsidR="0039681A" w:rsidRPr="0070054C" w14:paraId="5FD369B8" w14:textId="77777777" w:rsidTr="00D65011">
        <w:trPr>
          <w:trHeight w:val="309"/>
          <w:jc w:val="center"/>
        </w:trPr>
        <w:tc>
          <w:tcPr>
            <w:tcW w:w="366" w:type="pct"/>
            <w:shd w:val="clear" w:color="auto" w:fill="C6EFCE"/>
            <w:noWrap/>
            <w:vAlign w:val="center"/>
          </w:tcPr>
          <w:p w14:paraId="3C9E723C"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M1C3-8</w:t>
            </w:r>
          </w:p>
        </w:tc>
        <w:tc>
          <w:tcPr>
            <w:tcW w:w="553" w:type="pct"/>
            <w:shd w:val="clear" w:color="auto" w:fill="C6EFCE"/>
            <w:noWrap/>
            <w:vAlign w:val="center"/>
          </w:tcPr>
          <w:p w14:paraId="25912DEF"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Investment – 4.1 Digital Tourism Hub</w:t>
            </w:r>
          </w:p>
        </w:tc>
        <w:tc>
          <w:tcPr>
            <w:tcW w:w="321" w:type="pct"/>
            <w:shd w:val="clear" w:color="auto" w:fill="C6EFCE"/>
            <w:noWrap/>
            <w:vAlign w:val="center"/>
          </w:tcPr>
          <w:p w14:paraId="4D9BDDE6"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Milestone</w:t>
            </w:r>
          </w:p>
        </w:tc>
        <w:tc>
          <w:tcPr>
            <w:tcW w:w="507" w:type="pct"/>
            <w:shd w:val="clear" w:color="auto" w:fill="C6EFCE"/>
            <w:noWrap/>
            <w:vAlign w:val="center"/>
          </w:tcPr>
          <w:p w14:paraId="6F9CA39B" w14:textId="77777777" w:rsidR="0039681A" w:rsidRPr="00A36E36" w:rsidRDefault="0039681A" w:rsidP="00D65011">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Award of the contracts for the development of the Digital Tourism Portal</w:t>
            </w:r>
          </w:p>
        </w:tc>
        <w:tc>
          <w:tcPr>
            <w:tcW w:w="403" w:type="pct"/>
            <w:shd w:val="clear" w:color="auto" w:fill="C6EFCE"/>
            <w:noWrap/>
            <w:vAlign w:val="center"/>
          </w:tcPr>
          <w:p w14:paraId="673D7674" w14:textId="77777777" w:rsidR="0039681A" w:rsidRPr="00A36E36" w:rsidRDefault="0039681A" w:rsidP="00D65011">
            <w:pPr>
              <w:jc w:val="center"/>
              <w:rPr>
                <w:rFonts w:ascii="Arial Narrow" w:hAnsi="Arial Narrow"/>
                <w:noProof/>
                <w:color w:val="006100"/>
                <w:sz w:val="20"/>
                <w:lang w:val="en-IE"/>
              </w:rPr>
            </w:pPr>
            <w:r w:rsidRPr="00A36E36">
              <w:rPr>
                <w:rFonts w:ascii="Arial Narrow" w:hAnsi="Arial Narrow"/>
                <w:noProof/>
                <w:color w:val="006100"/>
                <w:sz w:val="20"/>
                <w:lang w:val="en-IE"/>
              </w:rPr>
              <w:t>Notification of the award of all public contracts for the development of the Digital Tourism Portal</w:t>
            </w:r>
          </w:p>
        </w:tc>
        <w:tc>
          <w:tcPr>
            <w:tcW w:w="368" w:type="pct"/>
            <w:shd w:val="clear" w:color="auto" w:fill="C6EFCE"/>
            <w:noWrap/>
            <w:vAlign w:val="center"/>
          </w:tcPr>
          <w:p w14:paraId="3BF637CD"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shd w:val="clear" w:color="auto" w:fill="C6EFCE"/>
            <w:noWrap/>
            <w:vAlign w:val="center"/>
          </w:tcPr>
          <w:p w14:paraId="6FC79062"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N/A</w:t>
            </w:r>
          </w:p>
        </w:tc>
        <w:tc>
          <w:tcPr>
            <w:tcW w:w="367" w:type="pct"/>
            <w:shd w:val="clear" w:color="auto" w:fill="C6EFCE"/>
            <w:noWrap/>
            <w:vAlign w:val="center"/>
          </w:tcPr>
          <w:p w14:paraId="55FAE26E"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N/A</w:t>
            </w:r>
          </w:p>
        </w:tc>
        <w:tc>
          <w:tcPr>
            <w:tcW w:w="275" w:type="pct"/>
            <w:shd w:val="clear" w:color="auto" w:fill="C6EFCE"/>
            <w:noWrap/>
            <w:vAlign w:val="center"/>
          </w:tcPr>
          <w:p w14:paraId="14CD8648"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Q4</w:t>
            </w:r>
          </w:p>
        </w:tc>
        <w:tc>
          <w:tcPr>
            <w:tcW w:w="225" w:type="pct"/>
            <w:shd w:val="clear" w:color="auto" w:fill="C6EFCE"/>
            <w:noWrap/>
            <w:vAlign w:val="center"/>
          </w:tcPr>
          <w:p w14:paraId="2BA53659"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2021</w:t>
            </w:r>
          </w:p>
        </w:tc>
        <w:tc>
          <w:tcPr>
            <w:tcW w:w="1191" w:type="pct"/>
            <w:shd w:val="clear" w:color="auto" w:fill="C6EFCE"/>
            <w:noWrap/>
            <w:vAlign w:val="center"/>
          </w:tcPr>
          <w:p w14:paraId="7C22C507"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the development of the Digital Tourism Portal.</w:t>
            </w:r>
          </w:p>
          <w:p w14:paraId="5CED8F6F"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The Digital Tourism Portal shall upgrade the current Italia.it portal through the implementation of a cloud and open architecture, greatly favouring interconnection with the ecosystem. The upgraded portal shall include: the creation of a new front-end interface and navigation tree; the review of the layout, structure and functionalities of the sections, pages and articles; the introduction of maps; multilingual management (at the time of the switch, the portal will be presented in Italian and English). The integration of the other, currently supported, languages is expected in the months that immediately follow the commissioning.</w:t>
            </w:r>
          </w:p>
          <w:p w14:paraId="20A472C3" w14:textId="77777777" w:rsidR="0039681A" w:rsidRPr="00A36E36" w:rsidRDefault="0039681A" w:rsidP="00D65011">
            <w:pPr>
              <w:rPr>
                <w:rFonts w:ascii="Arial Narrow" w:hAnsi="Arial Narrow"/>
                <w:noProof/>
                <w:color w:val="006100"/>
                <w:sz w:val="20"/>
                <w:lang w:val="en-IE"/>
              </w:rPr>
            </w:pPr>
            <w:r w:rsidRPr="00A36E36">
              <w:rPr>
                <w:rFonts w:ascii="Arial Narrow" w:hAnsi="Arial Narrow"/>
                <w:noProof/>
                <w:color w:val="006100"/>
                <w:sz w:val="20"/>
                <w:lang w:val="en-IE"/>
              </w:rPr>
              <w:t>Award of the contracts to the projects selected under the competitive calls for proposals, in compliance with the ’Do no significant harm’ Technical Guidance (2021/C58/01) through the use of an exclusion list and the requirement of compliance with the relevant EU and national environmental legislation.</w:t>
            </w:r>
          </w:p>
        </w:tc>
      </w:tr>
      <w:tr w:rsidR="0039681A" w:rsidRPr="0070054C" w14:paraId="5BA87BA8" w14:textId="77777777" w:rsidTr="00D65011">
        <w:trPr>
          <w:trHeight w:val="309"/>
          <w:jc w:val="center"/>
        </w:trPr>
        <w:tc>
          <w:tcPr>
            <w:tcW w:w="366" w:type="pct"/>
            <w:shd w:val="clear" w:color="auto" w:fill="C6EFCE"/>
            <w:noWrap/>
            <w:vAlign w:val="center"/>
          </w:tcPr>
          <w:p w14:paraId="4C8BB19A"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M1C3-9</w:t>
            </w:r>
          </w:p>
        </w:tc>
        <w:tc>
          <w:tcPr>
            <w:tcW w:w="553" w:type="pct"/>
            <w:shd w:val="clear" w:color="auto" w:fill="C6EFCE"/>
            <w:noWrap/>
            <w:vAlign w:val="center"/>
          </w:tcPr>
          <w:p w14:paraId="26294128"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Investment 4.1 Digital Tourism Hub</w:t>
            </w:r>
          </w:p>
        </w:tc>
        <w:tc>
          <w:tcPr>
            <w:tcW w:w="321" w:type="pct"/>
            <w:shd w:val="clear" w:color="auto" w:fill="C6EFCE"/>
            <w:noWrap/>
            <w:vAlign w:val="center"/>
          </w:tcPr>
          <w:p w14:paraId="17B557B4"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Target</w:t>
            </w:r>
          </w:p>
        </w:tc>
        <w:tc>
          <w:tcPr>
            <w:tcW w:w="507" w:type="pct"/>
            <w:shd w:val="clear" w:color="auto" w:fill="C6EFCE"/>
            <w:noWrap/>
            <w:vAlign w:val="center"/>
          </w:tcPr>
          <w:p w14:paraId="22F24266" w14:textId="77777777" w:rsidR="0039681A" w:rsidRPr="00A36E36" w:rsidRDefault="0039681A" w:rsidP="00D65011">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Registration of tourism operators in the Digital Tourism Hub</w:t>
            </w:r>
          </w:p>
        </w:tc>
        <w:tc>
          <w:tcPr>
            <w:tcW w:w="403" w:type="pct"/>
            <w:shd w:val="clear" w:color="auto" w:fill="C6EFCE"/>
            <w:noWrap/>
            <w:vAlign w:val="center"/>
          </w:tcPr>
          <w:p w14:paraId="42EA0AC3"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N/A</w:t>
            </w:r>
          </w:p>
        </w:tc>
        <w:tc>
          <w:tcPr>
            <w:tcW w:w="368" w:type="pct"/>
            <w:shd w:val="clear" w:color="auto" w:fill="C6EFCE"/>
            <w:noWrap/>
            <w:vAlign w:val="center"/>
          </w:tcPr>
          <w:p w14:paraId="27ABAE29"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Number</w:t>
            </w:r>
          </w:p>
        </w:tc>
        <w:tc>
          <w:tcPr>
            <w:tcW w:w="424" w:type="pct"/>
            <w:shd w:val="clear" w:color="auto" w:fill="C6EFCE"/>
            <w:noWrap/>
            <w:vAlign w:val="center"/>
          </w:tcPr>
          <w:p w14:paraId="00453423"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0</w:t>
            </w:r>
          </w:p>
        </w:tc>
        <w:tc>
          <w:tcPr>
            <w:tcW w:w="367" w:type="pct"/>
            <w:shd w:val="clear" w:color="auto" w:fill="C6EFCE"/>
            <w:noWrap/>
            <w:vAlign w:val="center"/>
          </w:tcPr>
          <w:p w14:paraId="79EDE300"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20 000</w:t>
            </w:r>
          </w:p>
        </w:tc>
        <w:tc>
          <w:tcPr>
            <w:tcW w:w="275" w:type="pct"/>
            <w:shd w:val="clear" w:color="auto" w:fill="C6EFCE"/>
            <w:noWrap/>
            <w:vAlign w:val="center"/>
          </w:tcPr>
          <w:p w14:paraId="362A715C"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Q2</w:t>
            </w:r>
          </w:p>
        </w:tc>
        <w:tc>
          <w:tcPr>
            <w:tcW w:w="225" w:type="pct"/>
            <w:shd w:val="clear" w:color="auto" w:fill="C6EFCE"/>
            <w:noWrap/>
            <w:vAlign w:val="center"/>
          </w:tcPr>
          <w:p w14:paraId="154BB01D"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2024</w:t>
            </w:r>
          </w:p>
        </w:tc>
        <w:tc>
          <w:tcPr>
            <w:tcW w:w="1191" w:type="pct"/>
            <w:shd w:val="clear" w:color="auto" w:fill="C6EFCE"/>
            <w:noWrap/>
            <w:vAlign w:val="center"/>
          </w:tcPr>
          <w:p w14:paraId="13B00C46" w14:textId="77777777" w:rsidR="0039681A" w:rsidRPr="00A36E36" w:rsidRDefault="0039681A" w:rsidP="00D65011">
            <w:pPr>
              <w:spacing w:line="256" w:lineRule="auto"/>
              <w:jc w:val="both"/>
              <w:rPr>
                <w:rFonts w:ascii="Arial Narrow" w:eastAsia="Arial Narrow" w:hAnsi="Arial Narrow" w:cs="Arial Narrow"/>
                <w:noProof/>
                <w:color w:val="006100"/>
                <w:sz w:val="20"/>
                <w:szCs w:val="20"/>
                <w:lang w:val="en-IE"/>
              </w:rPr>
            </w:pPr>
            <w:r w:rsidRPr="00A36E36">
              <w:rPr>
                <w:rFonts w:ascii="Arial Narrow" w:hAnsi="Arial Narrow"/>
                <w:noProof/>
                <w:color w:val="006100"/>
                <w:sz w:val="20"/>
                <w:lang w:val="en-IE"/>
              </w:rPr>
              <w:t>The number of tourism operators registered in the hub (which may include, but it is not limited to, hotel, tour operator, and firms as defined by ATECO codes 55.00.00; 56.00.00; 79.00.00 and other structures belonging to the sector) shall be at least 20 000.</w:t>
            </w:r>
          </w:p>
          <w:p w14:paraId="46FC6481" w14:textId="683279C1" w:rsidR="0039681A" w:rsidRPr="00A36E36" w:rsidRDefault="0039681A" w:rsidP="00992CEC">
            <w:pPr>
              <w:spacing w:line="256" w:lineRule="auto"/>
              <w:jc w:val="both"/>
              <w:rPr>
                <w:rFonts w:ascii="Arial Narrow" w:hAnsi="Arial Narrow"/>
                <w:noProof/>
                <w:color w:val="006100"/>
                <w:sz w:val="20"/>
                <w:lang w:val="en-IE"/>
              </w:rPr>
            </w:pPr>
            <w:r w:rsidRPr="00A36E36">
              <w:rPr>
                <w:rFonts w:ascii="Arial Narrow" w:hAnsi="Arial Narrow"/>
                <w:noProof/>
                <w:color w:val="006100"/>
                <w:sz w:val="20"/>
                <w:lang w:val="en-IE"/>
              </w:rPr>
              <w:t>Al least 7 400 tourism operators (that is, 37% of 20 000) shall be located in the South.</w:t>
            </w:r>
          </w:p>
        </w:tc>
      </w:tr>
      <w:tr w:rsidR="0039681A" w:rsidRPr="0070054C" w14:paraId="0640DD03" w14:textId="77777777" w:rsidTr="00D65011">
        <w:trPr>
          <w:trHeight w:val="309"/>
          <w:jc w:val="center"/>
        </w:trPr>
        <w:tc>
          <w:tcPr>
            <w:tcW w:w="366" w:type="pct"/>
            <w:shd w:val="clear" w:color="auto" w:fill="C6EFCE"/>
            <w:noWrap/>
            <w:vAlign w:val="center"/>
          </w:tcPr>
          <w:p w14:paraId="699CD138"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M1C3-10</w:t>
            </w:r>
          </w:p>
        </w:tc>
        <w:tc>
          <w:tcPr>
            <w:tcW w:w="553" w:type="pct"/>
            <w:shd w:val="clear" w:color="auto" w:fill="C6EFCE"/>
            <w:noWrap/>
            <w:vAlign w:val="center"/>
          </w:tcPr>
          <w:p w14:paraId="40132E7B" w14:textId="77777777" w:rsidR="0039681A" w:rsidRPr="00A36E36" w:rsidRDefault="0039681A" w:rsidP="00D65011">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4.1 Regulation ordering of the professions of tourist guides.</w:t>
            </w:r>
          </w:p>
          <w:p w14:paraId="3AEAF60E" w14:textId="77777777" w:rsidR="0039681A" w:rsidRPr="00A36E36" w:rsidRDefault="0039681A" w:rsidP="00D65011">
            <w:pPr>
              <w:jc w:val="center"/>
              <w:rPr>
                <w:rFonts w:ascii="Arial Narrow" w:hAnsi="Arial Narrow"/>
                <w:noProof/>
                <w:color w:val="006100"/>
                <w:sz w:val="20"/>
                <w:lang w:val="en-IE"/>
              </w:rPr>
            </w:pPr>
          </w:p>
        </w:tc>
        <w:tc>
          <w:tcPr>
            <w:tcW w:w="321" w:type="pct"/>
            <w:shd w:val="clear" w:color="auto" w:fill="C6EFCE"/>
            <w:noWrap/>
            <w:vAlign w:val="center"/>
          </w:tcPr>
          <w:p w14:paraId="62EE5AF7"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Milestone</w:t>
            </w:r>
          </w:p>
        </w:tc>
        <w:tc>
          <w:tcPr>
            <w:tcW w:w="507" w:type="pct"/>
            <w:shd w:val="clear" w:color="auto" w:fill="C6EFCE"/>
            <w:noWrap/>
            <w:vAlign w:val="center"/>
          </w:tcPr>
          <w:p w14:paraId="6D249470" w14:textId="77777777" w:rsidR="0039681A" w:rsidRPr="00A36E36" w:rsidRDefault="0039681A" w:rsidP="00D65011">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Definition of a national standard for tourist guides</w:t>
            </w:r>
          </w:p>
        </w:tc>
        <w:tc>
          <w:tcPr>
            <w:tcW w:w="403" w:type="pct"/>
            <w:shd w:val="clear" w:color="auto" w:fill="C6EFCE"/>
            <w:noWrap/>
            <w:vAlign w:val="center"/>
          </w:tcPr>
          <w:p w14:paraId="2F5F7D4E" w14:textId="77777777" w:rsidR="0039681A" w:rsidRPr="00A36E36" w:rsidRDefault="0039681A" w:rsidP="00D65011">
            <w:pPr>
              <w:jc w:val="center"/>
              <w:rPr>
                <w:rFonts w:ascii="Arial Narrow" w:hAnsi="Arial Narrow"/>
                <w:noProof/>
                <w:color w:val="006100"/>
                <w:sz w:val="20"/>
                <w:lang w:val="en-IE"/>
              </w:rPr>
            </w:pPr>
            <w:r w:rsidRPr="00A36E36">
              <w:rPr>
                <w:rFonts w:ascii="Arial Narrow" w:hAnsi="Arial Narrow"/>
                <w:noProof/>
                <w:color w:val="006100"/>
                <w:sz w:val="20"/>
                <w:lang w:val="en-IE"/>
              </w:rPr>
              <w:t>The definition of the minimum national standard shall not imply the creation of a new regulated profession</w:t>
            </w:r>
          </w:p>
        </w:tc>
        <w:tc>
          <w:tcPr>
            <w:tcW w:w="368" w:type="pct"/>
            <w:shd w:val="clear" w:color="auto" w:fill="C6EFCE"/>
            <w:noWrap/>
            <w:vAlign w:val="center"/>
          </w:tcPr>
          <w:p w14:paraId="7D56F379"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shd w:val="clear" w:color="auto" w:fill="C6EFCE"/>
            <w:noWrap/>
            <w:vAlign w:val="center"/>
          </w:tcPr>
          <w:p w14:paraId="0BC75681"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N/A</w:t>
            </w:r>
          </w:p>
        </w:tc>
        <w:tc>
          <w:tcPr>
            <w:tcW w:w="367" w:type="pct"/>
            <w:shd w:val="clear" w:color="auto" w:fill="C6EFCE"/>
            <w:noWrap/>
            <w:vAlign w:val="center"/>
          </w:tcPr>
          <w:p w14:paraId="794E5BEA"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N/A</w:t>
            </w:r>
          </w:p>
        </w:tc>
        <w:tc>
          <w:tcPr>
            <w:tcW w:w="275" w:type="pct"/>
            <w:shd w:val="clear" w:color="auto" w:fill="C6EFCE"/>
            <w:noWrap/>
            <w:vAlign w:val="center"/>
          </w:tcPr>
          <w:p w14:paraId="4E292408"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Q2</w:t>
            </w:r>
          </w:p>
        </w:tc>
        <w:tc>
          <w:tcPr>
            <w:tcW w:w="225" w:type="pct"/>
            <w:shd w:val="clear" w:color="auto" w:fill="C6EFCE"/>
            <w:noWrap/>
            <w:vAlign w:val="center"/>
          </w:tcPr>
          <w:p w14:paraId="1B5822D9" w14:textId="77777777" w:rsidR="0039681A" w:rsidRPr="00647572" w:rsidRDefault="0039681A" w:rsidP="00D65011">
            <w:pPr>
              <w:jc w:val="center"/>
              <w:rPr>
                <w:rFonts w:ascii="Arial Narrow" w:hAnsi="Arial Narrow"/>
                <w:noProof/>
                <w:color w:val="006100"/>
                <w:sz w:val="20"/>
              </w:rPr>
            </w:pPr>
            <w:r w:rsidRPr="00647572">
              <w:rPr>
                <w:rFonts w:ascii="Arial Narrow" w:hAnsi="Arial Narrow"/>
                <w:noProof/>
                <w:color w:val="006100"/>
                <w:sz w:val="20"/>
              </w:rPr>
              <w:t>2024</w:t>
            </w:r>
          </w:p>
        </w:tc>
        <w:tc>
          <w:tcPr>
            <w:tcW w:w="1191" w:type="pct"/>
            <w:shd w:val="clear" w:color="auto" w:fill="C6EFCE"/>
            <w:noWrap/>
            <w:vAlign w:val="center"/>
          </w:tcPr>
          <w:p w14:paraId="1F3D8D71"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The definition of the minimum national standard shall not imply the creation of a new regulated profession.</w:t>
            </w:r>
          </w:p>
          <w:p w14:paraId="1767DAC8" w14:textId="77777777" w:rsidR="0039681A" w:rsidRPr="00A36E36" w:rsidRDefault="0039681A" w:rsidP="00D65011">
            <w:pPr>
              <w:rPr>
                <w:rFonts w:ascii="Arial Narrow" w:hAnsi="Arial Narrow"/>
                <w:noProof/>
                <w:color w:val="006100"/>
                <w:sz w:val="20"/>
                <w:lang w:val="en-IE"/>
              </w:rPr>
            </w:pPr>
            <w:r w:rsidRPr="00A36E36">
              <w:rPr>
                <w:rFonts w:ascii="Arial Narrow" w:hAnsi="Arial Narrow"/>
                <w:noProof/>
                <w:color w:val="006100"/>
                <w:sz w:val="20"/>
                <w:lang w:val="en-IE"/>
              </w:rPr>
              <w:t>The reform shall also provide for training and professional updating in order to better support the offer. The reform shall qualify as a method for the acquisition of a unique professional qualification adopted with uniform standards at national level through a National Law and subsequent implementing Ministerial Decrees of Understanding State Regions.</w:t>
            </w:r>
          </w:p>
        </w:tc>
      </w:tr>
      <w:tr w:rsidR="0039681A" w:rsidRPr="0070054C" w14:paraId="0B959E5C" w14:textId="77777777" w:rsidTr="00D65011">
        <w:trPr>
          <w:trHeight w:val="309"/>
          <w:jc w:val="center"/>
        </w:trPr>
        <w:tc>
          <w:tcPr>
            <w:tcW w:w="366" w:type="pct"/>
            <w:shd w:val="clear" w:color="auto" w:fill="C6EFCE"/>
            <w:noWrap/>
            <w:vAlign w:val="center"/>
          </w:tcPr>
          <w:p w14:paraId="016B71F8"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M1C3-11</w:t>
            </w:r>
          </w:p>
        </w:tc>
        <w:tc>
          <w:tcPr>
            <w:tcW w:w="553" w:type="pct"/>
            <w:shd w:val="clear" w:color="auto" w:fill="C6EFCE"/>
            <w:noWrap/>
            <w:vAlign w:val="center"/>
          </w:tcPr>
          <w:p w14:paraId="11FFDB36" w14:textId="77777777" w:rsidR="0039681A" w:rsidRPr="00A36E36" w:rsidRDefault="0039681A" w:rsidP="00D65011">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 Improve energy efficiency in cinema, theatres and museums</w:t>
            </w:r>
          </w:p>
        </w:tc>
        <w:tc>
          <w:tcPr>
            <w:tcW w:w="321" w:type="pct"/>
            <w:shd w:val="clear" w:color="auto" w:fill="C6EFCE"/>
            <w:noWrap/>
            <w:vAlign w:val="center"/>
          </w:tcPr>
          <w:p w14:paraId="1F896F3A"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07" w:type="pct"/>
            <w:shd w:val="clear" w:color="auto" w:fill="C6EFCE"/>
            <w:noWrap/>
            <w:vAlign w:val="center"/>
          </w:tcPr>
          <w:p w14:paraId="767CC36B" w14:textId="77777777" w:rsidR="0039681A" w:rsidRPr="00A36E36" w:rsidRDefault="0039681A" w:rsidP="00D65011">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Ministry of Culture decree for the allocation of resources:</w:t>
            </w:r>
          </w:p>
          <w:p w14:paraId="654F9594" w14:textId="1C78847A" w:rsidR="0039681A" w:rsidRPr="00A36E36" w:rsidRDefault="0039681A" w:rsidP="00471FB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to improve energy efficiency in places of culture</w:t>
            </w:r>
          </w:p>
        </w:tc>
        <w:tc>
          <w:tcPr>
            <w:tcW w:w="403" w:type="pct"/>
            <w:shd w:val="clear" w:color="auto" w:fill="C6EFCE"/>
            <w:noWrap/>
            <w:vAlign w:val="center"/>
          </w:tcPr>
          <w:p w14:paraId="217E72D2" w14:textId="567EFCC2" w:rsidR="0039681A" w:rsidRPr="00A36E36" w:rsidRDefault="0039681A" w:rsidP="00471FB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Ministry of Culture (MIC) decree for the allocation of resources to improve energy efficiency in places of culture</w:t>
            </w:r>
          </w:p>
        </w:tc>
        <w:tc>
          <w:tcPr>
            <w:tcW w:w="368" w:type="pct"/>
            <w:shd w:val="clear" w:color="auto" w:fill="C6EFCE"/>
            <w:noWrap/>
            <w:vAlign w:val="center"/>
          </w:tcPr>
          <w:p w14:paraId="0B079698"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shd w:val="clear" w:color="auto" w:fill="C6EFCE"/>
            <w:noWrap/>
            <w:vAlign w:val="center"/>
          </w:tcPr>
          <w:p w14:paraId="3D28F074"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67" w:type="pct"/>
            <w:shd w:val="clear" w:color="auto" w:fill="C6EFCE"/>
            <w:noWrap/>
            <w:vAlign w:val="center"/>
          </w:tcPr>
          <w:p w14:paraId="669D648F"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275" w:type="pct"/>
            <w:shd w:val="clear" w:color="auto" w:fill="C6EFCE"/>
            <w:noWrap/>
            <w:vAlign w:val="center"/>
          </w:tcPr>
          <w:p w14:paraId="3F27BAA9"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5" w:type="pct"/>
            <w:shd w:val="clear" w:color="auto" w:fill="C6EFCE"/>
            <w:noWrap/>
            <w:vAlign w:val="center"/>
          </w:tcPr>
          <w:p w14:paraId="7230B0C5" w14:textId="77777777" w:rsidR="0039681A" w:rsidRPr="00647572" w:rsidRDefault="0039681A" w:rsidP="00D65011">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191" w:type="pct"/>
            <w:shd w:val="clear" w:color="auto" w:fill="C6EFCE"/>
            <w:noWrap/>
            <w:vAlign w:val="center"/>
          </w:tcPr>
          <w:p w14:paraId="50FA6B6E"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Places of culture refers to cinemas, theatres and museums.</w:t>
            </w:r>
          </w:p>
          <w:p w14:paraId="31F82A29"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(Inv. 1.3) For museums and places of culture to improve energy efficiency, the intervention is implemented through a recognition of the project proposals at State cultural sites Ministry of Culture (MiC) in the Objective 1 case. Otherwise, the identification of non-state institutions, in Objective 2 and 3 cases, shall be carried out through calls for tenders.</w:t>
            </w:r>
          </w:p>
          <w:p w14:paraId="18764083" w14:textId="77777777" w:rsidR="0039681A" w:rsidRPr="00A36E36" w:rsidRDefault="0039681A" w:rsidP="00D65011">
            <w:pPr>
              <w:rPr>
                <w:rFonts w:ascii="Arial Narrow" w:hAnsi="Arial Narrow"/>
                <w:noProof/>
                <w:color w:val="006100"/>
                <w:sz w:val="20"/>
                <w:szCs w:val="20"/>
                <w:lang w:val="en-IE"/>
              </w:rPr>
            </w:pPr>
            <w:r w:rsidRPr="00A36E36">
              <w:rPr>
                <w:rFonts w:ascii="Arial Narrow" w:hAnsi="Arial Narrow"/>
                <w:noProof/>
                <w:color w:val="006100"/>
                <w:sz w:val="20"/>
                <w:lang w:val="en-IE"/>
              </w:rPr>
              <w:t>The award of the contracts to the projects selected under the competitive calls for proposals, shall be in compliance with the ’Do no significant harm’ Technical Guidance (2021/C58/01) through the use of an exclusion list and the requirement of compliance with the relevant EU and national environmental legislation.</w:t>
            </w:r>
          </w:p>
        </w:tc>
      </w:tr>
    </w:tbl>
    <w:p w14:paraId="05E8EED1" w14:textId="2017050E" w:rsidR="0039681A" w:rsidRPr="00A36E36" w:rsidRDefault="0039681A" w:rsidP="00351087">
      <w:pPr>
        <w:spacing w:before="120" w:after="120"/>
        <w:ind w:left="709"/>
        <w:jc w:val="both"/>
        <w:rPr>
          <w:noProof/>
          <w:lang w:val="en-IE"/>
        </w:rPr>
      </w:pPr>
    </w:p>
    <w:p w14:paraId="541E6EAA" w14:textId="77777777" w:rsidR="0039681A" w:rsidRPr="00A36E36" w:rsidRDefault="0039681A" w:rsidP="00351087">
      <w:pPr>
        <w:spacing w:before="120" w:after="120"/>
        <w:ind w:left="709"/>
        <w:jc w:val="both"/>
        <w:rPr>
          <w:noProof/>
          <w:lang w:val="en-IE"/>
        </w:rPr>
        <w:sectPr w:rsidR="0039681A" w:rsidRPr="00A36E36" w:rsidSect="0039681A">
          <w:headerReference w:type="even" r:id="rId51"/>
          <w:headerReference w:type="default" r:id="rId52"/>
          <w:footerReference w:type="default" r:id="rId53"/>
          <w:headerReference w:type="first" r:id="rId54"/>
          <w:pgSz w:w="16839" w:h="11907" w:orient="landscape"/>
          <w:pgMar w:top="1134" w:right="1134" w:bottom="1134" w:left="1134" w:header="567" w:footer="567" w:gutter="0"/>
          <w:cols w:space="720"/>
          <w:docGrid w:linePitch="360"/>
        </w:sectPr>
      </w:pPr>
    </w:p>
    <w:p w14:paraId="2E884614"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C3.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3CF52A55" w14:textId="77777777" w:rsidR="0039681A" w:rsidRPr="00A36E36" w:rsidRDefault="0039681A" w:rsidP="00351087">
      <w:pPr>
        <w:jc w:val="both"/>
        <w:rPr>
          <w:rFonts w:ascii="Times New Roman" w:hAnsi="Times New Roman" w:cs="Times New Roman"/>
          <w:b/>
          <w:noProof/>
          <w:lang w:val="en-IE"/>
        </w:rPr>
      </w:pPr>
    </w:p>
    <w:p w14:paraId="2465DA25" w14:textId="77777777" w:rsidR="0039681A" w:rsidRPr="00A36E36" w:rsidRDefault="0039681A" w:rsidP="00351087">
      <w:pPr>
        <w:rPr>
          <w:rFonts w:ascii="Times New Roman" w:eastAsia="Times New Roman" w:hAnsi="Times New Roman" w:cs="Times New Roman"/>
          <w:b/>
          <w:i/>
          <w:noProof/>
          <w:lang w:val="en-IE"/>
        </w:rPr>
      </w:pPr>
      <w:r w:rsidRPr="00A36E36">
        <w:rPr>
          <w:rFonts w:ascii="Times New Roman" w:eastAsia="Times New Roman" w:hAnsi="Times New Roman" w:cs="Times New Roman"/>
          <w:b/>
          <w:noProof/>
          <w:lang w:val="en-IE"/>
        </w:rPr>
        <w:t>Investment 4.1: Digital Tourism Hub</w:t>
      </w:r>
    </w:p>
    <w:p w14:paraId="726E7A0E" w14:textId="77777777" w:rsidR="0039681A" w:rsidRPr="00A36E36" w:rsidRDefault="0039681A" w:rsidP="00351087">
      <w:pPr>
        <w:spacing w:before="120" w:after="120"/>
        <w:jc w:val="both"/>
        <w:rPr>
          <w:rFonts w:eastAsiaTheme="majorEastAsia"/>
          <w:noProof/>
          <w:snapToGrid w:val="0"/>
          <w:color w:val="000000"/>
          <w:w w:val="0"/>
          <w:sz w:val="0"/>
          <w:szCs w:val="0"/>
          <w:u w:color="000000"/>
          <w:bdr w:val="none" w:sz="0" w:space="0" w:color="000000"/>
          <w:shd w:val="clear" w:color="000000" w:fill="000000"/>
          <w:lang w:val="en-IE" w:eastAsia="x-none" w:bidi="x-none"/>
        </w:rPr>
      </w:pPr>
      <w:r w:rsidRPr="00A36E36">
        <w:rPr>
          <w:rFonts w:ascii="Times New Roman" w:eastAsia="Times New Roman" w:hAnsi="Times New Roman" w:cs="Times New Roman"/>
          <w:noProof/>
          <w:lang w:val="en-IE"/>
        </w:rPr>
        <w:t>The objective of this measure is to enable the entire tourism ecosystem to increase, integrate, and disseminate its own offer. The measure consists of the creation of a Digital Tourism Hub, accessible via a dedicated web platform.</w:t>
      </w:r>
    </w:p>
    <w:p w14:paraId="134D6945" w14:textId="77777777" w:rsidR="0039681A" w:rsidRPr="00A36E36" w:rsidRDefault="0039681A" w:rsidP="00351087">
      <w:pPr>
        <w:jc w:val="both"/>
        <w:rPr>
          <w:rFonts w:ascii="Times New Roman" w:hAnsi="Times New Roman" w:cs="Times New Roman"/>
          <w:b/>
          <w:noProof/>
          <w:lang w:val="en-IE"/>
        </w:rPr>
      </w:pPr>
      <w:r w:rsidRPr="00A36E36">
        <w:rPr>
          <w:rFonts w:ascii="Times New Roman" w:hAnsi="Times New Roman" w:cs="Times New Roman"/>
          <w:b/>
          <w:noProof/>
          <w:lang w:val="en-IE"/>
        </w:rPr>
        <w:t>Investment 2.1: Attractiveness of Small Historic Towns</w:t>
      </w:r>
    </w:p>
    <w:p w14:paraId="1BCC2B0D" w14:textId="77777777" w:rsidR="0039681A" w:rsidRPr="00A36E36" w:rsidRDefault="0039681A" w:rsidP="00351087">
      <w:pPr>
        <w:jc w:val="both"/>
        <w:rPr>
          <w:rFonts w:ascii="Times New Roman" w:hAnsi="Times New Roman" w:cs="Times New Roman"/>
          <w:noProof/>
          <w:lang w:val="en-IE"/>
        </w:rPr>
      </w:pPr>
      <w:r w:rsidRPr="00A36E36">
        <w:rPr>
          <w:rFonts w:ascii="Times New Roman" w:hAnsi="Times New Roman" w:cs="Times New Roman"/>
          <w:noProof/>
          <w:lang w:val="en-IE"/>
        </w:rPr>
        <w:t xml:space="preserve">The </w:t>
      </w:r>
      <w:r w:rsidRPr="00A36E36">
        <w:rPr>
          <w:rFonts w:ascii="Times New Roman" w:eastAsia="Times New Roman" w:hAnsi="Times New Roman" w:cs="Times New Roman"/>
          <w:noProof/>
          <w:lang w:val="en-IE"/>
        </w:rPr>
        <w:t>objective of this measure is</w:t>
      </w:r>
      <w:r w:rsidRPr="00A36E36">
        <w:rPr>
          <w:rFonts w:ascii="Times New Roman" w:hAnsi="Times New Roman" w:cs="Times New Roman"/>
          <w:noProof/>
          <w:lang w:val="en-IE"/>
        </w:rPr>
        <w:t xml:space="preserve"> to support the economic and social development of disadvantaged areas based on the cultural regeneration of small towns and the growth of local economies and tourism in particular. The investment consists in supporting cultural, social and tourism-related infrastructure, services and activities. </w:t>
      </w:r>
    </w:p>
    <w:p w14:paraId="029C40EE" w14:textId="77777777" w:rsidR="0039681A" w:rsidRPr="00A36E36" w:rsidRDefault="0039681A" w:rsidP="00351087">
      <w:pPr>
        <w:spacing w:after="120"/>
        <w:jc w:val="both"/>
        <w:rPr>
          <w:rFonts w:ascii="Times New Roman" w:hAnsi="Times New Roman" w:cs="Times New Roman"/>
          <w:b/>
          <w:bCs/>
          <w:noProof/>
          <w:lang w:val="en-IE"/>
        </w:rPr>
      </w:pPr>
      <w:r w:rsidRPr="00A36E36">
        <w:rPr>
          <w:rFonts w:ascii="Times New Roman" w:hAnsi="Times New Roman" w:cs="Times New Roman"/>
          <w:b/>
          <w:noProof/>
          <w:lang w:val="en-IE"/>
        </w:rPr>
        <w:t xml:space="preserve">Investment 2.2: Protection and enhancement of rural architecture and landscape </w:t>
      </w:r>
    </w:p>
    <w:p w14:paraId="3F73AE92" w14:textId="69874495"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improve rural and countryside surroundings. The measure consists in supporting </w:t>
      </w:r>
      <w:r>
        <w:rPr>
          <w:rFonts w:ascii="Times New Roman" w:hAnsi="Times New Roman" w:cs="Times New Roman"/>
          <w:noProof/>
          <w:lang w:val="en-IE"/>
        </w:rPr>
        <w:t>protection and enhancement of rural architecture and landscape.</w:t>
      </w:r>
    </w:p>
    <w:p w14:paraId="53FCF527"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b/>
          <w:bCs/>
          <w:noProof/>
          <w:lang w:val="en-IE"/>
        </w:rPr>
        <w:t xml:space="preserve">Investment 2.3: Programmes to preserve and refurbish historical parks and gardens </w:t>
      </w:r>
    </w:p>
    <w:p w14:paraId="2A55A90B" w14:textId="77777777" w:rsidR="0039681A"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preserve and refurbish historical parks and gardens, </w:t>
      </w:r>
      <w:r w:rsidRPr="00E74433">
        <w:rPr>
          <w:rFonts w:ascii="Times New Roman" w:hAnsi="Times New Roman" w:cs="Times New Roman"/>
          <w:noProof/>
          <w:lang w:val="en-IE"/>
        </w:rPr>
        <w:t>including by restoring architectural or vegetation components, ensuring safety and accessibility, upgrading technical systems, and acquiring innovative digital tools for education and visitor assistance</w:t>
      </w:r>
      <w:r w:rsidRPr="00A36E36">
        <w:rPr>
          <w:rFonts w:ascii="Times New Roman" w:hAnsi="Times New Roman" w:cs="Times New Roman"/>
          <w:noProof/>
          <w:lang w:val="en-IE"/>
        </w:rPr>
        <w:t>. The measure consists in refurbishing historical parks and gardens.</w:t>
      </w:r>
    </w:p>
    <w:p w14:paraId="3342D69A" w14:textId="77777777" w:rsidR="0039681A" w:rsidRPr="00A36E36" w:rsidRDefault="0039681A" w:rsidP="00351087">
      <w:pPr>
        <w:spacing w:after="120"/>
        <w:jc w:val="both"/>
        <w:rPr>
          <w:rFonts w:ascii="Times New Roman" w:hAnsi="Times New Roman" w:cs="Times New Roman"/>
          <w:b/>
          <w:noProof/>
          <w:lang w:val="en-IE"/>
        </w:rPr>
      </w:pPr>
      <w:r w:rsidRPr="00A36E36">
        <w:rPr>
          <w:rFonts w:ascii="Times New Roman" w:hAnsi="Times New Roman" w:cs="Times New Roman"/>
          <w:b/>
          <w:noProof/>
          <w:lang w:val="en-IE"/>
        </w:rPr>
        <w:t>Investment 2.4: Seismic safety of places of worship, restoration of FEC heritage and shelters for art works (Recovery Art)</w:t>
      </w:r>
    </w:p>
    <w:p w14:paraId="262F8FFD" w14:textId="77777777" w:rsidR="0039681A" w:rsidRPr="00A36E36" w:rsidRDefault="0039681A" w:rsidP="00351087">
      <w:pPr>
        <w:spacing w:after="120"/>
        <w:jc w:val="both"/>
        <w:rPr>
          <w:rFonts w:ascii="Times New Roman" w:hAnsi="Times New Roman" w:cs="Times New Roman"/>
          <w:b/>
          <w:noProof/>
          <w:u w:val="single"/>
          <w:lang w:val="en-IE"/>
        </w:rPr>
      </w:pPr>
      <w:r w:rsidRPr="00A36E36">
        <w:rPr>
          <w:rFonts w:ascii="Times New Roman" w:hAnsi="Times New Roman" w:cs="Times New Roman"/>
          <w:noProof/>
          <w:lang w:val="en-IE"/>
        </w:rPr>
        <w:t xml:space="preserve">The </w:t>
      </w:r>
      <w:r w:rsidRPr="00A36E36">
        <w:rPr>
          <w:rFonts w:ascii="Times New Roman" w:eastAsia="Times New Roman" w:hAnsi="Times New Roman" w:cs="Times New Roman"/>
          <w:noProof/>
          <w:lang w:val="en-IE"/>
        </w:rPr>
        <w:t>objective of this measure is</w:t>
      </w:r>
      <w:r w:rsidRPr="00A36E36">
        <w:rPr>
          <w:rFonts w:ascii="Times New Roman" w:hAnsi="Times New Roman" w:cs="Times New Roman"/>
          <w:noProof/>
          <w:lang w:val="en-IE"/>
        </w:rPr>
        <w:t xml:space="preserve"> to reduce seismic risk on worship places. The investment consists in putting in place an anti-seismic preventive action plan, in the execution of seismic retrofitting of worship buildings, in the restoration of FEC (</w:t>
      </w:r>
      <w:r w:rsidRPr="00A36E36">
        <w:rPr>
          <w:rFonts w:ascii="Times New Roman" w:hAnsi="Times New Roman" w:cs="Times New Roman"/>
          <w:i/>
          <w:iCs/>
          <w:noProof/>
          <w:lang w:val="en-IE"/>
        </w:rPr>
        <w:t>Fondo Edifici di Culto</w:t>
      </w:r>
      <w:r w:rsidRPr="00A36E36">
        <w:rPr>
          <w:rFonts w:ascii="Times New Roman" w:hAnsi="Times New Roman" w:cs="Times New Roman"/>
          <w:noProof/>
          <w:lang w:val="en-IE"/>
        </w:rPr>
        <w:t>) heritage assets, and the construction of shelters for art works.</w:t>
      </w:r>
    </w:p>
    <w:p w14:paraId="09B39FAD" w14:textId="77777777" w:rsidR="0039681A" w:rsidRPr="00A36E36" w:rsidRDefault="0039681A" w:rsidP="00351087">
      <w:pPr>
        <w:spacing w:after="120"/>
        <w:jc w:val="both"/>
        <w:rPr>
          <w:rFonts w:ascii="Times New Roman" w:hAnsi="Times New Roman" w:cs="Times New Roman"/>
          <w:b/>
          <w:noProof/>
          <w:lang w:val="en-IE"/>
        </w:rPr>
      </w:pPr>
      <w:r w:rsidRPr="00A36E36">
        <w:rPr>
          <w:rFonts w:ascii="Times New Roman" w:hAnsi="Times New Roman" w:cs="Times New Roman"/>
          <w:b/>
          <w:noProof/>
          <w:lang w:val="en-IE"/>
        </w:rPr>
        <w:t>Investment 4.2: Funds for the competitiveness of tourism enterprises</w:t>
      </w:r>
    </w:p>
    <w:p w14:paraId="4B015D41"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The measure aims at supporting firms operating in the tourism sector. It includes a tax credit for works aimed at improving accommodation facilities, a guarantee fund to facilitate access to credit for firms in the sector (through a dedicated section of the SMEs Guarantee Fund), the activation of the EIB Thematic Fund for Tourism to support innovative investment in the sector, an equity fund (National Tourism Fund) for the redevelopment of properties with high tourist potential. An additional financial instrument (FRI - Fondo Rotativo), shall complement the abovementioned measures to support firms operating in the tourism sector. The above interventions shall be conducted according to investment policies in line with the objectives of Regulation (EU) 2021/241, including in relation to the application of the principle of ‘do no significant harm’, as further specified in the Technical guidance on the application of ‘do no significant harm’ under the Recovery and Resilience Facility Regulation (2021/C58/01).</w:t>
      </w:r>
    </w:p>
    <w:p w14:paraId="0E63634E" w14:textId="77777777" w:rsidR="0039681A" w:rsidRPr="00647572" w:rsidRDefault="0039681A" w:rsidP="00351087">
      <w:pPr>
        <w:pStyle w:val="Text1"/>
        <w:spacing w:before="0"/>
        <w:ind w:left="0"/>
        <w:rPr>
          <w:noProof/>
          <w:sz w:val="22"/>
          <w:szCs w:val="22"/>
          <w:lang w:val="en-GB"/>
        </w:rPr>
      </w:pPr>
      <w:r w:rsidRPr="00647572">
        <w:rPr>
          <w:noProof/>
          <w:sz w:val="22"/>
          <w:szCs w:val="22"/>
          <w:lang w:val="en-GB"/>
        </w:rPr>
        <w:t xml:space="preserve">In order to ensure that the measure complies with the ‘Do no significant harm’ Technical Guidance (2021/C58/01), the legal agreement and the subsequent investment policy of the financial instruments shall </w:t>
      </w:r>
    </w:p>
    <w:p w14:paraId="15E54EE7" w14:textId="77777777" w:rsidR="0039681A" w:rsidRPr="00647572" w:rsidRDefault="0039681A" w:rsidP="0039681A">
      <w:pPr>
        <w:pStyle w:val="Text1"/>
        <w:numPr>
          <w:ilvl w:val="0"/>
          <w:numId w:val="50"/>
        </w:numPr>
        <w:spacing w:before="0"/>
        <w:ind w:left="567" w:hanging="283"/>
        <w:rPr>
          <w:noProof/>
          <w:sz w:val="22"/>
          <w:szCs w:val="22"/>
          <w:lang w:val="en-GB"/>
        </w:rPr>
      </w:pPr>
      <w:r w:rsidRPr="00647572">
        <w:rPr>
          <w:noProof/>
          <w:sz w:val="22"/>
          <w:szCs w:val="22"/>
          <w:lang w:val="en-GB"/>
        </w:rPr>
        <w:t>require the application of the Commission’s technical guidance on sustainability proofing for the InvestEU Fund; and</w:t>
      </w:r>
    </w:p>
    <w:p w14:paraId="1910A3CD" w14:textId="77777777" w:rsidR="0039681A" w:rsidRPr="00647572" w:rsidRDefault="0039681A" w:rsidP="0039681A">
      <w:pPr>
        <w:pStyle w:val="Text1"/>
        <w:numPr>
          <w:ilvl w:val="0"/>
          <w:numId w:val="50"/>
        </w:numPr>
        <w:spacing w:before="0"/>
        <w:ind w:left="567" w:hanging="283"/>
        <w:rPr>
          <w:noProof/>
          <w:sz w:val="22"/>
          <w:szCs w:val="22"/>
          <w:lang w:val="en-GB"/>
        </w:rPr>
      </w:pPr>
      <w:r w:rsidRPr="00647572">
        <w:rPr>
          <w:noProof/>
          <w:sz w:val="22"/>
          <w:szCs w:val="22"/>
          <w:lang w:val="en-GB"/>
        </w:rPr>
        <w:t>exclude the following list of activities: (i) activities related to fossil fuels, including downstream use</w:t>
      </w:r>
      <w:r w:rsidRPr="00647572">
        <w:rPr>
          <w:rStyle w:val="FootnoteReference"/>
          <w:noProof/>
          <w:sz w:val="22"/>
          <w:szCs w:val="22"/>
          <w:lang w:val="en-GB"/>
        </w:rPr>
        <w:footnoteReference w:id="17"/>
      </w:r>
      <w:r w:rsidRPr="00647572">
        <w:rPr>
          <w:noProof/>
          <w:sz w:val="22"/>
          <w:szCs w:val="22"/>
          <w:lang w:val="en-GB"/>
        </w:rPr>
        <w:t>; (ii) activities under the EU Emission Trading System (ETS) achieving projected greenhouse gas emissions that are not lower than the relevant benchmarks</w:t>
      </w:r>
      <w:r w:rsidRPr="00647572">
        <w:rPr>
          <w:rStyle w:val="FootnoteReference"/>
          <w:noProof/>
          <w:sz w:val="22"/>
          <w:szCs w:val="22"/>
          <w:lang w:val="en-GB"/>
        </w:rPr>
        <w:footnoteReference w:id="18"/>
      </w:r>
      <w:r w:rsidRPr="00647572">
        <w:rPr>
          <w:noProof/>
          <w:sz w:val="22"/>
          <w:szCs w:val="22"/>
          <w:lang w:val="en-GB"/>
        </w:rPr>
        <w:t>; (iii) activities related to waste landfills, incinerators</w:t>
      </w:r>
      <w:r w:rsidRPr="00647572">
        <w:rPr>
          <w:rStyle w:val="FootnoteReference"/>
          <w:noProof/>
          <w:sz w:val="22"/>
          <w:szCs w:val="22"/>
          <w:lang w:val="en-GB"/>
        </w:rPr>
        <w:footnoteReference w:id="19"/>
      </w:r>
      <w:r w:rsidRPr="00647572">
        <w:rPr>
          <w:noProof/>
          <w:sz w:val="22"/>
          <w:szCs w:val="22"/>
          <w:lang w:val="en-GB"/>
        </w:rPr>
        <w:t xml:space="preserve"> and mechanical biological treatment plants</w:t>
      </w:r>
      <w:r w:rsidRPr="00647572">
        <w:rPr>
          <w:rStyle w:val="FootnoteReference"/>
          <w:noProof/>
          <w:sz w:val="22"/>
          <w:szCs w:val="22"/>
          <w:lang w:val="en-GB"/>
        </w:rPr>
        <w:footnoteReference w:id="20"/>
      </w:r>
      <w:r w:rsidRPr="00647572">
        <w:rPr>
          <w:noProof/>
          <w:sz w:val="22"/>
          <w:szCs w:val="22"/>
          <w:lang w:val="en-GB"/>
        </w:rPr>
        <w:t>; and (iv) activities where the long-term disposal of waste may cause harm to the environment; and</w:t>
      </w:r>
    </w:p>
    <w:p w14:paraId="2E68A593" w14:textId="77777777" w:rsidR="0039681A" w:rsidRPr="00647572" w:rsidRDefault="0039681A" w:rsidP="0039681A">
      <w:pPr>
        <w:pStyle w:val="Text1"/>
        <w:numPr>
          <w:ilvl w:val="0"/>
          <w:numId w:val="50"/>
        </w:numPr>
        <w:spacing w:before="0"/>
        <w:ind w:left="567" w:hanging="283"/>
        <w:rPr>
          <w:noProof/>
          <w:sz w:val="22"/>
          <w:szCs w:val="22"/>
          <w:lang w:val="en-GB"/>
        </w:rPr>
      </w:pPr>
      <w:r w:rsidRPr="00647572">
        <w:rPr>
          <w:noProof/>
          <w:sz w:val="22"/>
          <w:szCs w:val="22"/>
          <w:lang w:val="en-GB"/>
        </w:rPr>
        <w:t>require the verification of legal compliance with the relevant EU and national environmental legislation of the projects by the entrusted entity or financial intermediary for all transactions, including those exempted from sustainability proofing.</w:t>
      </w:r>
    </w:p>
    <w:p w14:paraId="7FA4B16B" w14:textId="77777777" w:rsidR="0039681A" w:rsidRPr="00A36E36" w:rsidRDefault="0039681A" w:rsidP="00351087">
      <w:pPr>
        <w:spacing w:after="120"/>
        <w:jc w:val="both"/>
        <w:rPr>
          <w:rFonts w:ascii="Times New Roman" w:hAnsi="Times New Roman" w:cs="Times New Roman"/>
          <w:b/>
          <w:bCs/>
          <w:noProof/>
          <w:lang w:val="en-IE"/>
        </w:rPr>
      </w:pPr>
      <w:r w:rsidRPr="00A36E36">
        <w:rPr>
          <w:rFonts w:ascii="Times New Roman" w:hAnsi="Times New Roman" w:cs="Times New Roman"/>
          <w:b/>
          <w:noProof/>
          <w:lang w:val="en-IE"/>
        </w:rPr>
        <w:t>Investment 3.2: Development of the film industry (Cinecittà project)</w:t>
      </w:r>
    </w:p>
    <w:p w14:paraId="6C375ED6" w14:textId="27FDCB81" w:rsidR="0039681A" w:rsidRPr="00A36E36" w:rsidRDefault="0039681A" w:rsidP="00351087">
      <w:pPr>
        <w:spacing w:after="120"/>
        <w:jc w:val="both"/>
        <w:rPr>
          <w:noProof/>
          <w:lang w:val="en-IE"/>
        </w:rPr>
      </w:pPr>
      <w:r w:rsidRPr="53E20C7D">
        <w:rPr>
          <w:rFonts w:ascii="Times New Roman" w:hAnsi="Times New Roman" w:cs="Times New Roman"/>
          <w:noProof/>
          <w:lang w:val="en-IE"/>
        </w:rPr>
        <w:t xml:space="preserve">The objective of this measure is to enhance the Italian film and audiovisual sector. The investment consists in renovating studios and building new ones, improving production activities. </w:t>
      </w:r>
      <w:r w:rsidRPr="53E20C7D">
        <w:rPr>
          <w:rFonts w:ascii="Times New Roman" w:eastAsia="Times New Roman" w:hAnsi="Times New Roman" w:cs="Times New Roman"/>
          <w:noProof/>
          <w:lang w:val="en-IE"/>
        </w:rPr>
        <w:t>This may include but it is not limited</w:t>
      </w:r>
      <w:r w:rsidRPr="53E20C7D">
        <w:rPr>
          <w:rFonts w:ascii="Times New Roman" w:hAnsi="Times New Roman" w:cs="Times New Roman"/>
          <w:noProof/>
          <w:lang w:val="en-IE"/>
        </w:rPr>
        <w:t xml:space="preserve"> to conservation and digitalisation of the audiovisual heritage at the Experimental Centre for Cinematography, as well as strengthening professional profiles and skills in the sector through training activities carried out by Cinecittà and the Experimental Centre for Cinematography.</w:t>
      </w:r>
    </w:p>
    <w:p w14:paraId="233E3972" w14:textId="77777777" w:rsidR="0039681A" w:rsidRPr="00A36E36" w:rsidRDefault="0039681A" w:rsidP="00351087">
      <w:pPr>
        <w:spacing w:after="120"/>
        <w:jc w:val="both"/>
        <w:rPr>
          <w:rFonts w:ascii="Times New Roman" w:eastAsia="Times New Roman" w:hAnsi="Times New Roman" w:cs="Times New Roman"/>
          <w:b/>
          <w:bCs/>
          <w:noProof/>
          <w:lang w:val="en-IE" w:eastAsia="en-GB"/>
        </w:rPr>
      </w:pPr>
      <w:r w:rsidRPr="156547CB">
        <w:rPr>
          <w:rFonts w:ascii="Times New Roman" w:eastAsia="Times New Roman" w:hAnsi="Times New Roman" w:cs="Times New Roman"/>
          <w:b/>
          <w:bCs/>
          <w:noProof/>
          <w:lang w:val="en-IE" w:eastAsia="en-GB"/>
        </w:rPr>
        <w:t>Investment 4.3: Caput Mundi Next Generation EU for touristic great events.</w:t>
      </w:r>
    </w:p>
    <w:p w14:paraId="252E8E14" w14:textId="4E74D653" w:rsidR="0039681A" w:rsidRPr="00A36E36" w:rsidRDefault="0039681A" w:rsidP="00351087">
      <w:pPr>
        <w:tabs>
          <w:tab w:val="left" w:pos="1340"/>
          <w:tab w:val="left" w:pos="1341"/>
        </w:tabs>
        <w:spacing w:after="120"/>
        <w:ind w:right="-7"/>
        <w:jc w:val="both"/>
        <w:rPr>
          <w:rFonts w:ascii="Times New Roman" w:eastAsia="Times New Roman" w:hAnsi="Times New Roman" w:cs="Times New Roman"/>
          <w:noProof/>
          <w:lang w:val="en-IE" w:eastAsia="en-GB"/>
        </w:rPr>
      </w:pPr>
      <w:r w:rsidRPr="76C30ACD">
        <w:rPr>
          <w:rFonts w:ascii="Times New Roman" w:eastAsia="Times New Roman" w:hAnsi="Times New Roman" w:cs="Times New Roman"/>
          <w:noProof/>
          <w:lang w:val="en-IE" w:eastAsia="en-GB"/>
        </w:rPr>
        <w:t xml:space="preserve">The </w:t>
      </w:r>
      <w:r w:rsidRPr="76C30ACD">
        <w:rPr>
          <w:rFonts w:ascii="Times New Roman" w:eastAsia="Times New Roman" w:hAnsi="Times New Roman" w:cs="Times New Roman"/>
          <w:noProof/>
          <w:lang w:val="en-IE"/>
        </w:rPr>
        <w:t>objective of this measure is</w:t>
      </w:r>
      <w:r w:rsidRPr="76C30ACD">
        <w:rPr>
          <w:rFonts w:ascii="Times New Roman" w:eastAsia="Times New Roman" w:hAnsi="Times New Roman" w:cs="Times New Roman"/>
          <w:noProof/>
          <w:lang w:val="en-IE" w:eastAsia="en-GB"/>
        </w:rPr>
        <w:t xml:space="preserve"> to improve the experience of tourist great events and the sustainability of tourism through the renovation of monuments, the creation of tourist and cultural alternatives with respect to crowded areas, the digitisation of cultural and tourism services, and the enhancement of green areas. The investment consists in the adoption and implementation of the “Caput Mundi” programme.</w:t>
      </w:r>
    </w:p>
    <w:p w14:paraId="060D4992" w14:textId="77777777" w:rsidR="0039681A" w:rsidRPr="00A36E36" w:rsidRDefault="0039681A" w:rsidP="00351087">
      <w:pPr>
        <w:tabs>
          <w:tab w:val="left" w:pos="1340"/>
          <w:tab w:val="left" w:pos="1341"/>
        </w:tabs>
        <w:spacing w:after="120"/>
        <w:ind w:right="-7"/>
        <w:jc w:val="both"/>
        <w:rPr>
          <w:noProof/>
          <w:lang w:val="en-IE"/>
        </w:rPr>
        <w:sectPr w:rsidR="0039681A" w:rsidRPr="00A36E36" w:rsidSect="0039681A">
          <w:headerReference w:type="even" r:id="rId55"/>
          <w:headerReference w:type="default" r:id="rId56"/>
          <w:footerReference w:type="default" r:id="rId57"/>
          <w:headerReference w:type="first" r:id="rId58"/>
          <w:pgSz w:w="11907" w:h="16839"/>
          <w:pgMar w:top="1134" w:right="1134" w:bottom="1134" w:left="1134" w:header="567" w:footer="567" w:gutter="0"/>
          <w:cols w:space="720"/>
          <w:docGrid w:linePitch="360"/>
        </w:sectPr>
      </w:pPr>
    </w:p>
    <w:p w14:paraId="46CC1146"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C.4.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8"/>
        <w:gridCol w:w="1583"/>
        <w:gridCol w:w="1151"/>
        <w:gridCol w:w="1583"/>
        <w:gridCol w:w="1583"/>
        <w:gridCol w:w="1008"/>
        <w:gridCol w:w="1011"/>
        <w:gridCol w:w="1291"/>
        <w:gridCol w:w="1011"/>
        <w:gridCol w:w="670"/>
        <w:gridCol w:w="3185"/>
      </w:tblGrid>
      <w:tr w:rsidR="0039681A" w:rsidRPr="0070054C" w14:paraId="0C3BAEE4" w14:textId="77777777" w:rsidTr="00351087">
        <w:trPr>
          <w:trHeight w:val="313"/>
          <w:tblHeader/>
          <w:jc w:val="center"/>
        </w:trPr>
        <w:tc>
          <w:tcPr>
            <w:tcW w:w="377" w:type="pct"/>
            <w:vMerge w:val="restart"/>
            <w:shd w:val="clear" w:color="auto" w:fill="BDD7EE"/>
            <w:noWrap/>
            <w:vAlign w:val="center"/>
          </w:tcPr>
          <w:p w14:paraId="1DBF7CDA" w14:textId="77777777" w:rsidR="0039681A" w:rsidRPr="00A36E36" w:rsidRDefault="0039681A">
            <w:pPr>
              <w:jc w:val="center"/>
              <w:rPr>
                <w:rFonts w:ascii="Arial Narrow" w:hAnsi="Arial Narrow"/>
                <w:noProof/>
                <w:sz w:val="20"/>
                <w:szCs w:val="20"/>
                <w:lang w:val="en-IE"/>
              </w:rPr>
            </w:pPr>
          </w:p>
          <w:p w14:paraId="5625898A" w14:textId="77777777" w:rsidR="0039681A" w:rsidRPr="00647572" w:rsidRDefault="0039681A">
            <w:pPr>
              <w:jc w:val="center"/>
              <w:rPr>
                <w:rFonts w:ascii="Arial Narrow" w:hAnsi="Arial Narrow"/>
                <w:noProof/>
                <w:sz w:val="20"/>
                <w:szCs w:val="20"/>
              </w:rPr>
            </w:pPr>
            <w:r w:rsidRPr="00647572">
              <w:rPr>
                <w:rFonts w:ascii="Arial Narrow" w:hAnsi="Arial Narrow"/>
                <w:b/>
                <w:noProof/>
                <w:sz w:val="20"/>
              </w:rPr>
              <w:t>Sequential Number</w:t>
            </w:r>
          </w:p>
        </w:tc>
        <w:tc>
          <w:tcPr>
            <w:tcW w:w="520" w:type="pct"/>
            <w:vMerge w:val="restart"/>
            <w:shd w:val="clear" w:color="auto" w:fill="BDD7EE"/>
            <w:noWrap/>
            <w:vAlign w:val="center"/>
          </w:tcPr>
          <w:p w14:paraId="791A64DF"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378" w:type="pct"/>
            <w:vMerge w:val="restart"/>
            <w:shd w:val="clear" w:color="auto" w:fill="BDD7EE"/>
            <w:noWrap/>
            <w:vAlign w:val="center"/>
          </w:tcPr>
          <w:p w14:paraId="049CB4E1"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Milestone / Target</w:t>
            </w:r>
          </w:p>
        </w:tc>
        <w:tc>
          <w:tcPr>
            <w:tcW w:w="520" w:type="pct"/>
            <w:vMerge w:val="restart"/>
            <w:shd w:val="clear" w:color="auto" w:fill="BDD7EE"/>
            <w:noWrap/>
            <w:vAlign w:val="center"/>
          </w:tcPr>
          <w:p w14:paraId="0AD3C494"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Name</w:t>
            </w:r>
          </w:p>
        </w:tc>
        <w:tc>
          <w:tcPr>
            <w:tcW w:w="520" w:type="pct"/>
            <w:vMerge w:val="restart"/>
            <w:shd w:val="clear" w:color="auto" w:fill="BDD7EE"/>
            <w:noWrap/>
            <w:vAlign w:val="center"/>
          </w:tcPr>
          <w:p w14:paraId="79291503"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1087" w:type="pct"/>
            <w:gridSpan w:val="3"/>
            <w:shd w:val="clear" w:color="auto" w:fill="BDD7EE"/>
            <w:noWrap/>
            <w:vAlign w:val="center"/>
          </w:tcPr>
          <w:p w14:paraId="38181D96" w14:textId="77777777" w:rsidR="0039681A" w:rsidRPr="00647572" w:rsidRDefault="0039681A">
            <w:pPr>
              <w:jc w:val="center"/>
              <w:rPr>
                <w:rFonts w:ascii="Arial Narrow" w:hAnsi="Arial Narrow"/>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552" w:type="pct"/>
            <w:gridSpan w:val="2"/>
            <w:shd w:val="clear" w:color="auto" w:fill="BDD7EE"/>
            <w:noWrap/>
            <w:vAlign w:val="center"/>
          </w:tcPr>
          <w:p w14:paraId="1033C2F6" w14:textId="77777777" w:rsidR="0039681A" w:rsidRPr="00647572" w:rsidRDefault="0039681A">
            <w:pPr>
              <w:jc w:val="center"/>
              <w:rPr>
                <w:rFonts w:ascii="Arial Narrow" w:hAnsi="Arial Narrow"/>
                <w:noProof/>
                <w:sz w:val="20"/>
                <w:szCs w:val="20"/>
              </w:rPr>
            </w:pPr>
            <w:r w:rsidRPr="00647572">
              <w:rPr>
                <w:rFonts w:ascii="Arial Narrow" w:hAnsi="Arial Narrow"/>
                <w:b/>
                <w:noProof/>
                <w:sz w:val="20"/>
              </w:rPr>
              <w:t>Indicative timeline for completion</w:t>
            </w:r>
          </w:p>
        </w:tc>
        <w:tc>
          <w:tcPr>
            <w:tcW w:w="1046" w:type="pct"/>
            <w:vMerge w:val="restart"/>
            <w:shd w:val="clear" w:color="auto" w:fill="BDD7EE"/>
            <w:noWrap/>
            <w:vAlign w:val="center"/>
          </w:tcPr>
          <w:p w14:paraId="2CCB0513" w14:textId="77777777" w:rsidR="0039681A" w:rsidRPr="00A36E36" w:rsidRDefault="0039681A">
            <w:pPr>
              <w:jc w:val="center"/>
              <w:rPr>
                <w:rFonts w:ascii="Arial Narrow" w:eastAsia="Calibri" w:hAnsi="Arial Narrow"/>
                <w:noProof/>
                <w:color w:val="006100"/>
                <w:sz w:val="20"/>
                <w:szCs w:val="20"/>
                <w:lang w:val="en-IE"/>
              </w:rPr>
            </w:pPr>
          </w:p>
          <w:p w14:paraId="038E7C1A" w14:textId="77777777" w:rsidR="0039681A" w:rsidRPr="00A36E36" w:rsidRDefault="0039681A">
            <w:pPr>
              <w:jc w:val="center"/>
              <w:rPr>
                <w:rFonts w:ascii="Arial Narrow" w:eastAsia="Calibri" w:hAnsi="Arial Narrow"/>
                <w:noProof/>
                <w:color w:val="006100"/>
                <w:sz w:val="20"/>
                <w:szCs w:val="20"/>
                <w:lang w:val="en-IE"/>
              </w:rPr>
            </w:pPr>
            <w:r w:rsidRPr="00A36E36">
              <w:rPr>
                <w:rFonts w:ascii="Arial Narrow" w:hAnsi="Arial Narrow"/>
                <w:b/>
                <w:noProof/>
                <w:sz w:val="20"/>
                <w:lang w:val="en-IE"/>
              </w:rPr>
              <w:t>Description of each milestone and target</w:t>
            </w:r>
          </w:p>
        </w:tc>
      </w:tr>
      <w:tr w:rsidR="0039681A" w:rsidRPr="00647572" w14:paraId="63EE5C46" w14:textId="77777777" w:rsidTr="00351087">
        <w:trPr>
          <w:trHeight w:val="313"/>
          <w:tblHeader/>
          <w:jc w:val="center"/>
        </w:trPr>
        <w:tc>
          <w:tcPr>
            <w:tcW w:w="377" w:type="pct"/>
            <w:vMerge/>
            <w:noWrap/>
            <w:vAlign w:val="center"/>
          </w:tcPr>
          <w:p w14:paraId="68B11234" w14:textId="77777777" w:rsidR="0039681A" w:rsidRPr="00A36E36" w:rsidRDefault="0039681A">
            <w:pPr>
              <w:jc w:val="center"/>
              <w:rPr>
                <w:rFonts w:ascii="Arial Narrow" w:hAnsi="Arial Narrow"/>
                <w:noProof/>
                <w:sz w:val="20"/>
                <w:szCs w:val="20"/>
                <w:lang w:val="en-IE"/>
              </w:rPr>
            </w:pPr>
          </w:p>
        </w:tc>
        <w:tc>
          <w:tcPr>
            <w:tcW w:w="520" w:type="pct"/>
            <w:vMerge/>
            <w:noWrap/>
            <w:vAlign w:val="center"/>
          </w:tcPr>
          <w:p w14:paraId="6C1449A0" w14:textId="77777777" w:rsidR="0039681A" w:rsidRPr="00A36E36" w:rsidRDefault="0039681A">
            <w:pPr>
              <w:jc w:val="center"/>
              <w:rPr>
                <w:rFonts w:ascii="Arial Narrow" w:hAnsi="Arial Narrow"/>
                <w:noProof/>
                <w:sz w:val="20"/>
                <w:szCs w:val="20"/>
                <w:lang w:val="en-IE"/>
              </w:rPr>
            </w:pPr>
          </w:p>
        </w:tc>
        <w:tc>
          <w:tcPr>
            <w:tcW w:w="378" w:type="pct"/>
            <w:vMerge/>
            <w:noWrap/>
            <w:vAlign w:val="center"/>
          </w:tcPr>
          <w:p w14:paraId="61597F2D" w14:textId="77777777" w:rsidR="0039681A" w:rsidRPr="00A36E36" w:rsidRDefault="0039681A">
            <w:pPr>
              <w:jc w:val="center"/>
              <w:rPr>
                <w:rFonts w:ascii="Arial Narrow" w:hAnsi="Arial Narrow"/>
                <w:noProof/>
                <w:sz w:val="20"/>
                <w:szCs w:val="20"/>
                <w:lang w:val="en-IE"/>
              </w:rPr>
            </w:pPr>
          </w:p>
        </w:tc>
        <w:tc>
          <w:tcPr>
            <w:tcW w:w="520" w:type="pct"/>
            <w:vMerge/>
            <w:noWrap/>
            <w:vAlign w:val="center"/>
          </w:tcPr>
          <w:p w14:paraId="4170CB85" w14:textId="77777777" w:rsidR="0039681A" w:rsidRPr="00A36E36" w:rsidRDefault="0039681A">
            <w:pPr>
              <w:jc w:val="center"/>
              <w:rPr>
                <w:rFonts w:ascii="Arial Narrow" w:hAnsi="Arial Narrow"/>
                <w:noProof/>
                <w:sz w:val="20"/>
                <w:szCs w:val="20"/>
                <w:lang w:val="en-IE"/>
              </w:rPr>
            </w:pPr>
          </w:p>
        </w:tc>
        <w:tc>
          <w:tcPr>
            <w:tcW w:w="520" w:type="pct"/>
            <w:vMerge/>
            <w:noWrap/>
            <w:vAlign w:val="center"/>
          </w:tcPr>
          <w:p w14:paraId="1F3C95EB" w14:textId="77777777" w:rsidR="0039681A" w:rsidRPr="00A36E36" w:rsidRDefault="0039681A">
            <w:pPr>
              <w:jc w:val="center"/>
              <w:rPr>
                <w:rFonts w:ascii="Arial Narrow" w:eastAsia="Calibri" w:hAnsi="Arial Narrow"/>
                <w:noProof/>
                <w:sz w:val="20"/>
                <w:szCs w:val="20"/>
                <w:lang w:val="en-IE"/>
              </w:rPr>
            </w:pPr>
          </w:p>
        </w:tc>
        <w:tc>
          <w:tcPr>
            <w:tcW w:w="331" w:type="pct"/>
            <w:shd w:val="clear" w:color="auto" w:fill="BDD7EE"/>
            <w:noWrap/>
            <w:vAlign w:val="center"/>
          </w:tcPr>
          <w:p w14:paraId="725021B9" w14:textId="77777777" w:rsidR="0039681A" w:rsidRPr="00647572" w:rsidRDefault="0039681A">
            <w:pPr>
              <w:jc w:val="center"/>
              <w:rPr>
                <w:rFonts w:ascii="Arial Narrow" w:hAnsi="Arial Narrow"/>
                <w:noProof/>
                <w:sz w:val="20"/>
                <w:szCs w:val="20"/>
              </w:rPr>
            </w:pPr>
            <w:r w:rsidRPr="00647572">
              <w:rPr>
                <w:rFonts w:ascii="Arial Narrow" w:hAnsi="Arial Narrow"/>
                <w:b/>
                <w:noProof/>
                <w:sz w:val="20"/>
              </w:rPr>
              <w:t>Unit of measure</w:t>
            </w:r>
          </w:p>
        </w:tc>
        <w:tc>
          <w:tcPr>
            <w:tcW w:w="332" w:type="pct"/>
            <w:shd w:val="clear" w:color="auto" w:fill="BDD7EE"/>
            <w:noWrap/>
            <w:vAlign w:val="center"/>
          </w:tcPr>
          <w:p w14:paraId="072AAFBF" w14:textId="77777777" w:rsidR="0039681A" w:rsidRPr="00647572" w:rsidRDefault="0039681A">
            <w:pPr>
              <w:jc w:val="center"/>
              <w:rPr>
                <w:rFonts w:ascii="Arial Narrow" w:hAnsi="Arial Narrow"/>
                <w:noProof/>
                <w:sz w:val="20"/>
                <w:szCs w:val="20"/>
              </w:rPr>
            </w:pPr>
            <w:r w:rsidRPr="00647572">
              <w:rPr>
                <w:rFonts w:ascii="Arial Narrow" w:hAnsi="Arial Narrow"/>
                <w:b/>
                <w:noProof/>
                <w:sz w:val="20"/>
              </w:rPr>
              <w:t>Baseline</w:t>
            </w:r>
          </w:p>
        </w:tc>
        <w:tc>
          <w:tcPr>
            <w:tcW w:w="424" w:type="pct"/>
            <w:shd w:val="clear" w:color="auto" w:fill="BDD7EE"/>
            <w:noWrap/>
            <w:vAlign w:val="center"/>
          </w:tcPr>
          <w:p w14:paraId="0BA4D77B" w14:textId="77777777" w:rsidR="0039681A" w:rsidRPr="00647572" w:rsidRDefault="0039681A">
            <w:pPr>
              <w:jc w:val="center"/>
              <w:rPr>
                <w:rFonts w:ascii="Arial Narrow" w:hAnsi="Arial Narrow"/>
                <w:noProof/>
                <w:sz w:val="20"/>
                <w:szCs w:val="20"/>
              </w:rPr>
            </w:pPr>
            <w:r w:rsidRPr="00647572">
              <w:rPr>
                <w:rFonts w:ascii="Arial Narrow" w:hAnsi="Arial Narrow"/>
                <w:b/>
                <w:noProof/>
                <w:sz w:val="20"/>
              </w:rPr>
              <w:t>Goal</w:t>
            </w:r>
          </w:p>
        </w:tc>
        <w:tc>
          <w:tcPr>
            <w:tcW w:w="332" w:type="pct"/>
            <w:shd w:val="clear" w:color="auto" w:fill="BDD7EE"/>
            <w:noWrap/>
            <w:vAlign w:val="center"/>
          </w:tcPr>
          <w:p w14:paraId="4DEB39C9" w14:textId="77777777" w:rsidR="0039681A" w:rsidRPr="00647572" w:rsidRDefault="0039681A">
            <w:pPr>
              <w:jc w:val="center"/>
              <w:rPr>
                <w:rFonts w:ascii="Arial Narrow" w:hAnsi="Arial Narrow"/>
                <w:noProof/>
                <w:sz w:val="20"/>
                <w:szCs w:val="20"/>
              </w:rPr>
            </w:pPr>
            <w:r w:rsidRPr="00647572">
              <w:rPr>
                <w:rFonts w:ascii="Arial Narrow" w:hAnsi="Arial Narrow"/>
                <w:b/>
                <w:noProof/>
                <w:sz w:val="20"/>
              </w:rPr>
              <w:t>Quarter</w:t>
            </w:r>
          </w:p>
        </w:tc>
        <w:tc>
          <w:tcPr>
            <w:tcW w:w="220" w:type="pct"/>
            <w:shd w:val="clear" w:color="auto" w:fill="BDD7EE"/>
            <w:noWrap/>
            <w:vAlign w:val="center"/>
          </w:tcPr>
          <w:p w14:paraId="5414C563" w14:textId="77777777" w:rsidR="0039681A" w:rsidRPr="00647572" w:rsidRDefault="0039681A">
            <w:pPr>
              <w:jc w:val="center"/>
              <w:rPr>
                <w:rFonts w:ascii="Arial Narrow" w:hAnsi="Arial Narrow"/>
                <w:noProof/>
                <w:sz w:val="20"/>
                <w:szCs w:val="20"/>
              </w:rPr>
            </w:pPr>
            <w:r w:rsidRPr="00647572">
              <w:rPr>
                <w:rFonts w:ascii="Arial Narrow" w:hAnsi="Arial Narrow"/>
                <w:b/>
                <w:noProof/>
                <w:sz w:val="20"/>
              </w:rPr>
              <w:t>Year</w:t>
            </w:r>
          </w:p>
        </w:tc>
        <w:tc>
          <w:tcPr>
            <w:tcW w:w="1046" w:type="pct"/>
            <w:vMerge/>
            <w:noWrap/>
            <w:vAlign w:val="center"/>
          </w:tcPr>
          <w:p w14:paraId="3BE539FC" w14:textId="77777777" w:rsidR="0039681A" w:rsidRPr="00647572" w:rsidRDefault="0039681A">
            <w:pPr>
              <w:jc w:val="center"/>
              <w:rPr>
                <w:rFonts w:ascii="Arial Narrow" w:eastAsia="Calibri" w:hAnsi="Arial Narrow"/>
                <w:noProof/>
                <w:color w:val="006100"/>
                <w:sz w:val="20"/>
                <w:szCs w:val="20"/>
              </w:rPr>
            </w:pPr>
          </w:p>
        </w:tc>
      </w:tr>
      <w:tr w:rsidR="0039681A" w:rsidRPr="0070054C" w14:paraId="34C409DB"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A56E091" w14:textId="77777777" w:rsidR="0039681A" w:rsidRPr="00647572" w:rsidRDefault="0039681A">
            <w:pPr>
              <w:jc w:val="center"/>
              <w:rPr>
                <w:rFonts w:ascii="Arial Narrow" w:hAnsi="Arial Narrow"/>
                <w:noProof/>
                <w:color w:val="006100"/>
                <w:sz w:val="20"/>
                <w:szCs w:val="20"/>
              </w:rPr>
            </w:pPr>
            <w:r w:rsidRPr="1BBE78C1">
              <w:rPr>
                <w:rFonts w:ascii="Arial Narrow" w:hAnsi="Arial Narrow"/>
                <w:noProof/>
                <w:color w:val="006100"/>
                <w:sz w:val="20"/>
                <w:szCs w:val="20"/>
              </w:rPr>
              <w:t>M1C3-9bis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F1ED2D"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Investment 4.1 Digital Tourism Hub</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9248A4D"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DA733B" w14:textId="77777777" w:rsidR="0039681A" w:rsidRPr="00A36E36" w:rsidRDefault="0039681A">
            <w:pPr>
              <w:spacing w:line="257"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Registration of enterprise</w:t>
            </w:r>
            <w:r>
              <w:rPr>
                <w:rFonts w:ascii="Arial Narrow" w:hAnsi="Arial Narrow"/>
                <w:noProof/>
                <w:color w:val="006100"/>
                <w:sz w:val="20"/>
                <w:szCs w:val="20"/>
                <w:lang w:val="en-IE"/>
              </w:rPr>
              <w:t>s</w:t>
            </w:r>
            <w:r w:rsidRPr="00A36E36">
              <w:rPr>
                <w:rFonts w:ascii="Arial Narrow" w:hAnsi="Arial Narrow"/>
                <w:noProof/>
                <w:color w:val="006100"/>
                <w:sz w:val="20"/>
                <w:szCs w:val="20"/>
                <w:lang w:val="en-IE"/>
              </w:rPr>
              <w:t xml:space="preserve">, </w:t>
            </w:r>
            <w:r w:rsidRPr="00E74433">
              <w:rPr>
                <w:rFonts w:ascii="Arial Narrow" w:hAnsi="Arial Narrow"/>
                <w:noProof/>
                <w:color w:val="006100"/>
                <w:sz w:val="20"/>
                <w:szCs w:val="20"/>
                <w:lang w:val="en-IE"/>
              </w:rPr>
              <w:t>including individual operators</w:t>
            </w:r>
            <w:r w:rsidRPr="0EFC23C7">
              <w:rPr>
                <w:rFonts w:ascii="Arial Narrow" w:hAnsi="Arial Narrow"/>
                <w:noProof/>
                <w:color w:val="006100"/>
                <w:sz w:val="20"/>
                <w:szCs w:val="20"/>
                <w:lang w:val="en-GB"/>
              </w:rPr>
              <w:t>,</w:t>
            </w:r>
            <w:r w:rsidRPr="00A36E36">
              <w:rPr>
                <w:rFonts w:ascii="Arial Narrow" w:hAnsi="Arial Narrow"/>
                <w:noProof/>
                <w:color w:val="006100"/>
                <w:sz w:val="20"/>
                <w:szCs w:val="20"/>
                <w:lang w:val="en-IE"/>
              </w:rPr>
              <w:t xml:space="preserve"> in the Digital Tourism Hub and </w:t>
            </w:r>
            <w:r w:rsidRPr="0EFC23C7">
              <w:rPr>
                <w:rFonts w:ascii="Arial Narrow" w:eastAsia="Arial Narrow" w:hAnsi="Arial Narrow" w:cs="Arial Narrow"/>
                <w:noProof/>
                <w:color w:val="006100"/>
                <w:sz w:val="20"/>
                <w:szCs w:val="20"/>
                <w:lang w:val="en-GB"/>
              </w:rPr>
              <w:t xml:space="preserve">accessibility of services in the Digital Tourism Hub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83854F"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C9E1099"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6EFA2D0"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20 000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45C841"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35 000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A200C0D"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A7B2F88"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2DB58F5" w14:textId="77777777" w:rsidR="0039681A" w:rsidRPr="00E74433"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35 000 enterprises,</w:t>
            </w:r>
            <w:r w:rsidRPr="00E74433">
              <w:rPr>
                <w:rFonts w:ascii="Arial Narrow" w:hAnsi="Arial Narrow"/>
                <w:noProof/>
                <w:color w:val="006100"/>
                <w:sz w:val="20"/>
                <w:szCs w:val="20"/>
                <w:lang w:val="en-IE"/>
              </w:rPr>
              <w:t xml:space="preserve"> including individual operators,</w:t>
            </w:r>
            <w:r w:rsidRPr="00A36E36">
              <w:rPr>
                <w:rFonts w:ascii="Arial Narrow" w:hAnsi="Arial Narrow"/>
                <w:noProof/>
                <w:color w:val="006100"/>
                <w:sz w:val="20"/>
                <w:szCs w:val="20"/>
                <w:lang w:val="en-IE"/>
              </w:rPr>
              <w:t xml:space="preserve"> shall be registered in the Hub. </w:t>
            </w:r>
          </w:p>
          <w:p w14:paraId="63F0A610" w14:textId="776B0240"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following services shall be accessible</w:t>
            </w:r>
            <w:r w:rsidR="00381DB1">
              <w:rPr>
                <w:rFonts w:ascii="Arial Narrow" w:hAnsi="Arial Narrow"/>
                <w:noProof/>
                <w:color w:val="006100"/>
                <w:sz w:val="20"/>
                <w:szCs w:val="20"/>
                <w:lang w:val="en-IE"/>
              </w:rPr>
              <w:t xml:space="preserve"> </w:t>
            </w:r>
            <w:r w:rsidRPr="00A36E36">
              <w:rPr>
                <w:rFonts w:ascii="Arial Narrow" w:hAnsi="Arial Narrow"/>
                <w:noProof/>
                <w:color w:val="006100"/>
                <w:sz w:val="20"/>
                <w:szCs w:val="20"/>
                <w:lang w:val="en-IE"/>
              </w:rPr>
              <w:t xml:space="preserve">in the Digital Tourism Hub: </w:t>
            </w:r>
          </w:p>
          <w:p w14:paraId="221FA5C8" w14:textId="0D97C856" w:rsidR="0039681A" w:rsidRPr="00E74433" w:rsidRDefault="0039681A" w:rsidP="0039681A">
            <w:pPr>
              <w:pStyle w:val="ListParagraph"/>
              <w:numPr>
                <w:ilvl w:val="0"/>
                <w:numId w:val="51"/>
              </w:numPr>
              <w:spacing w:line="278" w:lineRule="auto"/>
              <w:rPr>
                <w:rFonts w:ascii="Arial Narrow" w:hAnsi="Arial Narrow"/>
                <w:noProof/>
                <w:color w:val="006100"/>
                <w:sz w:val="20"/>
                <w:szCs w:val="20"/>
                <w:lang w:val="en-IE"/>
              </w:rPr>
            </w:pPr>
            <w:r w:rsidRPr="004A63AC">
              <w:rPr>
                <w:rFonts w:ascii="Arial Narrow" w:hAnsi="Arial Narrow"/>
                <w:noProof/>
                <w:color w:val="006100"/>
                <w:sz w:val="20"/>
                <w:szCs w:val="20"/>
                <w:lang w:val="en-IE"/>
              </w:rPr>
              <w:t xml:space="preserve">Communication services for enterprises, </w:t>
            </w:r>
            <w:r w:rsidRPr="00E74433">
              <w:rPr>
                <w:rFonts w:ascii="Arial Narrow" w:hAnsi="Arial Narrow"/>
                <w:noProof/>
                <w:color w:val="006100"/>
                <w:sz w:val="20"/>
                <w:szCs w:val="20"/>
                <w:lang w:val="en-IE"/>
              </w:rPr>
              <w:t>including individual operators</w:t>
            </w:r>
            <w:r w:rsidRPr="004A63AC">
              <w:rPr>
                <w:rFonts w:ascii="Arial Narrow" w:hAnsi="Arial Narrow"/>
                <w:noProof/>
                <w:color w:val="006100"/>
                <w:sz w:val="20"/>
                <w:szCs w:val="20"/>
                <w:lang w:val="en-IE"/>
              </w:rPr>
              <w:t>,</w:t>
            </w:r>
            <w:r w:rsidRPr="00E74433">
              <w:rPr>
                <w:rFonts w:ascii="Arial Narrow" w:hAnsi="Arial Narrow"/>
                <w:noProof/>
                <w:color w:val="006100"/>
                <w:sz w:val="20"/>
                <w:szCs w:val="20"/>
                <w:lang w:val="en-IE"/>
              </w:rPr>
              <w:t xml:space="preserve"> to propose their offer;</w:t>
            </w:r>
            <w:r w:rsidR="00381DB1">
              <w:rPr>
                <w:rFonts w:ascii="Arial Narrow" w:hAnsi="Arial Narrow"/>
                <w:noProof/>
                <w:color w:val="006100"/>
                <w:sz w:val="20"/>
                <w:szCs w:val="20"/>
                <w:lang w:val="en-IE"/>
              </w:rPr>
              <w:t xml:space="preserve"> </w:t>
            </w:r>
          </w:p>
          <w:p w14:paraId="3327A7B3" w14:textId="77777777" w:rsidR="0039681A" w:rsidRPr="00E74433" w:rsidRDefault="0039681A" w:rsidP="0039681A">
            <w:pPr>
              <w:pStyle w:val="ListParagraph"/>
              <w:numPr>
                <w:ilvl w:val="0"/>
                <w:numId w:val="51"/>
              </w:numPr>
              <w:spacing w:line="278" w:lineRule="auto"/>
              <w:rPr>
                <w:rFonts w:ascii="Arial Narrow" w:hAnsi="Arial Narrow"/>
                <w:noProof/>
                <w:color w:val="006100"/>
                <w:sz w:val="20"/>
                <w:szCs w:val="20"/>
                <w:lang w:val="en-IE"/>
              </w:rPr>
            </w:pPr>
            <w:r w:rsidRPr="00E74433">
              <w:rPr>
                <w:rFonts w:ascii="Arial Narrow" w:hAnsi="Arial Narrow"/>
                <w:noProof/>
                <w:color w:val="006100"/>
                <w:sz w:val="20"/>
                <w:szCs w:val="20"/>
                <w:lang w:val="en-IE"/>
              </w:rPr>
              <w:t xml:space="preserve">Data analysis tools and predictive models to support data-driven decision making; </w:t>
            </w:r>
          </w:p>
          <w:p w14:paraId="135940CB" w14:textId="77777777" w:rsidR="0039681A" w:rsidRPr="004A63AC" w:rsidRDefault="0039681A" w:rsidP="0039681A">
            <w:pPr>
              <w:pStyle w:val="ListParagraph"/>
              <w:numPr>
                <w:ilvl w:val="0"/>
                <w:numId w:val="51"/>
              </w:numPr>
              <w:spacing w:line="278" w:lineRule="auto"/>
              <w:rPr>
                <w:rFonts w:ascii="Arial Narrow" w:hAnsi="Arial Narrow"/>
                <w:noProof/>
                <w:color w:val="006100"/>
                <w:sz w:val="20"/>
                <w:szCs w:val="20"/>
                <w:lang w:val="en-IE"/>
              </w:rPr>
            </w:pPr>
            <w:r w:rsidRPr="00E74433">
              <w:rPr>
                <w:rFonts w:ascii="Arial Narrow" w:hAnsi="Arial Narrow"/>
                <w:noProof/>
                <w:color w:val="006100"/>
                <w:sz w:val="20"/>
                <w:szCs w:val="20"/>
                <w:lang w:val="en-IE"/>
              </w:rPr>
              <w:t>Training for upskillin</w:t>
            </w:r>
            <w:r w:rsidRPr="004A63AC">
              <w:rPr>
                <w:rFonts w:ascii="Arial Narrow" w:hAnsi="Arial Narrow"/>
                <w:noProof/>
                <w:color w:val="006100"/>
                <w:sz w:val="20"/>
                <w:szCs w:val="20"/>
                <w:lang w:val="en-IE"/>
              </w:rPr>
              <w:t xml:space="preserve">g and reskilling; </w:t>
            </w:r>
          </w:p>
          <w:p w14:paraId="62175927" w14:textId="77777777" w:rsidR="0039681A" w:rsidRPr="00A36E36" w:rsidRDefault="0039681A" w:rsidP="0039681A">
            <w:pPr>
              <w:pStyle w:val="ListParagraph"/>
              <w:numPr>
                <w:ilvl w:val="0"/>
                <w:numId w:val="51"/>
              </w:numPr>
              <w:spacing w:line="278"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Services for SMEs to support innovation.</w:t>
            </w:r>
          </w:p>
        </w:tc>
      </w:tr>
      <w:tr w:rsidR="0039681A" w:rsidRPr="0070054C" w14:paraId="19630DF8"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BAE47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M1C3-12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FDC3F4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2.1 – Attractiveness of small historic town</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74D65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4FCD5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Ministry of Culture decree for the allocation of resources to municipalities for the attractiveness of Small Historic Towns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85D84D"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Ministry of Culture decree for the allocation of resources to municipalities for the attractiveness of Small Historic Towns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9C7DD5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38209A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EB8F90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354AB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8046E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02C6EB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Ministry of Culture decree shall allocate resources to municipalities for the attractiveness of Small Historic Towns.</w:t>
            </w:r>
          </w:p>
          <w:p w14:paraId="239F82CD"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municipalities involved to enhance the attractiveness of small historic town refer to the 250 municipalities/villages that have transmitted to the Ministry of Culture the intervention programs</w:t>
            </w:r>
          </w:p>
          <w:p w14:paraId="3969A7AC"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criteria for the selection of the 250 villages (Inv. 2.1) shall be shared by MiC, Regions, ANCI and Internal Areas which; preliminarily they shall identify the territorial areas eligible for (Inv2.1) due to the complementarities between the various programs. Following, the selection of the villages shall be made on the basis of a) territorial, economic and social criteria (statistical indicators) b) the capacity of the project to impact on tourist attractiveness and to increase cultural participation. The statistical indicators taken into consideration are: demographic size (municipalities with pop. &lt; 5</w:t>
            </w:r>
            <w:r w:rsidRPr="00A36E36">
              <w:rPr>
                <w:noProof/>
                <w:color w:val="006100"/>
                <w:sz w:val="20"/>
                <w:lang w:val="en-IE"/>
              </w:rPr>
              <w:t> </w:t>
            </w:r>
            <w:r w:rsidRPr="00A36E36">
              <w:rPr>
                <w:rFonts w:ascii="Arial Narrow" w:hAnsi="Arial Narrow"/>
                <w:noProof/>
                <w:color w:val="006100"/>
                <w:sz w:val="20"/>
                <w:lang w:val="en-IE"/>
              </w:rPr>
              <w:t>000 inhab.) and trend; tourist flows, museum visitors; the consistency of the tourist offer (hotels and other hotels, B&amp;Bs, rooms and rental accommodation .); the demographic trend of the municipality; the degree of cultural participation of the population; the consistency of cultural, creative and tourism enterprises (profit and non-profit) and related employees.</w:t>
            </w:r>
          </w:p>
          <w:p w14:paraId="255249F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award of the contracts to the projects selected under the competitive calls for proposals, shall include the following: </w:t>
            </w:r>
          </w:p>
          <w:p w14:paraId="60ECC32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a) Eligibility criteria that ensure that the selected projects comply with the ‘Do no significant harm’ Technical Guidance (2021/C58/01) through the use of an exclusion list and the requirement of compliance with the relevant EU and national environmental legislation. </w:t>
            </w:r>
          </w:p>
          <w:p w14:paraId="7607860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b) Commitment that the climate contribution of the investment as per the methodology in Annex VI of the Regulation (EU) 2021/241 shall account for at least 25% of the total cost of the investment supported by the RRF. </w:t>
            </w:r>
          </w:p>
          <w:p w14:paraId="19ACE893"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c) Commitment to report on the implementation of the measure halfway through the life of the scheme and the end of the scheme.</w:t>
            </w:r>
          </w:p>
        </w:tc>
      </w:tr>
      <w:tr w:rsidR="0039681A" w:rsidRPr="0070054C" w14:paraId="5D73A310"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81BB04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M1C3-13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46245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2.2 – Protection and enhancement of rural architecture and landscape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ED700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EEB20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Ministry of Culture decree for the allocation of resources for the protection and enhancement of rural architecture and landscape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2F897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Ministry of Culture (MIC) decree for the allocation of resources for the protection and enhancement of rural architecture and landscape</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BB94E1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EF549C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31C427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2DB92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24C75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FF372E"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Ministry of Culture decree shall allocate the resources for the protection and enhancement of rural architecture and landscape. </w:t>
            </w:r>
          </w:p>
          <w:p w14:paraId="65F4C7EF"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For the protection and enhancement of rural architecture and landscape (Inv 2.2) the selection of the assets to be recovered shall privilege the investment’s ability to generate effects on the conservation objectives of landscape values. Priority shall be given:</w:t>
            </w:r>
          </w:p>
          <w:p w14:paraId="7AA70F23"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to assets located in territorial areas of high landscape value (assets located in areas of landscape interest or of notable public interest (art.142-139 of DLgs 42/2004), to the landscapes subject to UNESCO recognition, FAO GIAHS;</w:t>
            </w:r>
          </w:p>
          <w:p w14:paraId="75FCA075"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to assets already available for public use or that the owner agrees to be accessible including within local and integrated circuits and networks;</w:t>
            </w:r>
          </w:p>
          <w:p w14:paraId="77A49453"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to “area projects”, presented by aggregated subjects, able to ensure more effectively the achievement of landscape redevelopment objectives;</w:t>
            </w:r>
          </w:p>
          <w:p w14:paraId="7FDB1CAC"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projects located in areas that enhance the integrations and synergies with other candidates for the PNRR and other plans / projects of a territorial nature supported by the programming national (Ministry of Culture).</w:t>
            </w:r>
          </w:p>
          <w:p w14:paraId="13E801AD"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For the purposes of defining the types of rural architecture subject to the intervention, the Decree of the MiBAC 6 October 2005 (in implementation of the Law of 24 December 2003, n.378 –protection and enhancement of rural architecture), may be of reference. Preliminarily, the criteria may concern: the state of conservation of the assets, the levels of use, the role that these assets play in territorial and urban contexts.</w:t>
            </w:r>
          </w:p>
          <w:p w14:paraId="469501D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award of the contracts to the projects selected under the competitive calls for proposals, shall be in compliance with the ’Do no significant harm’ Technical Guidance (2021/C58/01) through the use of an exclusion list and the requirement of compliance with the relevant EU and national environmental legislation.</w:t>
            </w:r>
          </w:p>
        </w:tc>
      </w:tr>
      <w:tr w:rsidR="0039681A" w:rsidRPr="0070054C" w14:paraId="045C1653"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8438B7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M1C3-14</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24AD26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2.3 – Programmes to enhance the identity of places, parks and historic gardens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B75FE9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8B51D3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Ministry of Culture decree for the allocation of resources: for projects to enhance the identity of places, parks and historic gardens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72F3E9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Ministry of Culture decree for the allocation of resources for projects to enhance the identity of places, parks and historic gardens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82199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1CF97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E9C3AB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85D74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9F786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DA220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Ministry of Culture decree shall assign the resources to the responsible administrations for projects to enhance the identity of places, parks and historic gardens.</w:t>
            </w:r>
          </w:p>
          <w:p w14:paraId="4E58BCC3"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historic parks and gardens (Inv. 2.3) subject to intervention are exclusively protected cultural assets, for which artistic or historical interest has been declared. They may belong to both state Ministry of Culture (MiC) and non-state assets. The selection shall be made on the basis of criteria that shall be defined by a technical-scientific coordination group, composed by representatives of MiC, University, ANCI, sectorial Associations.</w:t>
            </w:r>
          </w:p>
          <w:p w14:paraId="3D4E6A98"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award of the contracts to the projects selected under the competitive calls for proposals, shall be in compliance with the ’Do no significant harm’ Technical Guidance (2021/C58/01) through the use of an exclusion list and the requirement of compliance with the relevant EU and national environmental legislation.</w:t>
            </w:r>
          </w:p>
        </w:tc>
      </w:tr>
      <w:tr w:rsidR="0039681A" w:rsidRPr="0070054C" w14:paraId="3B7A0286"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BD11E1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M1C3-15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07CD53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2.4 – Seismic safety of place of places of worship, restoration of FEC heritage and shelters for art works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00D606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C38F238"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Ministry of Culture decree for the allocation of resources for seismic safety in place of worship and FEC (Fondo Edifici di Culto) heritage restoration</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FB10B43"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Ministry of Culture decree for the allocation of resources for seismic safety in place of worship and FEC (Fondo Edifici di Culto) heritage restoration</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609D6A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27D22F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B3CE4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DFC49A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2A1CAA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3E7693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Ministry of Culture decree shall determine the implementing entity and the eligibility and financing of buildings undergoing interventions and typology.</w:t>
            </w:r>
          </w:p>
          <w:p w14:paraId="0FBC3DF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(Inv 2.4) The seismic prevention and safety measures of places of worship concern the areas affected by several earthquakes which hit Regions of Italy from 2009 onwards (Abruzzo, Lazio, Marche and Umbria).</w:t>
            </w:r>
          </w:p>
          <w:p w14:paraId="43A1342C"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interventions of the FEC (Fondo Edifici di Culto) are selected on the basis of the state of conservation of the assets of the FEC (Fondo Edifici di Culto) heritage.</w:t>
            </w:r>
          </w:p>
          <w:p w14:paraId="1A5B4BDC"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award of the contracts to the projects selected under the competitive calls for proposals, shall be in compliance with the ’Do no significant harm’ Technical Guidance (2021/C58/01) through the use of an exclusion list and the requirement of compliance with the relevant EU and national environmental legislation.</w:t>
            </w:r>
          </w:p>
        </w:tc>
      </w:tr>
      <w:tr w:rsidR="0039681A" w:rsidRPr="0070054C" w14:paraId="04AAC750" w14:textId="77777777" w:rsidTr="00351087">
        <w:trPr>
          <w:trHeight w:val="313"/>
          <w:jc w:val="center"/>
        </w:trPr>
        <w:tc>
          <w:tcPr>
            <w:tcW w:w="377" w:type="pct"/>
            <w:shd w:val="clear" w:color="auto" w:fill="C6EFCE"/>
            <w:noWrap/>
            <w:vAlign w:val="center"/>
            <w:hideMark/>
          </w:tcPr>
          <w:p w14:paraId="52BFB31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M1C3-16</w:t>
            </w:r>
          </w:p>
        </w:tc>
        <w:tc>
          <w:tcPr>
            <w:tcW w:w="520" w:type="pct"/>
            <w:shd w:val="clear" w:color="auto" w:fill="C6EFCE"/>
            <w:noWrap/>
            <w:vAlign w:val="center"/>
          </w:tcPr>
          <w:p w14:paraId="1F4615C1"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2.1 Attractiveness of Small Historic Towns</w:t>
            </w:r>
          </w:p>
        </w:tc>
        <w:tc>
          <w:tcPr>
            <w:tcW w:w="378" w:type="pct"/>
            <w:shd w:val="clear" w:color="auto" w:fill="C6EFCE"/>
            <w:noWrap/>
            <w:vAlign w:val="center"/>
            <w:hideMark/>
          </w:tcPr>
          <w:p w14:paraId="5EBD60E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shd w:val="clear" w:color="auto" w:fill="C6EFCE"/>
            <w:noWrap/>
            <w:vAlign w:val="center"/>
          </w:tcPr>
          <w:p w14:paraId="223A9ACA"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decree(s) listing firms awarded support in Small Historic Towns</w:t>
            </w:r>
          </w:p>
        </w:tc>
        <w:tc>
          <w:tcPr>
            <w:tcW w:w="520" w:type="pct"/>
            <w:shd w:val="clear" w:color="auto" w:fill="C6EFCE"/>
            <w:noWrap/>
            <w:vAlign w:val="center"/>
            <w:hideMark/>
          </w:tcPr>
          <w:p w14:paraId="3D51054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Adoption of decree(s) listing firms awarded supported</w:t>
            </w:r>
          </w:p>
        </w:tc>
        <w:tc>
          <w:tcPr>
            <w:tcW w:w="331" w:type="pct"/>
            <w:shd w:val="clear" w:color="auto" w:fill="C6EFCE"/>
            <w:noWrap/>
            <w:vAlign w:val="center"/>
            <w:hideMark/>
          </w:tcPr>
          <w:p w14:paraId="68457DF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shd w:val="clear" w:color="auto" w:fill="C6EFCE"/>
            <w:noWrap/>
            <w:vAlign w:val="center"/>
          </w:tcPr>
          <w:p w14:paraId="4CFD630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shd w:val="clear" w:color="auto" w:fill="C6EFCE"/>
            <w:noWrap/>
            <w:vAlign w:val="center"/>
          </w:tcPr>
          <w:p w14:paraId="2FCC497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shd w:val="clear" w:color="auto" w:fill="C6EFCE"/>
            <w:noWrap/>
            <w:vAlign w:val="center"/>
            <w:hideMark/>
          </w:tcPr>
          <w:p w14:paraId="4B2B899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shd w:val="clear" w:color="auto" w:fill="C6EFCE"/>
            <w:noWrap/>
            <w:vAlign w:val="center"/>
            <w:hideMark/>
          </w:tcPr>
          <w:p w14:paraId="604934A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1046" w:type="pct"/>
            <w:shd w:val="clear" w:color="auto" w:fill="C6EFCE"/>
            <w:noWrap/>
            <w:vAlign w:val="center"/>
            <w:hideMark/>
          </w:tcPr>
          <w:p w14:paraId="7375AE40"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decree(s) listing at least 1</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800 firms awarded support in Small Historic Towns.</w:t>
            </w:r>
          </w:p>
        </w:tc>
      </w:tr>
      <w:tr w:rsidR="0039681A" w:rsidRPr="0070054C" w14:paraId="4BD2D050"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ACF77E" w14:textId="77777777" w:rsidR="0039681A" w:rsidRPr="00647572" w:rsidRDefault="0039681A">
            <w:pPr>
              <w:jc w:val="center"/>
              <w:rPr>
                <w:rFonts w:ascii="Arial Narrow" w:hAnsi="Arial Narrow"/>
                <w:noProof/>
                <w:color w:val="006100"/>
                <w:sz w:val="20"/>
              </w:rPr>
            </w:pPr>
            <w:bookmarkStart w:id="12" w:name="_Hlk212582527"/>
            <w:r w:rsidRPr="00647572">
              <w:rPr>
                <w:rFonts w:ascii="Arial Narrow" w:hAnsi="Arial Narrow"/>
                <w:noProof/>
                <w:color w:val="006100"/>
                <w:sz w:val="20"/>
              </w:rPr>
              <w:t>M1C3-16bis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9F75CA" w14:textId="77777777"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Investment – 2.1 Attractiveness of Small Historic Towns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4769822"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B70A58" w14:textId="18685089" w:rsidR="0039681A" w:rsidRPr="00A36E36" w:rsidRDefault="0039681A">
            <w:pPr>
              <w:jc w:val="center"/>
              <w:rPr>
                <w:rFonts w:ascii="Arial Narrow" w:hAnsi="Arial Narrow"/>
                <w:noProof/>
                <w:color w:val="006100"/>
                <w:sz w:val="20"/>
                <w:szCs w:val="20"/>
                <w:lang w:val="en-IE"/>
              </w:rPr>
            </w:pPr>
            <w:r w:rsidRPr="1CC442FA">
              <w:rPr>
                <w:rFonts w:ascii="Arial Narrow" w:hAnsi="Arial Narrow"/>
                <w:noProof/>
                <w:color w:val="006100"/>
                <w:sz w:val="20"/>
                <w:szCs w:val="20"/>
                <w:lang w:val="en-IE"/>
              </w:rPr>
              <w:t xml:space="preserve"> Interventions carried out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D14C271"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0740ED0"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F693062"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71EBF3" w14:textId="77777777" w:rsidR="0039681A" w:rsidRPr="00647572" w:rsidDel="00C65108" w:rsidRDefault="0039681A">
            <w:pPr>
              <w:jc w:val="center"/>
              <w:rPr>
                <w:rFonts w:ascii="Arial Narrow" w:hAnsi="Arial Narrow"/>
                <w:noProof/>
                <w:color w:val="006100"/>
                <w:sz w:val="20"/>
              </w:rPr>
            </w:pPr>
            <w:r w:rsidRPr="00647572">
              <w:rPr>
                <w:rFonts w:ascii="Arial Narrow" w:hAnsi="Arial Narrow"/>
                <w:noProof/>
                <w:color w:val="006100"/>
                <w:sz w:val="20"/>
              </w:rPr>
              <w:t>3 250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A75CD01"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465F6D"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C7BE0D" w14:textId="1EF13C14" w:rsidR="0039681A" w:rsidRPr="00A36E36" w:rsidRDefault="0039681A">
            <w:pPr>
              <w:rPr>
                <w:rFonts w:ascii="Arial Narrow" w:hAnsi="Arial Narrow"/>
                <w:noProof/>
                <w:color w:val="006100"/>
                <w:sz w:val="20"/>
                <w:szCs w:val="20"/>
                <w:lang w:val="en-IE"/>
              </w:rPr>
            </w:pPr>
            <w:r w:rsidRPr="11119C30">
              <w:rPr>
                <w:rFonts w:ascii="Arial Narrow" w:hAnsi="Arial Narrow"/>
                <w:noProof/>
                <w:color w:val="006100"/>
                <w:sz w:val="20"/>
                <w:szCs w:val="20"/>
                <w:lang w:val="en-IE"/>
              </w:rPr>
              <w:t xml:space="preserve"> At least 3 250 interventions, of which 400 under Line A, shall be carried out</w:t>
            </w:r>
          </w:p>
        </w:tc>
      </w:tr>
      <w:bookmarkEnd w:id="12"/>
      <w:tr w:rsidR="0039681A" w:rsidRPr="0070054C" w14:paraId="2AC9B48B"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18E73D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M1C3-17</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FFC738"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2.2 Protection and enhancement of rural architecture and landscape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8A726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53C910" w14:textId="3AD96EFB" w:rsidR="0039681A" w:rsidRPr="00A36E36" w:rsidRDefault="0039681A">
            <w:pPr>
              <w:jc w:val="center"/>
              <w:rPr>
                <w:rFonts w:ascii="Arial Narrow" w:hAnsi="Arial Narrow"/>
                <w:noProof/>
                <w:color w:val="006100"/>
                <w:sz w:val="20"/>
                <w:szCs w:val="20"/>
                <w:lang w:val="en-IE"/>
              </w:rPr>
            </w:pPr>
            <w:r w:rsidRPr="11119C30">
              <w:rPr>
                <w:rFonts w:ascii="Arial Narrow" w:hAnsi="Arial Narrow"/>
                <w:noProof/>
                <w:color w:val="006100"/>
                <w:sz w:val="20"/>
                <w:szCs w:val="20"/>
                <w:lang w:val="en-IE"/>
              </w:rPr>
              <w:t xml:space="preserve"> Interventions carried out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55428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E70FF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5C2A1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C65C3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3 900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CB760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7AD2A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F0967A" w14:textId="454E041F" w:rsidR="0039681A" w:rsidRPr="00A36E36" w:rsidRDefault="0039681A">
            <w:pPr>
              <w:rPr>
                <w:rFonts w:ascii="Arial Narrow" w:hAnsi="Arial Narrow"/>
                <w:noProof/>
                <w:color w:val="006100"/>
                <w:sz w:val="20"/>
                <w:szCs w:val="20"/>
                <w:lang w:val="en-IE"/>
              </w:rPr>
            </w:pPr>
            <w:r w:rsidRPr="1966C98E">
              <w:rPr>
                <w:rFonts w:ascii="Arial Narrow" w:hAnsi="Arial Narrow"/>
                <w:noProof/>
                <w:color w:val="006100"/>
                <w:sz w:val="20"/>
                <w:szCs w:val="20"/>
                <w:lang w:val="en-IE"/>
              </w:rPr>
              <w:t>Administrative certificates confirming that interventions have been carried out on at least 3 900 assets.</w:t>
            </w:r>
          </w:p>
        </w:tc>
      </w:tr>
      <w:tr w:rsidR="0039681A" w:rsidRPr="0070054C" w14:paraId="468A9D24" w14:textId="77777777" w:rsidTr="00351087">
        <w:trPr>
          <w:trHeight w:val="364"/>
          <w:jc w:val="center"/>
        </w:trPr>
        <w:tc>
          <w:tcPr>
            <w:tcW w:w="377" w:type="pct"/>
            <w:shd w:val="clear" w:color="auto" w:fill="C6EFCE"/>
            <w:noWrap/>
            <w:vAlign w:val="center"/>
            <w:hideMark/>
          </w:tcPr>
          <w:p w14:paraId="171FF378" w14:textId="77777777" w:rsidR="0039681A" w:rsidRPr="00647572" w:rsidRDefault="0039681A">
            <w:pPr>
              <w:jc w:val="center"/>
              <w:rPr>
                <w:rFonts w:ascii="Arial Narrow" w:hAnsi="Arial Narrow"/>
                <w:noProof/>
                <w:color w:val="006100"/>
                <w:sz w:val="20"/>
                <w:szCs w:val="20"/>
              </w:rPr>
            </w:pPr>
            <w:r w:rsidRPr="7A09027F">
              <w:rPr>
                <w:rFonts w:ascii="Arial Narrow" w:hAnsi="Arial Narrow"/>
                <w:noProof/>
                <w:color w:val="006100"/>
                <w:sz w:val="20"/>
                <w:szCs w:val="20"/>
              </w:rPr>
              <w:t>M1C3-18</w:t>
            </w:r>
          </w:p>
        </w:tc>
        <w:tc>
          <w:tcPr>
            <w:tcW w:w="520" w:type="pct"/>
            <w:shd w:val="clear" w:color="auto" w:fill="C6EFCE"/>
            <w:noWrap/>
            <w:vAlign w:val="center"/>
            <w:hideMark/>
          </w:tcPr>
          <w:p w14:paraId="3FCBF432" w14:textId="51D2117D"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2.3 Programmes to preserve and</w:t>
            </w:r>
            <w:r w:rsidR="00381DB1">
              <w:rPr>
                <w:rFonts w:ascii="Arial Narrow" w:hAnsi="Arial Narrow"/>
                <w:noProof/>
                <w:color w:val="006100"/>
                <w:sz w:val="20"/>
                <w:szCs w:val="20"/>
                <w:lang w:val="en-IE"/>
              </w:rPr>
              <w:t xml:space="preserve"> </w:t>
            </w:r>
            <w:r w:rsidRPr="00A36E36">
              <w:rPr>
                <w:rFonts w:ascii="Arial Narrow" w:hAnsi="Arial Narrow"/>
                <w:noProof/>
                <w:color w:val="006100"/>
                <w:sz w:val="20"/>
                <w:szCs w:val="20"/>
                <w:lang w:val="en-IE"/>
              </w:rPr>
              <w:t>refurbish</w:t>
            </w:r>
            <w:r w:rsidR="00381DB1">
              <w:rPr>
                <w:rFonts w:ascii="Arial Narrow" w:hAnsi="Arial Narrow"/>
                <w:noProof/>
                <w:color w:val="006100"/>
                <w:sz w:val="20"/>
                <w:szCs w:val="20"/>
                <w:lang w:val="en-IE"/>
              </w:rPr>
              <w:t xml:space="preserve"> </w:t>
            </w:r>
            <w:r w:rsidRPr="00A36E36">
              <w:rPr>
                <w:rFonts w:ascii="Arial Narrow" w:hAnsi="Arial Narrow"/>
                <w:noProof/>
                <w:color w:val="006100"/>
                <w:sz w:val="20"/>
                <w:szCs w:val="20"/>
                <w:lang w:val="en-IE"/>
              </w:rPr>
              <w:t>historical parks and gardens</w:t>
            </w:r>
          </w:p>
        </w:tc>
        <w:tc>
          <w:tcPr>
            <w:tcW w:w="378" w:type="pct"/>
            <w:shd w:val="clear" w:color="auto" w:fill="C6EFCE"/>
            <w:noWrap/>
            <w:vAlign w:val="center"/>
            <w:hideMark/>
          </w:tcPr>
          <w:p w14:paraId="0E64057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shd w:val="clear" w:color="auto" w:fill="C6EFCE"/>
            <w:noWrap/>
            <w:vAlign w:val="center"/>
            <w:hideMark/>
          </w:tcPr>
          <w:p w14:paraId="2E31B3B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Number of historical parks and gardens refurbished</w:t>
            </w:r>
          </w:p>
        </w:tc>
        <w:tc>
          <w:tcPr>
            <w:tcW w:w="520" w:type="pct"/>
            <w:shd w:val="clear" w:color="auto" w:fill="C6EFCE"/>
            <w:noWrap/>
            <w:vAlign w:val="center"/>
            <w:hideMark/>
          </w:tcPr>
          <w:p w14:paraId="43C944E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1" w:type="pct"/>
            <w:shd w:val="clear" w:color="auto" w:fill="C6EFCE"/>
            <w:noWrap/>
            <w:vAlign w:val="center"/>
            <w:hideMark/>
          </w:tcPr>
          <w:p w14:paraId="1B64692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332" w:type="pct"/>
            <w:shd w:val="clear" w:color="auto" w:fill="C6EFCE"/>
            <w:noWrap/>
            <w:vAlign w:val="center"/>
            <w:hideMark/>
          </w:tcPr>
          <w:p w14:paraId="7623730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424" w:type="pct"/>
            <w:shd w:val="clear" w:color="auto" w:fill="C6EFCE"/>
            <w:noWrap/>
            <w:vAlign w:val="center"/>
            <w:hideMark/>
          </w:tcPr>
          <w:p w14:paraId="48FFEC2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100</w:t>
            </w:r>
          </w:p>
        </w:tc>
        <w:tc>
          <w:tcPr>
            <w:tcW w:w="332" w:type="pct"/>
            <w:shd w:val="clear" w:color="auto" w:fill="C6EFCE"/>
            <w:noWrap/>
            <w:vAlign w:val="center"/>
            <w:hideMark/>
          </w:tcPr>
          <w:p w14:paraId="1D1307C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220" w:type="pct"/>
            <w:shd w:val="clear" w:color="auto" w:fill="C6EFCE"/>
            <w:noWrap/>
            <w:vAlign w:val="center"/>
            <w:hideMark/>
          </w:tcPr>
          <w:p w14:paraId="7E1F44C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2025</w:t>
            </w:r>
          </w:p>
        </w:tc>
        <w:tc>
          <w:tcPr>
            <w:tcW w:w="1046" w:type="pct"/>
            <w:shd w:val="clear" w:color="auto" w:fill="C6EFCE"/>
            <w:noWrap/>
            <w:vAlign w:val="center"/>
            <w:hideMark/>
          </w:tcPr>
          <w:p w14:paraId="109F3395"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completion of works for the refurbishment of at least 100 historical parks and gardens shall be issued.</w:t>
            </w:r>
          </w:p>
        </w:tc>
      </w:tr>
      <w:tr w:rsidR="0039681A" w:rsidRPr="0070054C" w14:paraId="5F1D23B9"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EBB48E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M1C3-19</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E8325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- 2.4 Seismic safety of places of worship, restoration of FEC (Fondo Edifici di Culto) heritage and shelters for art works (Recovery Art)</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E0E3F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964DD5" w14:textId="3C47B6D1" w:rsidR="0039681A" w:rsidRPr="00A36E36" w:rsidRDefault="0039681A" w:rsidP="00351087">
            <w:pPr>
              <w:jc w:val="center"/>
              <w:rPr>
                <w:rFonts w:ascii="Arial Narrow" w:hAnsi="Arial Narrow"/>
                <w:noProof/>
                <w:color w:val="006100"/>
                <w:sz w:val="20"/>
                <w:szCs w:val="20"/>
                <w:lang w:val="en-IE"/>
              </w:rPr>
            </w:pPr>
            <w:r w:rsidRPr="11119C30">
              <w:rPr>
                <w:rFonts w:ascii="Arial Narrow" w:hAnsi="Arial Narrow"/>
                <w:noProof/>
                <w:color w:val="006100"/>
                <w:sz w:val="20"/>
                <w:szCs w:val="20"/>
                <w:lang w:val="en-IE"/>
              </w:rPr>
              <w:t xml:space="preserve"> Interventions carried out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34995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EBFBA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21BCA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74E8EE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700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CE38E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6898F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C0AF98" w14:textId="34912CA4" w:rsidR="0039681A" w:rsidRPr="00A36E36" w:rsidRDefault="0039681A" w:rsidP="00351087">
            <w:pPr>
              <w:rPr>
                <w:rFonts w:ascii="Arial Narrow" w:eastAsia="Arial Narrow" w:hAnsi="Arial Narrow" w:cs="Arial Narrow"/>
                <w:noProof/>
                <w:sz w:val="20"/>
                <w:szCs w:val="20"/>
                <w:lang w:val="en-IE"/>
              </w:rPr>
            </w:pPr>
            <w:r w:rsidRPr="1CC442FA">
              <w:rPr>
                <w:rFonts w:ascii="Arial Narrow" w:hAnsi="Arial Narrow"/>
                <w:noProof/>
                <w:color w:val="006100"/>
                <w:sz w:val="20"/>
                <w:szCs w:val="20"/>
                <w:lang w:val="en-IE"/>
              </w:rPr>
              <w:t xml:space="preserve">At least 700 interventions have been carried out, </w:t>
            </w:r>
            <w:r w:rsidRPr="1CC442FA">
              <w:rPr>
                <w:rFonts w:ascii="Arial Narrow" w:eastAsia="Arial Narrow" w:hAnsi="Arial Narrow" w:cs="Arial Narrow"/>
                <w:noProof/>
                <w:color w:val="006100"/>
                <w:sz w:val="20"/>
                <w:szCs w:val="20"/>
                <w:lang w:val="en-IE"/>
              </w:rPr>
              <w:t>of which one shelter for art works and two storage lots for art works.</w:t>
            </w:r>
          </w:p>
        </w:tc>
      </w:tr>
      <w:tr w:rsidR="0039681A" w:rsidRPr="0070054C" w14:paraId="7EFB28B3"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F0515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M1C3-20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6C537C"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- 3.2 Development of the film industry (Cinecittà project)</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CBABC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89515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Signature of the contracts between the implementing entity Cinecittà SPA and the companies in relation to the construction of nine studios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039B2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Signature of the contracts</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64FC3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2DA9C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D6BCD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717488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345C39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6CAD27"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Signature of the contracts between the implementing body, Cinecittà SPA and the companies in relation to the construction of nine studios. </w:t>
            </w:r>
          </w:p>
          <w:p w14:paraId="523B875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This intervention includes the construction of new studios, recovery of existing studios, investments in new digital technologies, systems and services aimed at strengthening the Cinecittà film studios managed by Cinecittà SPA.</w:t>
            </w:r>
          </w:p>
          <w:p w14:paraId="50C3C3BC"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contract between the implementing entity Cinecittà SPA and the companies shall contain selection/eligibility criteria for compliance with the DNSH Technical Guidance (2021/C58/01) of supported assets/activities and/or companies.</w:t>
            </w:r>
          </w:p>
          <w:p w14:paraId="0138E6CE" w14:textId="77777777" w:rsidR="0039681A" w:rsidRPr="00A36E36" w:rsidRDefault="0039681A">
            <w:pPr>
              <w:rPr>
                <w:rFonts w:ascii="Arial Narrow" w:hAnsi="Arial Narrow"/>
                <w:noProof/>
                <w:color w:val="006100"/>
                <w:sz w:val="20"/>
                <w:lang w:val="en-IE"/>
              </w:rPr>
            </w:pPr>
            <w:r w:rsidRPr="00A36E36">
              <w:rPr>
                <w:rFonts w:ascii="Arial Narrow" w:hAnsi="Arial Narrow"/>
                <w:noProof/>
                <w:color w:val="006100"/>
                <w:sz w:val="20"/>
                <w:lang w:val="en-IE"/>
              </w:rPr>
              <w:t>Commitment/target to invest 20% in assets/activities and/or companies compliant with the selection criteria for digital tagging and 70% with selection criteria for climate tracking.</w:t>
            </w:r>
          </w:p>
        </w:tc>
      </w:tr>
      <w:tr w:rsidR="0039681A" w:rsidRPr="0070054C" w14:paraId="1C85445F"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55604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M1C3-21</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A5A5AFA"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- 3.2 Development of the film industry (Cinecittà project)</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611FF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13CC80" w14:textId="2F2FA79E" w:rsidR="0039681A" w:rsidRPr="00A36E36" w:rsidRDefault="00381DB1" w:rsidP="00351087">
            <w:pPr>
              <w:jc w:val="center"/>
              <w:rPr>
                <w:rFonts w:ascii="Arial Narrow" w:hAnsi="Arial Narrow"/>
                <w:noProof/>
                <w:color w:val="006100"/>
                <w:sz w:val="20"/>
                <w:szCs w:val="20"/>
                <w:lang w:val="en-IE"/>
              </w:rPr>
            </w:pPr>
            <w:r>
              <w:rPr>
                <w:rFonts w:ascii="Arial Narrow" w:hAnsi="Arial Narrow"/>
                <w:noProof/>
                <w:color w:val="006100"/>
                <w:sz w:val="20"/>
                <w:szCs w:val="20"/>
                <w:lang w:val="en-IE"/>
              </w:rPr>
              <w:t xml:space="preserve"> </w:t>
            </w:r>
            <w:r w:rsidR="0039681A" w:rsidRPr="00AF5341">
              <w:rPr>
                <w:rFonts w:ascii="Arial Narrow" w:hAnsi="Arial Narrow"/>
                <w:noProof/>
                <w:color w:val="006100"/>
                <w:sz w:val="20"/>
                <w:szCs w:val="20"/>
                <w:lang w:val="en-IE"/>
              </w:rPr>
              <w:t>Construction and/or renovation of studios and delivery of services for the Centre for Experimental Cinematography</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9923D0" w14:textId="39FCD276" w:rsidR="0039681A" w:rsidRPr="00647572" w:rsidRDefault="0039681A" w:rsidP="00AF5341">
            <w:pPr>
              <w:jc w:val="center"/>
              <w:rPr>
                <w:rFonts w:ascii="Arial Narrow" w:hAnsi="Arial Narrow"/>
                <w:noProof/>
                <w:color w:val="006100"/>
                <w:sz w:val="20"/>
                <w:szCs w:val="20"/>
              </w:rPr>
            </w:pPr>
            <w:r w:rsidRPr="1966C98E">
              <w:rPr>
                <w:rFonts w:ascii="Arial Narrow" w:hAnsi="Arial Narrow"/>
                <w:noProof/>
                <w:color w:val="006100"/>
                <w:sz w:val="20"/>
                <w:szCs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BFFD02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E26AF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2DB808"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9</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F9D6E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B57CF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88A411" w14:textId="3AD81904" w:rsidR="0039681A" w:rsidRPr="00992CEC" w:rsidRDefault="0039681A" w:rsidP="00992CEC">
            <w:pPr>
              <w:rPr>
                <w:rFonts w:ascii="Arial Narrow" w:hAnsi="Arial Narrow"/>
                <w:noProof/>
                <w:color w:val="006100"/>
                <w:sz w:val="20"/>
                <w:lang w:val="en-IE"/>
              </w:rPr>
            </w:pPr>
            <w:r w:rsidRPr="00992CEC">
              <w:rPr>
                <w:rFonts w:ascii="Arial Narrow" w:hAnsi="Arial Narrow"/>
                <w:noProof/>
                <w:color w:val="006100"/>
                <w:sz w:val="20"/>
                <w:lang w:val="en-IE"/>
              </w:rPr>
              <w:t xml:space="preserve">Certificates of completion of works and/or certificates of delivery of services/supplies for the construction and/or renovation of at least 9 studios. </w:t>
            </w:r>
          </w:p>
          <w:p w14:paraId="010AF5D3" w14:textId="4FBAFE9F" w:rsidR="0039681A" w:rsidRPr="00A36E36" w:rsidRDefault="0039681A" w:rsidP="00351087">
            <w:pPr>
              <w:spacing w:line="257" w:lineRule="auto"/>
              <w:rPr>
                <w:rFonts w:ascii="Arial Narrow" w:hAnsi="Arial Narrow"/>
                <w:noProof/>
                <w:color w:val="006100"/>
                <w:sz w:val="20"/>
                <w:szCs w:val="20"/>
                <w:lang w:val="en-IE"/>
              </w:rPr>
            </w:pPr>
            <w:r w:rsidRPr="11119C30">
              <w:rPr>
                <w:rFonts w:ascii="Arial Narrow" w:hAnsi="Arial Narrow"/>
                <w:noProof/>
                <w:color w:val="006100"/>
                <w:sz w:val="20"/>
                <w:szCs w:val="20"/>
                <w:lang w:val="en-IE"/>
              </w:rPr>
              <w:t>Certificates confirming the delivery of goods and/or services and/or works for the Centre for Experimental Cinematography in the following lines:</w:t>
            </w:r>
            <w:r w:rsidRPr="11119C30">
              <w:rPr>
                <w:noProof/>
                <w:lang w:val="en-IE"/>
              </w:rPr>
              <w:t xml:space="preserve"> </w:t>
            </w:r>
            <w:r w:rsidRPr="11119C30">
              <w:rPr>
                <w:rFonts w:ascii="Arial Narrow" w:hAnsi="Arial Narrow"/>
                <w:noProof/>
                <w:color w:val="006100"/>
                <w:sz w:val="20"/>
                <w:szCs w:val="20"/>
                <w:lang w:val="en-IE"/>
              </w:rPr>
              <w:t>(i) creation of a virtual live set; (ii) e-learning platform for cinematography; (iii) digitalization of learning and teaching activities; (iv) digitalization and conservation of the audiovisual patrimony.</w:t>
            </w:r>
          </w:p>
        </w:tc>
      </w:tr>
      <w:tr w:rsidR="0039681A" w:rsidRPr="0070054C" w14:paraId="4A1BD460"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9CA424"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M1C3-22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751BDD2"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5EC276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BB74BE8" w14:textId="3119C92A" w:rsidR="0039681A" w:rsidRPr="00A36E36" w:rsidRDefault="0039681A" w:rsidP="00324E17">
            <w:pPr>
              <w:jc w:val="center"/>
              <w:rPr>
                <w:rFonts w:ascii="Arial Narrow" w:hAnsi="Arial Narrow"/>
                <w:noProof/>
                <w:color w:val="006100"/>
                <w:sz w:val="20"/>
                <w:szCs w:val="20"/>
                <w:lang w:val="en-IE"/>
              </w:rPr>
            </w:pPr>
            <w:r w:rsidRPr="003869FD">
              <w:rPr>
                <w:rFonts w:ascii="Arial Narrow" w:hAnsi="Arial Narrow"/>
                <w:noProof/>
                <w:color w:val="006100"/>
                <w:sz w:val="20"/>
                <w:lang w:val="en-IE"/>
              </w:rPr>
              <w:t>Investment policy for</w:t>
            </w:r>
            <w:r w:rsidR="00324E17">
              <w:rPr>
                <w:rFonts w:ascii="Arial Narrow" w:hAnsi="Arial Narrow"/>
                <w:noProof/>
                <w:color w:val="006100"/>
                <w:sz w:val="20"/>
                <w:lang w:val="en-IE"/>
              </w:rPr>
              <w:t xml:space="preserve"> the </w:t>
            </w:r>
            <w:r w:rsidRPr="003869FD">
              <w:rPr>
                <w:rFonts w:ascii="Arial Narrow" w:hAnsi="Arial Narrow"/>
                <w:noProof/>
                <w:color w:val="006100"/>
                <w:sz w:val="20"/>
                <w:lang w:val="en-IE"/>
              </w:rPr>
              <w:t>European Investment Bank</w:t>
            </w:r>
            <w:r w:rsidRPr="00A36E36">
              <w:rPr>
                <w:rFonts w:ascii="Arial Narrow" w:hAnsi="Arial Narrow"/>
                <w:noProof/>
                <w:color w:val="006100"/>
                <w:sz w:val="20"/>
                <w:lang w:val="en-IE"/>
              </w:rPr>
              <w:t xml:space="preserve"> Thematic Fund</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1E7E6DD" w14:textId="77777777"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Adoption of the investment policy</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8906F1F"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803D300"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C27F92"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1A4ABF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566688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4C56459" w14:textId="4D439C80" w:rsidR="0039681A" w:rsidRPr="00A36E36"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investment policy shall define as a minimum: the nature, scope and the operations supported, the targeted beneficiaries, the eligibility criteria of financial beneficiaries and their selection through an open call; and provisions to re-invest potential reflows for the same policy objectives.</w:t>
            </w:r>
          </w:p>
          <w:p w14:paraId="53A7B207" w14:textId="77777777" w:rsidR="0039681A" w:rsidRPr="00A36E36"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investment policy shall envisage that 50% of the fund is dedicated to energy efficiency measures.</w:t>
            </w:r>
          </w:p>
          <w:p w14:paraId="63658E95" w14:textId="77777777" w:rsidR="0039681A" w:rsidRPr="00A36E36" w:rsidDel="00276517"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investment policy shall include selection criteria to ensure compliance with the ‘Do no significant harm’ Technical Guidance (2021/C58/01) of supported transactions under this measure through the use of sustainability proofing, an exclusion list, and the requirement of compliance with the relevant EU and national environmental legislation.</w:t>
            </w:r>
          </w:p>
        </w:tc>
      </w:tr>
      <w:tr w:rsidR="0039681A" w:rsidRPr="0070054C" w14:paraId="43CBA29B"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8AF5672"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M1C3-23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99418A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826BD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37051FA" w14:textId="35D7C12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policy for the National Tourism Fund</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705BE41" w14:textId="77777777"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Adoption of the investment policy</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260CD08"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6A68AD7"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E293943"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86B36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09D5E3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0336D99"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fund is dedicated to the purchase, restructuring and requalification of Italian real estate properties to support tourism development in the areas most affected by the crisis or marginal areas (coastal areas, minor islands, ultra-peripheral regions and rural and mountain areas). </w:t>
            </w:r>
          </w:p>
          <w:p w14:paraId="20003A5C" w14:textId="77777777" w:rsidR="0039681A" w:rsidRPr="00A36E36" w:rsidDel="00276517"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The investment policy shall include selection criteria to ensure compliance with the ‘Do no significant harm’ Technical Guidance (2021/C58/01) of supported transactions under this measure through the use of sustainability proofing, an exclusion list, and the requirement of compliance with the relevant EU and national environmental legislation.</w:t>
            </w:r>
          </w:p>
        </w:tc>
      </w:tr>
      <w:tr w:rsidR="0039681A" w:rsidRPr="0070054C" w14:paraId="6FC21E2A"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29DD36"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M1C3-24</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1856B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3C31B6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FFC48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policy for the: SME Guarantee Fund,</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22E455" w14:textId="77777777"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Adoption of the investment policy</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9E4555"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D6870D"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107C7E6"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28CBC0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15A9C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61F770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investment policy shall envisage that 50% of the fund is dedicated to energy efficiency measures.</w:t>
            </w:r>
          </w:p>
          <w:p w14:paraId="50267E24" w14:textId="77777777" w:rsidR="0039681A" w:rsidRPr="00A36E36" w:rsidDel="00276517"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The investment policy shall include selection criteria to ensure compliance with the ‘Do no significant harm’ Technical Guidance (2021/C58/01) of supported transactions under this measure through the use of sustainability proofing, an exclusion list, and the requirement of compliance with the relevant EU and national environmental legislation.</w:t>
            </w:r>
          </w:p>
        </w:tc>
      </w:tr>
      <w:tr w:rsidR="0039681A" w:rsidRPr="0070054C" w14:paraId="3C124683"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0C3177"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M1C3-25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FD24D9D"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F8606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96CCCC"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policy for the Fondo Rotativo</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3B7A3E" w14:textId="77777777"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Adoption of the investment policy</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CD559F"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5A77FA"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1B962AC"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0B4AC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41B75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249EFD"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investment policy shall envisage that 50% of the fund is dedicated to energy efficiency measures.</w:t>
            </w:r>
          </w:p>
          <w:p w14:paraId="07F423E9" w14:textId="77777777" w:rsidR="0039681A" w:rsidRPr="00A36E36" w:rsidDel="00276517"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The investment policy shall include selection criteria to ensure compliance with the ‘Do no significant harm’ Technical Guidance (2021/C58/01) of supported transactions under this measure through the use of sustainability proofing, an exclusion list, and the requirement of compliance with the relevant EU and national environmental legislation.</w:t>
            </w:r>
          </w:p>
        </w:tc>
      </w:tr>
      <w:tr w:rsidR="0039681A" w:rsidRPr="0070054C" w14:paraId="1580D344"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27D127"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M1C3-26</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8F9C8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7505A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A67390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implementing decree for the Tax credit for the redevelopment of accommodation facilities.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048FF4" w14:textId="77777777"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Provision in the law indicating the entry into force of the budgetary law enabling the tax credits and provision in the related implementing acts indicating their entry into force</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B132A28"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4501F2"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7686A57"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C48C1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E3FD56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1EBACE9"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reference legislation for the granting of the tax credit is Law No. 83 of May 31, 2014 introduced the recognition of a tax credit for interventions of redevelopment of tourist accommodations.</w:t>
            </w:r>
          </w:p>
          <w:p w14:paraId="39553937" w14:textId="77777777" w:rsidR="0039681A" w:rsidRPr="00A36E36" w:rsidDel="00276517"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Selection/eligibility criteria for compliance with the DNSH Technical Guidance (2021/C58/01) of supported assets/activities and beneficiaries, requiring at least the use of an exclusion list and compliance with relevant EU and national environmental acquis of the supported assets/activities and beneficiaries, and ensuring compliance.</w:t>
            </w:r>
          </w:p>
        </w:tc>
      </w:tr>
      <w:tr w:rsidR="0039681A" w:rsidRPr="0070054C" w14:paraId="04B91E50"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A359AD8"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M1C3-27</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581FA5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Investment- 4.3 Caput Mundi-Next Generation EU for touristic great events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6E3D2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E2C5DE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Number of cultural and touristic sites whose requalification reached, on average, 50% of Stato Avanzamento Lavori (SAL)(first batch)</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71A4560"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5E4360A"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EF9E006"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313F71B"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100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FFBB81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6D2897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5F1B4FC" w14:textId="77777777" w:rsidR="0039681A" w:rsidRPr="00A36E36" w:rsidDel="00276517"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target shall be achieved when the average requalification progress of 100 cultural and touristic sites reaches 50% of the advancement status indicated in the Stato Avanzamento Lavori (SAL).</w:t>
            </w:r>
          </w:p>
        </w:tc>
      </w:tr>
      <w:tr w:rsidR="0039681A" w:rsidRPr="0070054C" w14:paraId="26A0401E" w14:textId="77777777" w:rsidTr="008A17C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tcPr>
          <w:p w14:paraId="4CCC92B7" w14:textId="77777777" w:rsidR="0039681A" w:rsidRPr="00647572" w:rsidRDefault="0039681A" w:rsidP="008A17C7">
            <w:pPr>
              <w:jc w:val="center"/>
              <w:rPr>
                <w:rFonts w:ascii="Arial Narrow" w:hAnsi="Arial Narrow"/>
                <w:noProof/>
                <w:color w:val="006100"/>
                <w:sz w:val="20"/>
                <w:szCs w:val="20"/>
              </w:rPr>
            </w:pPr>
            <w:r w:rsidRPr="39DB69A5">
              <w:rPr>
                <w:rFonts w:ascii="Arial Narrow" w:hAnsi="Arial Narrow"/>
                <w:noProof/>
                <w:color w:val="006100"/>
                <w:sz w:val="20"/>
                <w:szCs w:val="20"/>
              </w:rPr>
              <w:t>M1C3-28</w:t>
            </w:r>
          </w:p>
        </w:tc>
        <w:tc>
          <w:tcPr>
            <w:tcW w:w="520" w:type="pct"/>
            <w:tcBorders>
              <w:top w:val="single" w:sz="4" w:space="0" w:color="auto"/>
              <w:left w:val="single" w:sz="4" w:space="0" w:color="auto"/>
              <w:bottom w:val="single" w:sz="4" w:space="0" w:color="auto"/>
              <w:right w:val="single" w:sz="4" w:space="0" w:color="auto"/>
            </w:tcBorders>
            <w:shd w:val="clear" w:color="auto" w:fill="C6EFCE"/>
            <w:noWrap/>
          </w:tcPr>
          <w:p w14:paraId="5F256466" w14:textId="77777777" w:rsidR="0039681A" w:rsidRPr="00A36E36" w:rsidRDefault="0039681A" w:rsidP="008A17C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tcPr>
          <w:p w14:paraId="388988CD" w14:textId="77777777" w:rsidR="0039681A" w:rsidRPr="00647572" w:rsidRDefault="0039681A" w:rsidP="008A17C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tcPr>
          <w:p w14:paraId="0F5201F5" w14:textId="77777777" w:rsidR="0039681A" w:rsidRPr="00A36E36" w:rsidRDefault="0039681A" w:rsidP="008A17C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Decree(s) awarding the tax credit and/or the grant and receipts of the request for disbursement</w:t>
            </w:r>
          </w:p>
        </w:tc>
        <w:tc>
          <w:tcPr>
            <w:tcW w:w="520" w:type="pct"/>
            <w:tcBorders>
              <w:top w:val="single" w:sz="4" w:space="0" w:color="auto"/>
              <w:left w:val="single" w:sz="4" w:space="0" w:color="auto"/>
              <w:bottom w:val="single" w:sz="4" w:space="0" w:color="auto"/>
              <w:right w:val="single" w:sz="4" w:space="0" w:color="auto"/>
            </w:tcBorders>
            <w:shd w:val="clear" w:color="auto" w:fill="C6EFCE"/>
            <w:noWrap/>
          </w:tcPr>
          <w:p w14:paraId="5821D38B" w14:textId="77777777" w:rsidR="0039681A" w:rsidRPr="00647572" w:rsidRDefault="0039681A" w:rsidP="008A17C7">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tcPr>
          <w:p w14:paraId="24BD5689" w14:textId="77777777" w:rsidR="0039681A" w:rsidRPr="00647572" w:rsidRDefault="0039681A" w:rsidP="008A17C7">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tcPr>
          <w:p w14:paraId="0EAD93D9" w14:textId="77777777" w:rsidR="0039681A" w:rsidRPr="00647572" w:rsidRDefault="0039681A" w:rsidP="008A17C7">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tcPr>
          <w:p w14:paraId="340DA9A6" w14:textId="77777777" w:rsidR="0039681A" w:rsidRPr="00647572" w:rsidRDefault="0039681A" w:rsidP="008A17C7">
            <w:pPr>
              <w:jc w:val="center"/>
              <w:rPr>
                <w:rFonts w:ascii="Arial Narrow" w:hAnsi="Arial Narrow"/>
                <w:noProof/>
                <w:color w:val="006100"/>
                <w:sz w:val="20"/>
              </w:rPr>
            </w:pPr>
            <w:r w:rsidRPr="00647572">
              <w:rPr>
                <w:rFonts w:ascii="Arial Narrow" w:hAnsi="Arial Narrow"/>
                <w:noProof/>
                <w:color w:val="006100"/>
                <w:sz w:val="20"/>
              </w:rPr>
              <w:t>2</w:t>
            </w:r>
            <w:r>
              <w:rPr>
                <w:rFonts w:ascii="Arial Narrow" w:hAnsi="Arial Narrow"/>
                <w:noProof/>
                <w:color w:val="006100"/>
                <w:sz w:val="20"/>
              </w:rPr>
              <w:t> </w:t>
            </w:r>
            <w:r w:rsidRPr="00647572">
              <w:rPr>
                <w:rFonts w:ascii="Arial Narrow" w:hAnsi="Arial Narrow"/>
                <w:noProof/>
                <w:color w:val="006100"/>
                <w:sz w:val="20"/>
              </w:rPr>
              <w:t>700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tcPr>
          <w:p w14:paraId="0B321987" w14:textId="77777777" w:rsidR="0039681A" w:rsidRPr="00647572" w:rsidRDefault="0039681A" w:rsidP="008A17C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tcPr>
          <w:p w14:paraId="1C0A09D1" w14:textId="77777777" w:rsidR="0039681A" w:rsidRPr="00647572" w:rsidRDefault="0039681A" w:rsidP="008A17C7">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tcPr>
          <w:p w14:paraId="064AC404" w14:textId="77777777" w:rsidR="008A17C7" w:rsidRPr="0070054C" w:rsidRDefault="0039681A" w:rsidP="008A17C7">
            <w:pPr>
              <w:jc w:val="center"/>
              <w:rPr>
                <w:rFonts w:ascii="Arial Narrow" w:hAnsi="Arial Narrow"/>
                <w:noProof/>
                <w:color w:val="006100"/>
                <w:sz w:val="20"/>
                <w:lang w:val="en-IE"/>
              </w:rPr>
            </w:pPr>
            <w:r w:rsidRPr="0070054C">
              <w:rPr>
                <w:rFonts w:ascii="Arial Narrow" w:hAnsi="Arial Narrow"/>
                <w:noProof/>
                <w:color w:val="006100"/>
                <w:sz w:val="20"/>
                <w:lang w:val="en-IE"/>
              </w:rPr>
              <w:t>Decree(s) awarding the tax credit and/or</w:t>
            </w:r>
          </w:p>
          <w:p w14:paraId="48274C20" w14:textId="7D4E91EF" w:rsidR="0039681A" w:rsidRPr="00A36E36" w:rsidDel="00276517" w:rsidRDefault="0039681A" w:rsidP="008A17C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the grant to at least 2</w:t>
            </w:r>
            <w:r>
              <w:rPr>
                <w:rFonts w:ascii="Arial Narrow" w:hAnsi="Arial Narrow"/>
                <w:noProof/>
                <w:color w:val="006100"/>
                <w:sz w:val="20"/>
                <w:szCs w:val="20"/>
                <w:lang w:val="en-IE"/>
              </w:rPr>
              <w:t> </w:t>
            </w:r>
            <w:r w:rsidRPr="00A36E36">
              <w:rPr>
                <w:rFonts w:ascii="Arial Narrow" w:hAnsi="Arial Narrow"/>
                <w:noProof/>
                <w:color w:val="006100"/>
                <w:sz w:val="20"/>
                <w:szCs w:val="20"/>
                <w:lang w:val="en-IE"/>
              </w:rPr>
              <w:t>700 enterprises that have invested in infrastructures and/or services, as demonstrated by receipts of the request for disbursement.</w:t>
            </w:r>
          </w:p>
        </w:tc>
      </w:tr>
      <w:tr w:rsidR="0039681A" w:rsidRPr="0070054C" w14:paraId="5C32B136"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C8863A"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M1C3-29</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3D25C4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2AD75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E945D14" w14:textId="53C6F253"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Number of projects to be supported through the European Investment Bank Thematic Funds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C3A9BF"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953EA4A"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34FF3ED"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D4D72D0"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70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F3A536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B9D9B7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861D4EE" w14:textId="124B4ED2" w:rsidR="0039681A" w:rsidRPr="00A36E36" w:rsidDel="00276517"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selected financial intermediaries shall have entered into legal financing agreements with final beneficiaries for the support, through the EIB Thematic Funds, of at least 70 projects.</w:t>
            </w:r>
          </w:p>
        </w:tc>
      </w:tr>
      <w:tr w:rsidR="0039681A" w:rsidRPr="0070054C" w14:paraId="5573029B"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FC53D1C"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M1C3-30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CC6228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w:t>
            </w:r>
          </w:p>
          <w:p w14:paraId="082685B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8E4384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6511A71"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European Investment Bank Thematic Funds:</w:t>
            </w:r>
          </w:p>
          <w:p w14:paraId="207068E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Disbursement to the Fund of total of EUR 350</w:t>
            </w:r>
            <w:r w:rsidRPr="00A36E36">
              <w:rPr>
                <w:noProof/>
                <w:color w:val="006100"/>
                <w:sz w:val="20"/>
                <w:lang w:val="en-IE"/>
              </w:rPr>
              <w:t> </w:t>
            </w:r>
            <w:r w:rsidRPr="00A36E36">
              <w:rPr>
                <w:rFonts w:ascii="Arial Narrow" w:hAnsi="Arial Narrow"/>
                <w:noProof/>
                <w:color w:val="006100"/>
                <w:sz w:val="20"/>
                <w:lang w:val="en-IE"/>
              </w:rPr>
              <w:t>000</w:t>
            </w:r>
            <w:r w:rsidRPr="00A36E36">
              <w:rPr>
                <w:noProof/>
                <w:color w:val="006100"/>
                <w:sz w:val="20"/>
                <w:lang w:val="en-IE"/>
              </w:rPr>
              <w:t> </w:t>
            </w:r>
            <w:r w:rsidRPr="00A36E36">
              <w:rPr>
                <w:rFonts w:ascii="Arial Narrow" w:hAnsi="Arial Narrow"/>
                <w:noProof/>
                <w:color w:val="006100"/>
                <w:sz w:val="20"/>
                <w:lang w:val="en-IE"/>
              </w:rPr>
              <w:t>000</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374FF2C"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A6DF6A2"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79B4871"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B36FB9A"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350 000 000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75F3A0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B412A4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DFEDD0D" w14:textId="77777777" w:rsidR="0039681A" w:rsidRPr="00A36E36" w:rsidDel="00276517"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The disbursement shall be in line with the investment policy defined in the Milestone.</w:t>
            </w:r>
          </w:p>
        </w:tc>
      </w:tr>
      <w:tr w:rsidR="0039681A" w:rsidRPr="0070054C" w14:paraId="5F77A6C3"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837C7B4"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M1C3-31</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EF5249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D89E41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5E33C3B" w14:textId="015D21D7" w:rsidR="0039681A" w:rsidRPr="00A36E36" w:rsidRDefault="0039681A" w:rsidP="003869FD">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National Tourism Fund:</w:t>
            </w:r>
            <w:r w:rsidR="003869FD">
              <w:rPr>
                <w:rFonts w:ascii="Arial Narrow" w:hAnsi="Arial Narrow"/>
                <w:noProof/>
                <w:color w:val="006100"/>
                <w:sz w:val="20"/>
                <w:lang w:val="en-IE"/>
              </w:rPr>
              <w:br/>
            </w:r>
            <w:r w:rsidRPr="00A36E36">
              <w:rPr>
                <w:rFonts w:ascii="Arial Narrow" w:hAnsi="Arial Narrow"/>
                <w:noProof/>
                <w:color w:val="006100"/>
                <w:sz w:val="20"/>
                <w:lang w:val="en-IE"/>
              </w:rPr>
              <w:t>Disbursement to the Fund of total of EUR 150 000</w:t>
            </w:r>
            <w:r w:rsidRPr="00A36E36">
              <w:rPr>
                <w:noProof/>
                <w:color w:val="006100"/>
                <w:sz w:val="20"/>
                <w:lang w:val="en-IE"/>
              </w:rPr>
              <w:t> </w:t>
            </w:r>
            <w:r w:rsidRPr="00A36E36">
              <w:rPr>
                <w:rFonts w:ascii="Arial Narrow" w:hAnsi="Arial Narrow"/>
                <w:noProof/>
                <w:color w:val="006100"/>
                <w:sz w:val="20"/>
                <w:lang w:val="en-IE"/>
              </w:rPr>
              <w:t>000 for equity support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98A7CAD"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0DDB923"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51447B5"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60FDC59"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150 000 000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98503E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EF33F9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4DA22D9" w14:textId="77777777" w:rsidR="0039681A" w:rsidRPr="00A36E36" w:rsidDel="00276517"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The disbursement shall be in line with the investment policy defined in the Milestone.</w:t>
            </w:r>
          </w:p>
        </w:tc>
      </w:tr>
      <w:tr w:rsidR="0039681A" w:rsidRPr="0070054C" w14:paraId="48CCD36A"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C456F12" w14:textId="77777777" w:rsidR="0039681A" w:rsidRPr="00647572" w:rsidRDefault="0039681A">
            <w:pPr>
              <w:jc w:val="center"/>
              <w:rPr>
                <w:rFonts w:ascii="Arial Narrow" w:hAnsi="Arial Narrow"/>
                <w:noProof/>
                <w:color w:val="006100"/>
                <w:sz w:val="20"/>
                <w:szCs w:val="20"/>
              </w:rPr>
            </w:pPr>
            <w:r w:rsidRPr="0EFC23C7">
              <w:rPr>
                <w:rFonts w:ascii="Arial Narrow" w:hAnsi="Arial Narrow"/>
                <w:noProof/>
                <w:color w:val="006100"/>
                <w:sz w:val="20"/>
                <w:szCs w:val="20"/>
              </w:rPr>
              <w:t>M1C3-32</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EC2AC0D"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4F567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7B635E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Number of enterprises to be supported through the SME’s Guarantee Fund</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43FC59A"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D8C6C20"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F1CF6E4"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5387EEA"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1 000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369BB0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3934E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FAFDD61" w14:textId="77777777" w:rsidR="0039681A" w:rsidRPr="00A36E36" w:rsidDel="00276517"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outcome letter granting the guarantee shall be issued in favour of at least 1 000 enterprises.</w:t>
            </w:r>
          </w:p>
        </w:tc>
      </w:tr>
      <w:tr w:rsidR="0039681A" w:rsidRPr="0070054C" w14:paraId="0FA1FA6B"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4D7690A"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M1C3-33</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6E5952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4.2 Funds for the competitiveness of tourism enterprises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098B29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08437D" w14:textId="335A0B0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Fondo Rotativo: </w:t>
            </w:r>
            <w:r w:rsidRPr="00A36E36">
              <w:rPr>
                <w:noProof/>
                <w:lang w:val="en-IE"/>
              </w:rPr>
              <w:br/>
            </w:r>
            <w:r w:rsidRPr="00A36E36">
              <w:rPr>
                <w:rFonts w:ascii="Arial Narrow" w:hAnsi="Arial Narrow"/>
                <w:noProof/>
                <w:color w:val="006100"/>
                <w:sz w:val="20"/>
                <w:szCs w:val="20"/>
                <w:lang w:val="en-IE"/>
              </w:rPr>
              <w:t>Legal agreements signed with final beneficiaries</w:t>
            </w:r>
            <w:r w:rsidR="00381DB1">
              <w:rPr>
                <w:rFonts w:ascii="Arial Narrow" w:hAnsi="Arial Narrow"/>
                <w:noProof/>
                <w:color w:val="006100"/>
                <w:sz w:val="20"/>
                <w:szCs w:val="20"/>
                <w:lang w:val="en-IE"/>
              </w:rPr>
              <w:t xml:space="preserve"> </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111FD2E"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A2AC7C5"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63EA65C"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C80F070"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300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994CA7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C26E4A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7B1FD7AD" w14:textId="77777777" w:rsidR="0039681A" w:rsidRPr="00A36E36" w:rsidDel="00276517"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Legal financing agreements signed for</w:t>
            </w:r>
            <w:r w:rsidRPr="00A36E36">
              <w:rPr>
                <w:rFonts w:ascii="Arial Narrow" w:hAnsi="Arial Narrow"/>
                <w:noProof/>
                <w:color w:val="006100"/>
                <w:sz w:val="20"/>
                <w:lang w:val="en-IE"/>
              </w:rPr>
              <w:t xml:space="preserve"> the support, through the Fondo Rotativo, of at least 300 enterprises.</w:t>
            </w:r>
          </w:p>
        </w:tc>
      </w:tr>
      <w:tr w:rsidR="0039681A" w:rsidRPr="0070054C" w14:paraId="67081D52"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4108401"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M1C3-35</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8A50FD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Investment - 4.3 Caput Mundi-Next Generation EU for touristic great events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F5DF0D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1ED4F5C"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Signing of each Agreement for six Projects between a Ministry of Tourism and beneficiaries/implementing bodies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80A3B70" w14:textId="77777777"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Publication of the programme Agreement between the Ministry of Tourism, the Municipality of Rome Capital and the other actors involved</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B970850"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C26A99F"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2461A51"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66C824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BCF748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10B62D7F" w14:textId="7F5A3B10"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agreements shall be signed for the 6 projects:</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1) Roman Cultural Heritage for EU-Next Generation; 2) From Pagan Rome to Christian Rome - Jubilee paths; 3) #Lacittàcondivisa; 4) #Mitingodiverde; 5) Roma 4.0; 6) #Amanotesa</w:t>
            </w:r>
          </w:p>
          <w:p w14:paraId="37FC1B8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list of beneficiaries/implementing bodies shall include: Rome Capital City; Archaeological Superintendence for Cultural, Environmental and Landscape Heritage of Rome (MIC); Archaeological Park of the Colosseum; Archaeological Park of the Appia Antica; Diocese of Rome; Ministry of Tourism; Region Lazio.</w:t>
            </w:r>
          </w:p>
          <w:p w14:paraId="5DB810CF"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Before the call for tenders the criteria for the selection and the award and the projects specificities shall be defined with the related resources.</w:t>
            </w:r>
          </w:p>
          <w:p w14:paraId="7969B315" w14:textId="77777777" w:rsidR="0039681A" w:rsidRPr="00A36E36" w:rsidDel="00276517" w:rsidRDefault="0039681A">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The award of the contracts to the projects selected under the competitive calls for proposals, shall be in compliance with the ’Do no significant harm’ Technical Guidance (2021/C58/01) through the use of an exclusion list and the requirement of compliance with the relevant EU and national environmental legislation.</w:t>
            </w:r>
          </w:p>
        </w:tc>
      </w:tr>
      <w:tr w:rsidR="0039681A" w:rsidRPr="0070054C" w14:paraId="70CA121D" w14:textId="77777777" w:rsidTr="00351087">
        <w:trPr>
          <w:trHeight w:val="313"/>
          <w:jc w:val="center"/>
        </w:trPr>
        <w:tc>
          <w:tcPr>
            <w:tcW w:w="377"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D59B3D2"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M1C3-36</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355461B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- 4.3 Caput Mundi-Next Generation EU for touristic great events</w:t>
            </w:r>
          </w:p>
        </w:tc>
        <w:tc>
          <w:tcPr>
            <w:tcW w:w="378"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0136A9C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91C7636" w14:textId="6E1B7AA5" w:rsidR="0039681A" w:rsidRPr="00A36E36" w:rsidRDefault="0039681A">
            <w:pPr>
              <w:jc w:val="center"/>
              <w:rPr>
                <w:rFonts w:ascii="Arial Narrow" w:hAnsi="Arial Narrow"/>
                <w:noProof/>
                <w:color w:val="006100"/>
                <w:sz w:val="20"/>
                <w:szCs w:val="20"/>
                <w:lang w:val="en-IE"/>
              </w:rPr>
            </w:pPr>
            <w:r>
              <w:rPr>
                <w:rFonts w:ascii="Arial Narrow" w:hAnsi="Arial Narrow"/>
                <w:noProof/>
                <w:color w:val="006100"/>
                <w:sz w:val="20"/>
                <w:szCs w:val="20"/>
                <w:lang w:val="en-IE"/>
              </w:rPr>
              <w:t>C</w:t>
            </w:r>
            <w:r w:rsidRPr="00A36E36">
              <w:rPr>
                <w:rFonts w:ascii="Arial Narrow" w:hAnsi="Arial Narrow"/>
                <w:noProof/>
                <w:color w:val="006100"/>
                <w:sz w:val="20"/>
                <w:szCs w:val="20"/>
                <w:lang w:val="en-IE"/>
              </w:rPr>
              <w:t>ertificates of completion of works or services</w:t>
            </w:r>
          </w:p>
        </w:tc>
        <w:tc>
          <w:tcPr>
            <w:tcW w:w="5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3EFC890"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331"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0EE2493"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Number</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2AFDFEE9"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0</w:t>
            </w:r>
          </w:p>
        </w:tc>
        <w:tc>
          <w:tcPr>
            <w:tcW w:w="424"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6D28EC83"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200</w:t>
            </w:r>
          </w:p>
        </w:tc>
        <w:tc>
          <w:tcPr>
            <w:tcW w:w="332"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6063C7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220"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4849E01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1046" w:type="pct"/>
            <w:tcBorders>
              <w:top w:val="single" w:sz="4" w:space="0" w:color="auto"/>
              <w:left w:val="single" w:sz="4" w:space="0" w:color="auto"/>
              <w:bottom w:val="single" w:sz="4" w:space="0" w:color="auto"/>
              <w:right w:val="single" w:sz="4" w:space="0" w:color="auto"/>
            </w:tcBorders>
            <w:shd w:val="clear" w:color="auto" w:fill="C6EFCE"/>
            <w:noWrap/>
            <w:vAlign w:val="center"/>
          </w:tcPr>
          <w:p w14:paraId="5527BEA8" w14:textId="77777777" w:rsidR="0039681A" w:rsidRPr="00A36E36" w:rsidDel="00276517"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certificates of completion of works or services shall be issued for at least 200 interventions listed in the Caput Mundi programme.</w:t>
            </w:r>
          </w:p>
        </w:tc>
      </w:tr>
    </w:tbl>
    <w:p w14:paraId="1325CFA2" w14:textId="77777777" w:rsidR="0039681A" w:rsidRPr="00A36E36" w:rsidRDefault="0039681A" w:rsidP="00351087">
      <w:pPr>
        <w:tabs>
          <w:tab w:val="left" w:pos="4908"/>
        </w:tabs>
        <w:rPr>
          <w:noProof/>
          <w:lang w:val="en-IE"/>
        </w:rPr>
      </w:pPr>
    </w:p>
    <w:p w14:paraId="2C9B3F50" w14:textId="77777777" w:rsidR="0039681A" w:rsidRDefault="0039681A" w:rsidP="00351087">
      <w:pPr>
        <w:tabs>
          <w:tab w:val="left" w:pos="2220"/>
        </w:tabs>
        <w:rPr>
          <w:noProof/>
          <w:lang w:val="en-IE"/>
        </w:rPr>
        <w:sectPr w:rsidR="0039681A" w:rsidSect="0039681A">
          <w:headerReference w:type="even" r:id="rId59"/>
          <w:headerReference w:type="default" r:id="rId60"/>
          <w:footerReference w:type="default" r:id="rId61"/>
          <w:headerReference w:type="first" r:id="rId62"/>
          <w:pgSz w:w="16838" w:h="11906" w:orient="landscape"/>
          <w:pgMar w:top="1134" w:right="1134" w:bottom="1134" w:left="1134" w:header="567" w:footer="567" w:gutter="0"/>
          <w:cols w:space="708"/>
          <w:docGrid w:linePitch="360"/>
        </w:sectPr>
      </w:pPr>
    </w:p>
    <w:p w14:paraId="6691C381" w14:textId="77777777" w:rsidR="0039681A" w:rsidRPr="00A36E36" w:rsidRDefault="0039681A" w:rsidP="00351087">
      <w:pPr>
        <w:pStyle w:val="Heading2"/>
        <w:rPr>
          <w:rFonts w:ascii="Times New Roman" w:eastAsia="Times New Roman" w:hAnsi="Times New Roman" w:cs="Times New Roman"/>
          <w:b/>
          <w:bCs/>
          <w:noProof/>
          <w:color w:val="auto"/>
          <w:sz w:val="24"/>
          <w:szCs w:val="24"/>
          <w:lang w:val="en-IE"/>
        </w:rPr>
      </w:pPr>
      <w:r w:rsidRPr="00A36E36">
        <w:rPr>
          <w:rFonts w:ascii="Times New Roman" w:eastAsia="Times New Roman" w:hAnsi="Times New Roman" w:cs="Times New Roman"/>
          <w:b/>
          <w:bCs/>
          <w:noProof/>
          <w:color w:val="auto"/>
          <w:sz w:val="24"/>
          <w:szCs w:val="24"/>
          <w:lang w:val="en-IE"/>
        </w:rPr>
        <w:t>D. MISSION 2 COMPONENT 1: Circular economy, agri-food and green transition </w:t>
      </w:r>
    </w:p>
    <w:p w14:paraId="01062494" w14:textId="5ADFF8CD" w:rsidR="0039681A" w:rsidRPr="00A36E36" w:rsidRDefault="0039681A" w:rsidP="00351087">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This component of the Italian recovery and resilience plan covers investments and reforms in waste management, circular economy, support for agri-food value chains and green transition. These reforms and investments are complemented by reforms to increase competition in waste man</w:t>
      </w:r>
      <w:r>
        <w:rPr>
          <w:rFonts w:ascii="Times New Roman" w:eastAsia="Times New Roman" w:hAnsi="Times New Roman" w:cs="Times New Roman"/>
          <w:noProof/>
          <w:kern w:val="0"/>
          <w:lang w:val="en-IE" w:eastAsia="en-IE"/>
          <w14:ligatures w14:val="none"/>
        </w:rPr>
        <w:t>agement and local public services in the “business environment” reform component and improve water consumption for agriculture. This component responds to the country-specific recommendations to focus investment in the green transition, including in the circular economy.</w:t>
      </w:r>
      <w:r w:rsidR="00381DB1">
        <w:rPr>
          <w:rFonts w:ascii="Times New Roman" w:eastAsia="Times New Roman" w:hAnsi="Times New Roman" w:cs="Times New Roman"/>
          <w:noProof/>
          <w:kern w:val="0"/>
          <w:lang w:val="en-IE" w:eastAsia="en-IE"/>
          <w14:ligatures w14:val="none"/>
        </w:rPr>
        <w:t xml:space="preserve"> </w:t>
      </w:r>
    </w:p>
    <w:p w14:paraId="63B5E6C7" w14:textId="77777777" w:rsidR="0039681A" w:rsidRPr="00A36E36" w:rsidRDefault="0039681A" w:rsidP="00351087">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investments and reforms under this component shall contribute addressing the country- specific recommendations addressed to Italy in 2020 and 2019 on the need to “focus investment on the green and digital transition, in particular on […] waste and water management” (CSR 3, 2020) and to “focus investment-related economic policy on […], and the quality of infrastructure, considering also regional disparities” (country- specific recommendation 3, 2019). </w:t>
      </w:r>
    </w:p>
    <w:p w14:paraId="54635628" w14:textId="77777777" w:rsidR="0039681A" w:rsidRPr="00A36E36" w:rsidRDefault="0039681A" w:rsidP="00351087">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01ED1720"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noProof/>
          <w:kern w:val="0"/>
          <w:sz w:val="24"/>
          <w:szCs w:val="24"/>
          <w:lang w:val="en-IE" w:eastAsia="en-IE"/>
          <w14:ligatures w14:val="none"/>
        </w:rPr>
        <w:t xml:space="preserve"> </w:t>
      </w:r>
    </w:p>
    <w:p w14:paraId="7F9CCAE3" w14:textId="77777777" w:rsidR="0039681A" w:rsidRPr="00A36E36" w:rsidRDefault="0039681A" w:rsidP="00351087">
      <w:pPr>
        <w:pStyle w:val="Heading3"/>
        <w:ind w:left="850" w:hanging="850"/>
        <w:rPr>
          <w:rFonts w:ascii="Times New Roman" w:eastAsia="Times New Roman" w:hAnsi="Times New Roman" w:cs="Times New Roman"/>
          <w:b/>
          <w:bCs/>
          <w:noProof/>
          <w:sz w:val="24"/>
          <w:szCs w:val="24"/>
          <w:u w:val="single"/>
          <w:lang w:val="en-IE"/>
        </w:rPr>
      </w:pPr>
      <w:r w:rsidRPr="00A36E36">
        <w:rPr>
          <w:rFonts w:ascii="Times New Roman" w:eastAsia="Times New Roman" w:hAnsi="Times New Roman" w:cs="Times New Roman"/>
          <w:b/>
          <w:bCs/>
          <w:noProof/>
          <w:sz w:val="24"/>
          <w:szCs w:val="24"/>
          <w:u w:val="single"/>
          <w:lang w:val="en-IE"/>
        </w:rPr>
        <w:t xml:space="preserve">D.1. </w:t>
      </w:r>
      <w:r w:rsidRPr="00A36E36">
        <w:rPr>
          <w:rFonts w:ascii="Times New Roman" w:eastAsia="Times New Roman" w:hAnsi="Times New Roman" w:cs="Times New Roman"/>
          <w:b/>
          <w:bCs/>
          <w:noProof/>
          <w:sz w:val="24"/>
          <w:szCs w:val="24"/>
          <w:u w:val="single"/>
          <w:lang w:val="en-IE"/>
        </w:rPr>
        <w:tab/>
        <w:t xml:space="preserve">Description of the reforms and investments for non-repayable financial support </w:t>
      </w:r>
    </w:p>
    <w:p w14:paraId="3D206360" w14:textId="77777777" w:rsidR="0039681A" w:rsidRPr="00A36E36" w:rsidRDefault="0039681A" w:rsidP="00351087">
      <w:pPr>
        <w:spacing w:after="0" w:line="240" w:lineRule="auto"/>
        <w:jc w:val="both"/>
        <w:textAlignment w:val="baseline"/>
        <w:rPr>
          <w:rFonts w:ascii="Times New Roman" w:eastAsia="Times New Roman" w:hAnsi="Times New Roman" w:cs="Times New Roman"/>
          <w:i/>
          <w:iCs/>
          <w:noProof/>
          <w:kern w:val="0"/>
          <w:sz w:val="24"/>
          <w:szCs w:val="24"/>
          <w:lang w:val="en-IE" w:eastAsia="en-IE"/>
          <w14:ligatures w14:val="none"/>
        </w:rPr>
      </w:pPr>
    </w:p>
    <w:p w14:paraId="1E911C7D" w14:textId="77777777" w:rsidR="0039681A" w:rsidRPr="00A36E36" w:rsidRDefault="0039681A" w:rsidP="00351087">
      <w:pPr>
        <w:spacing w:after="0" w:line="240" w:lineRule="auto"/>
        <w:jc w:val="both"/>
        <w:textAlignment w:val="baseline"/>
        <w:rPr>
          <w:rFonts w:ascii="Segoe UI" w:eastAsia="Times New Roman" w:hAnsi="Segoe UI" w:cs="Segoe UI"/>
          <w:i/>
          <w:iCs/>
          <w:noProof/>
          <w:kern w:val="0"/>
          <w:sz w:val="18"/>
          <w:szCs w:val="18"/>
          <w:lang w:val="en-IE" w:eastAsia="en-IE"/>
          <w14:ligatures w14:val="none"/>
        </w:rPr>
      </w:pPr>
      <w:r w:rsidRPr="00A36E36">
        <w:rPr>
          <w:rFonts w:ascii="Times New Roman" w:eastAsia="Times New Roman" w:hAnsi="Times New Roman" w:cs="Times New Roman"/>
          <w:i/>
          <w:iCs/>
          <w:noProof/>
          <w:kern w:val="0"/>
          <w:sz w:val="24"/>
          <w:szCs w:val="24"/>
          <w:lang w:val="en-IE" w:eastAsia="en-IE"/>
          <w14:ligatures w14:val="none"/>
        </w:rPr>
        <w:t xml:space="preserve">Circular Economy </w:t>
      </w:r>
    </w:p>
    <w:p w14:paraId="3FFEAD3E" w14:textId="77777777" w:rsidR="0039681A" w:rsidRPr="00A36E36" w:rsidRDefault="0039681A" w:rsidP="00351087">
      <w:pPr>
        <w:spacing w:after="0" w:line="240" w:lineRule="auto"/>
        <w:jc w:val="both"/>
        <w:textAlignment w:val="baseline"/>
        <w:rPr>
          <w:rFonts w:ascii="Times New Roman" w:eastAsia="Times New Roman" w:hAnsi="Times New Roman" w:cs="Times New Roman"/>
          <w:b/>
          <w:bCs/>
          <w:noProof/>
          <w:kern w:val="0"/>
          <w:sz w:val="24"/>
          <w:szCs w:val="24"/>
          <w:lang w:val="en-IE" w:eastAsia="en-IE"/>
          <w14:ligatures w14:val="none"/>
        </w:rPr>
      </w:pPr>
    </w:p>
    <w:p w14:paraId="28490874"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Reform 1.1 – National Strategy for Circular Economy</w:t>
      </w:r>
      <w:r w:rsidRPr="00A36E36">
        <w:rPr>
          <w:rFonts w:ascii="Times New Roman" w:eastAsia="Times New Roman" w:hAnsi="Times New Roman" w:cs="Times New Roman"/>
          <w:noProof/>
          <w:kern w:val="0"/>
          <w:sz w:val="24"/>
          <w:szCs w:val="24"/>
          <w:lang w:val="en-IE" w:eastAsia="en-IE"/>
          <w14:ligatures w14:val="none"/>
        </w:rPr>
        <w:t> </w:t>
      </w:r>
    </w:p>
    <w:p w14:paraId="14D61752" w14:textId="77777777" w:rsidR="0039681A" w:rsidRPr="00A36E36" w:rsidRDefault="0039681A" w:rsidP="00351087">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This reform consists in the adoption of a broad National Strategy for the Circular Economy covering a new digital waste traceability system, tax incentives to support recycling activities and the use of secondary raw materials, a revision of environmental taxation, the right to reuse and repair, the reform of the EPR (Extended Producer Responsibility) and Consortia system, support for existing regulatory tools (such as End of Waste legislation and Minimum Environmental Criteria under Green public procurement) and support to industrial symbiosis project. The reform of the EPR and Consortia system shall also address the need for a more efficient use of the environmental contribution to assure the application of transparent and non-discriminatory criteria. A specific supervisory body with the aim of monitoring the functioning and the effectiveness of the Consortia systems, under the presidency of Ministry of Ecological Transition (MITE) shall be created. The measure shall address all the Consortia (not only CONAI packaging system). </w:t>
      </w:r>
    </w:p>
    <w:p w14:paraId="74495BB5" w14:textId="77777777" w:rsidR="0039681A" w:rsidRPr="00A36E36" w:rsidRDefault="0039681A" w:rsidP="00351087">
      <w:pPr>
        <w:tabs>
          <w:tab w:val="left" w:pos="2220"/>
        </w:tabs>
        <w:rPr>
          <w:noProof/>
          <w:lang w:val="en-IE"/>
        </w:rPr>
      </w:pPr>
    </w:p>
    <w:p w14:paraId="3D50346D"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Reform 1.3 – Technical support for local authorities</w:t>
      </w:r>
      <w:r w:rsidRPr="00A36E36">
        <w:rPr>
          <w:rFonts w:ascii="Times New Roman" w:eastAsia="Times New Roman" w:hAnsi="Times New Roman" w:cs="Times New Roman"/>
          <w:noProof/>
          <w:kern w:val="0"/>
          <w:sz w:val="24"/>
          <w:szCs w:val="24"/>
          <w:lang w:val="en-IE" w:eastAsia="en-IE"/>
          <w14:ligatures w14:val="none"/>
        </w:rPr>
        <w:t> </w:t>
      </w:r>
    </w:p>
    <w:p w14:paraId="48F8153C" w14:textId="77777777" w:rsidR="0039681A" w:rsidRPr="00A36E36" w:rsidRDefault="0039681A" w:rsidP="00351087">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This reform consists in technical support to local authorities by the government for the implementation of environmental EU and national regulation, the development of plans and projects regarding waste management and on tendering procedures. The support on tendering procedures shall ensure that concessions in waste management are granted in a transparent and non-discriminatory way increasing competitive processes to achieve better standards for public services. This reform supports therefore the implementation of the waste management reforms proposed in the business environment reform component. Technical support shall also cover green public procurement. </w:t>
      </w:r>
    </w:p>
    <w:p w14:paraId="70537E41"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4E1F6D30"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2.1 – Logistics plan for the agri-food, fishing and aquaculture, forestry, floriculture and plant nursery sectors</w:t>
      </w:r>
      <w:r w:rsidRPr="00A36E36">
        <w:rPr>
          <w:rFonts w:ascii="Times New Roman" w:eastAsia="Times New Roman" w:hAnsi="Times New Roman" w:cs="Times New Roman"/>
          <w:noProof/>
          <w:kern w:val="0"/>
          <w:sz w:val="24"/>
          <w:szCs w:val="24"/>
          <w:lang w:val="en-IE" w:eastAsia="en-IE"/>
          <w14:ligatures w14:val="none"/>
        </w:rPr>
        <w:t> </w:t>
      </w:r>
    </w:p>
    <w:p w14:paraId="26ACA1BB" w14:textId="77777777" w:rsidR="0039681A" w:rsidRPr="00A36E36" w:rsidRDefault="0039681A" w:rsidP="00351087">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objective of this investment is to encourage the reduction of emissions in the transportation and logistics phases in the agri-food sector, boosting the digitalization of the sector and the utilisation of renewable energy. This measure consists in the granting of support to tangible and intangible investments. </w:t>
      </w:r>
    </w:p>
    <w:p w14:paraId="47C54DDD"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7748E356"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2.2 – Agri-solar Park</w:t>
      </w:r>
      <w:r w:rsidRPr="00A36E36">
        <w:rPr>
          <w:rFonts w:ascii="Times New Roman" w:eastAsia="Times New Roman" w:hAnsi="Times New Roman" w:cs="Times New Roman"/>
          <w:noProof/>
          <w:kern w:val="0"/>
          <w:sz w:val="24"/>
          <w:szCs w:val="24"/>
          <w:lang w:val="en-IE" w:eastAsia="en-IE"/>
          <w14:ligatures w14:val="none"/>
        </w:rPr>
        <w:t> </w:t>
      </w:r>
    </w:p>
    <w:p w14:paraId="42464218" w14:textId="77777777" w:rsidR="0039681A" w:rsidRPr="00A36E36" w:rsidRDefault="0039681A" w:rsidP="00351087">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objective of this investment is to increase the sustainability and competitiveness of the agricultural sector. This measure consists in the granting of support to investments on structures of the agricultural, livestock and agro-industrial sector to install solar panels, as well as complementary interventions. </w:t>
      </w:r>
    </w:p>
    <w:p w14:paraId="1C626345"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05870BA9"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2.3 – Innovation and mechanization in the agricultural and food sectors</w:t>
      </w:r>
      <w:r w:rsidRPr="00A36E36">
        <w:rPr>
          <w:rFonts w:ascii="Times New Roman" w:eastAsia="Times New Roman" w:hAnsi="Times New Roman" w:cs="Times New Roman"/>
          <w:noProof/>
          <w:kern w:val="0"/>
          <w:sz w:val="24"/>
          <w:szCs w:val="24"/>
          <w:lang w:val="en-IE" w:eastAsia="en-IE"/>
          <w14:ligatures w14:val="none"/>
        </w:rPr>
        <w:t xml:space="preserve"> </w:t>
      </w:r>
    </w:p>
    <w:p w14:paraId="28D711B6" w14:textId="77777777" w:rsidR="0039681A" w:rsidRPr="00A36E36" w:rsidRDefault="0039681A" w:rsidP="00351087">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objective of this investment is to drive innovation within the agricultural and food sectors. This measure consists in the granting of support to investments in tangible and intangible assets. </w:t>
      </w:r>
    </w:p>
    <w:p w14:paraId="5DCF3940"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71D426B0" w14:textId="77777777" w:rsidR="0039681A" w:rsidRPr="00A36E36" w:rsidRDefault="0039681A" w:rsidP="00351087">
      <w:pPr>
        <w:spacing w:after="0" w:line="240" w:lineRule="auto"/>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3.3 - Culture and awareness on environmental topics and challenges</w:t>
      </w:r>
      <w:r w:rsidRPr="00A36E36">
        <w:rPr>
          <w:rFonts w:ascii="Times New Roman" w:eastAsia="Times New Roman" w:hAnsi="Times New Roman" w:cs="Times New Roman"/>
          <w:noProof/>
          <w:kern w:val="0"/>
          <w:sz w:val="24"/>
          <w:szCs w:val="24"/>
          <w:lang w:val="en-IE" w:eastAsia="en-IE"/>
          <w14:ligatures w14:val="none"/>
        </w:rPr>
        <w:t> </w:t>
      </w:r>
    </w:p>
    <w:p w14:paraId="72DD10FD" w14:textId="77777777" w:rsidR="0039681A" w:rsidRPr="00A36E36" w:rsidRDefault="0039681A" w:rsidP="00351087">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This objective of this investment is the design and production of digital content to raise awareness of environmental and climate challenges. The investment consists in the creation of an online subscription-free platform to create a repository of educational and recreational materials on environment-related topics. </w:t>
      </w:r>
    </w:p>
    <w:p w14:paraId="25E1BF36" w14:textId="77777777" w:rsidR="0039681A" w:rsidRPr="00A36E36" w:rsidRDefault="0039681A" w:rsidP="00351087">
      <w:pPr>
        <w:spacing w:after="0" w:line="240" w:lineRule="auto"/>
        <w:jc w:val="both"/>
        <w:textAlignment w:val="baseline"/>
        <w:rPr>
          <w:rFonts w:ascii="Times New Roman" w:eastAsia="Times New Roman" w:hAnsi="Times New Roman" w:cs="Times New Roman"/>
          <w:noProof/>
          <w:kern w:val="0"/>
          <w:sz w:val="24"/>
          <w:szCs w:val="24"/>
          <w:lang w:val="en-IE" w:eastAsia="en-IE"/>
          <w14:ligatures w14:val="none"/>
        </w:rPr>
      </w:pPr>
    </w:p>
    <w:p w14:paraId="6071337C" w14:textId="77777777" w:rsidR="0039681A" w:rsidRPr="00A36E36" w:rsidRDefault="0039681A" w:rsidP="00351087">
      <w:pPr>
        <w:spacing w:after="0" w:line="240" w:lineRule="auto"/>
        <w:jc w:val="both"/>
        <w:textAlignment w:val="baseline"/>
        <w:rPr>
          <w:rFonts w:ascii="Times New Roman" w:eastAsia="Times New Roman" w:hAnsi="Times New Roman" w:cs="Times New Roman"/>
          <w:noProof/>
          <w:kern w:val="0"/>
          <w:sz w:val="24"/>
          <w:szCs w:val="24"/>
          <w:lang w:val="en-IE" w:eastAsia="en-IE"/>
          <w14:ligatures w14:val="none"/>
        </w:rPr>
        <w:sectPr w:rsidR="0039681A" w:rsidRPr="00A36E36" w:rsidSect="00AF5341">
          <w:headerReference w:type="even" r:id="rId63"/>
          <w:headerReference w:type="default" r:id="rId64"/>
          <w:footerReference w:type="default" r:id="rId65"/>
          <w:headerReference w:type="first" r:id="rId66"/>
          <w:pgSz w:w="11906" w:h="16838"/>
          <w:pgMar w:top="1440" w:right="1440" w:bottom="1440" w:left="1440" w:header="708" w:footer="708" w:gutter="0"/>
          <w:cols w:space="708"/>
          <w:docGrid w:linePitch="360"/>
        </w:sectPr>
      </w:pPr>
    </w:p>
    <w:p w14:paraId="71D11714" w14:textId="77777777" w:rsidR="0039681A" w:rsidRPr="00A36E36" w:rsidRDefault="0039681A" w:rsidP="00351087">
      <w:pPr>
        <w:pStyle w:val="Heading3"/>
        <w:ind w:left="850" w:hanging="850"/>
        <w:rPr>
          <w:rFonts w:ascii="Times New Roman" w:eastAsia="Times New Roman" w:hAnsi="Times New Roman" w:cs="Times New Roman"/>
          <w:b/>
          <w:bCs/>
          <w:noProof/>
          <w:sz w:val="24"/>
          <w:szCs w:val="24"/>
          <w:u w:val="single"/>
          <w:lang w:val="en-IE"/>
        </w:rPr>
      </w:pPr>
      <w:r w:rsidRPr="00A36E36">
        <w:rPr>
          <w:rFonts w:ascii="Times New Roman" w:eastAsia="Times New Roman" w:hAnsi="Times New Roman" w:cs="Times New Roman"/>
          <w:b/>
          <w:bCs/>
          <w:noProof/>
          <w:sz w:val="24"/>
          <w:szCs w:val="24"/>
          <w:u w:val="single"/>
          <w:lang w:val="en-IE"/>
        </w:rPr>
        <w:t xml:space="preserve">D.2. </w:t>
      </w:r>
      <w:r w:rsidRPr="00A36E36">
        <w:rPr>
          <w:rFonts w:ascii="Times New Roman" w:eastAsia="Times New Roman" w:hAnsi="Times New Roman" w:cs="Times New Roman"/>
          <w:b/>
          <w:bCs/>
          <w:noProof/>
          <w:sz w:val="24"/>
          <w:szCs w:val="24"/>
          <w:u w:val="single"/>
          <w:lang w:val="en-IE"/>
        </w:rPr>
        <w:tab/>
        <w:t>Milestones, targets, indicators, and timetable for monitoring and implementation for non-repayable financial support </w:t>
      </w:r>
    </w:p>
    <w:tbl>
      <w:tblPr>
        <w:tblW w:w="1516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6"/>
        <w:gridCol w:w="1418"/>
        <w:gridCol w:w="1276"/>
        <w:gridCol w:w="1701"/>
        <w:gridCol w:w="1771"/>
        <w:gridCol w:w="1098"/>
        <w:gridCol w:w="1043"/>
        <w:gridCol w:w="1197"/>
        <w:gridCol w:w="900"/>
        <w:gridCol w:w="608"/>
        <w:gridCol w:w="2880"/>
      </w:tblGrid>
      <w:tr w:rsidR="0039681A" w:rsidRPr="0070054C" w14:paraId="2FF1C067" w14:textId="77777777" w:rsidTr="00351087">
        <w:trPr>
          <w:trHeight w:val="300"/>
          <w:tblHeader/>
        </w:trPr>
        <w:tc>
          <w:tcPr>
            <w:tcW w:w="1276" w:type="dxa"/>
            <w:vMerge w:val="restart"/>
            <w:shd w:val="clear" w:color="auto" w:fill="BDD7EE"/>
            <w:vAlign w:val="center"/>
            <w:hideMark/>
          </w:tcPr>
          <w:p w14:paraId="7D6F3DD8"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Sequential Number</w:t>
            </w:r>
            <w:r w:rsidRPr="00647572">
              <w:rPr>
                <w:rFonts w:ascii="Arial Narrow" w:eastAsia="Times New Roman" w:hAnsi="Arial Narrow" w:cs="Times New Roman"/>
                <w:noProof/>
                <w:kern w:val="0"/>
                <w:sz w:val="20"/>
                <w:szCs w:val="20"/>
                <w:lang w:eastAsia="en-IE"/>
                <w14:ligatures w14:val="none"/>
              </w:rPr>
              <w:t> </w:t>
            </w:r>
          </w:p>
        </w:tc>
        <w:tc>
          <w:tcPr>
            <w:tcW w:w="1418" w:type="dxa"/>
            <w:vMerge w:val="restart"/>
            <w:shd w:val="clear" w:color="auto" w:fill="BDD7EE"/>
            <w:vAlign w:val="center"/>
            <w:hideMark/>
          </w:tcPr>
          <w:p w14:paraId="2FA470BF"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b/>
                <w:bCs/>
                <w:noProof/>
                <w:kern w:val="0"/>
                <w:sz w:val="20"/>
                <w:szCs w:val="20"/>
                <w:lang w:val="en-IE" w:eastAsia="en-IE"/>
                <w14:ligatures w14:val="none"/>
              </w:rPr>
              <w:t>Related Measure (Reform or Investment)</w:t>
            </w:r>
            <w:r w:rsidRPr="00A36E36">
              <w:rPr>
                <w:rFonts w:ascii="Arial Narrow" w:eastAsia="Times New Roman" w:hAnsi="Arial Narrow" w:cs="Times New Roman"/>
                <w:noProof/>
                <w:kern w:val="0"/>
                <w:sz w:val="20"/>
                <w:szCs w:val="20"/>
                <w:lang w:val="en-IE" w:eastAsia="en-IE"/>
                <w14:ligatures w14:val="none"/>
              </w:rPr>
              <w:t> </w:t>
            </w:r>
          </w:p>
        </w:tc>
        <w:tc>
          <w:tcPr>
            <w:tcW w:w="1276" w:type="dxa"/>
            <w:vMerge w:val="restart"/>
            <w:shd w:val="clear" w:color="auto" w:fill="BDD7EE"/>
            <w:vAlign w:val="center"/>
            <w:hideMark/>
          </w:tcPr>
          <w:p w14:paraId="52860AC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Milestone / Target</w:t>
            </w:r>
            <w:r w:rsidRPr="00647572">
              <w:rPr>
                <w:rFonts w:ascii="Arial Narrow" w:eastAsia="Times New Roman" w:hAnsi="Arial Narrow" w:cs="Times New Roman"/>
                <w:noProof/>
                <w:kern w:val="0"/>
                <w:sz w:val="20"/>
                <w:szCs w:val="20"/>
                <w:lang w:eastAsia="en-IE"/>
                <w14:ligatures w14:val="none"/>
              </w:rPr>
              <w:t> </w:t>
            </w:r>
          </w:p>
        </w:tc>
        <w:tc>
          <w:tcPr>
            <w:tcW w:w="1701" w:type="dxa"/>
            <w:vMerge w:val="restart"/>
            <w:shd w:val="clear" w:color="auto" w:fill="BDD7EE"/>
            <w:vAlign w:val="center"/>
            <w:hideMark/>
          </w:tcPr>
          <w:p w14:paraId="7B595C3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Name</w:t>
            </w:r>
            <w:r w:rsidRPr="00647572">
              <w:rPr>
                <w:rFonts w:ascii="Arial Narrow" w:eastAsia="Times New Roman" w:hAnsi="Arial Narrow" w:cs="Times New Roman"/>
                <w:noProof/>
                <w:kern w:val="0"/>
                <w:sz w:val="20"/>
                <w:szCs w:val="20"/>
                <w:lang w:eastAsia="en-IE"/>
                <w14:ligatures w14:val="none"/>
              </w:rPr>
              <w:t> </w:t>
            </w:r>
          </w:p>
        </w:tc>
        <w:tc>
          <w:tcPr>
            <w:tcW w:w="1771" w:type="dxa"/>
            <w:vMerge w:val="restart"/>
            <w:shd w:val="clear" w:color="auto" w:fill="BDD7EE"/>
            <w:vAlign w:val="center"/>
            <w:hideMark/>
          </w:tcPr>
          <w:p w14:paraId="2E34CDC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 xml:space="preserve">Qualitative indicators </w:t>
            </w:r>
            <w:r w:rsidRPr="00647572">
              <w:rPr>
                <w:rFonts w:ascii="Arial Narrow" w:eastAsia="Times New Roman" w:hAnsi="Arial Narrow" w:cs="Times New Roman"/>
                <w:noProof/>
                <w:kern w:val="0"/>
                <w:sz w:val="20"/>
                <w:szCs w:val="20"/>
                <w:lang w:eastAsia="en-IE"/>
                <w14:ligatures w14:val="none"/>
              </w:rPr>
              <w:br/>
            </w:r>
            <w:r w:rsidRPr="00647572">
              <w:rPr>
                <w:rFonts w:ascii="Arial Narrow" w:eastAsia="Times New Roman" w:hAnsi="Arial Narrow" w:cs="Times New Roman"/>
                <w:b/>
                <w:bCs/>
                <w:noProof/>
                <w:kern w:val="0"/>
                <w:sz w:val="20"/>
                <w:szCs w:val="20"/>
                <w:lang w:eastAsia="en-IE"/>
                <w14:ligatures w14:val="none"/>
              </w:rPr>
              <w:t>(for milestones)</w:t>
            </w:r>
            <w:r w:rsidRPr="00647572">
              <w:rPr>
                <w:rFonts w:ascii="Arial Narrow" w:eastAsia="Times New Roman" w:hAnsi="Arial Narrow" w:cs="Times New Roman"/>
                <w:noProof/>
                <w:kern w:val="0"/>
                <w:sz w:val="20"/>
                <w:szCs w:val="20"/>
                <w:lang w:eastAsia="en-IE"/>
                <w14:ligatures w14:val="none"/>
              </w:rPr>
              <w:t> </w:t>
            </w:r>
          </w:p>
        </w:tc>
        <w:tc>
          <w:tcPr>
            <w:tcW w:w="3338" w:type="dxa"/>
            <w:gridSpan w:val="3"/>
            <w:shd w:val="clear" w:color="auto" w:fill="BDD7EE"/>
            <w:vAlign w:val="center"/>
            <w:hideMark/>
          </w:tcPr>
          <w:p w14:paraId="3AC8277C"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 xml:space="preserve">Quantitative indicators </w:t>
            </w:r>
            <w:r w:rsidRPr="00647572">
              <w:rPr>
                <w:rFonts w:ascii="Arial Narrow" w:eastAsia="Times New Roman" w:hAnsi="Arial Narrow" w:cs="Times New Roman"/>
                <w:noProof/>
                <w:kern w:val="0"/>
                <w:sz w:val="20"/>
                <w:szCs w:val="20"/>
                <w:lang w:eastAsia="en-IE"/>
                <w14:ligatures w14:val="none"/>
              </w:rPr>
              <w:br/>
            </w:r>
            <w:r w:rsidRPr="00647572">
              <w:rPr>
                <w:rFonts w:ascii="Arial Narrow" w:eastAsia="Times New Roman" w:hAnsi="Arial Narrow" w:cs="Times New Roman"/>
                <w:b/>
                <w:bCs/>
                <w:noProof/>
                <w:kern w:val="0"/>
                <w:sz w:val="20"/>
                <w:szCs w:val="20"/>
                <w:lang w:eastAsia="en-IE"/>
                <w14:ligatures w14:val="none"/>
              </w:rPr>
              <w:t>(for targets)</w:t>
            </w:r>
            <w:r w:rsidRPr="00647572">
              <w:rPr>
                <w:rFonts w:ascii="Arial Narrow" w:eastAsia="Times New Roman" w:hAnsi="Arial Narrow" w:cs="Times New Roman"/>
                <w:noProof/>
                <w:kern w:val="0"/>
                <w:sz w:val="20"/>
                <w:szCs w:val="20"/>
                <w:lang w:eastAsia="en-IE"/>
                <w14:ligatures w14:val="none"/>
              </w:rPr>
              <w:t> </w:t>
            </w:r>
          </w:p>
        </w:tc>
        <w:tc>
          <w:tcPr>
            <w:tcW w:w="1508" w:type="dxa"/>
            <w:gridSpan w:val="2"/>
            <w:shd w:val="clear" w:color="auto" w:fill="BDD7EE"/>
            <w:vAlign w:val="center"/>
            <w:hideMark/>
          </w:tcPr>
          <w:p w14:paraId="2B9F9D1C"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Indicative timeline for completion</w:t>
            </w:r>
            <w:r w:rsidRPr="00647572">
              <w:rPr>
                <w:rFonts w:ascii="Arial Narrow" w:eastAsia="Times New Roman" w:hAnsi="Arial Narrow" w:cs="Times New Roman"/>
                <w:noProof/>
                <w:kern w:val="0"/>
                <w:sz w:val="20"/>
                <w:szCs w:val="20"/>
                <w:lang w:eastAsia="en-IE"/>
                <w14:ligatures w14:val="none"/>
              </w:rPr>
              <w:t> </w:t>
            </w:r>
          </w:p>
        </w:tc>
        <w:tc>
          <w:tcPr>
            <w:tcW w:w="2880" w:type="dxa"/>
            <w:vMerge w:val="restart"/>
            <w:shd w:val="clear" w:color="auto" w:fill="BDD7EE"/>
            <w:vAlign w:val="center"/>
            <w:hideMark/>
          </w:tcPr>
          <w:p w14:paraId="255B0594"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b/>
                <w:bCs/>
                <w:noProof/>
                <w:kern w:val="0"/>
                <w:sz w:val="20"/>
                <w:szCs w:val="20"/>
                <w:lang w:val="en-IE" w:eastAsia="en-IE"/>
                <w14:ligatures w14:val="none"/>
              </w:rPr>
              <w:t>Description of each milestone and target</w:t>
            </w:r>
            <w:r w:rsidRPr="00A36E36">
              <w:rPr>
                <w:rFonts w:ascii="Arial Narrow" w:eastAsia="Times New Roman" w:hAnsi="Arial Narrow" w:cs="Times New Roman"/>
                <w:noProof/>
                <w:kern w:val="0"/>
                <w:sz w:val="20"/>
                <w:szCs w:val="20"/>
                <w:lang w:val="en-IE" w:eastAsia="en-IE"/>
                <w14:ligatures w14:val="none"/>
              </w:rPr>
              <w:t> </w:t>
            </w:r>
          </w:p>
        </w:tc>
      </w:tr>
      <w:tr w:rsidR="0039681A" w:rsidRPr="00647572" w14:paraId="52BB68D1" w14:textId="77777777" w:rsidTr="00351087">
        <w:trPr>
          <w:trHeight w:val="300"/>
          <w:tblHeader/>
        </w:trPr>
        <w:tc>
          <w:tcPr>
            <w:tcW w:w="1276" w:type="dxa"/>
            <w:vMerge/>
            <w:vAlign w:val="center"/>
            <w:hideMark/>
          </w:tcPr>
          <w:p w14:paraId="686F0DC0" w14:textId="77777777" w:rsidR="0039681A" w:rsidRPr="00A36E36" w:rsidRDefault="0039681A">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418" w:type="dxa"/>
            <w:vMerge/>
            <w:vAlign w:val="center"/>
            <w:hideMark/>
          </w:tcPr>
          <w:p w14:paraId="076F72E5" w14:textId="77777777" w:rsidR="0039681A" w:rsidRPr="00A36E36" w:rsidRDefault="0039681A">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276" w:type="dxa"/>
            <w:vMerge/>
            <w:vAlign w:val="center"/>
            <w:hideMark/>
          </w:tcPr>
          <w:p w14:paraId="59975D22" w14:textId="77777777" w:rsidR="0039681A" w:rsidRPr="00A36E36" w:rsidRDefault="0039681A">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701" w:type="dxa"/>
            <w:vMerge/>
            <w:vAlign w:val="center"/>
            <w:hideMark/>
          </w:tcPr>
          <w:p w14:paraId="1EDCC60F" w14:textId="77777777" w:rsidR="0039681A" w:rsidRPr="00A36E36" w:rsidRDefault="0039681A">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771" w:type="dxa"/>
            <w:vMerge/>
            <w:vAlign w:val="center"/>
            <w:hideMark/>
          </w:tcPr>
          <w:p w14:paraId="16A6E5B9" w14:textId="77777777" w:rsidR="0039681A" w:rsidRPr="00A36E36" w:rsidRDefault="0039681A">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098" w:type="dxa"/>
            <w:shd w:val="clear" w:color="auto" w:fill="BDD7EE"/>
            <w:vAlign w:val="center"/>
            <w:hideMark/>
          </w:tcPr>
          <w:p w14:paraId="1BC7AD7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Unit of measure</w:t>
            </w:r>
            <w:r w:rsidRPr="00647572">
              <w:rPr>
                <w:rFonts w:ascii="Arial Narrow" w:eastAsia="Times New Roman" w:hAnsi="Arial Narrow" w:cs="Times New Roman"/>
                <w:noProof/>
                <w:kern w:val="0"/>
                <w:sz w:val="20"/>
                <w:szCs w:val="20"/>
                <w:lang w:eastAsia="en-IE"/>
                <w14:ligatures w14:val="none"/>
              </w:rPr>
              <w:t> </w:t>
            </w:r>
          </w:p>
        </w:tc>
        <w:tc>
          <w:tcPr>
            <w:tcW w:w="1043" w:type="dxa"/>
            <w:shd w:val="clear" w:color="auto" w:fill="BDD7EE"/>
            <w:vAlign w:val="center"/>
            <w:hideMark/>
          </w:tcPr>
          <w:p w14:paraId="565798F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Baseline</w:t>
            </w:r>
            <w:r w:rsidRPr="00647572">
              <w:rPr>
                <w:rFonts w:ascii="Arial Narrow" w:eastAsia="Times New Roman" w:hAnsi="Arial Narrow" w:cs="Times New Roman"/>
                <w:noProof/>
                <w:kern w:val="0"/>
                <w:sz w:val="20"/>
                <w:szCs w:val="20"/>
                <w:lang w:eastAsia="en-IE"/>
                <w14:ligatures w14:val="none"/>
              </w:rPr>
              <w:t> </w:t>
            </w:r>
          </w:p>
        </w:tc>
        <w:tc>
          <w:tcPr>
            <w:tcW w:w="1197" w:type="dxa"/>
            <w:shd w:val="clear" w:color="auto" w:fill="BDD7EE"/>
            <w:vAlign w:val="center"/>
            <w:hideMark/>
          </w:tcPr>
          <w:p w14:paraId="7993D53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Goal</w:t>
            </w:r>
            <w:r w:rsidRPr="00647572">
              <w:rPr>
                <w:rFonts w:ascii="Arial Narrow" w:eastAsia="Times New Roman" w:hAnsi="Arial Narrow" w:cs="Times New Roman"/>
                <w:noProof/>
                <w:kern w:val="0"/>
                <w:sz w:val="20"/>
                <w:szCs w:val="20"/>
                <w:lang w:eastAsia="en-IE"/>
                <w14:ligatures w14:val="none"/>
              </w:rPr>
              <w:t> </w:t>
            </w:r>
          </w:p>
        </w:tc>
        <w:tc>
          <w:tcPr>
            <w:tcW w:w="900" w:type="dxa"/>
            <w:shd w:val="clear" w:color="auto" w:fill="BDD7EE"/>
            <w:vAlign w:val="center"/>
            <w:hideMark/>
          </w:tcPr>
          <w:p w14:paraId="376722C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Quarter</w:t>
            </w:r>
            <w:r w:rsidRPr="00647572">
              <w:rPr>
                <w:rFonts w:ascii="Arial Narrow" w:eastAsia="Times New Roman" w:hAnsi="Arial Narrow" w:cs="Times New Roman"/>
                <w:noProof/>
                <w:kern w:val="0"/>
                <w:sz w:val="20"/>
                <w:szCs w:val="20"/>
                <w:lang w:eastAsia="en-IE"/>
                <w14:ligatures w14:val="none"/>
              </w:rPr>
              <w:t> </w:t>
            </w:r>
          </w:p>
        </w:tc>
        <w:tc>
          <w:tcPr>
            <w:tcW w:w="608" w:type="dxa"/>
            <w:shd w:val="clear" w:color="auto" w:fill="BDD7EE"/>
            <w:vAlign w:val="center"/>
            <w:hideMark/>
          </w:tcPr>
          <w:p w14:paraId="0AAEF681"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Year</w:t>
            </w:r>
            <w:r w:rsidRPr="00647572">
              <w:rPr>
                <w:rFonts w:ascii="Arial Narrow" w:eastAsia="Times New Roman" w:hAnsi="Arial Narrow" w:cs="Times New Roman"/>
                <w:noProof/>
                <w:kern w:val="0"/>
                <w:sz w:val="20"/>
                <w:szCs w:val="20"/>
                <w:lang w:eastAsia="en-IE"/>
                <w14:ligatures w14:val="none"/>
              </w:rPr>
              <w:t> </w:t>
            </w:r>
          </w:p>
        </w:tc>
        <w:tc>
          <w:tcPr>
            <w:tcW w:w="2880" w:type="dxa"/>
            <w:vMerge/>
            <w:vAlign w:val="center"/>
            <w:hideMark/>
          </w:tcPr>
          <w:p w14:paraId="75337925" w14:textId="77777777" w:rsidR="0039681A" w:rsidRPr="00647572" w:rsidRDefault="0039681A">
            <w:pPr>
              <w:spacing w:after="0" w:line="240" w:lineRule="auto"/>
              <w:rPr>
                <w:rFonts w:ascii="Times New Roman" w:eastAsia="Times New Roman" w:hAnsi="Times New Roman" w:cs="Times New Roman"/>
                <w:noProof/>
                <w:kern w:val="0"/>
                <w:sz w:val="24"/>
                <w:szCs w:val="24"/>
                <w:lang w:eastAsia="en-IE"/>
                <w14:ligatures w14:val="none"/>
              </w:rPr>
            </w:pPr>
          </w:p>
        </w:tc>
      </w:tr>
      <w:tr w:rsidR="0039681A" w:rsidRPr="0070054C" w14:paraId="6E51607B" w14:textId="77777777" w:rsidTr="00351087">
        <w:trPr>
          <w:trHeight w:val="300"/>
        </w:trPr>
        <w:tc>
          <w:tcPr>
            <w:tcW w:w="1276" w:type="dxa"/>
            <w:shd w:val="clear" w:color="auto" w:fill="C6EFCE"/>
            <w:vAlign w:val="center"/>
            <w:hideMark/>
          </w:tcPr>
          <w:p w14:paraId="7AB0F4C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 </w:t>
            </w:r>
          </w:p>
        </w:tc>
        <w:tc>
          <w:tcPr>
            <w:tcW w:w="1418" w:type="dxa"/>
            <w:shd w:val="clear" w:color="auto" w:fill="C6EFCE"/>
            <w:vAlign w:val="center"/>
            <w:hideMark/>
          </w:tcPr>
          <w:p w14:paraId="71ACB610"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Reform 1.1 - National Strategy for Circular Economy </w:t>
            </w:r>
          </w:p>
        </w:tc>
        <w:tc>
          <w:tcPr>
            <w:tcW w:w="1276" w:type="dxa"/>
            <w:shd w:val="clear" w:color="auto" w:fill="C6EFCE"/>
            <w:vAlign w:val="center"/>
            <w:hideMark/>
          </w:tcPr>
          <w:p w14:paraId="09D1703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shd w:val="clear" w:color="auto" w:fill="C6EFCE"/>
            <w:vAlign w:val="center"/>
            <w:hideMark/>
          </w:tcPr>
          <w:p w14:paraId="42CB8158"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Ministerial Decree for the adoption of the National Strategy for Circular Economy </w:t>
            </w:r>
          </w:p>
        </w:tc>
        <w:tc>
          <w:tcPr>
            <w:tcW w:w="1771" w:type="dxa"/>
            <w:shd w:val="clear" w:color="auto" w:fill="C6EFCE"/>
            <w:vAlign w:val="center"/>
            <w:hideMark/>
          </w:tcPr>
          <w:p w14:paraId="142DD4C1"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Provision in the Ministerial Decree indicating the entry into force </w:t>
            </w:r>
          </w:p>
        </w:tc>
        <w:tc>
          <w:tcPr>
            <w:tcW w:w="1098" w:type="dxa"/>
            <w:shd w:val="clear" w:color="auto" w:fill="C6EFCE"/>
            <w:vAlign w:val="center"/>
            <w:hideMark/>
          </w:tcPr>
          <w:p w14:paraId="3D47A40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43" w:type="dxa"/>
            <w:shd w:val="clear" w:color="auto" w:fill="C6EFCE"/>
            <w:vAlign w:val="center"/>
            <w:hideMark/>
          </w:tcPr>
          <w:p w14:paraId="006CE8C1"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97" w:type="dxa"/>
            <w:shd w:val="clear" w:color="auto" w:fill="C6EFCE"/>
            <w:vAlign w:val="center"/>
            <w:hideMark/>
          </w:tcPr>
          <w:p w14:paraId="6D29F4C6"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00" w:type="dxa"/>
            <w:shd w:val="clear" w:color="auto" w:fill="C6EFCE"/>
            <w:vAlign w:val="center"/>
            <w:hideMark/>
          </w:tcPr>
          <w:p w14:paraId="7DA046C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08C7B5BB"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2880" w:type="dxa"/>
            <w:shd w:val="clear" w:color="auto" w:fill="C6EFCE"/>
            <w:vAlign w:val="center"/>
            <w:hideMark/>
          </w:tcPr>
          <w:p w14:paraId="70938964"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Ministerial Decree for the adoption of the National Strategy for Circular Economy, shall contain at least the following measures: </w:t>
            </w:r>
          </w:p>
          <w:p w14:paraId="670AC5F3" w14:textId="77777777" w:rsidR="0039681A" w:rsidRPr="00A36E36" w:rsidRDefault="0039681A" w:rsidP="0039681A">
            <w:pPr>
              <w:pStyle w:val="ListParagraph"/>
              <w:numPr>
                <w:ilvl w:val="0"/>
                <w:numId w:val="52"/>
              </w:numPr>
              <w:spacing w:after="0" w:line="240" w:lineRule="auto"/>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 new digital waste traceability system that shall support on one hand the development of secondary market for raw materials (by giving a clear framework of the supply of secondary raw materials) on the other hand the control authorities in preventing and tackling illegal management of waste. </w:t>
            </w:r>
          </w:p>
          <w:p w14:paraId="2358E89A" w14:textId="77777777" w:rsidR="0039681A" w:rsidRPr="00A36E36" w:rsidRDefault="0039681A" w:rsidP="0039681A">
            <w:pPr>
              <w:pStyle w:val="ListParagraph"/>
              <w:numPr>
                <w:ilvl w:val="0"/>
                <w:numId w:val="52"/>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tax incentives to support the recycling activities and the use of secondary raw materials; </w:t>
            </w:r>
          </w:p>
          <w:p w14:paraId="24E00FF3" w14:textId="77777777" w:rsidR="0039681A" w:rsidRPr="00A36E36" w:rsidRDefault="0039681A" w:rsidP="0039681A">
            <w:pPr>
              <w:pStyle w:val="ListParagraph"/>
              <w:numPr>
                <w:ilvl w:val="0"/>
                <w:numId w:val="52"/>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 revision of</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 xml:space="preserve"> environmental taxation system on waste in order to make recycling more convenient than landfilling and incineration across the national territory; </w:t>
            </w:r>
          </w:p>
          <w:p w14:paraId="42D09300" w14:textId="77777777" w:rsidR="0039681A" w:rsidRPr="00A36E36" w:rsidRDefault="0039681A" w:rsidP="0039681A">
            <w:pPr>
              <w:pStyle w:val="ListParagraph"/>
              <w:numPr>
                <w:ilvl w:val="0"/>
                <w:numId w:val="52"/>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right to reuse and repair; </w:t>
            </w:r>
          </w:p>
          <w:p w14:paraId="56A449E7" w14:textId="77777777" w:rsidR="0039681A" w:rsidRPr="00A36E36" w:rsidRDefault="0039681A" w:rsidP="0039681A">
            <w:pPr>
              <w:pStyle w:val="ListParagraph"/>
              <w:numPr>
                <w:ilvl w:val="0"/>
                <w:numId w:val="52"/>
              </w:numPr>
              <w:spacing w:after="0" w:line="240" w:lineRule="auto"/>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reform of the EPR (Extended Producer Responsibility) and Consortia system in order to support the achievement of EU targets through the creation of a specific supervisory body, under the presidency of MITE, with the aim of monitoring the functioning and the effectiveness of the Consortia systems; </w:t>
            </w:r>
          </w:p>
          <w:p w14:paraId="77B41A20" w14:textId="77777777" w:rsidR="0039681A" w:rsidRPr="00A36E36" w:rsidRDefault="0039681A" w:rsidP="0039681A">
            <w:pPr>
              <w:pStyle w:val="ListParagraph"/>
              <w:numPr>
                <w:ilvl w:val="0"/>
                <w:numId w:val="52"/>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support to the existing regulatory tools: End of Waste legislation (national and regional), Minimum Environmental Criteria (CAM) under Green Public Procurement. The development/update of EOW and CAM shall address specifically construction, textile, plastics, Waste Electrical and Electronic Equipment (WEEE) </w:t>
            </w:r>
          </w:p>
          <w:p w14:paraId="535B3D74" w14:textId="77777777" w:rsidR="0039681A" w:rsidRPr="00A36E36" w:rsidRDefault="0039681A" w:rsidP="0039681A">
            <w:pPr>
              <w:pStyle w:val="ListParagraph"/>
              <w:numPr>
                <w:ilvl w:val="0"/>
                <w:numId w:val="52"/>
              </w:numPr>
              <w:spacing w:after="0" w:line="240" w:lineRule="auto"/>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support to industrial symbiosis project through regulatory and financial instruments.) </w:t>
            </w:r>
          </w:p>
        </w:tc>
      </w:tr>
      <w:tr w:rsidR="0039681A" w:rsidRPr="0070054C" w14:paraId="3EE10077" w14:textId="77777777" w:rsidTr="00351087">
        <w:trPr>
          <w:trHeight w:val="300"/>
        </w:trPr>
        <w:tc>
          <w:tcPr>
            <w:tcW w:w="1276" w:type="dxa"/>
            <w:shd w:val="clear" w:color="auto" w:fill="C6EFCE"/>
            <w:vAlign w:val="center"/>
            <w:hideMark/>
          </w:tcPr>
          <w:p w14:paraId="42EF4A9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 </w:t>
            </w:r>
          </w:p>
        </w:tc>
        <w:tc>
          <w:tcPr>
            <w:tcW w:w="1418" w:type="dxa"/>
            <w:shd w:val="clear" w:color="auto" w:fill="C6EFCE"/>
            <w:vAlign w:val="center"/>
            <w:hideMark/>
          </w:tcPr>
          <w:p w14:paraId="710E53A8"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Reform 1.3 - Technical support for Local Authorities </w:t>
            </w:r>
          </w:p>
        </w:tc>
        <w:tc>
          <w:tcPr>
            <w:tcW w:w="1276" w:type="dxa"/>
            <w:shd w:val="clear" w:color="auto" w:fill="C6EFCE"/>
            <w:vAlign w:val="center"/>
            <w:hideMark/>
          </w:tcPr>
          <w:p w14:paraId="4DAC401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shd w:val="clear" w:color="auto" w:fill="C6EFCE"/>
            <w:vAlign w:val="center"/>
            <w:hideMark/>
          </w:tcPr>
          <w:p w14:paraId="64231668"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Approval of agreement for the development of the Building capacity action plan to support local public authorities </w:t>
            </w:r>
          </w:p>
        </w:tc>
        <w:tc>
          <w:tcPr>
            <w:tcW w:w="1771" w:type="dxa"/>
            <w:shd w:val="clear" w:color="auto" w:fill="C6EFCE"/>
            <w:vAlign w:val="center"/>
            <w:hideMark/>
          </w:tcPr>
          <w:p w14:paraId="311F7723"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Publication of the approved agreement on the website of the Ministry </w:t>
            </w:r>
          </w:p>
        </w:tc>
        <w:tc>
          <w:tcPr>
            <w:tcW w:w="1098" w:type="dxa"/>
            <w:shd w:val="clear" w:color="auto" w:fill="C6EFCE"/>
            <w:vAlign w:val="center"/>
            <w:hideMark/>
          </w:tcPr>
          <w:p w14:paraId="1F2A4E0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43" w:type="dxa"/>
            <w:shd w:val="clear" w:color="auto" w:fill="C6EFCE"/>
            <w:vAlign w:val="center"/>
            <w:hideMark/>
          </w:tcPr>
          <w:p w14:paraId="34FF89D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97" w:type="dxa"/>
            <w:shd w:val="clear" w:color="auto" w:fill="C6EFCE"/>
            <w:vAlign w:val="center"/>
            <w:hideMark/>
          </w:tcPr>
          <w:p w14:paraId="4A57617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00" w:type="dxa"/>
            <w:shd w:val="clear" w:color="auto" w:fill="C6EFCE"/>
            <w:vAlign w:val="center"/>
            <w:hideMark/>
          </w:tcPr>
          <w:p w14:paraId="15429E5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37C2665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2880" w:type="dxa"/>
            <w:shd w:val="clear" w:color="auto" w:fill="C6EFCE"/>
            <w:vAlign w:val="center"/>
            <w:hideMark/>
          </w:tcPr>
          <w:p w14:paraId="37DC4064"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agreement for the development of the Building capacity action plan to support local public authorities in implementing inside the tender procedures the Minimum Environmental Criteria (CAM) set by Law (Legislative Decree n. 50/2016 on public tender) under the Green Public Procurement (GPP) and starting of the Support Action shall be approved. </w:t>
            </w:r>
          </w:p>
          <w:p w14:paraId="179F05B0"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Technical support to Local Authorities (Regions, Provinces, and Municipalities) shall be assured by the Government (Ministry for the Ecological Transition, Ministry for the Economic Development and other relevant) through the in house companies. </w:t>
            </w:r>
            <w:r w:rsidRPr="00647572">
              <w:rPr>
                <w:rFonts w:ascii="Arial Narrow" w:eastAsia="Times New Roman" w:hAnsi="Arial Narrow" w:cs="Times New Roman"/>
                <w:noProof/>
                <w:color w:val="006100"/>
                <w:kern w:val="0"/>
                <w:sz w:val="20"/>
                <w:szCs w:val="20"/>
                <w:lang w:eastAsia="en-IE"/>
                <w14:ligatures w14:val="none"/>
              </w:rPr>
              <w:t>The technical support shall cover the following: </w:t>
            </w:r>
          </w:p>
          <w:p w14:paraId="4AA9DDBF" w14:textId="77777777" w:rsidR="0039681A" w:rsidRPr="00A36E36" w:rsidRDefault="0039681A" w:rsidP="0039681A">
            <w:pPr>
              <w:pStyle w:val="ListParagraph"/>
              <w:numPr>
                <w:ilvl w:val="0"/>
                <w:numId w:val="52"/>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technical assistance for the implementation of environmental EU and national regulation; </w:t>
            </w:r>
          </w:p>
          <w:p w14:paraId="71ACB3B0" w14:textId="77777777" w:rsidR="0039681A" w:rsidRPr="00A36E36" w:rsidRDefault="0039681A" w:rsidP="0039681A">
            <w:pPr>
              <w:pStyle w:val="ListParagraph"/>
              <w:numPr>
                <w:ilvl w:val="0"/>
                <w:numId w:val="52"/>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support for the development of plans and projects regarding waste management; </w:t>
            </w:r>
          </w:p>
          <w:p w14:paraId="097655D6" w14:textId="77777777" w:rsidR="0039681A" w:rsidRPr="00A36E36" w:rsidRDefault="0039681A" w:rsidP="0039681A">
            <w:pPr>
              <w:pStyle w:val="ListParagraph"/>
              <w:numPr>
                <w:ilvl w:val="0"/>
                <w:numId w:val="52"/>
              </w:num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support for tender procedures, also in order to ensure that concessions in waste management are granted in a transparent and non-discriminatory way increasing competitive processes to achieve better standards for public services. </w:t>
            </w:r>
          </w:p>
          <w:p w14:paraId="1BC79FA0" w14:textId="77777777" w:rsidR="0039681A" w:rsidRPr="00A36E36" w:rsidRDefault="0039681A" w:rsidP="00E321E3">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w:t>
            </w:r>
          </w:p>
          <w:p w14:paraId="54438F65"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Ministry for the Ecological Transition shall develop a specific building capacity action plan in order to support local public authorities and professional public buyers in applying to tender procedures the Minimum Environmental Criteria (CAM) set by Law (Legislative Decree n. 50/2016 on public tender) under the Green Public Procurement (GPP). </w:t>
            </w:r>
          </w:p>
        </w:tc>
      </w:tr>
      <w:tr w:rsidR="0039681A" w:rsidRPr="0070054C" w14:paraId="3ACC0F0C" w14:textId="77777777" w:rsidTr="00351087">
        <w:trPr>
          <w:trHeight w:val="300"/>
        </w:trPr>
        <w:tc>
          <w:tcPr>
            <w:tcW w:w="1276" w:type="dxa"/>
            <w:shd w:val="clear" w:color="auto" w:fill="C6EFCE"/>
            <w:vAlign w:val="center"/>
            <w:hideMark/>
          </w:tcPr>
          <w:p w14:paraId="58DBA8D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M2C1-3 </w:t>
            </w:r>
          </w:p>
        </w:tc>
        <w:tc>
          <w:tcPr>
            <w:tcW w:w="1418" w:type="dxa"/>
            <w:shd w:val="clear" w:color="auto" w:fill="C6EFCE"/>
            <w:vAlign w:val="center"/>
            <w:hideMark/>
          </w:tcPr>
          <w:p w14:paraId="7DE981F1"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2.1: Logistics plan for the agri-food, fishing and aquaculture, forestry, floriculture and plant nursery sectors </w:t>
            </w:r>
          </w:p>
        </w:tc>
        <w:tc>
          <w:tcPr>
            <w:tcW w:w="1276" w:type="dxa"/>
            <w:shd w:val="clear" w:color="auto" w:fill="C6EFCE"/>
            <w:vAlign w:val="center"/>
            <w:hideMark/>
          </w:tcPr>
          <w:p w14:paraId="022AF716"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shd w:val="clear" w:color="auto" w:fill="C6EFCE"/>
            <w:vAlign w:val="center"/>
            <w:hideMark/>
          </w:tcPr>
          <w:p w14:paraId="4555B646"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Publication of final ranking under the Logistic incentive scheme </w:t>
            </w:r>
          </w:p>
        </w:tc>
        <w:tc>
          <w:tcPr>
            <w:tcW w:w="1771" w:type="dxa"/>
            <w:shd w:val="clear" w:color="auto" w:fill="C6EFCE"/>
            <w:vAlign w:val="center"/>
            <w:hideMark/>
          </w:tcPr>
          <w:p w14:paraId="043E6684"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Publication on website of the Ministry or any other support channel </w:t>
            </w:r>
          </w:p>
        </w:tc>
        <w:tc>
          <w:tcPr>
            <w:tcW w:w="1098" w:type="dxa"/>
            <w:shd w:val="clear" w:color="auto" w:fill="C6EFCE"/>
            <w:vAlign w:val="center"/>
            <w:hideMark/>
          </w:tcPr>
          <w:p w14:paraId="68EF7A3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43" w:type="dxa"/>
            <w:shd w:val="clear" w:color="auto" w:fill="C6EFCE"/>
            <w:vAlign w:val="center"/>
            <w:hideMark/>
          </w:tcPr>
          <w:p w14:paraId="46308CE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97" w:type="dxa"/>
            <w:shd w:val="clear" w:color="auto" w:fill="C6EFCE"/>
            <w:vAlign w:val="center"/>
            <w:hideMark/>
          </w:tcPr>
          <w:p w14:paraId="4F99B27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00" w:type="dxa"/>
            <w:shd w:val="clear" w:color="auto" w:fill="C6EFCE"/>
            <w:vAlign w:val="center"/>
            <w:hideMark/>
          </w:tcPr>
          <w:p w14:paraId="565F4196"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08" w:type="dxa"/>
            <w:shd w:val="clear" w:color="auto" w:fill="C6EFCE"/>
            <w:vAlign w:val="center"/>
            <w:hideMark/>
          </w:tcPr>
          <w:p w14:paraId="1F63FB9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2880" w:type="dxa"/>
            <w:shd w:val="clear" w:color="auto" w:fill="C6EFCE"/>
            <w:vAlign w:val="center"/>
            <w:hideMark/>
          </w:tcPr>
          <w:p w14:paraId="59B7E9D5"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Decree of approval shall define the final ranking. </w:t>
            </w:r>
          </w:p>
          <w:p w14:paraId="7F9274A1"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logistic incentive scheme shall include the following: </w:t>
            </w:r>
          </w:p>
          <w:p w14:paraId="3091460A"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 xml:space="preserve"> Eligibility criteria that ensure that the selected projects comply with the </w:t>
            </w:r>
            <w:r w:rsidRPr="00A36E36">
              <w:rPr>
                <w:rFonts w:ascii="Arial Narrow" w:eastAsia="Times New Roman" w:hAnsi="Arial Narrow" w:cs="Arial Narrow"/>
                <w:noProof/>
                <w:color w:val="006100"/>
                <w:kern w:val="0"/>
                <w:sz w:val="20"/>
                <w:szCs w:val="20"/>
                <w:lang w:val="en-IE" w:eastAsia="en-IE"/>
                <w14:ligatures w14:val="none"/>
              </w:rPr>
              <w:t>‘</w:t>
            </w:r>
            <w:r w:rsidRPr="00A36E36">
              <w:rPr>
                <w:rFonts w:ascii="Arial Narrow" w:eastAsia="Times New Roman" w:hAnsi="Arial Narrow" w:cs="Times New Roman"/>
                <w:noProof/>
                <w:color w:val="006100"/>
                <w:kern w:val="0"/>
                <w:sz w:val="20"/>
                <w:szCs w:val="20"/>
                <w:lang w:val="en-IE" w:eastAsia="en-IE"/>
                <w14:ligatures w14:val="none"/>
              </w:rPr>
              <w:t>Do no significant harm</w:t>
            </w:r>
            <w:r w:rsidRPr="00A36E36">
              <w:rPr>
                <w:rFonts w:ascii="Arial Narrow" w:eastAsia="Times New Roman" w:hAnsi="Arial Narrow" w:cs="Arial Narrow"/>
                <w:noProof/>
                <w:color w:val="006100"/>
                <w:kern w:val="0"/>
                <w:sz w:val="20"/>
                <w:szCs w:val="20"/>
                <w:lang w:val="en-IE" w:eastAsia="en-IE"/>
                <w14:ligatures w14:val="none"/>
              </w:rPr>
              <w:t>’</w:t>
            </w:r>
            <w:r w:rsidRPr="00A36E36">
              <w:rPr>
                <w:rFonts w:ascii="Arial Narrow" w:eastAsia="Times New Roman" w:hAnsi="Arial Narrow" w:cs="Times New Roman"/>
                <w:noProof/>
                <w:color w:val="006100"/>
                <w:kern w:val="0"/>
                <w:sz w:val="20"/>
                <w:szCs w:val="20"/>
                <w:lang w:val="en-IE" w:eastAsia="en-IE"/>
                <w14:ligatures w14:val="none"/>
              </w:rPr>
              <w:t xml:space="preserve"> Technical Guidance (2021/C58/01) through the use of an exclusion list and</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the requirement of compliance with the relevant EU and national environmental legislation. </w:t>
            </w:r>
          </w:p>
          <w:p w14:paraId="5038C9B8"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b) Commitment that the climate contribution of the investment as per the methodology in Annex VI of the</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Regulation (EU) 2021/241 shall account for at least</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32% of the total cost of the investment supported by the RRF. </w:t>
            </w:r>
          </w:p>
          <w:p w14:paraId="2D9F7AC0"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 Commitment that the digital contribution of the investment as per the methodology in Annex VII of the Regulation (EU) 2021/241 shall account for at least 27% of the total cost of the investment supported by the RRF. </w:t>
            </w:r>
          </w:p>
          <w:p w14:paraId="5A34E899"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d) Commitment to report on the implementation of the measure halfway through the life of the scheme and the end of the scheme. </w:t>
            </w:r>
          </w:p>
        </w:tc>
      </w:tr>
      <w:tr w:rsidR="0039681A" w:rsidRPr="0070054C" w14:paraId="0BE8DF0E" w14:textId="77777777" w:rsidTr="00351087">
        <w:trPr>
          <w:trHeight w:val="300"/>
        </w:trPr>
        <w:tc>
          <w:tcPr>
            <w:tcW w:w="1276" w:type="dxa"/>
            <w:shd w:val="clear" w:color="auto" w:fill="C6EFCE"/>
            <w:vAlign w:val="center"/>
            <w:hideMark/>
          </w:tcPr>
          <w:p w14:paraId="416A148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M2C1-4 </w:t>
            </w:r>
          </w:p>
        </w:tc>
        <w:tc>
          <w:tcPr>
            <w:tcW w:w="1418" w:type="dxa"/>
            <w:shd w:val="clear" w:color="auto" w:fill="C6EFCE"/>
            <w:vAlign w:val="center"/>
            <w:hideMark/>
          </w:tcPr>
          <w:p w14:paraId="1DA35338"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2.2: Agri-solar Park </w:t>
            </w:r>
          </w:p>
        </w:tc>
        <w:tc>
          <w:tcPr>
            <w:tcW w:w="1276" w:type="dxa"/>
            <w:shd w:val="clear" w:color="auto" w:fill="C6EFCE"/>
            <w:vAlign w:val="center"/>
            <w:hideMark/>
          </w:tcPr>
          <w:p w14:paraId="1DBC57B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5D7D2506"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Allocation of resources to the beneficiaries as % of the total financial resources assigned to the investment </w:t>
            </w:r>
          </w:p>
        </w:tc>
        <w:tc>
          <w:tcPr>
            <w:tcW w:w="1771" w:type="dxa"/>
            <w:shd w:val="clear" w:color="auto" w:fill="C6EFCE"/>
            <w:vAlign w:val="center"/>
            <w:hideMark/>
          </w:tcPr>
          <w:p w14:paraId="25023D7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61FC890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Percentage </w:t>
            </w:r>
          </w:p>
        </w:tc>
        <w:tc>
          <w:tcPr>
            <w:tcW w:w="1043" w:type="dxa"/>
            <w:shd w:val="clear" w:color="auto" w:fill="C6EFCE"/>
            <w:vAlign w:val="center"/>
            <w:hideMark/>
          </w:tcPr>
          <w:p w14:paraId="302164A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1197" w:type="dxa"/>
            <w:shd w:val="clear" w:color="auto" w:fill="C6EFCE"/>
            <w:vAlign w:val="center"/>
            <w:hideMark/>
          </w:tcPr>
          <w:p w14:paraId="0C1F1A5C"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30 </w:t>
            </w:r>
          </w:p>
        </w:tc>
        <w:tc>
          <w:tcPr>
            <w:tcW w:w="900" w:type="dxa"/>
            <w:shd w:val="clear" w:color="auto" w:fill="C6EFCE"/>
            <w:vAlign w:val="center"/>
            <w:hideMark/>
          </w:tcPr>
          <w:p w14:paraId="2042FE0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08" w:type="dxa"/>
            <w:shd w:val="clear" w:color="auto" w:fill="C6EFCE"/>
            <w:vAlign w:val="center"/>
            <w:hideMark/>
          </w:tcPr>
          <w:p w14:paraId="4518651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2880" w:type="dxa"/>
            <w:shd w:val="clear" w:color="auto" w:fill="C6EFCE"/>
            <w:vAlign w:val="center"/>
            <w:hideMark/>
          </w:tcPr>
          <w:p w14:paraId="53EB7B5F"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Identification of beneficiary projects whose total value amount at least 30% of the total financial resources assigned to the investment. The investment shall be implemented through two different procedures that already exist and shall be refinanced. These procedures provide for the disbursement of loans to companies that meet the requirements and submit the application. </w:t>
            </w:r>
          </w:p>
        </w:tc>
      </w:tr>
      <w:tr w:rsidR="0039681A" w:rsidRPr="0070054C" w14:paraId="0C2309A7" w14:textId="77777777" w:rsidTr="00351087">
        <w:trPr>
          <w:trHeight w:val="300"/>
        </w:trPr>
        <w:tc>
          <w:tcPr>
            <w:tcW w:w="1276" w:type="dxa"/>
            <w:shd w:val="clear" w:color="auto" w:fill="C6EFCE"/>
            <w:vAlign w:val="center"/>
            <w:hideMark/>
          </w:tcPr>
          <w:p w14:paraId="7FC1D301"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M2C1-5 </w:t>
            </w:r>
          </w:p>
        </w:tc>
        <w:tc>
          <w:tcPr>
            <w:tcW w:w="1418" w:type="dxa"/>
            <w:shd w:val="clear" w:color="auto" w:fill="C6EFCE"/>
            <w:vAlign w:val="center"/>
            <w:hideMark/>
          </w:tcPr>
          <w:p w14:paraId="49C8D30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2.2: Agri-solar Park </w:t>
            </w:r>
          </w:p>
        </w:tc>
        <w:tc>
          <w:tcPr>
            <w:tcW w:w="1276" w:type="dxa"/>
            <w:shd w:val="clear" w:color="auto" w:fill="C6EFCE"/>
            <w:vAlign w:val="center"/>
            <w:hideMark/>
          </w:tcPr>
          <w:p w14:paraId="3854DBE8"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2A8532BE"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Allocation of resources to the beneficiaries as % of the total financial resources assigned to the investment </w:t>
            </w:r>
          </w:p>
        </w:tc>
        <w:tc>
          <w:tcPr>
            <w:tcW w:w="1771" w:type="dxa"/>
            <w:shd w:val="clear" w:color="auto" w:fill="C6EFCE"/>
            <w:vAlign w:val="center"/>
            <w:hideMark/>
          </w:tcPr>
          <w:p w14:paraId="52F8663C"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1E76E30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Percentage </w:t>
            </w:r>
          </w:p>
        </w:tc>
        <w:tc>
          <w:tcPr>
            <w:tcW w:w="1043" w:type="dxa"/>
            <w:shd w:val="clear" w:color="auto" w:fill="C6EFCE"/>
            <w:vAlign w:val="center"/>
            <w:hideMark/>
          </w:tcPr>
          <w:p w14:paraId="51EFD46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19 </w:t>
            </w:r>
          </w:p>
        </w:tc>
        <w:tc>
          <w:tcPr>
            <w:tcW w:w="1197" w:type="dxa"/>
            <w:shd w:val="clear" w:color="auto" w:fill="C6EFCE"/>
            <w:vAlign w:val="center"/>
            <w:hideMark/>
          </w:tcPr>
          <w:p w14:paraId="78B4B6A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32 </w:t>
            </w:r>
          </w:p>
        </w:tc>
        <w:tc>
          <w:tcPr>
            <w:tcW w:w="900" w:type="dxa"/>
            <w:shd w:val="clear" w:color="auto" w:fill="C6EFCE"/>
            <w:vAlign w:val="center"/>
            <w:hideMark/>
          </w:tcPr>
          <w:p w14:paraId="47D118B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08" w:type="dxa"/>
            <w:shd w:val="clear" w:color="auto" w:fill="C6EFCE"/>
            <w:vAlign w:val="center"/>
            <w:hideMark/>
          </w:tcPr>
          <w:p w14:paraId="3BACEBE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2023 </w:t>
            </w:r>
          </w:p>
        </w:tc>
        <w:tc>
          <w:tcPr>
            <w:tcW w:w="2880" w:type="dxa"/>
            <w:shd w:val="clear" w:color="auto" w:fill="C6EFCE"/>
            <w:vAlign w:val="center"/>
            <w:hideMark/>
          </w:tcPr>
          <w:p w14:paraId="73E3FB0D"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beneficiary projects whose total value amount at least 32% of the total financial resources assigned to the investment shall be identified. The award procedure provides for the disbursement of grants or other incentives to companies that meet the requirements and submit the application. </w:t>
            </w:r>
          </w:p>
        </w:tc>
      </w:tr>
      <w:tr w:rsidR="0039681A" w:rsidRPr="0070054C" w14:paraId="264DF88C" w14:textId="77777777" w:rsidTr="00351087">
        <w:trPr>
          <w:trHeight w:val="300"/>
        </w:trPr>
        <w:tc>
          <w:tcPr>
            <w:tcW w:w="1276" w:type="dxa"/>
            <w:shd w:val="clear" w:color="auto" w:fill="C6EFCE"/>
            <w:vAlign w:val="center"/>
            <w:hideMark/>
          </w:tcPr>
          <w:p w14:paraId="3735FCB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M2C1-6 </w:t>
            </w:r>
          </w:p>
        </w:tc>
        <w:tc>
          <w:tcPr>
            <w:tcW w:w="1418" w:type="dxa"/>
            <w:shd w:val="clear" w:color="auto" w:fill="C6EFCE"/>
            <w:vAlign w:val="center"/>
            <w:hideMark/>
          </w:tcPr>
          <w:p w14:paraId="2D2E0441"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2.2: Agri-solar Park </w:t>
            </w:r>
          </w:p>
        </w:tc>
        <w:tc>
          <w:tcPr>
            <w:tcW w:w="1276" w:type="dxa"/>
            <w:shd w:val="clear" w:color="auto" w:fill="C6EFCE"/>
            <w:vAlign w:val="center"/>
            <w:hideMark/>
          </w:tcPr>
          <w:p w14:paraId="5965F56C"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378518D6"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Allocation of resources to the beneficiaries as % of the total financial resources assigned to the investment </w:t>
            </w:r>
          </w:p>
        </w:tc>
        <w:tc>
          <w:tcPr>
            <w:tcW w:w="1771" w:type="dxa"/>
            <w:shd w:val="clear" w:color="auto" w:fill="C6EFCE"/>
            <w:vAlign w:val="center"/>
            <w:hideMark/>
          </w:tcPr>
          <w:p w14:paraId="0816931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6515F94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Percentage </w:t>
            </w:r>
          </w:p>
        </w:tc>
        <w:tc>
          <w:tcPr>
            <w:tcW w:w="1043" w:type="dxa"/>
            <w:shd w:val="clear" w:color="auto" w:fill="C6EFCE"/>
            <w:vAlign w:val="center"/>
            <w:hideMark/>
          </w:tcPr>
          <w:p w14:paraId="1707FDEB"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32 </w:t>
            </w:r>
          </w:p>
        </w:tc>
        <w:tc>
          <w:tcPr>
            <w:tcW w:w="1197" w:type="dxa"/>
            <w:shd w:val="clear" w:color="auto" w:fill="C6EFCE"/>
            <w:vAlign w:val="center"/>
            <w:hideMark/>
          </w:tcPr>
          <w:p w14:paraId="28A4E8E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63.5 </w:t>
            </w:r>
          </w:p>
        </w:tc>
        <w:tc>
          <w:tcPr>
            <w:tcW w:w="900" w:type="dxa"/>
            <w:shd w:val="clear" w:color="auto" w:fill="C6EFCE"/>
            <w:vAlign w:val="center"/>
            <w:hideMark/>
          </w:tcPr>
          <w:p w14:paraId="5987B92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46D7528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2880" w:type="dxa"/>
            <w:shd w:val="clear" w:color="auto" w:fill="C6EFCE"/>
            <w:vAlign w:val="center"/>
            <w:hideMark/>
          </w:tcPr>
          <w:p w14:paraId="4D85EFD1"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Identification of beneficiary projects whose total value amount at least 63.5% of the total financial resources assigned to the investment. The award procedure shall provide for the disbursement of grants or other incentives to companies that meet the requirements and submit the application </w:t>
            </w:r>
          </w:p>
        </w:tc>
      </w:tr>
      <w:tr w:rsidR="0039681A" w:rsidRPr="0070054C" w14:paraId="108246D7" w14:textId="77777777" w:rsidTr="00351087">
        <w:trPr>
          <w:trHeight w:val="300"/>
        </w:trPr>
        <w:tc>
          <w:tcPr>
            <w:tcW w:w="1276" w:type="dxa"/>
            <w:shd w:val="clear" w:color="auto" w:fill="C6EFCE"/>
            <w:vAlign w:val="center"/>
            <w:hideMark/>
          </w:tcPr>
          <w:p w14:paraId="1844E19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M2C1-6bis </w:t>
            </w:r>
          </w:p>
        </w:tc>
        <w:tc>
          <w:tcPr>
            <w:tcW w:w="1418" w:type="dxa"/>
            <w:shd w:val="clear" w:color="auto" w:fill="C6EFCE"/>
            <w:vAlign w:val="center"/>
            <w:hideMark/>
          </w:tcPr>
          <w:p w14:paraId="258FF3D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2.2: Agri-solar Park </w:t>
            </w:r>
          </w:p>
        </w:tc>
        <w:tc>
          <w:tcPr>
            <w:tcW w:w="1276" w:type="dxa"/>
            <w:shd w:val="clear" w:color="auto" w:fill="C6EFCE"/>
            <w:vAlign w:val="center"/>
            <w:hideMark/>
          </w:tcPr>
          <w:p w14:paraId="1E8A549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3BDC5516"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Allocation of resources to the beneficiaries as % of the total financial resources assigned to the investment </w:t>
            </w:r>
          </w:p>
        </w:tc>
        <w:tc>
          <w:tcPr>
            <w:tcW w:w="1771" w:type="dxa"/>
            <w:shd w:val="clear" w:color="auto" w:fill="C6EFCE"/>
            <w:vAlign w:val="center"/>
            <w:hideMark/>
          </w:tcPr>
          <w:p w14:paraId="0EB90F3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6C89DC9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Percentage </w:t>
            </w:r>
          </w:p>
        </w:tc>
        <w:tc>
          <w:tcPr>
            <w:tcW w:w="1043" w:type="dxa"/>
            <w:shd w:val="clear" w:color="auto" w:fill="C6EFCE"/>
            <w:vAlign w:val="center"/>
            <w:hideMark/>
          </w:tcPr>
          <w:p w14:paraId="7FDF7ED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63.5 </w:t>
            </w:r>
          </w:p>
        </w:tc>
        <w:tc>
          <w:tcPr>
            <w:tcW w:w="1197" w:type="dxa"/>
            <w:shd w:val="clear" w:color="auto" w:fill="C6EFCE"/>
            <w:vAlign w:val="center"/>
            <w:hideMark/>
          </w:tcPr>
          <w:p w14:paraId="3C12DC8C"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100 </w:t>
            </w:r>
          </w:p>
        </w:tc>
        <w:tc>
          <w:tcPr>
            <w:tcW w:w="900" w:type="dxa"/>
            <w:shd w:val="clear" w:color="auto" w:fill="C6EFCE"/>
            <w:vAlign w:val="center"/>
            <w:hideMark/>
          </w:tcPr>
          <w:p w14:paraId="3AA3AED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08" w:type="dxa"/>
            <w:shd w:val="clear" w:color="auto" w:fill="C6EFCE"/>
            <w:vAlign w:val="center"/>
            <w:hideMark/>
          </w:tcPr>
          <w:p w14:paraId="3478437B"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2880" w:type="dxa"/>
            <w:shd w:val="clear" w:color="auto" w:fill="C6EFCE"/>
            <w:vAlign w:val="center"/>
            <w:hideMark/>
          </w:tcPr>
          <w:p w14:paraId="04C18E71"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Identification of beneficiary projects whose total value amount at least 100% of the additional financial resources assigned to the investment. The award procedure provides for the disbursement of grants or other incentives to companies that meet the requirements and submit the application </w:t>
            </w:r>
          </w:p>
        </w:tc>
      </w:tr>
      <w:tr w:rsidR="0039681A" w:rsidRPr="0070054C" w14:paraId="0D2313BD" w14:textId="77777777" w:rsidTr="00351087">
        <w:trPr>
          <w:trHeight w:val="300"/>
        </w:trPr>
        <w:tc>
          <w:tcPr>
            <w:tcW w:w="1276" w:type="dxa"/>
            <w:shd w:val="clear" w:color="auto" w:fill="C6EFCE"/>
            <w:vAlign w:val="center"/>
            <w:hideMark/>
          </w:tcPr>
          <w:p w14:paraId="70E46C0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M2C1-7 </w:t>
            </w:r>
          </w:p>
        </w:tc>
        <w:tc>
          <w:tcPr>
            <w:tcW w:w="1418" w:type="dxa"/>
            <w:shd w:val="clear" w:color="auto" w:fill="C6EFCE"/>
            <w:vAlign w:val="center"/>
            <w:hideMark/>
          </w:tcPr>
          <w:p w14:paraId="06109AFE"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2.3: Innovation and mechanization in the agricultural and food sectors </w:t>
            </w:r>
          </w:p>
        </w:tc>
        <w:tc>
          <w:tcPr>
            <w:tcW w:w="1276" w:type="dxa"/>
            <w:shd w:val="clear" w:color="auto" w:fill="C6EFCE"/>
            <w:vAlign w:val="center"/>
            <w:hideMark/>
          </w:tcPr>
          <w:p w14:paraId="4616A4F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6DC37563"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Publication of final rankings with identification of the final recipients. </w:t>
            </w:r>
          </w:p>
        </w:tc>
        <w:tc>
          <w:tcPr>
            <w:tcW w:w="1771" w:type="dxa"/>
            <w:shd w:val="clear" w:color="auto" w:fill="C6EFCE"/>
            <w:vAlign w:val="center"/>
            <w:hideMark/>
          </w:tcPr>
          <w:p w14:paraId="7E7B591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5D169B01"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043" w:type="dxa"/>
            <w:shd w:val="clear" w:color="auto" w:fill="C6EFCE"/>
            <w:vAlign w:val="center"/>
            <w:hideMark/>
          </w:tcPr>
          <w:p w14:paraId="47455DB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1197" w:type="dxa"/>
            <w:shd w:val="clear" w:color="auto" w:fill="C6EFCE"/>
            <w:vAlign w:val="center"/>
            <w:hideMark/>
          </w:tcPr>
          <w:p w14:paraId="4B29F67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10</w:t>
            </w:r>
            <w:r w:rsidRPr="00647572">
              <w:rPr>
                <w:rFonts w:ascii="Arial" w:eastAsia="Times New Roman" w:hAnsi="Arial" w:cs="Arial"/>
                <w:noProof/>
                <w:color w:val="006100"/>
                <w:kern w:val="0"/>
                <w:sz w:val="20"/>
                <w:szCs w:val="20"/>
                <w:lang w:eastAsia="en-IE"/>
                <w14:ligatures w14:val="none"/>
              </w:rPr>
              <w:t> </w:t>
            </w:r>
            <w:r w:rsidRPr="00647572">
              <w:rPr>
                <w:rFonts w:ascii="Arial Narrow" w:eastAsia="Times New Roman" w:hAnsi="Arial Narrow" w:cs="Times New Roman"/>
                <w:noProof/>
                <w:color w:val="006100"/>
                <w:kern w:val="0"/>
                <w:sz w:val="20"/>
                <w:szCs w:val="20"/>
                <w:lang w:eastAsia="en-IE"/>
                <w14:ligatures w14:val="none"/>
              </w:rPr>
              <w:t>000 </w:t>
            </w:r>
          </w:p>
        </w:tc>
        <w:tc>
          <w:tcPr>
            <w:tcW w:w="900" w:type="dxa"/>
            <w:shd w:val="clear" w:color="auto" w:fill="C6EFCE"/>
            <w:vAlign w:val="center"/>
            <w:hideMark/>
          </w:tcPr>
          <w:p w14:paraId="23E15F7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08" w:type="dxa"/>
            <w:shd w:val="clear" w:color="auto" w:fill="C6EFCE"/>
            <w:vAlign w:val="center"/>
            <w:hideMark/>
          </w:tcPr>
          <w:p w14:paraId="18192EF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2880" w:type="dxa"/>
            <w:shd w:val="clear" w:color="auto" w:fill="C6EFCE"/>
            <w:vAlign w:val="center"/>
            <w:hideMark/>
          </w:tcPr>
          <w:p w14:paraId="192B19BD"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Identification of at least 10</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000 final recipients for investment in innovation in the circular economy and bio-economy. </w:t>
            </w:r>
          </w:p>
          <w:p w14:paraId="25872BFF"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investments shall regard at least one of the following: </w:t>
            </w:r>
          </w:p>
          <w:p w14:paraId="4DAFA24A"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Replacement of more </w:t>
            </w:r>
          </w:p>
          <w:p w14:paraId="65F1C3C0"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polluting off-road vehicles </w:t>
            </w:r>
          </w:p>
          <w:p w14:paraId="06EF98E9"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Introduction of precision Farming and machinery for agriculture 4.0 </w:t>
            </w:r>
          </w:p>
          <w:p w14:paraId="30C9D54C"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Replacement of more obsolete facilities for olive mills </w:t>
            </w:r>
          </w:p>
          <w:p w14:paraId="4A08965B"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 order to comply with Do-No- </w:t>
            </w:r>
          </w:p>
          <w:p w14:paraId="467D016B"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Significant-Harm principle, off-road vehicles shall be zero-emission or run solely on biomethane, which shall comply with the criteria set out in Directive 2018/2001 (RED II Directive). </w:t>
            </w:r>
          </w:p>
          <w:p w14:paraId="44AC2FFA"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Biofuel and biomethane gas and biofuel producers shall have to provide certificates (Proof of Sustainability) issued by independent evaluators, as provided for in Directive 2018/2001. </w:t>
            </w:r>
          </w:p>
          <w:p w14:paraId="1CB955F3"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operator shall purchase guarantee of origin certificates commensurate to the expected fuel use. </w:t>
            </w:r>
          </w:p>
        </w:tc>
      </w:tr>
      <w:tr w:rsidR="0039681A" w:rsidRPr="0070054C" w14:paraId="75B56F7B" w14:textId="77777777" w:rsidTr="00351087">
        <w:trPr>
          <w:trHeight w:val="1230"/>
        </w:trPr>
        <w:tc>
          <w:tcPr>
            <w:tcW w:w="1276" w:type="dxa"/>
            <w:shd w:val="clear" w:color="auto" w:fill="C6EFCE"/>
            <w:vAlign w:val="center"/>
            <w:hideMark/>
          </w:tcPr>
          <w:p w14:paraId="15B8DF9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M2C1-8 </w:t>
            </w:r>
          </w:p>
        </w:tc>
        <w:tc>
          <w:tcPr>
            <w:tcW w:w="1418" w:type="dxa"/>
            <w:shd w:val="clear" w:color="auto" w:fill="C6EFCE"/>
            <w:vAlign w:val="center"/>
            <w:hideMark/>
          </w:tcPr>
          <w:p w14:paraId="7065E0CB"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2.3: Innovation and mechanization in the agricultural and food sectors </w:t>
            </w:r>
          </w:p>
        </w:tc>
        <w:tc>
          <w:tcPr>
            <w:tcW w:w="1276" w:type="dxa"/>
            <w:shd w:val="clear" w:color="auto" w:fill="C6EFCE"/>
            <w:vAlign w:val="center"/>
            <w:hideMark/>
          </w:tcPr>
          <w:p w14:paraId="0F6DB626"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7EF18094" w14:textId="0915998E" w:rsidR="0039681A" w:rsidRPr="00A36E36"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7C4B11DB">
              <w:rPr>
                <w:rFonts w:ascii="Arial Narrow" w:eastAsia="Times New Roman" w:hAnsi="Arial Narrow" w:cs="Times New Roman"/>
                <w:noProof/>
                <w:color w:val="006100"/>
                <w:sz w:val="20"/>
                <w:szCs w:val="20"/>
                <w:lang w:val="en-IE" w:eastAsia="en-IE"/>
              </w:rPr>
              <w:t>Projects carried out</w:t>
            </w:r>
          </w:p>
        </w:tc>
        <w:tc>
          <w:tcPr>
            <w:tcW w:w="1771" w:type="dxa"/>
            <w:shd w:val="clear" w:color="auto" w:fill="C6EFCE"/>
            <w:vAlign w:val="center"/>
            <w:hideMark/>
          </w:tcPr>
          <w:p w14:paraId="11DEB77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2831E47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043" w:type="dxa"/>
            <w:shd w:val="clear" w:color="auto" w:fill="C6EFCE"/>
            <w:vAlign w:val="center"/>
            <w:hideMark/>
          </w:tcPr>
          <w:p w14:paraId="1D17847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1197" w:type="dxa"/>
            <w:shd w:val="clear" w:color="auto" w:fill="C6EFCE"/>
            <w:vAlign w:val="center"/>
            <w:hideMark/>
          </w:tcPr>
          <w:p w14:paraId="2A40FEFA" w14:textId="2C943A0D"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3757871F">
              <w:rPr>
                <w:rFonts w:ascii="Arial Narrow" w:eastAsia="Times New Roman" w:hAnsi="Arial Narrow" w:cs="Times New Roman"/>
                <w:noProof/>
                <w:color w:val="006100"/>
                <w:sz w:val="20"/>
                <w:szCs w:val="20"/>
                <w:lang w:eastAsia="en-IE"/>
              </w:rPr>
              <w:t>9608</w:t>
            </w:r>
          </w:p>
        </w:tc>
        <w:tc>
          <w:tcPr>
            <w:tcW w:w="900" w:type="dxa"/>
            <w:shd w:val="clear" w:color="auto" w:fill="C6EFCE"/>
            <w:vAlign w:val="center"/>
            <w:hideMark/>
          </w:tcPr>
          <w:p w14:paraId="1A82967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1ED2037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2880" w:type="dxa"/>
            <w:shd w:val="clear" w:color="auto" w:fill="C6EFCE"/>
            <w:vAlign w:val="center"/>
            <w:hideMark/>
          </w:tcPr>
          <w:p w14:paraId="6FD4444A" w14:textId="3AC56617" w:rsidR="0039681A" w:rsidRPr="00A36E36" w:rsidRDefault="0039681A" w:rsidP="00351087">
            <w:pPr>
              <w:spacing w:after="0" w:line="240" w:lineRule="auto"/>
              <w:rPr>
                <w:rFonts w:ascii="Times New Roman" w:eastAsia="Times New Roman" w:hAnsi="Times New Roman" w:cs="Times New Roman"/>
                <w:noProof/>
                <w:sz w:val="24"/>
                <w:szCs w:val="24"/>
                <w:lang w:val="en-IE" w:eastAsia="en-IE"/>
              </w:rPr>
            </w:pPr>
            <w:r w:rsidRPr="00AF5341">
              <w:rPr>
                <w:rFonts w:ascii="Arial Narrow" w:eastAsia="Times New Roman" w:hAnsi="Arial Narrow" w:cs="Times New Roman"/>
                <w:noProof/>
                <w:color w:val="006100"/>
                <w:sz w:val="20"/>
                <w:szCs w:val="20"/>
                <w:lang w:val="en-IE" w:eastAsia="en-IE"/>
              </w:rPr>
              <w:t>Administrative act(s) confirming</w:t>
            </w:r>
            <w:r w:rsidRPr="00E1237C">
              <w:rPr>
                <w:rFonts w:ascii="Arial Narrow" w:eastAsia="Times New Roman" w:hAnsi="Arial Narrow" w:cs="Times New Roman"/>
                <w:noProof/>
                <w:color w:val="006100"/>
                <w:sz w:val="20"/>
                <w:szCs w:val="20"/>
                <w:lang w:val="en-IE" w:eastAsia="en-IE"/>
              </w:rPr>
              <w:t xml:space="preserve"> that</w:t>
            </w:r>
            <w:r w:rsidRPr="4B5FB3B2">
              <w:rPr>
                <w:rFonts w:ascii="Arial Narrow" w:eastAsia="Times New Roman" w:hAnsi="Arial Narrow" w:cs="Times New Roman"/>
                <w:noProof/>
                <w:color w:val="006100"/>
                <w:sz w:val="20"/>
                <w:szCs w:val="20"/>
                <w:lang w:val="en-IE" w:eastAsia="en-IE"/>
              </w:rPr>
              <w:t xml:space="preserve"> </w:t>
            </w:r>
            <w:r w:rsidRPr="00A36E36">
              <w:rPr>
                <w:rFonts w:ascii="Arial Narrow" w:eastAsia="Times New Roman" w:hAnsi="Arial Narrow" w:cs="Times New Roman"/>
                <w:noProof/>
                <w:color w:val="006100"/>
                <w:kern w:val="0"/>
                <w:sz w:val="20"/>
                <w:szCs w:val="20"/>
                <w:lang w:val="en-IE" w:eastAsia="en-IE"/>
                <w14:ligatures w14:val="none"/>
              </w:rPr>
              <w:t xml:space="preserve">at least </w:t>
            </w:r>
            <w:r w:rsidRPr="3757871F">
              <w:rPr>
                <w:rFonts w:ascii="Arial Narrow" w:eastAsia="Times New Roman" w:hAnsi="Arial Narrow" w:cs="Times New Roman"/>
                <w:noProof/>
                <w:color w:val="006100"/>
                <w:sz w:val="20"/>
                <w:szCs w:val="20"/>
                <w:lang w:val="en-IE" w:eastAsia="en-IE"/>
              </w:rPr>
              <w:t>9608</w:t>
            </w:r>
            <w:r w:rsidRPr="698EB3EF">
              <w:rPr>
                <w:rFonts w:ascii="Arial Narrow" w:eastAsia="Times New Roman" w:hAnsi="Arial Narrow" w:cs="Times New Roman"/>
                <w:noProof/>
                <w:color w:val="006100"/>
                <w:sz w:val="20"/>
                <w:szCs w:val="20"/>
                <w:lang w:val="en-IE" w:eastAsia="en-IE"/>
              </w:rPr>
              <w:t xml:space="preserve"> </w:t>
            </w:r>
            <w:r w:rsidRPr="00A36E36">
              <w:rPr>
                <w:rFonts w:ascii="Arial Narrow" w:eastAsia="Times New Roman" w:hAnsi="Arial Narrow" w:cs="Times New Roman"/>
                <w:noProof/>
                <w:color w:val="006100"/>
                <w:kern w:val="0"/>
                <w:sz w:val="20"/>
                <w:szCs w:val="20"/>
                <w:lang w:val="en-IE" w:eastAsia="en-IE"/>
                <w14:ligatures w14:val="none"/>
              </w:rPr>
              <w:t>projects in</w:t>
            </w:r>
            <w:r w:rsidRPr="4E31C3A9">
              <w:rPr>
                <w:rFonts w:ascii="Arial Narrow" w:eastAsia="Times New Roman" w:hAnsi="Arial Narrow" w:cs="Times New Roman"/>
                <w:noProof/>
                <w:color w:val="006100"/>
                <w:sz w:val="20"/>
                <w:szCs w:val="20"/>
                <w:lang w:val="en-IE" w:eastAsia="en-IE"/>
              </w:rPr>
              <w:t xml:space="preserve"> </w:t>
            </w:r>
            <w:r w:rsidRPr="1303BE71">
              <w:rPr>
                <w:rFonts w:ascii="Arial Narrow" w:eastAsia="Times New Roman" w:hAnsi="Arial Narrow" w:cs="Times New Roman"/>
                <w:noProof/>
                <w:color w:val="006100"/>
                <w:sz w:val="20"/>
                <w:szCs w:val="20"/>
                <w:lang w:val="en-IE" w:eastAsia="en-IE"/>
              </w:rPr>
              <w:t xml:space="preserve">one </w:t>
            </w:r>
            <w:r w:rsidRPr="5FFC010D">
              <w:rPr>
                <w:rFonts w:ascii="Arial Narrow" w:eastAsia="Times New Roman" w:hAnsi="Arial Narrow" w:cs="Times New Roman"/>
                <w:noProof/>
                <w:color w:val="006100"/>
                <w:sz w:val="20"/>
                <w:szCs w:val="20"/>
                <w:lang w:val="en-IE" w:eastAsia="en-IE"/>
              </w:rPr>
              <w:t xml:space="preserve">or more </w:t>
            </w:r>
            <w:r w:rsidRPr="1303BE71">
              <w:rPr>
                <w:rFonts w:ascii="Arial Narrow" w:eastAsia="Times New Roman" w:hAnsi="Arial Narrow" w:cs="Times New Roman"/>
                <w:noProof/>
                <w:color w:val="006100"/>
                <w:sz w:val="20"/>
                <w:szCs w:val="20"/>
                <w:lang w:val="en-IE" w:eastAsia="en-IE"/>
              </w:rPr>
              <w:t>of</w:t>
            </w:r>
            <w:r w:rsidRPr="698EB3EF">
              <w:rPr>
                <w:rFonts w:ascii="Arial Narrow" w:eastAsia="Times New Roman" w:hAnsi="Arial Narrow" w:cs="Times New Roman"/>
                <w:noProof/>
                <w:color w:val="006100"/>
                <w:sz w:val="20"/>
                <w:szCs w:val="20"/>
                <w:lang w:val="en-IE" w:eastAsia="en-IE"/>
              </w:rPr>
              <w:t xml:space="preserve"> </w:t>
            </w:r>
            <w:r w:rsidRPr="2A2AED39">
              <w:rPr>
                <w:rFonts w:ascii="Arial Narrow" w:eastAsia="Times New Roman" w:hAnsi="Arial Narrow" w:cs="Times New Roman"/>
                <w:noProof/>
                <w:color w:val="006100"/>
                <w:sz w:val="20"/>
                <w:szCs w:val="20"/>
                <w:lang w:val="en-IE" w:eastAsia="en-IE"/>
              </w:rPr>
              <w:t xml:space="preserve">the </w:t>
            </w:r>
            <w:r w:rsidRPr="723E63DA">
              <w:rPr>
                <w:rFonts w:ascii="Arial Narrow" w:eastAsia="Times New Roman" w:hAnsi="Arial Narrow" w:cs="Times New Roman"/>
                <w:noProof/>
                <w:color w:val="006100"/>
                <w:sz w:val="20"/>
                <w:szCs w:val="20"/>
                <w:lang w:val="en-IE" w:eastAsia="en-IE"/>
              </w:rPr>
              <w:t>following areas</w:t>
            </w:r>
            <w:r w:rsidRPr="00A36E36">
              <w:rPr>
                <w:rFonts w:ascii="Arial Narrow" w:eastAsia="Times New Roman" w:hAnsi="Arial Narrow" w:cs="Times New Roman"/>
                <w:noProof/>
                <w:color w:val="006100"/>
                <w:kern w:val="0"/>
                <w:sz w:val="20"/>
                <w:szCs w:val="20"/>
                <w:lang w:val="en-IE" w:eastAsia="en-IE"/>
                <w14:ligatures w14:val="none"/>
              </w:rPr>
              <w:t xml:space="preserve"> </w:t>
            </w:r>
            <w:r w:rsidRPr="723E63DA">
              <w:rPr>
                <w:rFonts w:ascii="Arial Narrow" w:eastAsia="Times New Roman" w:hAnsi="Arial Narrow" w:cs="Times New Roman"/>
                <w:noProof/>
                <w:color w:val="006100"/>
                <w:sz w:val="20"/>
                <w:szCs w:val="20"/>
                <w:lang w:val="en-IE" w:eastAsia="en-IE"/>
              </w:rPr>
              <w:t>have been carried out</w:t>
            </w:r>
            <w:r w:rsidRPr="00A36E36">
              <w:rPr>
                <w:rFonts w:ascii="Arial Narrow" w:eastAsia="Times New Roman" w:hAnsi="Arial Narrow" w:cs="Times New Roman"/>
                <w:noProof/>
                <w:color w:val="006100"/>
                <w:kern w:val="0"/>
                <w:sz w:val="20"/>
                <w:szCs w:val="20"/>
                <w:lang w:val="en-IE" w:eastAsia="en-IE"/>
                <w14:ligatures w14:val="none"/>
              </w:rPr>
              <w:t>: </w:t>
            </w:r>
          </w:p>
          <w:p w14:paraId="3D4CC7A4" w14:textId="77777777" w:rsidR="0039681A" w:rsidRPr="00AF5341" w:rsidRDefault="0039681A" w:rsidP="00AF5341">
            <w:pPr>
              <w:spacing w:after="0" w:line="240" w:lineRule="auto"/>
              <w:rPr>
                <w:rFonts w:ascii="Arial Narrow" w:eastAsia="Times New Roman" w:hAnsi="Arial Narrow" w:cs="Times New Roman"/>
                <w:noProof/>
                <w:color w:val="00610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w:t>
            </w:r>
            <w:r w:rsidRPr="00A36E36">
              <w:rPr>
                <w:rFonts w:ascii="Arial Narrow" w:eastAsia="Times New Roman" w:hAnsi="Arial Narrow" w:cs="Times New Roman"/>
                <w:noProof/>
                <w:kern w:val="0"/>
                <w:sz w:val="24"/>
                <w:szCs w:val="24"/>
                <w:lang w:val="en-IE" w:eastAsia="en-IE"/>
                <w14:ligatures w14:val="none"/>
              </w:rPr>
              <w:t xml:space="preserve"> </w:t>
            </w:r>
            <w:r w:rsidRPr="00A36E36">
              <w:rPr>
                <w:rFonts w:ascii="Arial Narrow" w:eastAsia="Times New Roman" w:hAnsi="Arial Narrow" w:cs="Times New Roman"/>
                <w:noProof/>
                <w:color w:val="006100"/>
                <w:kern w:val="0"/>
                <w:sz w:val="20"/>
                <w:szCs w:val="20"/>
                <w:lang w:val="en-IE" w:eastAsia="en-IE"/>
                <w14:ligatures w14:val="none"/>
              </w:rPr>
              <w:t xml:space="preserve">Replacement of </w:t>
            </w:r>
            <w:r w:rsidRPr="00AF5341">
              <w:rPr>
                <w:rFonts w:ascii="Arial Narrow" w:eastAsia="Times New Roman" w:hAnsi="Arial Narrow" w:cs="Times New Roman"/>
                <w:noProof/>
                <w:color w:val="006100"/>
                <w:sz w:val="20"/>
                <w:szCs w:val="20"/>
                <w:lang w:val="en-IE" w:eastAsia="en-IE"/>
                <w14:ligatures w14:val="none"/>
              </w:rPr>
              <w:t>more polluting off-road vehicles </w:t>
            </w:r>
          </w:p>
          <w:p w14:paraId="4BD5180C" w14:textId="06069F2C" w:rsidR="0039681A" w:rsidRDefault="0039681A" w:rsidP="00351087">
            <w:pPr>
              <w:spacing w:after="0" w:line="240" w:lineRule="auto"/>
              <w:rPr>
                <w:rFonts w:ascii="Arial Narrow" w:eastAsia="Times New Roman" w:hAnsi="Arial Narrow" w:cs="Times New Roman"/>
                <w:noProof/>
                <w:color w:val="006100"/>
                <w:sz w:val="20"/>
                <w:szCs w:val="20"/>
                <w:lang w:val="en-IE" w:eastAsia="en-IE"/>
              </w:rPr>
            </w:pPr>
            <w:r w:rsidRPr="00AF5341">
              <w:rPr>
                <w:rFonts w:ascii="Arial Narrow" w:eastAsia="Times New Roman" w:hAnsi="Arial Narrow" w:cs="Times New Roman"/>
                <w:noProof/>
                <w:color w:val="006100"/>
                <w:sz w:val="20"/>
                <w:szCs w:val="20"/>
                <w:lang w:val="en-IE" w:eastAsia="en-IE"/>
                <w14:ligatures w14:val="none"/>
              </w:rPr>
              <w:t>- Introduction of precision farming</w:t>
            </w:r>
            <w:r w:rsidRPr="433032F4">
              <w:rPr>
                <w:rFonts w:ascii="Arial Narrow" w:eastAsia="Times New Roman" w:hAnsi="Arial Narrow" w:cs="Times New Roman"/>
                <w:noProof/>
                <w:color w:val="006100"/>
                <w:sz w:val="20"/>
                <w:szCs w:val="20"/>
                <w:lang w:val="en-IE" w:eastAsia="en-IE"/>
              </w:rPr>
              <w:t xml:space="preserve">, including </w:t>
            </w:r>
            <w:r w:rsidRPr="1CA89236">
              <w:rPr>
                <w:rFonts w:ascii="Arial Narrow" w:eastAsia="Times New Roman" w:hAnsi="Arial Narrow" w:cs="Times New Roman"/>
                <w:noProof/>
                <w:color w:val="006100"/>
                <w:sz w:val="20"/>
                <w:szCs w:val="20"/>
                <w:lang w:val="en-IE" w:eastAsia="en-IE"/>
              </w:rPr>
              <w:t xml:space="preserve">innovation in irrigation systems and water management </w:t>
            </w:r>
          </w:p>
          <w:p w14:paraId="25CCF20C" w14:textId="6636F403" w:rsidR="0039681A" w:rsidRPr="00AF5341" w:rsidRDefault="0039681A" w:rsidP="00351087">
            <w:pPr>
              <w:spacing w:after="0" w:line="240" w:lineRule="auto"/>
              <w:rPr>
                <w:rFonts w:ascii="Arial Narrow" w:eastAsia="Times New Roman" w:hAnsi="Arial Narrow" w:cs="Times New Roman"/>
                <w:noProof/>
                <w:color w:val="006100"/>
                <w:sz w:val="20"/>
                <w:szCs w:val="20"/>
                <w:lang w:val="en-IE" w:eastAsia="en-IE"/>
              </w:rPr>
            </w:pPr>
            <w:r w:rsidRPr="00AF5341">
              <w:rPr>
                <w:rFonts w:ascii="Arial Narrow" w:eastAsia="Times New Roman" w:hAnsi="Arial Narrow" w:cs="Times New Roman"/>
                <w:noProof/>
                <w:color w:val="006100"/>
                <w:sz w:val="20"/>
                <w:szCs w:val="20"/>
                <w:lang w:val="en-IE" w:eastAsia="en-IE"/>
              </w:rPr>
              <w:t>- Replacement of more obsolete facilities for olive mills</w:t>
            </w:r>
            <w:r w:rsidRPr="3A611672">
              <w:rPr>
                <w:rFonts w:ascii="Arial Narrow" w:eastAsia="Times New Roman" w:hAnsi="Arial Narrow" w:cs="Times New Roman"/>
                <w:noProof/>
                <w:color w:val="006100"/>
                <w:sz w:val="20"/>
                <w:szCs w:val="20"/>
                <w:lang w:val="en-IE" w:eastAsia="en-IE"/>
              </w:rPr>
              <w:t>.</w:t>
            </w:r>
          </w:p>
          <w:p w14:paraId="426E7932"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 order to comply with Do-No-Significant-Harm principle, off-road vehicles shall be zero-emission or run solely on biomethane, which shall comply with the criteria set out in Directive 2018/2001 (RED II Directive) </w:t>
            </w:r>
          </w:p>
          <w:p w14:paraId="232C4DE8"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Biofuel and biomethane gas and biofuel producers shall have to provide certificates (Proof of Sustainability) issued by independent evaluators, as provided for in Directive 2018/2001. The operator shall purchase guarantee of origin certificates commensurate to the expected fuel use. </w:t>
            </w:r>
          </w:p>
        </w:tc>
      </w:tr>
      <w:tr w:rsidR="0039681A" w:rsidRPr="0070054C" w14:paraId="2266704F" w14:textId="77777777" w:rsidTr="00351087">
        <w:trPr>
          <w:trHeight w:val="300"/>
        </w:trPr>
        <w:tc>
          <w:tcPr>
            <w:tcW w:w="1276" w:type="dxa"/>
            <w:shd w:val="clear" w:color="auto" w:fill="C6EFCE"/>
            <w:vAlign w:val="center"/>
            <w:hideMark/>
          </w:tcPr>
          <w:p w14:paraId="4C82B65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M2C1-9 </w:t>
            </w:r>
          </w:p>
        </w:tc>
        <w:tc>
          <w:tcPr>
            <w:tcW w:w="1418" w:type="dxa"/>
            <w:shd w:val="clear" w:color="auto" w:fill="C6EFCE"/>
            <w:vAlign w:val="center"/>
            <w:hideMark/>
          </w:tcPr>
          <w:p w14:paraId="4D9A4721"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2.2: Agri-solar Park </w:t>
            </w:r>
          </w:p>
        </w:tc>
        <w:tc>
          <w:tcPr>
            <w:tcW w:w="1276" w:type="dxa"/>
            <w:shd w:val="clear" w:color="auto" w:fill="C6EFCE"/>
            <w:vAlign w:val="center"/>
            <w:hideMark/>
          </w:tcPr>
          <w:p w14:paraId="32A78BD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60AB87B2" w14:textId="4C2B775E" w:rsidR="0039681A" w:rsidRPr="00AF5341"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F5341">
              <w:rPr>
                <w:rFonts w:ascii="Arial Narrow" w:eastAsia="Times New Roman" w:hAnsi="Arial Narrow" w:cs="Times New Roman"/>
                <w:noProof/>
                <w:color w:val="006100"/>
                <w:sz w:val="20"/>
                <w:szCs w:val="20"/>
                <w:lang w:val="en-IE" w:eastAsia="en-IE"/>
              </w:rPr>
              <w:t>Solar power generation capacity installed</w:t>
            </w:r>
          </w:p>
        </w:tc>
        <w:tc>
          <w:tcPr>
            <w:tcW w:w="1771" w:type="dxa"/>
            <w:shd w:val="clear" w:color="auto" w:fill="C6EFCE"/>
            <w:vAlign w:val="center"/>
            <w:hideMark/>
          </w:tcPr>
          <w:p w14:paraId="2F81AF6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1D32BFF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kW </w:t>
            </w:r>
          </w:p>
        </w:tc>
        <w:tc>
          <w:tcPr>
            <w:tcW w:w="1043" w:type="dxa"/>
            <w:shd w:val="clear" w:color="auto" w:fill="C6EFCE"/>
            <w:vAlign w:val="center"/>
            <w:hideMark/>
          </w:tcPr>
          <w:p w14:paraId="3EFA128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1197" w:type="dxa"/>
            <w:shd w:val="clear" w:color="auto" w:fill="C6EFCE"/>
            <w:vAlign w:val="center"/>
            <w:hideMark/>
          </w:tcPr>
          <w:p w14:paraId="1AA5DC07" w14:textId="594B018D"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469C2639">
              <w:rPr>
                <w:rFonts w:ascii="Arial Narrow" w:eastAsia="Times New Roman" w:hAnsi="Arial Narrow" w:cs="Times New Roman"/>
                <w:noProof/>
                <w:color w:val="006100"/>
                <w:sz w:val="20"/>
                <w:szCs w:val="20"/>
                <w:lang w:eastAsia="en-IE"/>
              </w:rPr>
              <w:t>1</w:t>
            </w:r>
            <w:r w:rsidRPr="00647572">
              <w:rPr>
                <w:rFonts w:ascii="Arial Narrow" w:hAnsi="Arial Narrow"/>
                <w:noProof/>
                <w:color w:val="006100"/>
                <w:sz w:val="20"/>
              </w:rPr>
              <w:t> </w:t>
            </w:r>
            <w:r>
              <w:rPr>
                <w:rFonts w:ascii="Arial Narrow" w:eastAsia="Times New Roman" w:hAnsi="Arial Narrow" w:cs="Times New Roman"/>
                <w:noProof/>
                <w:color w:val="006100"/>
                <w:sz w:val="20"/>
                <w:szCs w:val="20"/>
                <w:lang w:eastAsia="en-IE"/>
              </w:rPr>
              <w:t>47</w:t>
            </w:r>
            <w:r w:rsidRPr="469C2639">
              <w:rPr>
                <w:rFonts w:ascii="Arial Narrow" w:eastAsia="Times New Roman" w:hAnsi="Arial Narrow" w:cs="Times New Roman"/>
                <w:noProof/>
                <w:color w:val="006100"/>
                <w:sz w:val="20"/>
                <w:szCs w:val="20"/>
                <w:lang w:eastAsia="en-IE"/>
              </w:rPr>
              <w:t>0</w:t>
            </w:r>
            <w:r w:rsidRPr="00647572">
              <w:rPr>
                <w:rFonts w:ascii="Arial Narrow" w:hAnsi="Arial Narrow"/>
                <w:noProof/>
                <w:color w:val="006100"/>
                <w:sz w:val="20"/>
              </w:rPr>
              <w:t> </w:t>
            </w:r>
            <w:r w:rsidRPr="469C2639">
              <w:rPr>
                <w:rFonts w:ascii="Arial Narrow" w:eastAsia="Times New Roman" w:hAnsi="Arial Narrow" w:cs="Times New Roman"/>
                <w:noProof/>
                <w:color w:val="006100"/>
                <w:sz w:val="20"/>
                <w:szCs w:val="20"/>
                <w:lang w:eastAsia="en-IE"/>
              </w:rPr>
              <w:t>000</w:t>
            </w:r>
          </w:p>
        </w:tc>
        <w:tc>
          <w:tcPr>
            <w:tcW w:w="900" w:type="dxa"/>
            <w:shd w:val="clear" w:color="auto" w:fill="C6EFCE"/>
            <w:vAlign w:val="center"/>
            <w:hideMark/>
          </w:tcPr>
          <w:p w14:paraId="67F6AC3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7D3AAD1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2880" w:type="dxa"/>
            <w:shd w:val="clear" w:color="auto" w:fill="C6EFCE"/>
            <w:vAlign w:val="center"/>
            <w:hideMark/>
          </w:tcPr>
          <w:p w14:paraId="4F0F8B79" w14:textId="14D2579F"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Pr>
                <w:rFonts w:ascii="Arial Narrow" w:eastAsia="Times New Roman" w:hAnsi="Arial Narrow" w:cs="Times New Roman"/>
                <w:noProof/>
                <w:color w:val="006100"/>
                <w:kern w:val="0"/>
                <w:sz w:val="20"/>
                <w:szCs w:val="20"/>
                <w:lang w:val="en-IE" w:eastAsia="en-IE"/>
                <w14:ligatures w14:val="none"/>
              </w:rPr>
              <w:t>A</w:t>
            </w:r>
            <w:r w:rsidRPr="00A36E36">
              <w:rPr>
                <w:rFonts w:ascii="Arial Narrow" w:eastAsia="Times New Roman" w:hAnsi="Arial Narrow" w:cs="Times New Roman"/>
                <w:noProof/>
                <w:color w:val="006100"/>
                <w:kern w:val="0"/>
                <w:sz w:val="20"/>
                <w:szCs w:val="20"/>
                <w:lang w:val="en-IE" w:eastAsia="en-IE"/>
                <w14:ligatures w14:val="none"/>
              </w:rPr>
              <w:t xml:space="preserve">t least </w:t>
            </w:r>
            <w:r w:rsidRPr="486BF677">
              <w:rPr>
                <w:rFonts w:ascii="Arial Narrow" w:eastAsia="Times New Roman" w:hAnsi="Arial Narrow" w:cs="Times New Roman"/>
                <w:noProof/>
                <w:color w:val="006100"/>
                <w:sz w:val="20"/>
                <w:szCs w:val="20"/>
                <w:lang w:val="en-IE" w:eastAsia="en-IE"/>
              </w:rPr>
              <w:t>1</w:t>
            </w:r>
            <w:r w:rsidRPr="486BF677">
              <w:rPr>
                <w:rFonts w:ascii="Arial Narrow" w:hAnsi="Arial Narrow"/>
                <w:noProof/>
                <w:color w:val="006100"/>
                <w:sz w:val="20"/>
                <w:szCs w:val="20"/>
                <w:lang w:val="en-IE"/>
              </w:rPr>
              <w:t> </w:t>
            </w:r>
            <w:r>
              <w:rPr>
                <w:rFonts w:ascii="Arial Narrow" w:eastAsia="Times New Roman" w:hAnsi="Arial Narrow" w:cs="Times New Roman"/>
                <w:noProof/>
                <w:color w:val="006100"/>
                <w:sz w:val="20"/>
                <w:szCs w:val="20"/>
                <w:lang w:val="en-IE" w:eastAsia="en-IE"/>
              </w:rPr>
              <w:t>47</w:t>
            </w:r>
            <w:r w:rsidRPr="486BF677">
              <w:rPr>
                <w:rFonts w:ascii="Arial Narrow" w:eastAsia="Times New Roman" w:hAnsi="Arial Narrow" w:cs="Times New Roman"/>
                <w:noProof/>
                <w:color w:val="006100"/>
                <w:sz w:val="20"/>
                <w:szCs w:val="20"/>
                <w:lang w:val="en-IE" w:eastAsia="en-IE"/>
              </w:rPr>
              <w:t>0</w:t>
            </w:r>
            <w:r w:rsidRPr="486BF677">
              <w:rPr>
                <w:rFonts w:ascii="Arial Narrow" w:hAnsi="Arial Narrow"/>
                <w:noProof/>
                <w:color w:val="006100"/>
                <w:sz w:val="20"/>
                <w:szCs w:val="20"/>
                <w:lang w:val="en-IE"/>
              </w:rPr>
              <w:t> </w:t>
            </w:r>
            <w:r w:rsidRPr="486BF677">
              <w:rPr>
                <w:rFonts w:ascii="Arial Narrow" w:eastAsia="Times New Roman" w:hAnsi="Arial Narrow" w:cs="Times New Roman"/>
                <w:noProof/>
                <w:color w:val="006100"/>
                <w:sz w:val="20"/>
                <w:szCs w:val="20"/>
                <w:lang w:val="en-IE" w:eastAsia="en-IE"/>
              </w:rPr>
              <w:t xml:space="preserve">000 </w:t>
            </w:r>
            <w:r w:rsidRPr="00A36E36">
              <w:rPr>
                <w:rFonts w:ascii="Arial Narrow" w:eastAsia="Times New Roman" w:hAnsi="Arial Narrow" w:cs="Times New Roman"/>
                <w:noProof/>
                <w:color w:val="006100"/>
                <w:kern w:val="0"/>
                <w:sz w:val="20"/>
                <w:szCs w:val="20"/>
                <w:lang w:val="en-IE" w:eastAsia="en-IE"/>
                <w14:ligatures w14:val="none"/>
              </w:rPr>
              <w:t>kW of solar power generation capacity</w:t>
            </w:r>
            <w:r w:rsidRPr="486BF677">
              <w:rPr>
                <w:rFonts w:ascii="Arial Narrow" w:eastAsia="Times New Roman" w:hAnsi="Arial Narrow" w:cs="Times New Roman"/>
                <w:noProof/>
                <w:color w:val="006100"/>
                <w:sz w:val="20"/>
                <w:szCs w:val="20"/>
                <w:lang w:val="en-IE" w:eastAsia="en-IE"/>
              </w:rPr>
              <w:t xml:space="preserve"> installed</w:t>
            </w:r>
            <w:r w:rsidRPr="00A36E36">
              <w:rPr>
                <w:rFonts w:ascii="Arial Narrow" w:eastAsia="Times New Roman" w:hAnsi="Arial Narrow" w:cs="Times New Roman"/>
                <w:noProof/>
                <w:color w:val="006100"/>
                <w:kern w:val="0"/>
                <w:sz w:val="20"/>
                <w:szCs w:val="20"/>
                <w:lang w:val="en-IE" w:eastAsia="en-IE"/>
                <w14:ligatures w14:val="none"/>
              </w:rPr>
              <w:t>. </w:t>
            </w:r>
          </w:p>
        </w:tc>
      </w:tr>
      <w:tr w:rsidR="0039681A" w:rsidRPr="0070054C" w14:paraId="7969BAE8" w14:textId="77777777" w:rsidTr="00351087">
        <w:trPr>
          <w:trHeight w:val="300"/>
        </w:trPr>
        <w:tc>
          <w:tcPr>
            <w:tcW w:w="1276" w:type="dxa"/>
            <w:shd w:val="clear" w:color="auto" w:fill="C6EFCE"/>
            <w:vAlign w:val="center"/>
            <w:hideMark/>
          </w:tcPr>
          <w:p w14:paraId="4EEF47E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M2C1-11 </w:t>
            </w:r>
          </w:p>
        </w:tc>
        <w:tc>
          <w:tcPr>
            <w:tcW w:w="1418" w:type="dxa"/>
            <w:shd w:val="clear" w:color="auto" w:fill="C6EFCE"/>
            <w:vAlign w:val="center"/>
            <w:hideMark/>
          </w:tcPr>
          <w:p w14:paraId="4CA5AA5A"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3.3: Culture and awareness on environmental topics and challenges </w:t>
            </w:r>
          </w:p>
        </w:tc>
        <w:tc>
          <w:tcPr>
            <w:tcW w:w="1276" w:type="dxa"/>
            <w:shd w:val="clear" w:color="auto" w:fill="C6EFCE"/>
            <w:vAlign w:val="center"/>
            <w:hideMark/>
          </w:tcPr>
          <w:p w14:paraId="0A85253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shd w:val="clear" w:color="auto" w:fill="C6EFCE"/>
            <w:vAlign w:val="center"/>
            <w:hideMark/>
          </w:tcPr>
          <w:p w14:paraId="30F0DB96"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Launch of web platform and contracts with authors </w:t>
            </w:r>
          </w:p>
        </w:tc>
        <w:tc>
          <w:tcPr>
            <w:tcW w:w="1771" w:type="dxa"/>
            <w:shd w:val="clear" w:color="auto" w:fill="C6EFCE"/>
            <w:vAlign w:val="center"/>
            <w:hideMark/>
          </w:tcPr>
          <w:p w14:paraId="2324DCF7"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Notification of signature of contract with content producers </w:t>
            </w:r>
          </w:p>
        </w:tc>
        <w:tc>
          <w:tcPr>
            <w:tcW w:w="1098" w:type="dxa"/>
            <w:shd w:val="clear" w:color="auto" w:fill="C6EFCE"/>
            <w:vAlign w:val="center"/>
            <w:hideMark/>
          </w:tcPr>
          <w:p w14:paraId="583DB08B"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43" w:type="dxa"/>
            <w:shd w:val="clear" w:color="auto" w:fill="C6EFCE"/>
            <w:vAlign w:val="center"/>
            <w:hideMark/>
          </w:tcPr>
          <w:p w14:paraId="51AAA2E8"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97" w:type="dxa"/>
            <w:shd w:val="clear" w:color="auto" w:fill="C6EFCE"/>
            <w:vAlign w:val="center"/>
            <w:hideMark/>
          </w:tcPr>
          <w:p w14:paraId="1A38730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00" w:type="dxa"/>
            <w:shd w:val="clear" w:color="auto" w:fill="C6EFCE"/>
            <w:vAlign w:val="center"/>
            <w:hideMark/>
          </w:tcPr>
          <w:p w14:paraId="02A197BB"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0C469FA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2880" w:type="dxa"/>
            <w:shd w:val="clear" w:color="auto" w:fill="C6EFCE"/>
            <w:vAlign w:val="center"/>
            <w:hideMark/>
          </w:tcPr>
          <w:p w14:paraId="0C677E6C"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Public launch of the web platform and final agreements signature with "content producers". The projects aim at the development of at least 180 podcasts, school-specific video lessons and video contents produced and available on the web platform on the environmental transition. </w:t>
            </w:r>
          </w:p>
        </w:tc>
      </w:tr>
      <w:tr w:rsidR="0039681A" w:rsidRPr="0070054C" w14:paraId="4E5B6CA2" w14:textId="77777777" w:rsidTr="00351087">
        <w:trPr>
          <w:trHeight w:val="300"/>
        </w:trPr>
        <w:tc>
          <w:tcPr>
            <w:tcW w:w="1276" w:type="dxa"/>
            <w:shd w:val="clear" w:color="auto" w:fill="C6EFCE"/>
            <w:vAlign w:val="center"/>
            <w:hideMark/>
          </w:tcPr>
          <w:p w14:paraId="6834446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M2C1-12 </w:t>
            </w:r>
          </w:p>
        </w:tc>
        <w:tc>
          <w:tcPr>
            <w:tcW w:w="1418" w:type="dxa"/>
            <w:shd w:val="clear" w:color="auto" w:fill="C6EFCE"/>
            <w:vAlign w:val="center"/>
            <w:hideMark/>
          </w:tcPr>
          <w:p w14:paraId="383017FA"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3.3: Culture and awareness on environmental topics and challenges </w:t>
            </w:r>
          </w:p>
        </w:tc>
        <w:tc>
          <w:tcPr>
            <w:tcW w:w="1276" w:type="dxa"/>
            <w:shd w:val="clear" w:color="auto" w:fill="C6EFCE"/>
            <w:vAlign w:val="center"/>
            <w:hideMark/>
          </w:tcPr>
          <w:p w14:paraId="2814AA6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shd w:val="clear" w:color="auto" w:fill="C6EFCE"/>
            <w:vAlign w:val="center"/>
            <w:hideMark/>
          </w:tcPr>
          <w:p w14:paraId="3BD9664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Podcasts on environmental transition </w:t>
            </w:r>
          </w:p>
        </w:tc>
        <w:tc>
          <w:tcPr>
            <w:tcW w:w="1771" w:type="dxa"/>
            <w:shd w:val="clear" w:color="auto" w:fill="C6EFCE"/>
            <w:vAlign w:val="center"/>
            <w:hideMark/>
          </w:tcPr>
          <w:p w14:paraId="1E35116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098" w:type="dxa"/>
            <w:shd w:val="clear" w:color="auto" w:fill="C6EFCE"/>
            <w:vAlign w:val="center"/>
            <w:hideMark/>
          </w:tcPr>
          <w:p w14:paraId="74EA4A7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043" w:type="dxa"/>
            <w:shd w:val="clear" w:color="auto" w:fill="C6EFCE"/>
            <w:vAlign w:val="center"/>
            <w:hideMark/>
          </w:tcPr>
          <w:p w14:paraId="5B37256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1197" w:type="dxa"/>
            <w:shd w:val="clear" w:color="auto" w:fill="C6EFCE"/>
            <w:vAlign w:val="center"/>
            <w:hideMark/>
          </w:tcPr>
          <w:p w14:paraId="6DA28B3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180 </w:t>
            </w:r>
          </w:p>
        </w:tc>
        <w:tc>
          <w:tcPr>
            <w:tcW w:w="900" w:type="dxa"/>
            <w:shd w:val="clear" w:color="auto" w:fill="C6EFCE"/>
            <w:vAlign w:val="center"/>
            <w:hideMark/>
          </w:tcPr>
          <w:p w14:paraId="0FC318D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08" w:type="dxa"/>
            <w:shd w:val="clear" w:color="auto" w:fill="C6EFCE"/>
            <w:vAlign w:val="center"/>
            <w:hideMark/>
          </w:tcPr>
          <w:p w14:paraId="4A9DC182"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2025 </w:t>
            </w:r>
          </w:p>
        </w:tc>
        <w:tc>
          <w:tcPr>
            <w:tcW w:w="2880" w:type="dxa"/>
            <w:shd w:val="clear" w:color="auto" w:fill="C6EFCE"/>
            <w:vAlign w:val="center"/>
            <w:hideMark/>
          </w:tcPr>
          <w:p w14:paraId="21156F4C"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At least 180 podcasts published on the web platform. </w:t>
            </w:r>
          </w:p>
        </w:tc>
      </w:tr>
    </w:tbl>
    <w:p w14:paraId="24635B45" w14:textId="77777777" w:rsidR="0039681A" w:rsidRPr="00A36E36" w:rsidRDefault="0039681A" w:rsidP="00351087">
      <w:pPr>
        <w:spacing w:after="0" w:line="240" w:lineRule="auto"/>
        <w:ind w:left="705"/>
        <w:jc w:val="both"/>
        <w:textAlignment w:val="baseline"/>
        <w:rPr>
          <w:rFonts w:ascii="Segoe UI" w:eastAsia="Times New Roman" w:hAnsi="Segoe UI" w:cs="Segoe UI"/>
          <w:noProof/>
          <w:kern w:val="0"/>
          <w:sz w:val="18"/>
          <w:szCs w:val="18"/>
          <w:lang w:val="en-IE" w:eastAsia="en-IE"/>
          <w14:ligatures w14:val="none"/>
        </w:rPr>
      </w:pPr>
    </w:p>
    <w:p w14:paraId="12B1266F" w14:textId="77777777" w:rsidR="0039681A" w:rsidRPr="00A36E36" w:rsidRDefault="0039681A" w:rsidP="00351087">
      <w:pPr>
        <w:rPr>
          <w:noProof/>
          <w:lang w:val="en-IE"/>
        </w:rPr>
        <w:sectPr w:rsidR="0039681A" w:rsidRPr="00A36E36" w:rsidSect="0039681A">
          <w:headerReference w:type="even" r:id="rId67"/>
          <w:headerReference w:type="default" r:id="rId68"/>
          <w:footerReference w:type="default" r:id="rId69"/>
          <w:headerReference w:type="first" r:id="rId70"/>
          <w:pgSz w:w="16838" w:h="11906" w:orient="landscape"/>
          <w:pgMar w:top="1134" w:right="1134" w:bottom="1134" w:left="1134" w:header="567" w:footer="567" w:gutter="0"/>
          <w:cols w:space="708"/>
          <w:docGrid w:linePitch="360"/>
        </w:sectPr>
      </w:pPr>
    </w:p>
    <w:p w14:paraId="311C24ED" w14:textId="77777777" w:rsidR="0039681A" w:rsidRPr="00A36E36" w:rsidRDefault="0039681A" w:rsidP="00351087">
      <w:pPr>
        <w:pStyle w:val="Heading3"/>
        <w:ind w:left="850" w:hanging="850"/>
        <w:rPr>
          <w:rFonts w:ascii="Times New Roman" w:eastAsia="Times New Roman" w:hAnsi="Times New Roman" w:cs="Times New Roman"/>
          <w:b/>
          <w:bCs/>
          <w:noProof/>
          <w:sz w:val="24"/>
          <w:szCs w:val="24"/>
          <w:u w:val="single"/>
          <w:lang w:val="en-IE"/>
        </w:rPr>
      </w:pPr>
      <w:r w:rsidRPr="00A36E36">
        <w:rPr>
          <w:rFonts w:ascii="Times New Roman" w:eastAsia="Times New Roman" w:hAnsi="Times New Roman" w:cs="Times New Roman"/>
          <w:b/>
          <w:bCs/>
          <w:noProof/>
          <w:sz w:val="24"/>
          <w:szCs w:val="24"/>
          <w:u w:val="single"/>
          <w:lang w:val="en-IE"/>
        </w:rPr>
        <w:t xml:space="preserve">D.3. </w:t>
      </w:r>
      <w:r w:rsidRPr="00A36E36">
        <w:rPr>
          <w:rFonts w:ascii="Times New Roman" w:eastAsia="Times New Roman" w:hAnsi="Times New Roman" w:cs="Times New Roman"/>
          <w:b/>
          <w:bCs/>
          <w:noProof/>
          <w:sz w:val="24"/>
          <w:szCs w:val="24"/>
          <w:u w:val="single"/>
          <w:lang w:val="en-IE"/>
        </w:rPr>
        <w:tab/>
        <w:t xml:space="preserve">Description of the reforms and investments for the loan </w:t>
      </w:r>
    </w:p>
    <w:p w14:paraId="1FC15F35" w14:textId="77777777" w:rsidR="0039681A" w:rsidRPr="00A36E36" w:rsidRDefault="0039681A" w:rsidP="00351087">
      <w:pPr>
        <w:spacing w:after="0" w:line="240" w:lineRule="auto"/>
        <w:ind w:left="840" w:hanging="840"/>
        <w:textAlignment w:val="baseline"/>
        <w:rPr>
          <w:rFonts w:ascii="Segoe UI" w:eastAsia="Times New Roman" w:hAnsi="Segoe UI" w:cs="Segoe UI"/>
          <w:noProof/>
          <w:color w:val="0F4761"/>
          <w:kern w:val="0"/>
          <w:sz w:val="18"/>
          <w:szCs w:val="18"/>
          <w:lang w:val="en-IE" w:eastAsia="en-IE"/>
          <w14:ligatures w14:val="none"/>
        </w:rPr>
      </w:pPr>
    </w:p>
    <w:p w14:paraId="586E3631"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Reform 1.2 – National Programme for Waste Management</w:t>
      </w:r>
      <w:r w:rsidRPr="00A36E36">
        <w:rPr>
          <w:rFonts w:ascii="Times New Roman" w:eastAsia="Times New Roman" w:hAnsi="Times New Roman" w:cs="Times New Roman"/>
          <w:noProof/>
          <w:kern w:val="0"/>
          <w:sz w:val="24"/>
          <w:szCs w:val="24"/>
          <w:lang w:val="en-IE" w:eastAsia="en-IE"/>
          <w14:ligatures w14:val="none"/>
        </w:rPr>
        <w:t> </w:t>
      </w:r>
    </w:p>
    <w:p w14:paraId="1721C9A6" w14:textId="77777777" w:rsidR="0039681A" w:rsidRPr="00A36E36" w:rsidRDefault="0039681A" w:rsidP="00351087">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This reform consists in the adoption of a broad National Programme for Waste Management aiming the highest levels of preparation for reuse, recycling and recovery of waste, adapting the network of installations necessary for integrated waste management, minimizing final disposal as the ultimate and residual option, establishing monitoring systems, preventing the opening of new infringement procedures against Italy, tackling low collection of waste, discouraging landfilling and ensuring complementarity with regional waste programmes, enabling the achievement of European and national waste legislation objectives and tackling illegal waste dumping and open-air burning. </w:t>
      </w:r>
    </w:p>
    <w:p w14:paraId="0641A29A"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1F079164" w14:textId="77777777" w:rsidR="0039681A" w:rsidRPr="00A36E36" w:rsidRDefault="0039681A" w:rsidP="00351087">
      <w:pPr>
        <w:spacing w:after="0" w:line="240" w:lineRule="auto"/>
        <w:jc w:val="both"/>
        <w:textAlignment w:val="baseline"/>
        <w:rPr>
          <w:rFonts w:ascii="Times New Roman" w:eastAsia="Times New Roman" w:hAnsi="Times New Roman" w:cs="Times New Roman"/>
          <w:b/>
          <w:bCs/>
          <w:noProof/>
          <w:kern w:val="0"/>
          <w:sz w:val="24"/>
          <w:szCs w:val="24"/>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1.1 – Implementation of new waste management plants and modernization of existing plants and circular economy ‘’flagship projects’’ </w:t>
      </w:r>
    </w:p>
    <w:p w14:paraId="00615996" w14:textId="2DDDECFC" w:rsidR="0039681A" w:rsidRPr="00A36E36" w:rsidRDefault="0039681A" w:rsidP="00351087">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This objective of this investment is to improve</w:t>
      </w:r>
      <w:r w:rsidR="00381DB1">
        <w:rPr>
          <w:rFonts w:ascii="Times New Roman" w:eastAsia="Times New Roman" w:hAnsi="Times New Roman" w:cs="Times New Roman"/>
          <w:noProof/>
          <w:kern w:val="0"/>
          <w:lang w:val="en-IE" w:eastAsia="en-IE"/>
          <w14:ligatures w14:val="none"/>
        </w:rPr>
        <w:t xml:space="preserve"> </w:t>
      </w:r>
      <w:r w:rsidRPr="00A36E36">
        <w:rPr>
          <w:rFonts w:ascii="Times New Roman" w:eastAsia="Times New Roman" w:hAnsi="Times New Roman" w:cs="Times New Roman"/>
          <w:noProof/>
          <w:kern w:val="0"/>
          <w:lang w:val="en-IE" w:eastAsia="en-IE"/>
          <w14:ligatures w14:val="none"/>
        </w:rPr>
        <w:t>waste management and support the circular economy. The investment consists of financing projects to build new treatment/recycling plants or modernize existing ones as well as to support and digitalize separate collection for different waste streams. </w:t>
      </w:r>
    </w:p>
    <w:p w14:paraId="31B68212" w14:textId="77777777" w:rsidR="0039681A" w:rsidRPr="00A36E36" w:rsidRDefault="0039681A" w:rsidP="00351087">
      <w:pPr>
        <w:spacing w:after="0" w:line="240" w:lineRule="auto"/>
        <w:ind w:left="360"/>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noProof/>
          <w:kern w:val="0"/>
          <w:sz w:val="24"/>
          <w:szCs w:val="24"/>
          <w:lang w:val="en-IE" w:eastAsia="en-IE"/>
          <w14:ligatures w14:val="none"/>
        </w:rPr>
        <w:t> </w:t>
      </w:r>
    </w:p>
    <w:p w14:paraId="41A8B752"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2.1 – Logistics plan for the agri-food, fishing and aquaculture, forestry, floriculture and plant nursery sectors</w:t>
      </w:r>
      <w:r w:rsidRPr="00A36E36">
        <w:rPr>
          <w:rFonts w:ascii="Times New Roman" w:eastAsia="Times New Roman" w:hAnsi="Times New Roman" w:cs="Times New Roman"/>
          <w:noProof/>
          <w:kern w:val="0"/>
          <w:sz w:val="24"/>
          <w:szCs w:val="24"/>
          <w:lang w:val="en-IE" w:eastAsia="en-IE"/>
          <w14:ligatures w14:val="none"/>
        </w:rPr>
        <w:t> </w:t>
      </w:r>
    </w:p>
    <w:p w14:paraId="008D914C" w14:textId="77777777" w:rsidR="0039681A" w:rsidRPr="00A36E36" w:rsidRDefault="0039681A" w:rsidP="00351087">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objective of this investment is to encourage the reduction of emissions in the transportation and logistics phases in the agri-food sector, boosting the digitalization of the sector and the utilisation of renewable energy. This measure consists in the granting of support to tangible and intangible investments. </w:t>
      </w:r>
    </w:p>
    <w:p w14:paraId="520BAF2E"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254C55C0"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3.1 - Green islands</w:t>
      </w:r>
    </w:p>
    <w:p w14:paraId="7C82641D" w14:textId="64782ADA" w:rsidR="0039681A" w:rsidRPr="00A36E36" w:rsidRDefault="0039681A" w:rsidP="00351087">
      <w:pPr>
        <w:spacing w:after="0" w:line="240" w:lineRule="auto"/>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objective of this measure is to support the green transition in 19 non-interconnected Small Islands in Italy. This investment consists in financing and implementing projects in energy (which may include, but is not limited to renewables, grid or energy efficiency), water (which may include, but is not limited to desalination), transport (which may include, but is not limited to cycling paths, zero-emission buses or boats) and waste (which may include, but is not limited to separation of waste) in the 19 Small Islands. </w:t>
      </w:r>
    </w:p>
    <w:p w14:paraId="3147A3AC"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p>
    <w:p w14:paraId="245ED022"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3.2 - Green communities</w:t>
      </w:r>
    </w:p>
    <w:p w14:paraId="6463693D" w14:textId="77777777" w:rsidR="0039681A" w:rsidRPr="00A36E36" w:rsidRDefault="0039681A" w:rsidP="00351087">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objective of this investment is to support the green transition in rural and mountain territories (so-called “Green Communities”). This investment consists in supporting projects in the “Green Communities”.</w:t>
      </w:r>
    </w:p>
    <w:p w14:paraId="54C92E8A"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noProof/>
          <w:kern w:val="0"/>
          <w:sz w:val="24"/>
          <w:szCs w:val="24"/>
          <w:lang w:val="en-IE" w:eastAsia="en-IE"/>
          <w14:ligatures w14:val="none"/>
        </w:rPr>
        <w:t> </w:t>
      </w:r>
    </w:p>
    <w:p w14:paraId="450B34C1"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Investment 3.4 – Fondo Rotativo Contratti di Filiera (FCF) to support supply-chains contracts for the agri-food, fishing and aquaculture, forestry, floriculture and plant nursery sectors</w:t>
      </w:r>
      <w:r w:rsidRPr="00A36E36">
        <w:rPr>
          <w:rFonts w:ascii="Times New Roman" w:eastAsia="Times New Roman" w:hAnsi="Times New Roman" w:cs="Times New Roman"/>
          <w:noProof/>
          <w:kern w:val="0"/>
          <w:sz w:val="24"/>
          <w:szCs w:val="24"/>
          <w:lang w:val="en-IE" w:eastAsia="en-IE"/>
          <w14:ligatures w14:val="none"/>
        </w:rPr>
        <w:t> </w:t>
      </w:r>
    </w:p>
    <w:p w14:paraId="59F3BB09" w14:textId="77777777" w:rsidR="0039681A" w:rsidRPr="00A36E36" w:rsidRDefault="0039681A" w:rsidP="00351087">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This measure shall consist of a public investment in a Facility, the Fondo Rotativo Contratti di Filiera (FCF), in order to incentivise private investment and improve access to finance in Italy’s the agri-food, fishing and aquaculture, forestry, floriculture and plant nursery sectors. The Facility shall operate by providing grants and subsidised loans directly through ISMEA (Istituto di Servizi per il Mercato Agricolo Alimentare). </w:t>
      </w:r>
    </w:p>
    <w:p w14:paraId="765B29D3" w14:textId="77777777" w:rsidR="0039681A" w:rsidRPr="00647572" w:rsidRDefault="0039681A" w:rsidP="00351087">
      <w:pPr>
        <w:spacing w:after="0" w:line="240" w:lineRule="auto"/>
        <w:jc w:val="both"/>
        <w:textAlignment w:val="baseline"/>
        <w:rPr>
          <w:rFonts w:ascii="Segoe UI" w:eastAsia="Times New Roman" w:hAnsi="Segoe UI" w:cs="Segoe UI"/>
          <w:noProof/>
          <w:kern w:val="0"/>
          <w:lang w:eastAsia="en-IE"/>
          <w14:ligatures w14:val="none"/>
        </w:rPr>
      </w:pPr>
      <w:r w:rsidRPr="00A36E36">
        <w:rPr>
          <w:rFonts w:ascii="Times New Roman" w:eastAsia="Times New Roman" w:hAnsi="Times New Roman" w:cs="Times New Roman"/>
          <w:noProof/>
          <w:kern w:val="0"/>
          <w:lang w:val="en-IE" w:eastAsia="en-IE"/>
          <w14:ligatures w14:val="none"/>
        </w:rPr>
        <w:t xml:space="preserve">The Facility shall be managed by ISMEA as the implementing partner. </w:t>
      </w:r>
      <w:r w:rsidRPr="00647572">
        <w:rPr>
          <w:rFonts w:ascii="Times New Roman" w:eastAsia="Times New Roman" w:hAnsi="Times New Roman" w:cs="Times New Roman"/>
          <w:noProof/>
          <w:kern w:val="0"/>
          <w:lang w:eastAsia="en-IE"/>
          <w14:ligatures w14:val="none"/>
        </w:rPr>
        <w:t>The Facility shall include the following product lines: </w:t>
      </w:r>
    </w:p>
    <w:p w14:paraId="22607086" w14:textId="77777777" w:rsidR="0039681A" w:rsidRPr="00A36E36" w:rsidRDefault="0039681A" w:rsidP="0039681A">
      <w:pPr>
        <w:numPr>
          <w:ilvl w:val="0"/>
          <w:numId w:val="53"/>
        </w:numPr>
        <w:spacing w:after="0" w:line="240" w:lineRule="auto"/>
        <w:ind w:left="108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Support enterprises, groups of enterprises or agricultural producer associations as well as research and knowledge-dissemination organisations, in the agri-food, fishing and aquaculture, forestry, floriculture and plant nursery sectors by improving production processes by including a mix of activities amongst the following: </w:t>
      </w:r>
    </w:p>
    <w:p w14:paraId="68C99BAB" w14:textId="77777777" w:rsidR="0039681A" w:rsidRPr="00A36E36" w:rsidRDefault="0039681A" w:rsidP="0039681A">
      <w:pPr>
        <w:numPr>
          <w:ilvl w:val="0"/>
          <w:numId w:val="54"/>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Improve the environmental sustainability of production processes with investments in tangible and intangible assets to substantially increase the efficiency in energy, water and resources consumption of the targeted production processes; </w:t>
      </w:r>
    </w:p>
    <w:p w14:paraId="1965EAE8" w14:textId="77777777" w:rsidR="0039681A" w:rsidRPr="00A36E36" w:rsidRDefault="0039681A" w:rsidP="0039681A">
      <w:pPr>
        <w:numPr>
          <w:ilvl w:val="0"/>
          <w:numId w:val="55"/>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Investments in knowledge, training, research and innovation, technology transfer and development projects, which may also support the reorganisation of relations between the various actors in the supply chain, to enhance the sustainability of production processes; </w:t>
      </w:r>
    </w:p>
    <w:p w14:paraId="75F17C74" w14:textId="77777777" w:rsidR="0039681A" w:rsidRPr="00A36E36" w:rsidRDefault="0039681A" w:rsidP="0039681A">
      <w:pPr>
        <w:numPr>
          <w:ilvl w:val="0"/>
          <w:numId w:val="56"/>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Investments in the digitalisation of enterprises, including e-commerce and emerging technologies; </w:t>
      </w:r>
    </w:p>
    <w:p w14:paraId="4C40547E" w14:textId="77777777" w:rsidR="0039681A" w:rsidRPr="00A36E36" w:rsidRDefault="0039681A" w:rsidP="0039681A">
      <w:pPr>
        <w:numPr>
          <w:ilvl w:val="0"/>
          <w:numId w:val="57"/>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Installation of photovoltaic and solar panels </w:t>
      </w:r>
    </w:p>
    <w:p w14:paraId="5AF64468" w14:textId="6D8C250A" w:rsidR="0039681A" w:rsidRPr="00A36E36" w:rsidRDefault="0039681A" w:rsidP="00351087">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objective of the measure is to reduce greenhouse gas emissions, food waste and the use of pesticides and antimicrobials, improving energy efficiency and increasing the production and use of renewable energy.</w:t>
      </w:r>
      <w:r w:rsidR="00381DB1">
        <w:rPr>
          <w:rFonts w:ascii="Times New Roman" w:eastAsia="Times New Roman" w:hAnsi="Times New Roman" w:cs="Times New Roman"/>
          <w:noProof/>
          <w:kern w:val="0"/>
          <w:lang w:val="en-IE" w:eastAsia="en-IE"/>
          <w14:ligatures w14:val="none"/>
        </w:rPr>
        <w:t xml:space="preserve"> </w:t>
      </w:r>
    </w:p>
    <w:p w14:paraId="34AB336E" w14:textId="77777777" w:rsidR="0039681A" w:rsidRPr="00A36E36" w:rsidRDefault="0039681A" w:rsidP="00351087">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In order to implement the investment into the Facility, the Ministry and ISMEA shall sign an Implementing Agreement that shall include the following content: </w:t>
      </w:r>
    </w:p>
    <w:p w14:paraId="26E0E126" w14:textId="77777777" w:rsidR="0039681A" w:rsidRPr="00A36E36" w:rsidRDefault="0039681A" w:rsidP="0039681A">
      <w:pPr>
        <w:numPr>
          <w:ilvl w:val="0"/>
          <w:numId w:val="58"/>
        </w:numPr>
        <w:spacing w:after="0" w:line="240" w:lineRule="auto"/>
        <w:ind w:left="108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Description of the decision-making process of the Facility: The final investment decision of the Facility shall be taken by an investment committee or other relevant equivalent governing body and approved by a majority of votes from members who are independent from the government. </w:t>
      </w:r>
    </w:p>
    <w:p w14:paraId="1C2A2EA5" w14:textId="77777777" w:rsidR="0039681A" w:rsidRPr="00A36E36" w:rsidRDefault="0039681A" w:rsidP="0039681A">
      <w:pPr>
        <w:numPr>
          <w:ilvl w:val="0"/>
          <w:numId w:val="59"/>
        </w:numPr>
        <w:spacing w:after="0" w:line="240" w:lineRule="auto"/>
        <w:ind w:left="108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Key requirements of the associated investment policy, which shall include: </w:t>
      </w:r>
    </w:p>
    <w:p w14:paraId="194C407E" w14:textId="77777777" w:rsidR="0039681A" w:rsidRPr="00A36E36" w:rsidRDefault="0039681A" w:rsidP="0039681A">
      <w:pPr>
        <w:numPr>
          <w:ilvl w:val="0"/>
          <w:numId w:val="60"/>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description of the financial product(s) and eligible final beneficiaries. </w:t>
      </w:r>
    </w:p>
    <w:p w14:paraId="1D52DF5E" w14:textId="77777777" w:rsidR="0039681A" w:rsidRPr="00A36E36" w:rsidRDefault="0039681A" w:rsidP="0039681A">
      <w:pPr>
        <w:numPr>
          <w:ilvl w:val="0"/>
          <w:numId w:val="61"/>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requirement that all investments supported are economically viable. </w:t>
      </w:r>
    </w:p>
    <w:p w14:paraId="0F4FD877" w14:textId="77777777" w:rsidR="0039681A" w:rsidRPr="00A36E36" w:rsidRDefault="0039681A" w:rsidP="0039681A">
      <w:pPr>
        <w:numPr>
          <w:ilvl w:val="0"/>
          <w:numId w:val="62"/>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requirement to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647572">
        <w:rPr>
          <w:rStyle w:val="FootnoteReference"/>
          <w:rFonts w:ascii="Times New Roman" w:eastAsia="Times New Roman" w:hAnsi="Times New Roman" w:cs="Times New Roman"/>
          <w:noProof/>
          <w:kern w:val="0"/>
          <w:lang w:eastAsia="en-IE"/>
          <w14:ligatures w14:val="none"/>
        </w:rPr>
        <w:footnoteReference w:id="21"/>
      </w:r>
      <w:r w:rsidRPr="00A36E36">
        <w:rPr>
          <w:rFonts w:ascii="Times New Roman" w:eastAsia="Times New Roman" w:hAnsi="Times New Roman" w:cs="Times New Roman"/>
          <w:noProof/>
          <w:kern w:val="0"/>
          <w:lang w:val="en-IE" w:eastAsia="en-IE"/>
          <w14:ligatures w14:val="none"/>
        </w:rPr>
        <w:t>, (ii) activities and assets under the EU Emission Trading System (ETS) achieving projected greenhouse gas emissions that are not lower than the relevant benchmarks</w:t>
      </w:r>
      <w:r w:rsidRPr="00647572">
        <w:rPr>
          <w:rStyle w:val="FootnoteReference"/>
          <w:rFonts w:ascii="Times New Roman" w:eastAsia="Times New Roman" w:hAnsi="Times New Roman" w:cs="Times New Roman"/>
          <w:noProof/>
          <w:kern w:val="0"/>
          <w:lang w:eastAsia="en-IE"/>
          <w14:ligatures w14:val="none"/>
        </w:rPr>
        <w:footnoteReference w:id="22"/>
      </w:r>
      <w:r w:rsidRPr="00A36E36">
        <w:rPr>
          <w:rFonts w:ascii="Times New Roman" w:eastAsia="Times New Roman" w:hAnsi="Times New Roman" w:cs="Times New Roman"/>
          <w:noProof/>
          <w:kern w:val="0"/>
          <w:lang w:val="en-IE" w:eastAsia="en-IE"/>
          <w14:ligatures w14:val="none"/>
        </w:rPr>
        <w:t>, (iii) activities and assets related to waste landfills, incinerators</w:t>
      </w:r>
      <w:r w:rsidRPr="00647572">
        <w:rPr>
          <w:rStyle w:val="FootnoteReference"/>
          <w:rFonts w:ascii="Times New Roman" w:eastAsia="Times New Roman" w:hAnsi="Times New Roman" w:cs="Times New Roman"/>
          <w:noProof/>
          <w:kern w:val="0"/>
          <w:lang w:eastAsia="en-IE"/>
          <w14:ligatures w14:val="none"/>
        </w:rPr>
        <w:footnoteReference w:id="23"/>
      </w:r>
      <w:r w:rsidRPr="00A36E36">
        <w:rPr>
          <w:rFonts w:ascii="Times New Roman" w:eastAsia="Times New Roman" w:hAnsi="Times New Roman" w:cs="Times New Roman"/>
          <w:noProof/>
          <w:kern w:val="0"/>
          <w:lang w:val="en-IE" w:eastAsia="en-IE"/>
          <w14:ligatures w14:val="none"/>
        </w:rPr>
        <w:t xml:space="preserve"> and mechanical biological treatment plants</w:t>
      </w:r>
      <w:r w:rsidRPr="00647572">
        <w:rPr>
          <w:rStyle w:val="FootnoteReference"/>
          <w:rFonts w:ascii="Times New Roman" w:eastAsia="Times New Roman" w:hAnsi="Times New Roman" w:cs="Times New Roman"/>
          <w:noProof/>
          <w:kern w:val="0"/>
          <w:lang w:eastAsia="en-IE"/>
          <w14:ligatures w14:val="none"/>
        </w:rPr>
        <w:footnoteReference w:id="24"/>
      </w:r>
      <w:r w:rsidRPr="00A36E36">
        <w:rPr>
          <w:rFonts w:ascii="Times New Roman" w:eastAsia="Times New Roman" w:hAnsi="Times New Roman" w:cs="Times New Roman"/>
          <w:noProof/>
          <w:kern w:val="0"/>
          <w:lang w:val="en-IE" w:eastAsia="en-IE"/>
          <w14:ligatures w14:val="none"/>
        </w:rPr>
        <w:t xml:space="preserve">. </w:t>
      </w:r>
    </w:p>
    <w:p w14:paraId="0530135E" w14:textId="77777777" w:rsidR="0039681A" w:rsidRPr="00A36E36" w:rsidRDefault="0039681A" w:rsidP="0039681A">
      <w:pPr>
        <w:numPr>
          <w:ilvl w:val="0"/>
          <w:numId w:val="63"/>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requirement that final beneficiaries of the Facility shall not receive support from other Union instruments to cover the same cost. </w:t>
      </w:r>
    </w:p>
    <w:p w14:paraId="2063B13A" w14:textId="77777777" w:rsidR="0039681A" w:rsidRPr="00A36E36" w:rsidRDefault="0039681A" w:rsidP="0039681A">
      <w:pPr>
        <w:numPr>
          <w:ilvl w:val="0"/>
          <w:numId w:val="64"/>
        </w:numPr>
        <w:spacing w:after="0" w:line="240" w:lineRule="auto"/>
        <w:ind w:left="108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amount covered by the Implementing Agreement, the fee structure for the Implementing Partner and the requirement to reinvest any reflows according to the investment policy of the Facility. </w:t>
      </w:r>
    </w:p>
    <w:p w14:paraId="2B92BAC4" w14:textId="77777777" w:rsidR="0039681A" w:rsidRPr="00A36E36" w:rsidRDefault="0039681A" w:rsidP="0039681A">
      <w:pPr>
        <w:numPr>
          <w:ilvl w:val="0"/>
          <w:numId w:val="65"/>
        </w:numPr>
        <w:spacing w:after="0" w:line="240" w:lineRule="auto"/>
        <w:ind w:left="108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Monitoring, audit, and control requirements, including: </w:t>
      </w:r>
    </w:p>
    <w:p w14:paraId="3713A9A0" w14:textId="77777777" w:rsidR="0039681A" w:rsidRPr="00A36E36" w:rsidRDefault="0039681A" w:rsidP="0039681A">
      <w:pPr>
        <w:numPr>
          <w:ilvl w:val="0"/>
          <w:numId w:val="66"/>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description of the implementing partner’s monitoring system to report on the investment mobilized. </w:t>
      </w:r>
    </w:p>
    <w:p w14:paraId="085F305A" w14:textId="77777777" w:rsidR="0039681A" w:rsidRPr="00A36E36" w:rsidRDefault="0039681A" w:rsidP="0039681A">
      <w:pPr>
        <w:numPr>
          <w:ilvl w:val="0"/>
          <w:numId w:val="67"/>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description of the implementing partner’s procedures that shall ensure the prevention, detection and correction of fraud, corruption, and conflicts of interests. </w:t>
      </w:r>
    </w:p>
    <w:p w14:paraId="46CE9C46" w14:textId="77777777" w:rsidR="0039681A" w:rsidRPr="00A36E36" w:rsidRDefault="0039681A" w:rsidP="0039681A">
      <w:pPr>
        <w:numPr>
          <w:ilvl w:val="0"/>
          <w:numId w:val="68"/>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obligation to verify the eligibility of every operation in accordance with the requirements laid out in the Implementing Agreement before committing to finance an operation. </w:t>
      </w:r>
    </w:p>
    <w:p w14:paraId="70D7491B" w14:textId="65BFAF76" w:rsidR="0039681A" w:rsidRPr="00471FB7" w:rsidRDefault="0039681A" w:rsidP="00471FB7">
      <w:pPr>
        <w:numPr>
          <w:ilvl w:val="0"/>
          <w:numId w:val="69"/>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obligation of carrying out risk-based ex-post audits in accordance with an audit plan of ISMEA. These audits shall verify i) that the control systems are effective, including the detection of fraud, corruption, and conflict of interests; ii) compliance with the DNSH principle, the State Aid rules, the climate and digital target requirements in accordance with Annex VI to the RRF Regulation and with Annex VII to the RRF Regulation;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and Funding Agreements are being respected. </w:t>
      </w:r>
    </w:p>
    <w:p w14:paraId="0E1C71FE" w14:textId="78D4A162" w:rsidR="0039681A" w:rsidRPr="00A36E36" w:rsidRDefault="0039681A" w:rsidP="0039681A">
      <w:pPr>
        <w:numPr>
          <w:ilvl w:val="0"/>
          <w:numId w:val="70"/>
        </w:numPr>
        <w:spacing w:after="0" w:line="240" w:lineRule="auto"/>
        <w:ind w:left="108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Requirements for climate investments carried out by the implementing partner: at least EUR</w:t>
      </w:r>
      <w:r w:rsidR="00471FB7" w:rsidRPr="00D72865">
        <w:rPr>
          <w:rFonts w:ascii="Arial Narrow" w:hAnsi="Arial Narrow"/>
          <w:noProof/>
          <w:color w:val="006100"/>
          <w:sz w:val="20"/>
          <w:lang w:val="en-IE"/>
        </w:rPr>
        <w:t> </w:t>
      </w:r>
      <w:r w:rsidRPr="00A36E36">
        <w:rPr>
          <w:rFonts w:ascii="Times New Roman" w:eastAsia="Times New Roman" w:hAnsi="Times New Roman" w:cs="Times New Roman"/>
          <w:noProof/>
          <w:kern w:val="0"/>
          <w:lang w:val="en-IE" w:eastAsia="en-IE"/>
          <w14:ligatures w14:val="none"/>
        </w:rPr>
        <w:t>1</w:t>
      </w:r>
      <w:r w:rsidRPr="00A36E36">
        <w:rPr>
          <w:rFonts w:ascii="Arial Narrow" w:hAnsi="Arial Narrow"/>
          <w:noProof/>
          <w:color w:val="006100"/>
          <w:lang w:val="en-IE"/>
        </w:rPr>
        <w:t> </w:t>
      </w:r>
      <w:r w:rsidRPr="00A36E36">
        <w:rPr>
          <w:rFonts w:ascii="Times New Roman" w:eastAsia="Times New Roman" w:hAnsi="Times New Roman" w:cs="Times New Roman"/>
          <w:noProof/>
          <w:kern w:val="0"/>
          <w:lang w:val="en-IE" w:eastAsia="en-IE"/>
          <w14:ligatures w14:val="none"/>
        </w:rPr>
        <w:t>848</w:t>
      </w:r>
      <w:r w:rsidRPr="00A36E36">
        <w:rPr>
          <w:rFonts w:ascii="Arial Narrow" w:hAnsi="Arial Narrow"/>
          <w:noProof/>
          <w:color w:val="006100"/>
          <w:lang w:val="en-IE"/>
        </w:rPr>
        <w:t> </w:t>
      </w:r>
      <w:r w:rsidRPr="00A36E36">
        <w:rPr>
          <w:rFonts w:ascii="Times New Roman" w:eastAsia="Times New Roman" w:hAnsi="Times New Roman" w:cs="Times New Roman"/>
          <w:noProof/>
          <w:kern w:val="0"/>
          <w:lang w:val="en-IE" w:eastAsia="en-IE"/>
          <w14:ligatures w14:val="none"/>
        </w:rPr>
        <w:t>000</w:t>
      </w:r>
      <w:r w:rsidRPr="00A36E36">
        <w:rPr>
          <w:rFonts w:ascii="Arial Narrow" w:hAnsi="Arial Narrow"/>
          <w:noProof/>
          <w:color w:val="006100"/>
          <w:lang w:val="en-IE"/>
        </w:rPr>
        <w:t> </w:t>
      </w:r>
      <w:r w:rsidRPr="00A36E36">
        <w:rPr>
          <w:rFonts w:ascii="Times New Roman" w:eastAsia="Times New Roman" w:hAnsi="Times New Roman" w:cs="Times New Roman"/>
          <w:noProof/>
          <w:kern w:val="0"/>
          <w:lang w:val="en-IE" w:eastAsia="en-IE"/>
          <w14:ligatures w14:val="none"/>
        </w:rPr>
        <w:t>000.00 of the RRF investment into the Facility shall contribute to the climate change objectives in accordance with Annex VI to the RRF Regulation.</w:t>
      </w:r>
      <w:r w:rsidRPr="00647572">
        <w:rPr>
          <w:rStyle w:val="FootnoteReference"/>
          <w:rFonts w:ascii="Times New Roman" w:eastAsia="Times New Roman" w:hAnsi="Times New Roman" w:cs="Times New Roman"/>
          <w:noProof/>
          <w:kern w:val="0"/>
          <w:lang w:eastAsia="en-IE"/>
          <w14:ligatures w14:val="none"/>
        </w:rPr>
        <w:footnoteReference w:id="25"/>
      </w:r>
    </w:p>
    <w:p w14:paraId="744DE760" w14:textId="77777777" w:rsidR="0039681A" w:rsidRPr="00A36E36" w:rsidRDefault="0039681A" w:rsidP="00351087">
      <w:pPr>
        <w:spacing w:after="0" w:line="240" w:lineRule="auto"/>
        <w:jc w:val="both"/>
        <w:textAlignment w:val="baseline"/>
        <w:rPr>
          <w:rFonts w:ascii="Times New Roman" w:eastAsia="Times New Roman" w:hAnsi="Times New Roman" w:cs="Times New Roman"/>
          <w:noProof/>
          <w:kern w:val="0"/>
          <w:sz w:val="24"/>
          <w:szCs w:val="24"/>
          <w:lang w:val="en-IE" w:eastAsia="en-IE"/>
          <w14:ligatures w14:val="none"/>
        </w:rPr>
      </w:pPr>
    </w:p>
    <w:p w14:paraId="6BB2405D" w14:textId="77777777" w:rsidR="0039681A" w:rsidRPr="00A36E36" w:rsidRDefault="0039681A" w:rsidP="00351087">
      <w:pPr>
        <w:spacing w:after="0" w:line="240" w:lineRule="auto"/>
        <w:jc w:val="both"/>
        <w:textAlignment w:val="baseline"/>
        <w:rPr>
          <w:rFonts w:ascii="Segoe UI" w:eastAsia="Times New Roman" w:hAnsi="Segoe UI" w:cs="Segoe UI"/>
          <w:noProof/>
          <w:kern w:val="0"/>
          <w:sz w:val="18"/>
          <w:szCs w:val="18"/>
          <w:lang w:val="en-IE" w:eastAsia="en-IE"/>
          <w14:ligatures w14:val="none"/>
        </w:rPr>
      </w:pPr>
      <w:r w:rsidRPr="00A36E36">
        <w:rPr>
          <w:rFonts w:ascii="Times New Roman" w:eastAsia="Times New Roman" w:hAnsi="Times New Roman" w:cs="Times New Roman"/>
          <w:b/>
          <w:bCs/>
          <w:noProof/>
          <w:kern w:val="0"/>
          <w:sz w:val="24"/>
          <w:szCs w:val="24"/>
          <w:lang w:val="en-IE" w:eastAsia="en-IE"/>
          <w14:ligatures w14:val="none"/>
        </w:rPr>
        <w:t xml:space="preserve">Investment 4 - Agri-Solar Park Facility </w:t>
      </w:r>
    </w:p>
    <w:p w14:paraId="305C1E9B" w14:textId="77777777" w:rsidR="0039681A" w:rsidRPr="00A36E36" w:rsidRDefault="0039681A" w:rsidP="00351087">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This measure shall consist of a public investment in a Grant Scheme, the Agri-Solar Park Facility, in order to incentivise private investment and improve access to finance in Italy’s agro-industrial sector. The Scheme shall operate by providing grants directly to the private sector. </w:t>
      </w:r>
    </w:p>
    <w:p w14:paraId="590EECA9" w14:textId="77777777" w:rsidR="0039681A" w:rsidRPr="00A36E36" w:rsidRDefault="0039681A" w:rsidP="00351087">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Scheme shall be managed by Gestore Servizi Energetici S.p.A. (GSE) as the implementing partner. </w:t>
      </w:r>
      <w:r w:rsidRPr="00A36E36">
        <w:rPr>
          <w:rFonts w:ascii="Times New Roman" w:eastAsia="Times New Roman" w:hAnsi="Times New Roman" w:cs="Times New Roman"/>
          <w:noProof/>
          <w:lang w:val="en-IE" w:eastAsia="en-IE"/>
        </w:rPr>
        <w:t>The scheme shall support investments in structures of the agricultural, livestock and agro-industrial sector, to install solar panels, as well as complementary interventions. Membership of the “rete del lavoro agricolo di qualità” network will be positively considered in the assessment of project proposals. </w:t>
      </w:r>
    </w:p>
    <w:p w14:paraId="2C99ECC2" w14:textId="77777777" w:rsidR="0039681A" w:rsidRPr="00A36E36" w:rsidRDefault="0039681A" w:rsidP="00351087">
      <w:pPr>
        <w:spacing w:after="0" w:line="240" w:lineRule="auto"/>
        <w:jc w:val="both"/>
        <w:textAlignment w:val="baseline"/>
        <w:rPr>
          <w:rFonts w:ascii="Segoe UI" w:eastAsia="Times New Roman" w:hAnsi="Segoe UI" w:cs="Segoe UI"/>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In order to implement the investment into the Scheme, Italy and GSE shall sign an Implementing Agreement that shall include the following content: </w:t>
      </w:r>
    </w:p>
    <w:p w14:paraId="281C8E64" w14:textId="77777777" w:rsidR="0039681A" w:rsidRPr="00A36E36" w:rsidRDefault="0039681A" w:rsidP="0039681A">
      <w:pPr>
        <w:numPr>
          <w:ilvl w:val="0"/>
          <w:numId w:val="71"/>
        </w:numPr>
        <w:spacing w:after="0" w:line="240" w:lineRule="auto"/>
        <w:ind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Description of the decision-making process of the Scheme: The final award decision of the Scheme shall be taken by an investment committee or other relevant equivalent governing body and approved by a majority of votes from members who are independent from the government. </w:t>
      </w:r>
    </w:p>
    <w:p w14:paraId="6A8F69D8" w14:textId="77777777" w:rsidR="0039681A" w:rsidRPr="00A36E36" w:rsidRDefault="0039681A" w:rsidP="00351087">
      <w:pPr>
        <w:spacing w:after="0" w:line="240" w:lineRule="auto"/>
        <w:ind w:left="720"/>
        <w:jc w:val="both"/>
        <w:textAlignment w:val="baseline"/>
        <w:rPr>
          <w:rFonts w:ascii="Times New Roman" w:eastAsia="Times New Roman" w:hAnsi="Times New Roman" w:cs="Times New Roman"/>
          <w:noProof/>
          <w:kern w:val="0"/>
          <w:lang w:val="en-IE" w:eastAsia="en-IE"/>
          <w14:ligatures w14:val="none"/>
        </w:rPr>
      </w:pPr>
    </w:p>
    <w:p w14:paraId="1ADC634E" w14:textId="77777777" w:rsidR="0039681A" w:rsidRPr="00A36E36" w:rsidRDefault="0039681A" w:rsidP="0039681A">
      <w:pPr>
        <w:numPr>
          <w:ilvl w:val="0"/>
          <w:numId w:val="72"/>
        </w:numPr>
        <w:spacing w:after="0" w:line="240" w:lineRule="auto"/>
        <w:ind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Key requirements of the associated grant policy,</w:t>
      </w:r>
      <w:r w:rsidRPr="00A36E36">
        <w:rPr>
          <w:rFonts w:ascii="Times New Roman" w:eastAsia="Times New Roman" w:hAnsi="Times New Roman" w:cs="Times New Roman"/>
          <w:b/>
          <w:bCs/>
          <w:noProof/>
          <w:kern w:val="0"/>
          <w:lang w:val="en-IE" w:eastAsia="en-IE"/>
          <w14:ligatures w14:val="none"/>
        </w:rPr>
        <w:t xml:space="preserve"> </w:t>
      </w:r>
      <w:r w:rsidRPr="00A36E36">
        <w:rPr>
          <w:rFonts w:ascii="Times New Roman" w:eastAsia="Times New Roman" w:hAnsi="Times New Roman" w:cs="Times New Roman"/>
          <w:noProof/>
          <w:kern w:val="0"/>
          <w:lang w:val="en-IE" w:eastAsia="en-IE"/>
          <w14:ligatures w14:val="none"/>
        </w:rPr>
        <w:t>which shall include: </w:t>
      </w:r>
    </w:p>
    <w:p w14:paraId="13DA6707" w14:textId="77777777" w:rsidR="0039681A" w:rsidRPr="00A36E36" w:rsidRDefault="0039681A" w:rsidP="0039681A">
      <w:pPr>
        <w:numPr>
          <w:ilvl w:val="0"/>
          <w:numId w:val="73"/>
        </w:numPr>
        <w:spacing w:after="0" w:line="240" w:lineRule="auto"/>
        <w:ind w:left="12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description of the grants provided and eligible final beneficiaries.</w:t>
      </w:r>
    </w:p>
    <w:p w14:paraId="3CAF3A28" w14:textId="77777777" w:rsidR="0039681A" w:rsidRPr="00A36E36" w:rsidRDefault="0039681A" w:rsidP="0039681A">
      <w:pPr>
        <w:numPr>
          <w:ilvl w:val="0"/>
          <w:numId w:val="74"/>
        </w:numPr>
        <w:spacing w:after="0" w:line="240" w:lineRule="auto"/>
        <w:ind w:left="12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requirement that all investments supported are economically viable</w:t>
      </w:r>
      <w:r w:rsidRPr="00A36E36">
        <w:rPr>
          <w:rFonts w:ascii="Times New Roman" w:eastAsia="Times New Roman" w:hAnsi="Times New Roman" w:cs="Times New Roman"/>
          <w:b/>
          <w:bCs/>
          <w:noProof/>
          <w:kern w:val="0"/>
          <w:lang w:val="en-IE" w:eastAsia="en-IE"/>
          <w14:ligatures w14:val="none"/>
        </w:rPr>
        <w:t>.</w:t>
      </w:r>
      <w:r w:rsidRPr="00A36E36">
        <w:rPr>
          <w:rFonts w:ascii="Times New Roman" w:eastAsia="Times New Roman" w:hAnsi="Times New Roman" w:cs="Times New Roman"/>
          <w:noProof/>
          <w:kern w:val="0"/>
          <w:lang w:val="en-IE" w:eastAsia="en-IE"/>
          <w14:ligatures w14:val="none"/>
        </w:rPr>
        <w:t> </w:t>
      </w:r>
    </w:p>
    <w:p w14:paraId="2956D65E" w14:textId="77777777" w:rsidR="0039681A" w:rsidRPr="00A36E36" w:rsidRDefault="0039681A" w:rsidP="0039681A">
      <w:pPr>
        <w:numPr>
          <w:ilvl w:val="0"/>
          <w:numId w:val="75"/>
        </w:numPr>
        <w:spacing w:after="0" w:line="240" w:lineRule="auto"/>
        <w:ind w:left="12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requirement to comply with the ‘Do no significant harm’ (DNSH) principle as set out in the DNSH Technical Guidance (2021/C58/01). In</w:t>
      </w:r>
      <w:r w:rsidRPr="00A36E36">
        <w:rPr>
          <w:rFonts w:ascii="Times New Roman" w:eastAsia="Times New Roman" w:hAnsi="Times New Roman" w:cs="Times New Roman"/>
          <w:noProof/>
          <w:kern w:val="0"/>
          <w:sz w:val="24"/>
          <w:szCs w:val="24"/>
          <w:lang w:val="en-IE" w:eastAsia="en-IE"/>
          <w14:ligatures w14:val="none"/>
        </w:rPr>
        <w:t xml:space="preserve"> </w:t>
      </w:r>
      <w:r w:rsidRPr="00A36E36">
        <w:rPr>
          <w:rFonts w:ascii="Times New Roman" w:eastAsia="Times New Roman" w:hAnsi="Times New Roman" w:cs="Times New Roman"/>
          <w:noProof/>
          <w:kern w:val="0"/>
          <w:lang w:val="en-IE" w:eastAsia="en-IE"/>
          <w14:ligatures w14:val="none"/>
        </w:rPr>
        <w:t>particular, the grant policy shall exclude the following list of activities and assets from eligibility: (i) activities and assets related to fossil fuels, including downstream use</w:t>
      </w:r>
      <w:r w:rsidRPr="00647572">
        <w:rPr>
          <w:rStyle w:val="FootnoteReference"/>
          <w:rFonts w:ascii="Times New Roman" w:eastAsia="Times New Roman" w:hAnsi="Times New Roman" w:cs="Times New Roman"/>
          <w:noProof/>
          <w:kern w:val="0"/>
          <w:lang w:eastAsia="en-IE"/>
          <w14:ligatures w14:val="none"/>
        </w:rPr>
        <w:footnoteReference w:id="26"/>
      </w:r>
      <w:r w:rsidRPr="00A36E36">
        <w:rPr>
          <w:rFonts w:ascii="Times New Roman" w:eastAsia="Times New Roman" w:hAnsi="Times New Roman" w:cs="Times New Roman"/>
          <w:noProof/>
          <w:kern w:val="0"/>
          <w:lang w:val="en-IE" w:eastAsia="en-IE"/>
          <w14:ligatures w14:val="none"/>
        </w:rPr>
        <w:t>, (ii) activities and assets under the EU Emission Trading System (ETS) achieving projected greenhouse gas emissions that are not lower than the relevant benchmarks</w:t>
      </w:r>
      <w:r w:rsidRPr="00647572">
        <w:rPr>
          <w:rStyle w:val="FootnoteReference"/>
          <w:rFonts w:ascii="Times New Roman" w:eastAsia="Times New Roman" w:hAnsi="Times New Roman" w:cs="Times New Roman"/>
          <w:noProof/>
          <w:kern w:val="0"/>
          <w:lang w:eastAsia="en-IE"/>
          <w14:ligatures w14:val="none"/>
        </w:rPr>
        <w:footnoteReference w:id="27"/>
      </w:r>
      <w:r w:rsidRPr="00A36E36">
        <w:rPr>
          <w:rFonts w:ascii="Times New Roman" w:eastAsia="Times New Roman" w:hAnsi="Times New Roman" w:cs="Times New Roman"/>
          <w:noProof/>
          <w:kern w:val="0"/>
          <w:lang w:val="en-IE" w:eastAsia="en-IE"/>
          <w14:ligatures w14:val="none"/>
        </w:rPr>
        <w:t>, (iii) activities and assets related to waste landfills, incinerators</w:t>
      </w:r>
      <w:r w:rsidRPr="00647572">
        <w:rPr>
          <w:rStyle w:val="FootnoteReference"/>
          <w:rFonts w:ascii="Times New Roman" w:eastAsia="Times New Roman" w:hAnsi="Times New Roman" w:cs="Times New Roman"/>
          <w:noProof/>
          <w:kern w:val="0"/>
          <w:lang w:eastAsia="en-IE"/>
          <w14:ligatures w14:val="none"/>
        </w:rPr>
        <w:footnoteReference w:id="28"/>
      </w:r>
      <w:r w:rsidRPr="00A36E36">
        <w:rPr>
          <w:rFonts w:ascii="Times New Roman" w:eastAsia="Times New Roman" w:hAnsi="Times New Roman" w:cs="Times New Roman"/>
          <w:noProof/>
          <w:kern w:val="0"/>
          <w:lang w:val="en-IE" w:eastAsia="en-IE"/>
          <w14:ligatures w14:val="none"/>
        </w:rPr>
        <w:t xml:space="preserve"> and mechanical biological treatment plants</w:t>
      </w:r>
      <w:r w:rsidRPr="00647572">
        <w:rPr>
          <w:rStyle w:val="FootnoteReference"/>
          <w:rFonts w:ascii="Times New Roman" w:eastAsia="Times New Roman" w:hAnsi="Times New Roman" w:cs="Times New Roman"/>
          <w:noProof/>
          <w:kern w:val="0"/>
          <w:lang w:eastAsia="en-IE"/>
          <w14:ligatures w14:val="none"/>
        </w:rPr>
        <w:footnoteReference w:id="29"/>
      </w:r>
      <w:r w:rsidRPr="00A36E36">
        <w:rPr>
          <w:rFonts w:ascii="Times New Roman" w:eastAsia="Times New Roman" w:hAnsi="Times New Roman" w:cs="Times New Roman"/>
          <w:noProof/>
          <w:kern w:val="0"/>
          <w:lang w:val="en-IE" w:eastAsia="en-IE"/>
          <w14:ligatures w14:val="none"/>
        </w:rPr>
        <w:t xml:space="preserve">. </w:t>
      </w:r>
    </w:p>
    <w:p w14:paraId="036A92B8" w14:textId="77777777" w:rsidR="0039681A" w:rsidRPr="00A36E36" w:rsidRDefault="0039681A" w:rsidP="0039681A">
      <w:pPr>
        <w:numPr>
          <w:ilvl w:val="0"/>
          <w:numId w:val="76"/>
        </w:numPr>
        <w:spacing w:after="0" w:line="240" w:lineRule="auto"/>
        <w:ind w:left="12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requirement that final beneficiaries of the Scheme shall not receive support from other Union instruments to cover the same cost. </w:t>
      </w:r>
    </w:p>
    <w:p w14:paraId="2A8B43A9" w14:textId="77777777" w:rsidR="0039681A" w:rsidRPr="00A36E36" w:rsidRDefault="0039681A" w:rsidP="00351087">
      <w:pPr>
        <w:spacing w:after="0" w:line="240" w:lineRule="auto"/>
        <w:ind w:left="1200"/>
        <w:jc w:val="both"/>
        <w:textAlignment w:val="baseline"/>
        <w:rPr>
          <w:rFonts w:ascii="Times New Roman" w:eastAsia="Times New Roman" w:hAnsi="Times New Roman" w:cs="Times New Roman"/>
          <w:noProof/>
          <w:kern w:val="0"/>
          <w:lang w:val="en-IE" w:eastAsia="en-IE"/>
          <w14:ligatures w14:val="none"/>
        </w:rPr>
      </w:pPr>
    </w:p>
    <w:p w14:paraId="3BAF6151" w14:textId="77777777" w:rsidR="0039681A" w:rsidRPr="00A36E36" w:rsidRDefault="0039681A" w:rsidP="0039681A">
      <w:pPr>
        <w:numPr>
          <w:ilvl w:val="0"/>
          <w:numId w:val="77"/>
        </w:numPr>
        <w:spacing w:after="0" w:line="240" w:lineRule="auto"/>
        <w:ind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amount covered by the Implementing Agreement, the fee structure for the Implementing Partner and the requirement to use any unused proceeds of the scheme, including beyond 2026, for the same policy purposes. </w:t>
      </w:r>
    </w:p>
    <w:p w14:paraId="52353FBC" w14:textId="77777777" w:rsidR="0039681A" w:rsidRPr="00A36E36" w:rsidRDefault="0039681A" w:rsidP="00351087">
      <w:pPr>
        <w:spacing w:after="0" w:line="240" w:lineRule="auto"/>
        <w:ind w:left="720"/>
        <w:jc w:val="both"/>
        <w:textAlignment w:val="baseline"/>
        <w:rPr>
          <w:rFonts w:ascii="Times New Roman" w:eastAsia="Times New Roman" w:hAnsi="Times New Roman" w:cs="Times New Roman"/>
          <w:noProof/>
          <w:kern w:val="0"/>
          <w:lang w:val="en-IE" w:eastAsia="en-IE"/>
          <w14:ligatures w14:val="none"/>
        </w:rPr>
      </w:pPr>
    </w:p>
    <w:p w14:paraId="5FDAEAEF" w14:textId="77777777" w:rsidR="0039681A" w:rsidRPr="00A36E36" w:rsidRDefault="0039681A" w:rsidP="0039681A">
      <w:pPr>
        <w:numPr>
          <w:ilvl w:val="0"/>
          <w:numId w:val="78"/>
        </w:numPr>
        <w:spacing w:after="0" w:line="240" w:lineRule="auto"/>
        <w:ind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Monitoring, audit, and control requirements, including: </w:t>
      </w:r>
    </w:p>
    <w:p w14:paraId="6C73B248" w14:textId="77777777" w:rsidR="0039681A" w:rsidRPr="00A36E36" w:rsidRDefault="0039681A" w:rsidP="0039681A">
      <w:pPr>
        <w:numPr>
          <w:ilvl w:val="0"/>
          <w:numId w:val="79"/>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description of the implementing partner’s monitoring system to report on the grants mobilized. </w:t>
      </w:r>
    </w:p>
    <w:p w14:paraId="2D8B5DBB" w14:textId="77777777" w:rsidR="0039681A" w:rsidRPr="00A36E36" w:rsidRDefault="0039681A" w:rsidP="0039681A">
      <w:pPr>
        <w:numPr>
          <w:ilvl w:val="0"/>
          <w:numId w:val="80"/>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description of the implementing partner’s procedures that will ensure the prevention, detection and correction of fraud, corruption, and conflicts of interests. </w:t>
      </w:r>
    </w:p>
    <w:p w14:paraId="5697A639" w14:textId="77777777" w:rsidR="0039681A" w:rsidRPr="00A36E36" w:rsidRDefault="0039681A" w:rsidP="0039681A">
      <w:pPr>
        <w:numPr>
          <w:ilvl w:val="0"/>
          <w:numId w:val="81"/>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The obligation to verify the eligibility of every operation in accordance with the requirements laid out in the Implementing Agreement before awarding a grant to an operation. </w:t>
      </w:r>
    </w:p>
    <w:p w14:paraId="12D0CA00" w14:textId="77777777" w:rsidR="0039681A" w:rsidRPr="00A36E36" w:rsidRDefault="0039681A" w:rsidP="0039681A">
      <w:pPr>
        <w:numPr>
          <w:ilvl w:val="0"/>
          <w:numId w:val="82"/>
        </w:numPr>
        <w:spacing w:after="0" w:line="240" w:lineRule="auto"/>
        <w:ind w:left="1800" w:firstLine="0"/>
        <w:jc w:val="both"/>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 xml:space="preserve">The obligation of carrying out risk-based ex-post audits in accordance with an audit plan of the GSE.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Grant Agreements are being respected. </w:t>
      </w:r>
    </w:p>
    <w:p w14:paraId="6EE22E0D" w14:textId="77777777" w:rsidR="0039681A" w:rsidRPr="00A36E36" w:rsidRDefault="0039681A" w:rsidP="00351087">
      <w:pPr>
        <w:spacing w:after="0" w:line="240" w:lineRule="auto"/>
        <w:ind w:left="1800"/>
        <w:jc w:val="both"/>
        <w:textAlignment w:val="baseline"/>
        <w:rPr>
          <w:rFonts w:ascii="Times New Roman" w:eastAsia="Times New Roman" w:hAnsi="Times New Roman" w:cs="Times New Roman"/>
          <w:noProof/>
          <w:kern w:val="0"/>
          <w:lang w:val="en-IE" w:eastAsia="en-IE"/>
          <w14:ligatures w14:val="none"/>
        </w:rPr>
      </w:pPr>
    </w:p>
    <w:p w14:paraId="760D9092" w14:textId="77777777" w:rsidR="0039681A" w:rsidRPr="00A36E36" w:rsidRDefault="0039681A" w:rsidP="0039681A">
      <w:pPr>
        <w:numPr>
          <w:ilvl w:val="0"/>
          <w:numId w:val="83"/>
        </w:numPr>
        <w:spacing w:after="0" w:line="240" w:lineRule="auto"/>
        <w:ind w:firstLine="0"/>
        <w:textAlignment w:val="baseline"/>
        <w:rPr>
          <w:rFonts w:ascii="Times New Roman" w:eastAsia="Times New Roman" w:hAnsi="Times New Roman" w:cs="Times New Roman"/>
          <w:noProof/>
          <w:kern w:val="0"/>
          <w:lang w:val="en-IE" w:eastAsia="en-IE"/>
          <w14:ligatures w14:val="none"/>
        </w:rPr>
      </w:pPr>
      <w:r w:rsidRPr="00A36E36">
        <w:rPr>
          <w:rFonts w:ascii="Times New Roman" w:eastAsia="Times New Roman" w:hAnsi="Times New Roman" w:cs="Times New Roman"/>
          <w:noProof/>
          <w:kern w:val="0"/>
          <w:lang w:val="en-IE" w:eastAsia="en-IE"/>
          <w14:ligatures w14:val="none"/>
        </w:rPr>
        <w:t>Requirements for climate investments carried out by the implementing partner: at least EUR</w:t>
      </w:r>
      <w:r>
        <w:rPr>
          <w:rFonts w:ascii="Times New Roman" w:eastAsia="Times New Roman" w:hAnsi="Times New Roman" w:cs="Times New Roman"/>
          <w:noProof/>
          <w:kern w:val="0"/>
          <w:lang w:val="en-IE" w:eastAsia="en-IE"/>
          <w14:ligatures w14:val="none"/>
        </w:rPr>
        <w:t> </w:t>
      </w:r>
      <w:r w:rsidRPr="00B11481" w:rsidDel="002073F0">
        <w:rPr>
          <w:rFonts w:ascii="Times New Roman" w:eastAsia="Times New Roman" w:hAnsi="Times New Roman" w:cs="Times New Roman"/>
          <w:noProof/>
          <w:lang w:val="en-IE" w:eastAsia="en-IE"/>
        </w:rPr>
        <w:t>633</w:t>
      </w:r>
      <w:r w:rsidRPr="00B11481">
        <w:rPr>
          <w:rFonts w:ascii="Arial Narrow" w:hAnsi="Arial Narrow"/>
          <w:noProof/>
          <w:color w:val="006100"/>
          <w:lang w:val="en-IE"/>
        </w:rPr>
        <w:t> </w:t>
      </w:r>
      <w:r w:rsidRPr="00B11481">
        <w:rPr>
          <w:rFonts w:ascii="Times New Roman" w:eastAsia="Times New Roman" w:hAnsi="Times New Roman" w:cs="Times New Roman"/>
          <w:noProof/>
          <w:lang w:val="en-IE" w:eastAsia="en-IE"/>
        </w:rPr>
        <w:t>000</w:t>
      </w:r>
      <w:r w:rsidRPr="00B11481">
        <w:rPr>
          <w:rFonts w:ascii="Arial Narrow" w:hAnsi="Arial Narrow"/>
          <w:noProof/>
          <w:color w:val="006100"/>
          <w:lang w:val="en-IE"/>
        </w:rPr>
        <w:t> </w:t>
      </w:r>
      <w:r w:rsidRPr="00B11481">
        <w:rPr>
          <w:rFonts w:ascii="Times New Roman" w:eastAsia="Times New Roman" w:hAnsi="Times New Roman" w:cs="Times New Roman"/>
          <w:noProof/>
          <w:kern w:val="0"/>
          <w:lang w:val="en-IE" w:eastAsia="en-IE"/>
          <w14:ligatures w14:val="none"/>
        </w:rPr>
        <w:t>000</w:t>
      </w:r>
      <w:r w:rsidRPr="00A36E36">
        <w:rPr>
          <w:rFonts w:ascii="Times New Roman" w:eastAsia="Times New Roman" w:hAnsi="Times New Roman" w:cs="Times New Roman"/>
          <w:noProof/>
          <w:kern w:val="0"/>
          <w:lang w:val="en-IE" w:eastAsia="en-IE"/>
          <w14:ligatures w14:val="none"/>
        </w:rPr>
        <w:t xml:space="preserve"> </w:t>
      </w:r>
      <w:r w:rsidRPr="00A36E36">
        <w:rPr>
          <w:rFonts w:ascii="Times New Roman" w:eastAsia="Times New Roman" w:hAnsi="Times New Roman" w:cs="Times New Roman"/>
          <w:noProof/>
          <w:lang w:val="en-IE" w:eastAsia="en-IE"/>
        </w:rPr>
        <w:t>of the RRF investment into the Scheme shall contribute to the climate change objectives in accordance with Annex VI to the RRF Regulation</w:t>
      </w:r>
      <w:r w:rsidRPr="00647572">
        <w:rPr>
          <w:rStyle w:val="FootnoteReference"/>
          <w:rFonts w:ascii="Times New Roman" w:eastAsia="Times New Roman" w:hAnsi="Times New Roman" w:cs="Times New Roman"/>
          <w:noProof/>
          <w:lang w:eastAsia="en-IE"/>
        </w:rPr>
        <w:footnoteReference w:id="30"/>
      </w:r>
      <w:r w:rsidRPr="00A36E36">
        <w:rPr>
          <w:rFonts w:ascii="Times New Roman" w:eastAsia="Times New Roman" w:hAnsi="Times New Roman" w:cs="Times New Roman"/>
          <w:noProof/>
          <w:lang w:val="en-IE" w:eastAsia="en-IE"/>
        </w:rPr>
        <w:t>.</w:t>
      </w:r>
      <w:r w:rsidRPr="00A36E36">
        <w:rPr>
          <w:rFonts w:ascii="Times New Roman" w:eastAsia="Times New Roman" w:hAnsi="Times New Roman" w:cs="Times New Roman"/>
          <w:noProof/>
          <w:kern w:val="0"/>
          <w:lang w:val="en-IE" w:eastAsia="en-IE"/>
          <w14:ligatures w14:val="none"/>
        </w:rPr>
        <w:t> </w:t>
      </w:r>
    </w:p>
    <w:p w14:paraId="017027F4" w14:textId="77777777" w:rsidR="0039681A" w:rsidRPr="00A36E36" w:rsidRDefault="0039681A" w:rsidP="00351087">
      <w:pPr>
        <w:rPr>
          <w:noProof/>
          <w:lang w:val="en-IE"/>
        </w:rPr>
        <w:sectPr w:rsidR="0039681A" w:rsidRPr="00A36E36" w:rsidSect="0039681A">
          <w:headerReference w:type="even" r:id="rId71"/>
          <w:headerReference w:type="default" r:id="rId72"/>
          <w:footerReference w:type="default" r:id="rId73"/>
          <w:headerReference w:type="first" r:id="rId74"/>
          <w:pgSz w:w="11906" w:h="16838"/>
          <w:pgMar w:top="1134" w:right="1134" w:bottom="1134" w:left="1134" w:header="567" w:footer="567" w:gutter="0"/>
          <w:cols w:space="708"/>
          <w:docGrid w:linePitch="360"/>
        </w:sectPr>
      </w:pPr>
    </w:p>
    <w:p w14:paraId="46B9794E" w14:textId="6CE7D3D3" w:rsidR="0039681A" w:rsidRPr="00A36E36" w:rsidRDefault="0039681A" w:rsidP="00351087">
      <w:pPr>
        <w:pStyle w:val="Heading3"/>
        <w:ind w:left="850" w:hanging="850"/>
        <w:rPr>
          <w:rFonts w:ascii="Times New Roman" w:eastAsia="Times New Roman" w:hAnsi="Times New Roman" w:cs="Times New Roman"/>
          <w:b/>
          <w:bCs/>
          <w:noProof/>
          <w:sz w:val="24"/>
          <w:szCs w:val="24"/>
          <w:u w:val="single"/>
          <w:lang w:val="en-IE"/>
        </w:rPr>
      </w:pPr>
      <w:r w:rsidRPr="00A36E36">
        <w:rPr>
          <w:rFonts w:ascii="Times New Roman" w:eastAsia="Times New Roman" w:hAnsi="Times New Roman" w:cs="Times New Roman"/>
          <w:b/>
          <w:bCs/>
          <w:noProof/>
          <w:sz w:val="24"/>
          <w:szCs w:val="24"/>
          <w:u w:val="single"/>
          <w:lang w:val="en-IE"/>
        </w:rPr>
        <w:t xml:space="preserve">D.4. </w:t>
      </w:r>
      <w:r w:rsidRPr="00A36E36">
        <w:rPr>
          <w:rFonts w:ascii="Times New Roman" w:eastAsia="Times New Roman" w:hAnsi="Times New Roman" w:cs="Times New Roman"/>
          <w:b/>
          <w:bCs/>
          <w:noProof/>
          <w:sz w:val="24"/>
          <w:szCs w:val="24"/>
          <w:u w:val="single"/>
          <w:lang w:val="en-IE"/>
        </w:rPr>
        <w:tab/>
        <w:t xml:space="preserve">Milestones, targets, indicators, and timetable for monitoring and implementation for the loan </w:t>
      </w:r>
    </w:p>
    <w:tbl>
      <w:tblPr>
        <w:tblW w:w="15590" w:type="dxa"/>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66"/>
        <w:gridCol w:w="1414"/>
        <w:gridCol w:w="1407"/>
        <w:gridCol w:w="1691"/>
        <w:gridCol w:w="1692"/>
        <w:gridCol w:w="990"/>
        <w:gridCol w:w="1128"/>
        <w:gridCol w:w="984"/>
        <w:gridCol w:w="648"/>
        <w:gridCol w:w="622"/>
        <w:gridCol w:w="3748"/>
      </w:tblGrid>
      <w:tr w:rsidR="0039681A" w:rsidRPr="0070054C" w14:paraId="04906038" w14:textId="77777777" w:rsidTr="003869FD">
        <w:trPr>
          <w:trHeight w:val="300"/>
          <w:tblHeader/>
        </w:trPr>
        <w:tc>
          <w:tcPr>
            <w:tcW w:w="1273" w:type="dxa"/>
            <w:vMerge w:val="restart"/>
            <w:shd w:val="clear" w:color="auto" w:fill="BDD7EE"/>
            <w:vAlign w:val="center"/>
            <w:hideMark/>
          </w:tcPr>
          <w:p w14:paraId="546F91FB"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Sequential Number</w:t>
            </w:r>
            <w:r w:rsidRPr="00647572">
              <w:rPr>
                <w:rFonts w:ascii="Arial Narrow" w:eastAsia="Times New Roman" w:hAnsi="Arial Narrow" w:cs="Times New Roman"/>
                <w:noProof/>
                <w:kern w:val="0"/>
                <w:sz w:val="20"/>
                <w:szCs w:val="20"/>
                <w:lang w:eastAsia="en-IE"/>
                <w14:ligatures w14:val="none"/>
              </w:rPr>
              <w:t> </w:t>
            </w:r>
          </w:p>
        </w:tc>
        <w:tc>
          <w:tcPr>
            <w:tcW w:w="1418" w:type="dxa"/>
            <w:vMerge w:val="restart"/>
            <w:shd w:val="clear" w:color="auto" w:fill="BDD7EE"/>
            <w:vAlign w:val="center"/>
            <w:hideMark/>
          </w:tcPr>
          <w:p w14:paraId="57403E06"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b/>
                <w:bCs/>
                <w:noProof/>
                <w:kern w:val="0"/>
                <w:sz w:val="20"/>
                <w:szCs w:val="20"/>
                <w:lang w:val="en-IE" w:eastAsia="en-IE"/>
                <w14:ligatures w14:val="none"/>
              </w:rPr>
              <w:t>Related Measure (Reform or Investment)</w:t>
            </w:r>
            <w:r w:rsidRPr="00A36E36">
              <w:rPr>
                <w:rFonts w:ascii="Arial Narrow" w:eastAsia="Times New Roman" w:hAnsi="Arial Narrow" w:cs="Times New Roman"/>
                <w:noProof/>
                <w:kern w:val="0"/>
                <w:sz w:val="20"/>
                <w:szCs w:val="20"/>
                <w:lang w:val="en-IE" w:eastAsia="en-IE"/>
                <w14:ligatures w14:val="none"/>
              </w:rPr>
              <w:t> </w:t>
            </w:r>
          </w:p>
        </w:tc>
        <w:tc>
          <w:tcPr>
            <w:tcW w:w="1417" w:type="dxa"/>
            <w:vMerge w:val="restart"/>
            <w:shd w:val="clear" w:color="auto" w:fill="BDD7EE"/>
            <w:vAlign w:val="center"/>
            <w:hideMark/>
          </w:tcPr>
          <w:p w14:paraId="56983EF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Milestone / Target</w:t>
            </w:r>
            <w:r w:rsidRPr="00647572">
              <w:rPr>
                <w:rFonts w:ascii="Arial Narrow" w:eastAsia="Times New Roman" w:hAnsi="Arial Narrow" w:cs="Times New Roman"/>
                <w:noProof/>
                <w:kern w:val="0"/>
                <w:sz w:val="20"/>
                <w:szCs w:val="20"/>
                <w:lang w:eastAsia="en-IE"/>
                <w14:ligatures w14:val="none"/>
              </w:rPr>
              <w:t> </w:t>
            </w:r>
          </w:p>
        </w:tc>
        <w:tc>
          <w:tcPr>
            <w:tcW w:w="1701" w:type="dxa"/>
            <w:vMerge w:val="restart"/>
            <w:shd w:val="clear" w:color="auto" w:fill="BDD7EE"/>
            <w:vAlign w:val="center"/>
            <w:hideMark/>
          </w:tcPr>
          <w:p w14:paraId="29B4CBA6"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Name</w:t>
            </w:r>
            <w:r w:rsidRPr="00647572">
              <w:rPr>
                <w:rFonts w:ascii="Arial Narrow" w:eastAsia="Times New Roman" w:hAnsi="Arial Narrow" w:cs="Times New Roman"/>
                <w:noProof/>
                <w:kern w:val="0"/>
                <w:sz w:val="20"/>
                <w:szCs w:val="20"/>
                <w:lang w:eastAsia="en-IE"/>
                <w14:ligatures w14:val="none"/>
              </w:rPr>
              <w:t> </w:t>
            </w:r>
          </w:p>
        </w:tc>
        <w:tc>
          <w:tcPr>
            <w:tcW w:w="1701" w:type="dxa"/>
            <w:vMerge w:val="restart"/>
            <w:shd w:val="clear" w:color="auto" w:fill="BDD7EE"/>
            <w:vAlign w:val="center"/>
            <w:hideMark/>
          </w:tcPr>
          <w:p w14:paraId="17F5561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 xml:space="preserve">Qualitative indicators </w:t>
            </w:r>
            <w:r w:rsidRPr="00647572">
              <w:rPr>
                <w:rFonts w:ascii="Arial Narrow" w:eastAsia="Times New Roman" w:hAnsi="Arial Narrow" w:cs="Times New Roman"/>
                <w:noProof/>
                <w:kern w:val="0"/>
                <w:sz w:val="20"/>
                <w:szCs w:val="20"/>
                <w:lang w:eastAsia="en-IE"/>
                <w14:ligatures w14:val="none"/>
              </w:rPr>
              <w:br/>
            </w:r>
            <w:r w:rsidRPr="00647572">
              <w:rPr>
                <w:rFonts w:ascii="Arial Narrow" w:eastAsia="Times New Roman" w:hAnsi="Arial Narrow" w:cs="Times New Roman"/>
                <w:b/>
                <w:bCs/>
                <w:noProof/>
                <w:kern w:val="0"/>
                <w:sz w:val="20"/>
                <w:szCs w:val="20"/>
                <w:lang w:eastAsia="en-IE"/>
                <w14:ligatures w14:val="none"/>
              </w:rPr>
              <w:t>(for milestones)</w:t>
            </w:r>
            <w:r w:rsidRPr="00647572">
              <w:rPr>
                <w:rFonts w:ascii="Arial Narrow" w:eastAsia="Times New Roman" w:hAnsi="Arial Narrow" w:cs="Times New Roman"/>
                <w:noProof/>
                <w:kern w:val="0"/>
                <w:sz w:val="20"/>
                <w:szCs w:val="20"/>
                <w:lang w:eastAsia="en-IE"/>
                <w14:ligatures w14:val="none"/>
              </w:rPr>
              <w:t> </w:t>
            </w:r>
          </w:p>
        </w:tc>
        <w:tc>
          <w:tcPr>
            <w:tcW w:w="3119" w:type="dxa"/>
            <w:gridSpan w:val="3"/>
            <w:shd w:val="clear" w:color="auto" w:fill="BDD7EE"/>
            <w:vAlign w:val="center"/>
            <w:hideMark/>
          </w:tcPr>
          <w:p w14:paraId="39F40EA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 xml:space="preserve">Quantitative indicators </w:t>
            </w:r>
            <w:r w:rsidRPr="00647572">
              <w:rPr>
                <w:rFonts w:ascii="Arial Narrow" w:eastAsia="Times New Roman" w:hAnsi="Arial Narrow" w:cs="Times New Roman"/>
                <w:noProof/>
                <w:kern w:val="0"/>
                <w:sz w:val="20"/>
                <w:szCs w:val="20"/>
                <w:lang w:eastAsia="en-IE"/>
                <w14:ligatures w14:val="none"/>
              </w:rPr>
              <w:br/>
            </w:r>
            <w:r w:rsidRPr="00647572">
              <w:rPr>
                <w:rFonts w:ascii="Arial Narrow" w:eastAsia="Times New Roman" w:hAnsi="Arial Narrow" w:cs="Times New Roman"/>
                <w:b/>
                <w:bCs/>
                <w:noProof/>
                <w:kern w:val="0"/>
                <w:sz w:val="20"/>
                <w:szCs w:val="20"/>
                <w:lang w:eastAsia="en-IE"/>
                <w14:ligatures w14:val="none"/>
              </w:rPr>
              <w:t>(for targets)</w:t>
            </w:r>
            <w:r w:rsidRPr="00647572">
              <w:rPr>
                <w:rFonts w:ascii="Arial Narrow" w:eastAsia="Times New Roman" w:hAnsi="Arial Narrow" w:cs="Times New Roman"/>
                <w:noProof/>
                <w:kern w:val="0"/>
                <w:sz w:val="20"/>
                <w:szCs w:val="20"/>
                <w:lang w:eastAsia="en-IE"/>
                <w14:ligatures w14:val="none"/>
              </w:rPr>
              <w:t> </w:t>
            </w:r>
          </w:p>
        </w:tc>
        <w:tc>
          <w:tcPr>
            <w:tcW w:w="1192" w:type="dxa"/>
            <w:gridSpan w:val="2"/>
            <w:shd w:val="clear" w:color="auto" w:fill="BDD7EE"/>
            <w:vAlign w:val="center"/>
            <w:hideMark/>
          </w:tcPr>
          <w:p w14:paraId="62E26718"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Indicative timeline for completion</w:t>
            </w:r>
            <w:r w:rsidRPr="00647572">
              <w:rPr>
                <w:rFonts w:ascii="Arial Narrow" w:eastAsia="Times New Roman" w:hAnsi="Arial Narrow" w:cs="Times New Roman"/>
                <w:noProof/>
                <w:kern w:val="0"/>
                <w:sz w:val="20"/>
                <w:szCs w:val="20"/>
                <w:lang w:eastAsia="en-IE"/>
                <w14:ligatures w14:val="none"/>
              </w:rPr>
              <w:t> </w:t>
            </w:r>
          </w:p>
        </w:tc>
        <w:tc>
          <w:tcPr>
            <w:tcW w:w="3769" w:type="dxa"/>
            <w:vMerge w:val="restart"/>
            <w:shd w:val="clear" w:color="auto" w:fill="BDD7EE"/>
            <w:vAlign w:val="center"/>
            <w:hideMark/>
          </w:tcPr>
          <w:p w14:paraId="2299E26E"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b/>
                <w:bCs/>
                <w:noProof/>
                <w:kern w:val="0"/>
                <w:sz w:val="20"/>
                <w:szCs w:val="20"/>
                <w:lang w:val="en-IE" w:eastAsia="en-IE"/>
                <w14:ligatures w14:val="none"/>
              </w:rPr>
              <w:t>Description of each milestone and target</w:t>
            </w:r>
            <w:r w:rsidRPr="00A36E36">
              <w:rPr>
                <w:rFonts w:ascii="Arial Narrow" w:eastAsia="Times New Roman" w:hAnsi="Arial Narrow" w:cs="Times New Roman"/>
                <w:noProof/>
                <w:kern w:val="0"/>
                <w:sz w:val="20"/>
                <w:szCs w:val="20"/>
                <w:lang w:val="en-IE" w:eastAsia="en-IE"/>
                <w14:ligatures w14:val="none"/>
              </w:rPr>
              <w:t> </w:t>
            </w:r>
          </w:p>
        </w:tc>
      </w:tr>
      <w:tr w:rsidR="0039681A" w:rsidRPr="00647572" w14:paraId="1BE5CEA8" w14:textId="77777777" w:rsidTr="003869FD">
        <w:trPr>
          <w:trHeight w:val="300"/>
          <w:tblHeader/>
        </w:trPr>
        <w:tc>
          <w:tcPr>
            <w:tcW w:w="1273" w:type="dxa"/>
            <w:vMerge/>
            <w:vAlign w:val="center"/>
            <w:hideMark/>
          </w:tcPr>
          <w:p w14:paraId="31C7F80C" w14:textId="77777777" w:rsidR="0039681A" w:rsidRPr="00A36E36" w:rsidRDefault="0039681A">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418" w:type="dxa"/>
            <w:vMerge/>
            <w:vAlign w:val="center"/>
            <w:hideMark/>
          </w:tcPr>
          <w:p w14:paraId="5F83A492" w14:textId="77777777" w:rsidR="0039681A" w:rsidRPr="00A36E36" w:rsidRDefault="0039681A">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417" w:type="dxa"/>
            <w:vMerge/>
            <w:vAlign w:val="center"/>
            <w:hideMark/>
          </w:tcPr>
          <w:p w14:paraId="584D686D" w14:textId="77777777" w:rsidR="0039681A" w:rsidRPr="00A36E36" w:rsidRDefault="0039681A">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701" w:type="dxa"/>
            <w:vMerge/>
            <w:vAlign w:val="center"/>
            <w:hideMark/>
          </w:tcPr>
          <w:p w14:paraId="2CAC1350" w14:textId="77777777" w:rsidR="0039681A" w:rsidRPr="00A36E36" w:rsidRDefault="0039681A">
            <w:pPr>
              <w:spacing w:after="0" w:line="240" w:lineRule="auto"/>
              <w:rPr>
                <w:rFonts w:ascii="Times New Roman" w:eastAsia="Times New Roman" w:hAnsi="Times New Roman" w:cs="Times New Roman"/>
                <w:noProof/>
                <w:kern w:val="0"/>
                <w:sz w:val="24"/>
                <w:szCs w:val="24"/>
                <w:lang w:val="en-IE" w:eastAsia="en-IE"/>
                <w14:ligatures w14:val="none"/>
              </w:rPr>
            </w:pPr>
          </w:p>
        </w:tc>
        <w:tc>
          <w:tcPr>
            <w:tcW w:w="1701" w:type="dxa"/>
            <w:vMerge/>
            <w:vAlign w:val="center"/>
            <w:hideMark/>
          </w:tcPr>
          <w:p w14:paraId="606DA540" w14:textId="77777777" w:rsidR="0039681A" w:rsidRPr="00A36E36" w:rsidRDefault="0039681A">
            <w:pPr>
              <w:spacing w:after="0" w:line="240" w:lineRule="auto"/>
              <w:rPr>
                <w:rFonts w:ascii="Times New Roman" w:eastAsia="Times New Roman" w:hAnsi="Times New Roman" w:cs="Times New Roman"/>
                <w:noProof/>
                <w:kern w:val="0"/>
                <w:sz w:val="24"/>
                <w:szCs w:val="24"/>
                <w:lang w:val="en-IE" w:eastAsia="en-IE"/>
                <w14:ligatures w14:val="none"/>
              </w:rPr>
            </w:pPr>
          </w:p>
        </w:tc>
        <w:tc>
          <w:tcPr>
            <w:tcW w:w="992" w:type="dxa"/>
            <w:shd w:val="clear" w:color="auto" w:fill="BDD7EE"/>
            <w:vAlign w:val="center"/>
            <w:hideMark/>
          </w:tcPr>
          <w:p w14:paraId="6969632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Unit of measure</w:t>
            </w:r>
            <w:r w:rsidRPr="00647572">
              <w:rPr>
                <w:rFonts w:ascii="Arial Narrow" w:eastAsia="Times New Roman" w:hAnsi="Arial Narrow" w:cs="Times New Roman"/>
                <w:noProof/>
                <w:kern w:val="0"/>
                <w:sz w:val="20"/>
                <w:szCs w:val="20"/>
                <w:lang w:eastAsia="en-IE"/>
                <w14:ligatures w14:val="none"/>
              </w:rPr>
              <w:t> </w:t>
            </w:r>
          </w:p>
        </w:tc>
        <w:tc>
          <w:tcPr>
            <w:tcW w:w="1134" w:type="dxa"/>
            <w:shd w:val="clear" w:color="auto" w:fill="BDD7EE"/>
            <w:vAlign w:val="center"/>
            <w:hideMark/>
          </w:tcPr>
          <w:p w14:paraId="0B0D1C38"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Baseline</w:t>
            </w:r>
            <w:r w:rsidRPr="00647572">
              <w:rPr>
                <w:rFonts w:ascii="Arial Narrow" w:eastAsia="Times New Roman" w:hAnsi="Arial Narrow" w:cs="Times New Roman"/>
                <w:noProof/>
                <w:kern w:val="0"/>
                <w:sz w:val="20"/>
                <w:szCs w:val="20"/>
                <w:lang w:eastAsia="en-IE"/>
                <w14:ligatures w14:val="none"/>
              </w:rPr>
              <w:t> </w:t>
            </w:r>
          </w:p>
        </w:tc>
        <w:tc>
          <w:tcPr>
            <w:tcW w:w="993" w:type="dxa"/>
            <w:shd w:val="clear" w:color="auto" w:fill="BDD7EE"/>
            <w:vAlign w:val="center"/>
            <w:hideMark/>
          </w:tcPr>
          <w:p w14:paraId="11005668"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Goal</w:t>
            </w:r>
            <w:r w:rsidRPr="00647572">
              <w:rPr>
                <w:rFonts w:ascii="Arial Narrow" w:eastAsia="Times New Roman" w:hAnsi="Arial Narrow" w:cs="Times New Roman"/>
                <w:noProof/>
                <w:kern w:val="0"/>
                <w:sz w:val="20"/>
                <w:szCs w:val="20"/>
                <w:lang w:eastAsia="en-IE"/>
                <w14:ligatures w14:val="none"/>
              </w:rPr>
              <w:t> </w:t>
            </w:r>
          </w:p>
        </w:tc>
        <w:tc>
          <w:tcPr>
            <w:tcW w:w="567" w:type="dxa"/>
            <w:shd w:val="clear" w:color="auto" w:fill="BDD7EE"/>
            <w:vAlign w:val="center"/>
            <w:hideMark/>
          </w:tcPr>
          <w:p w14:paraId="54FF80E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Quarter</w:t>
            </w:r>
            <w:r w:rsidRPr="00647572">
              <w:rPr>
                <w:rFonts w:ascii="Arial Narrow" w:eastAsia="Times New Roman" w:hAnsi="Arial Narrow" w:cs="Times New Roman"/>
                <w:noProof/>
                <w:kern w:val="0"/>
                <w:sz w:val="20"/>
                <w:szCs w:val="20"/>
                <w:lang w:eastAsia="en-IE"/>
                <w14:ligatures w14:val="none"/>
              </w:rPr>
              <w:t> </w:t>
            </w:r>
          </w:p>
        </w:tc>
        <w:tc>
          <w:tcPr>
            <w:tcW w:w="625" w:type="dxa"/>
            <w:shd w:val="clear" w:color="auto" w:fill="BDD7EE"/>
            <w:vAlign w:val="center"/>
            <w:hideMark/>
          </w:tcPr>
          <w:p w14:paraId="69006BA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b/>
                <w:bCs/>
                <w:noProof/>
                <w:kern w:val="0"/>
                <w:sz w:val="20"/>
                <w:szCs w:val="20"/>
                <w:lang w:eastAsia="en-IE"/>
                <w14:ligatures w14:val="none"/>
              </w:rPr>
              <w:t>Year</w:t>
            </w:r>
            <w:r w:rsidRPr="00647572">
              <w:rPr>
                <w:rFonts w:ascii="Arial Narrow" w:eastAsia="Times New Roman" w:hAnsi="Arial Narrow" w:cs="Times New Roman"/>
                <w:noProof/>
                <w:kern w:val="0"/>
                <w:sz w:val="20"/>
                <w:szCs w:val="20"/>
                <w:lang w:eastAsia="en-IE"/>
                <w14:ligatures w14:val="none"/>
              </w:rPr>
              <w:t> </w:t>
            </w:r>
          </w:p>
        </w:tc>
        <w:tc>
          <w:tcPr>
            <w:tcW w:w="3769" w:type="dxa"/>
            <w:vMerge/>
            <w:vAlign w:val="center"/>
            <w:hideMark/>
          </w:tcPr>
          <w:p w14:paraId="502E50FD" w14:textId="77777777" w:rsidR="0039681A" w:rsidRPr="00647572" w:rsidRDefault="0039681A">
            <w:pPr>
              <w:spacing w:after="0" w:line="240" w:lineRule="auto"/>
              <w:rPr>
                <w:rFonts w:ascii="Times New Roman" w:eastAsia="Times New Roman" w:hAnsi="Times New Roman" w:cs="Times New Roman"/>
                <w:noProof/>
                <w:kern w:val="0"/>
                <w:sz w:val="24"/>
                <w:szCs w:val="24"/>
                <w:lang w:eastAsia="en-IE"/>
                <w14:ligatures w14:val="none"/>
              </w:rPr>
            </w:pPr>
          </w:p>
        </w:tc>
      </w:tr>
      <w:tr w:rsidR="0039681A" w:rsidRPr="0070054C" w14:paraId="1DBAA741"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A35C73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M2C1-13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286E0F"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Reform 1.2 - National Program for Waste Management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131091"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6F395A"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the Ministerial Decree for the National Program for Waste Management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9F8381D"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Provision in the law indicating the entry into force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8DABA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FE9D2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5DEB9DB"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C8CC93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1142B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383AD1"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Ministerial Decree for the National Program for Waste Management shall include at least the following objectives: </w:t>
            </w:r>
          </w:p>
          <w:p w14:paraId="45355EE2"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achieve the highest levels of preparing for reuse, recycling and recovery of waste, achieving at least the objectives set out in art. 181 of Legislative Decree 152/06 and also taking into account the extended producer responsibility schemes; </w:t>
            </w:r>
          </w:p>
          <w:p w14:paraId="2B85E0B7" w14:textId="77777777" w:rsidR="0039681A" w:rsidRPr="00A36E36" w:rsidRDefault="0039681A" w:rsidP="0039681A">
            <w:pPr>
              <w:numPr>
                <w:ilvl w:val="0"/>
                <w:numId w:val="84"/>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adapt the network of installations necessary for integrated waste management - with a view to developing the circular economy - ensuring the necessary capacities to achieve the objectives set out in point a) and, consequently, minimizing final disposal as the ultimate and residual option, in accordance with the proximity principle and taking into account the prevention objectives defined in the context of the national waste prevention planning provided by art. 180 of Legislative Decree 152/06; </w:t>
            </w:r>
          </w:p>
          <w:p w14:paraId="4A0A9370" w14:textId="77777777" w:rsidR="0039681A" w:rsidRPr="00A36E36" w:rsidRDefault="0039681A" w:rsidP="0039681A">
            <w:pPr>
              <w:numPr>
                <w:ilvl w:val="0"/>
                <w:numId w:val="85"/>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establish an adequate monitoring of the implementation of the Program to allow the constant verification of compliance with its objectives and the eventual necessity to adopt corrective tools for the achievement of the planned actions; </w:t>
            </w:r>
          </w:p>
          <w:p w14:paraId="12C70A0E" w14:textId="77777777" w:rsidR="0039681A" w:rsidRPr="00A36E36" w:rsidRDefault="0039681A" w:rsidP="0039681A">
            <w:pPr>
              <w:numPr>
                <w:ilvl w:val="0"/>
                <w:numId w:val="86"/>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prevent the opening of new infringement procedures against the Republic of Italy for failure to implement European regulations on waste cycle planning; </w:t>
            </w:r>
          </w:p>
          <w:p w14:paraId="78D970CE" w14:textId="77777777" w:rsidR="0039681A" w:rsidRPr="00A36E36" w:rsidRDefault="0039681A" w:rsidP="0039681A">
            <w:pPr>
              <w:numPr>
                <w:ilvl w:val="0"/>
                <w:numId w:val="87"/>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tackle low collection of waste and to discourage landfilling (see also National Strategy on Circular Economy); </w:t>
            </w:r>
          </w:p>
          <w:p w14:paraId="48C9981B" w14:textId="77777777" w:rsidR="0039681A" w:rsidRPr="00A36E36" w:rsidRDefault="0039681A" w:rsidP="0039681A">
            <w:pPr>
              <w:numPr>
                <w:ilvl w:val="0"/>
                <w:numId w:val="88"/>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regional waste management plant shall be complementary to the national programme for waste management; </w:t>
            </w:r>
          </w:p>
          <w:p w14:paraId="78DD14A7" w14:textId="77777777" w:rsidR="0039681A" w:rsidRPr="00A36E36" w:rsidRDefault="0039681A" w:rsidP="0039681A">
            <w:pPr>
              <w:numPr>
                <w:ilvl w:val="0"/>
                <w:numId w:val="89"/>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bridge the waste management gaps and regional divide, regarding installations capacity and quality standards existing between the different regions and areas of the national territory, with the objective to recover delays; </w:t>
            </w:r>
          </w:p>
          <w:p w14:paraId="546E4A7F" w14:textId="77777777" w:rsidR="0039681A" w:rsidRPr="00A36E36" w:rsidRDefault="0039681A" w:rsidP="0039681A">
            <w:pPr>
              <w:numPr>
                <w:ilvl w:val="0"/>
                <w:numId w:val="90"/>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achieve the current and new objectives provided for by European and national legislation; </w:t>
            </w:r>
          </w:p>
          <w:p w14:paraId="262CBF7B" w14:textId="77777777" w:rsidR="0039681A" w:rsidRPr="00A36E36" w:rsidRDefault="0039681A" w:rsidP="0039681A">
            <w:pPr>
              <w:numPr>
                <w:ilvl w:val="0"/>
                <w:numId w:val="91"/>
              </w:numPr>
              <w:spacing w:after="0" w:line="240" w:lineRule="auto"/>
              <w:ind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to tackle illegal waste dumping and open-air burning (e.g. in Terra dei Fuochi area) through measures, included the introduction of a new Waste traceability system, supported Global Monitoring System to face illegal dumping shall be developed using satellites, drones ad artificial intelligence (AI) technologies </w:t>
            </w:r>
          </w:p>
        </w:tc>
      </w:tr>
      <w:tr w:rsidR="0039681A" w:rsidRPr="0070054C" w14:paraId="7572A2D6"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AF2CB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M2C1-14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7539352"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1.1 - Implementation of new waste management plants and modernization of existing plants; </w:t>
            </w:r>
          </w:p>
          <w:p w14:paraId="2C4769A9"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1.2 - Circular economy “flagship” projects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AD4D1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724264"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Ministerial Decree.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69DF87"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Adoption of the Ministerial Decree for the approval of the selection criteria of the projects proposed by Municipalities.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B118C7" w14:textId="77777777" w:rsidR="0039681A" w:rsidRPr="00E6020A" w:rsidRDefault="0039681A">
            <w:pPr>
              <w:spacing w:after="0" w:line="240" w:lineRule="auto"/>
              <w:jc w:val="center"/>
              <w:textAlignment w:val="baseline"/>
              <w:rPr>
                <w:rFonts w:ascii="Times New Roman" w:eastAsia="Times New Roman" w:hAnsi="Times New Roman" w:cs="Times New Roman"/>
                <w:noProof/>
                <w:kern w:val="0"/>
                <w:sz w:val="24"/>
                <w:szCs w:val="24"/>
                <w:lang w:val="it-IT" w:eastAsia="en-IE"/>
                <w14:ligatures w14:val="none"/>
              </w:rPr>
            </w:pPr>
            <w:r w:rsidRPr="00E6020A">
              <w:rPr>
                <w:rFonts w:ascii="Arial Narrow" w:eastAsia="Times New Roman" w:hAnsi="Arial Narrow" w:cs="Times New Roman"/>
                <w:noProof/>
                <w:color w:val="006100"/>
                <w:kern w:val="0"/>
                <w:sz w:val="20"/>
                <w:szCs w:val="20"/>
                <w:lang w:val="it-IT" w:eastAsia="en-IE"/>
                <w14:ligatures w14:val="none"/>
              </w:rPr>
              <w:t>Publication in the Gazzetta Ufficiale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10893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56D1E01"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625057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Q3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4ED4A1"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2021 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C402C1B"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Ministerial Decree of approval of criteria for the selection of projects proposed by Municipalities shall enter into force. </w:t>
            </w:r>
          </w:p>
          <w:p w14:paraId="74E8FF51"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Ministerial Decree shall lay down that the projects are selected among the following criteria: </w:t>
            </w:r>
          </w:p>
          <w:p w14:paraId="2997BBD7" w14:textId="77777777" w:rsidR="0039681A" w:rsidRPr="00A36E36" w:rsidRDefault="0039681A" w:rsidP="0039681A">
            <w:pPr>
              <w:numPr>
                <w:ilvl w:val="0"/>
                <w:numId w:val="92"/>
              </w:numPr>
              <w:spacing w:after="0" w:line="240" w:lineRule="auto"/>
              <w:ind w:left="780"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Coherence with EU and national legislation and European Action Plan on Circular Economy, </w:t>
            </w:r>
          </w:p>
          <w:p w14:paraId="3D0DF2DC" w14:textId="77777777" w:rsidR="0039681A" w:rsidRPr="00647572" w:rsidRDefault="0039681A" w:rsidP="0039681A">
            <w:pPr>
              <w:numPr>
                <w:ilvl w:val="0"/>
                <w:numId w:val="93"/>
              </w:numPr>
              <w:spacing w:after="0" w:line="240" w:lineRule="auto"/>
              <w:ind w:left="780" w:firstLine="0"/>
              <w:textAlignment w:val="baseline"/>
              <w:rPr>
                <w:rFonts w:ascii="Arial Narrow" w:eastAsia="Times New Roman" w:hAnsi="Arial Narrow" w:cs="Times New Roman"/>
                <w:noProof/>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Expected improvement of recycle objectives </w:t>
            </w:r>
          </w:p>
          <w:p w14:paraId="5B2AADE6" w14:textId="77777777" w:rsidR="0039681A" w:rsidRPr="00A36E36" w:rsidRDefault="0039681A" w:rsidP="0039681A">
            <w:pPr>
              <w:numPr>
                <w:ilvl w:val="0"/>
                <w:numId w:val="94"/>
              </w:numPr>
              <w:spacing w:after="0" w:line="240" w:lineRule="auto"/>
              <w:ind w:left="780"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Consistency with regional and national planning instruments, </w:t>
            </w:r>
          </w:p>
          <w:p w14:paraId="0F5E3171" w14:textId="77777777" w:rsidR="0039681A" w:rsidRPr="00A36E36" w:rsidRDefault="0039681A" w:rsidP="0039681A">
            <w:pPr>
              <w:numPr>
                <w:ilvl w:val="0"/>
                <w:numId w:val="95"/>
              </w:numPr>
              <w:spacing w:after="0" w:line="240" w:lineRule="auto"/>
              <w:ind w:left="780"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Contribution to solving EU infringements, synergies with other sectorial planning (e.g. PNIEC) and/or other components of the plan, innovative technologies basing on full-scale experiences, </w:t>
            </w:r>
          </w:p>
          <w:p w14:paraId="2B9B6A35" w14:textId="77777777" w:rsidR="0039681A" w:rsidRPr="00A36E36" w:rsidRDefault="0039681A" w:rsidP="0039681A">
            <w:pPr>
              <w:numPr>
                <w:ilvl w:val="0"/>
                <w:numId w:val="96"/>
              </w:numPr>
              <w:spacing w:after="0" w:line="240" w:lineRule="auto"/>
              <w:ind w:left="780"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Technical quality of the proposal. </w:t>
            </w:r>
          </w:p>
          <w:p w14:paraId="044648E7" w14:textId="77777777" w:rsidR="0039681A" w:rsidRPr="00A36E36" w:rsidRDefault="0039681A" w:rsidP="0039681A">
            <w:pPr>
              <w:numPr>
                <w:ilvl w:val="0"/>
                <w:numId w:val="97"/>
              </w:numPr>
              <w:spacing w:after="0" w:line="240" w:lineRule="auto"/>
              <w:ind w:left="780"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Consistency and complementarity with cohesion policy programmes and similar projects funded through other EU and national instruments </w:t>
            </w:r>
          </w:p>
          <w:p w14:paraId="17676AA3"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interventions shall not include investments in landfills, disposal facilities, Mechanical Biological Treatment /Mechanical Treatment plants or incinerators, in compliance with the DNSH principle. </w:t>
            </w:r>
          </w:p>
        </w:tc>
      </w:tr>
      <w:tr w:rsidR="0039681A" w:rsidRPr="0070054C" w14:paraId="7885D87C"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DDF1B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M2C1-15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8ECAA0"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Reform 1.2 </w:t>
            </w:r>
          </w:p>
          <w:p w14:paraId="764206F0" w14:textId="2B79F55B" w:rsidR="0039681A" w:rsidRPr="00A36E36" w:rsidRDefault="0039681A" w:rsidP="003869FD">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National Program for Waste Management</w:t>
            </w:r>
            <w:r w:rsidR="00381DB1">
              <w:rPr>
                <w:rFonts w:ascii="Arial Narrow" w:eastAsia="Times New Roman" w:hAnsi="Arial Narrow" w:cs="Times New Roman"/>
                <w:noProof/>
                <w:color w:val="006100"/>
                <w:kern w:val="0"/>
                <w:sz w:val="20"/>
                <w:szCs w:val="20"/>
                <w:lang w:val="en-IE" w:eastAsia="en-IE"/>
                <w14:ligatures w14:val="none"/>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E1114A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533BD7"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Reduction of irregular landfills (T1)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42B7EC6"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3AB3956"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C3760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33 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94BA72"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11 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C18C92"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3A78C2"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377B65" w14:textId="77777777" w:rsidR="0039681A" w:rsidRPr="00A36E36" w:rsidRDefault="0039681A">
            <w:pPr>
              <w:spacing w:after="0" w:line="240" w:lineRule="auto"/>
              <w:jc w:val="both"/>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Reduction of irregular landfills included in the infringement procedure NIF 2003/2077 from 33 to 11 (i.e. of at least 66%). </w:t>
            </w:r>
          </w:p>
        </w:tc>
      </w:tr>
      <w:tr w:rsidR="0039681A" w:rsidRPr="0070054C" w14:paraId="0F62A838"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CF048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M2C1-15bis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EEB100"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Reform 1.2 </w:t>
            </w:r>
          </w:p>
          <w:p w14:paraId="090918AE"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National Program for Waste Management: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049038"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1D9958"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Reduction of irregular landfills (T2)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190BF7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90E849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00489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34 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EE0FF1"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14 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E65BD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95EA916"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2023 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F89AA99"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Reduction of irregular landfills included in the infringement procedure 2011/2215 from 34 to 14 (i.e. of at least 60%). </w:t>
            </w:r>
          </w:p>
        </w:tc>
      </w:tr>
      <w:tr w:rsidR="0039681A" w:rsidRPr="0070054C" w14:paraId="230A0EC8"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DC30E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M2C1-15ter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4CEF79"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1.1 - Implementation of new waste management plants and modernization of existing plants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A8BE1D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6358F0"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Reduction of regional differences in separate collection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57974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533916"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Percentage points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FC1E6F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22.8 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CC69A1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12A16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C6AA9C"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2023 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B8BF385"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difference between the national average and the worst performing region in separate collection rates is reduced to 20 percentage points. </w:t>
            </w:r>
          </w:p>
        </w:tc>
      </w:tr>
      <w:tr w:rsidR="0039681A" w:rsidRPr="0070054C" w14:paraId="1613B90A"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3E5E3D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M2C1-15 quater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62E9D4"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1.1 - Implementation of new waste management plants and modernization of existing plants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EB1365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7F9182"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Bio-waste separate collection obligation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FE0E81"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Provision in the law indicating the entry into force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7F4262"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9226312"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3F8F98"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747CD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E5BD37"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2023 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98A58B"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bio-waste separate collection obligation is operational by 31 December 2023, in accordance with EU Circular Economy Action Plan </w:t>
            </w:r>
          </w:p>
        </w:tc>
      </w:tr>
      <w:tr w:rsidR="0039681A" w:rsidRPr="0070054C" w14:paraId="2A9BD0A2"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DAE6B8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M2C1-16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6105E4"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Reform 1.2 </w:t>
            </w:r>
          </w:p>
          <w:p w14:paraId="602BFDD4"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National Program for Waste Management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2B58D8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A04246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Irregular landfills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F5568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04CA4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D1458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11 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F656BA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0DF486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E83D9A"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89015A9"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Reduction of irregular landfills included in the infringement procedure 2003/2077 from 11 to 0. </w:t>
            </w:r>
          </w:p>
        </w:tc>
      </w:tr>
      <w:tr w:rsidR="0039681A" w:rsidRPr="0070054C" w14:paraId="7C489FE4"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9FA15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M2C1-16bis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4FD027D"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Reform 1.2 </w:t>
            </w:r>
          </w:p>
          <w:p w14:paraId="19552943"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National Program for Waste Management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1CBD7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9E4F8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Irregular landfills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45EF13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57F99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F0FA57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14 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4BD79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9 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69AA462"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A105FC"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6F9234"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Reduction of irregular landfills included in the infringement procedure 2011/2215 from 14 to 9 (i.e. at least 75%) </w:t>
            </w:r>
          </w:p>
        </w:tc>
      </w:tr>
      <w:tr w:rsidR="0039681A" w:rsidRPr="0070054C" w14:paraId="500FBA93"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92AE73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M2C1-16ter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DF4E659"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w:t>
            </w:r>
          </w:p>
          <w:p w14:paraId="4735B51B"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1.1 - Implementation of new waste management plants and modernization of existing plants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719F4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F94CA7"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Regional differences in separate collection rates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5FE69EC"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3278F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Percentage points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57B43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28,4 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A9479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2C734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4E40C9"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C180D06"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difference in separate waste collections between the average of the three best-performing regions (Veneto, Trentino, Sardegna) and the average of the worst-performing regions (Basilicata, Calabria and Sicilia) indicated in the 2020 ISPRA report is reduced to 20 percentage points. </w:t>
            </w:r>
          </w:p>
          <w:p w14:paraId="71B88D40"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satisfactory fulfilment of the target also requires the national average and the average of the three best-performing regions indicated in the 2020 ISPRA report (Veneto, Trentino, Sardegna) in terms of separate waste collection to increase compared to the data included in the 2020 ISPRA report </w:t>
            </w:r>
          </w:p>
        </w:tc>
      </w:tr>
      <w:tr w:rsidR="0039681A" w:rsidRPr="0070054C" w14:paraId="22297AD6"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67569A8" w14:textId="77777777" w:rsidR="0039681A" w:rsidRPr="00647572" w:rsidRDefault="0039681A">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M2C1-16quater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62F3BF" w14:textId="77777777" w:rsidR="0039681A" w:rsidRPr="00A36E36" w:rsidRDefault="0039681A">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1.1 - Implementation of new waste management plants and modernization of existing plants and circular economy ‘’flagship’’ projects </w:t>
            </w:r>
          </w:p>
          <w:p w14:paraId="2C2DDC8D" w14:textId="77777777" w:rsidR="0039681A" w:rsidRPr="00A36E36" w:rsidRDefault="0039681A">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672D1DB" w14:textId="77777777" w:rsidR="0039681A" w:rsidRPr="00647572" w:rsidRDefault="0039681A">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E9A716" w14:textId="7110E0F5" w:rsidR="0039681A" w:rsidRPr="00647572" w:rsidRDefault="0039681A" w:rsidP="00351087">
            <w:pPr>
              <w:spacing w:after="0" w:line="240" w:lineRule="auto"/>
              <w:jc w:val="center"/>
              <w:rPr>
                <w:rFonts w:ascii="Arial Narrow" w:eastAsia="Times New Roman" w:hAnsi="Arial Narrow" w:cs="Times New Roman"/>
                <w:noProof/>
                <w:color w:val="006100"/>
                <w:sz w:val="20"/>
                <w:szCs w:val="20"/>
                <w:lang w:eastAsia="en-IE"/>
              </w:rPr>
            </w:pPr>
            <w:r w:rsidRPr="00647572">
              <w:rPr>
                <w:rFonts w:ascii="Arial Narrow" w:eastAsia="Times New Roman" w:hAnsi="Arial Narrow" w:cs="Times New Roman"/>
                <w:noProof/>
                <w:color w:val="006100"/>
                <w:kern w:val="0"/>
                <w:sz w:val="20"/>
                <w:szCs w:val="20"/>
                <w:lang w:eastAsia="en-IE"/>
                <w14:ligatures w14:val="none"/>
              </w:rPr>
              <w:t> Projects c</w:t>
            </w:r>
            <w:r w:rsidRPr="1209D31B">
              <w:rPr>
                <w:rFonts w:ascii="Arial Narrow" w:eastAsia="Times New Roman" w:hAnsi="Arial Narrow" w:cs="Times New Roman"/>
                <w:noProof/>
                <w:color w:val="006100"/>
                <w:sz w:val="20"/>
                <w:szCs w:val="20"/>
                <w:lang w:eastAsia="en-IE"/>
              </w:rPr>
              <w:t>arried out</w:t>
            </w:r>
            <w:r w:rsidRPr="00647572">
              <w:rPr>
                <w:rFonts w:ascii="Arial Narrow" w:eastAsia="Times New Roman" w:hAnsi="Arial Narrow" w:cs="Times New Roman"/>
                <w:noProof/>
                <w:color w:val="006100"/>
                <w:kern w:val="0"/>
                <w:sz w:val="20"/>
                <w:szCs w:val="20"/>
                <w:lang w:eastAsia="en-IE"/>
                <w14:ligatures w14:val="none"/>
              </w:rPr>
              <w: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BBB973" w14:textId="77777777" w:rsidR="0039681A" w:rsidRPr="00647572" w:rsidRDefault="0039681A">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C67566" w14:textId="1463A879" w:rsidR="0039681A" w:rsidRPr="00647572" w:rsidRDefault="0039681A">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92B761" w14:textId="77777777" w:rsidR="0039681A" w:rsidRPr="00647572" w:rsidRDefault="0039681A">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91B84F" w14:textId="77777777" w:rsidR="0039681A" w:rsidRPr="00647572" w:rsidRDefault="0039681A">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584 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58B81E" w14:textId="77777777" w:rsidR="0039681A" w:rsidRPr="00647572" w:rsidRDefault="0039681A">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9C35D5" w14:textId="77777777" w:rsidR="0039681A" w:rsidRPr="00647572" w:rsidRDefault="0039681A">
            <w:pPr>
              <w:spacing w:after="0" w:line="240" w:lineRule="auto"/>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CA0B8A" w14:textId="45E67D91" w:rsidR="0039681A" w:rsidRPr="00A36E36" w:rsidRDefault="0039681A">
            <w:pPr>
              <w:spacing w:after="0" w:line="240" w:lineRule="auto"/>
              <w:jc w:val="both"/>
              <w:textAlignment w:val="baseline"/>
              <w:rPr>
                <w:rFonts w:ascii="Arial Narrow" w:eastAsia="Times New Roman" w:hAnsi="Arial Narrow" w:cs="Times New Roman"/>
                <w:noProof/>
                <w:color w:val="006100"/>
                <w:kern w:val="0"/>
                <w:sz w:val="20"/>
                <w:szCs w:val="20"/>
                <w:lang w:val="en-IE" w:eastAsia="en-IE"/>
                <w14:ligatures w14:val="none"/>
              </w:rPr>
            </w:pPr>
            <w:r>
              <w:rPr>
                <w:rFonts w:ascii="Arial Narrow" w:eastAsia="Times New Roman" w:hAnsi="Arial Narrow" w:cs="Times New Roman"/>
                <w:noProof/>
                <w:color w:val="006100"/>
                <w:kern w:val="0"/>
                <w:sz w:val="20"/>
                <w:szCs w:val="20"/>
                <w:lang w:val="en-IE" w:eastAsia="en-IE"/>
                <w14:ligatures w14:val="none"/>
              </w:rPr>
              <w:t>A</w:t>
            </w:r>
            <w:r w:rsidRPr="00A36E36">
              <w:rPr>
                <w:rFonts w:ascii="Arial Narrow" w:eastAsia="Times New Roman" w:hAnsi="Arial Narrow" w:cs="Times New Roman"/>
                <w:noProof/>
                <w:color w:val="006100"/>
                <w:kern w:val="0"/>
                <w:sz w:val="20"/>
                <w:szCs w:val="20"/>
                <w:lang w:val="en-IE" w:eastAsia="en-IE"/>
                <w14:ligatures w14:val="none"/>
              </w:rPr>
              <w:t>t least 584 projects</w:t>
            </w:r>
            <w:r>
              <w:rPr>
                <w:rFonts w:ascii="Arial Narrow" w:eastAsia="Times New Roman" w:hAnsi="Arial Narrow" w:cs="Times New Roman"/>
                <w:noProof/>
                <w:color w:val="006100"/>
                <w:kern w:val="0"/>
                <w:sz w:val="20"/>
                <w:szCs w:val="20"/>
                <w:lang w:val="en-IE" w:eastAsia="en-IE"/>
                <w14:ligatures w14:val="none"/>
              </w:rPr>
              <w:t xml:space="preserve"> have been carried out</w:t>
            </w:r>
            <w:r w:rsidRPr="00A36E36">
              <w:rPr>
                <w:rFonts w:ascii="Arial Narrow" w:eastAsia="Times New Roman" w:hAnsi="Arial Narrow" w:cs="Times New Roman"/>
                <w:noProof/>
                <w:color w:val="006100"/>
                <w:kern w:val="0"/>
                <w:sz w:val="20"/>
                <w:szCs w:val="20"/>
                <w:lang w:val="en-IE" w:eastAsia="en-IE"/>
                <w14:ligatures w14:val="none"/>
              </w:rPr>
              <w:t>, of which at least 90 shall concern projects for waste plants.</w:t>
            </w:r>
          </w:p>
        </w:tc>
      </w:tr>
      <w:tr w:rsidR="0039681A" w:rsidRPr="0070054C" w14:paraId="07D3DA25"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5A251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M2C1-10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4D5918"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2.1: Logistics plan for the agri-food, fishing and aquaculture, forestry, floriculture and plant nursery sectors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5FA59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B616535" w14:textId="366BFF8A"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Tangible and intangible investments in agri-food, fishing and aquaculture, forestry, floriculture and plant nursery sectors.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2746EA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C6ED8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593A94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CD253C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72 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BE4AF3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23AEF9"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6FC4AF1" w14:textId="3562B4F6"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23BF5C21">
              <w:rPr>
                <w:rFonts w:ascii="Arial Narrow" w:eastAsia="Times New Roman" w:hAnsi="Arial Narrow" w:cs="Times New Roman"/>
                <w:noProof/>
                <w:color w:val="006100"/>
                <w:sz w:val="20"/>
                <w:szCs w:val="20"/>
                <w:lang w:val="en-IE" w:eastAsia="en-IE"/>
              </w:rPr>
              <w:t>At least 72 tangible and intangible investments in the agri-food, fishing and aquaculture, forestry, floriculture and plant nursery sectors have been carried out. </w:t>
            </w:r>
          </w:p>
        </w:tc>
      </w:tr>
      <w:tr w:rsidR="0039681A" w:rsidRPr="0070054C" w14:paraId="4C8B6A49"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56461B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M2C1-18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05334C"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3.1: Green islands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8DBC9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886F07"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Directorial decree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1843B9"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Provision in the Decree indicating the entry into force of the law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FEAE46C"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4A09B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0642692"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288E92"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Q3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F26794"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97C923A"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Directorial decree shall approve the ranking of projects relating to the results of the public notice. The selection procedure shall include the following: </w:t>
            </w:r>
          </w:p>
          <w:p w14:paraId="2B027F7B"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 Eligibility criteria that ensure that the selected projects comply with the ‘Do no significant harm’ Technical Guidance (2021/C58/01) through the use of an exclusion list and the requirement of compliance with the relevant EU and national environmental legislation. </w:t>
            </w:r>
          </w:p>
          <w:p w14:paraId="19E1654E"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b) Commitment that the climate contribution of the investment as per the methodology in Annex VI of the</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Regulation (EU) 2021/241 shall account for at least</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37% of the total cost of the investment supported by the RRF. </w:t>
            </w:r>
          </w:p>
          <w:p w14:paraId="76F83015"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 Commitment to report on the implementation of the measure halfway through the life of the scheme and the end of the scheme. </w:t>
            </w:r>
          </w:p>
          <w:p w14:paraId="2A599229"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possible areas of interventions are: </w:t>
            </w:r>
          </w:p>
          <w:p w14:paraId="4949048A" w14:textId="77777777" w:rsidR="0039681A" w:rsidRPr="00A36E36" w:rsidRDefault="0039681A" w:rsidP="0039681A">
            <w:pPr>
              <w:numPr>
                <w:ilvl w:val="0"/>
                <w:numId w:val="98"/>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integrated and certified management of the agro-forestry heritage ("also through the exchange of credits deriving from the capture of carbon dioxide, the management of biodiversity and the certification of the wood supply chain"); </w:t>
            </w:r>
          </w:p>
          <w:p w14:paraId="113FED37" w14:textId="77777777" w:rsidR="0039681A" w:rsidRPr="00A36E36" w:rsidRDefault="0039681A" w:rsidP="0039681A">
            <w:pPr>
              <w:numPr>
                <w:ilvl w:val="0"/>
                <w:numId w:val="98"/>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integrated and certified management of water resources; </w:t>
            </w:r>
          </w:p>
          <w:p w14:paraId="5C7C0A9B" w14:textId="77777777" w:rsidR="0039681A" w:rsidRPr="00A36E36" w:rsidRDefault="0039681A" w:rsidP="0039681A">
            <w:pPr>
              <w:numPr>
                <w:ilvl w:val="0"/>
                <w:numId w:val="98"/>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production of energy from local renewable sources, such as micro hydroelectric plants, biomass, biogas, wind, cogeneration and bio-methane; </w:t>
            </w:r>
          </w:p>
          <w:p w14:paraId="1DAFBBEB" w14:textId="77777777" w:rsidR="0039681A" w:rsidRPr="00A36E36" w:rsidRDefault="0039681A" w:rsidP="0039681A">
            <w:pPr>
              <w:numPr>
                <w:ilvl w:val="0"/>
                <w:numId w:val="98"/>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development of sustainable tourism ("capable of enhancing local products"); </w:t>
            </w:r>
          </w:p>
          <w:p w14:paraId="79C8F784" w14:textId="77777777" w:rsidR="0039681A" w:rsidRPr="00A36E36" w:rsidRDefault="0039681A" w:rsidP="0039681A">
            <w:pPr>
              <w:numPr>
                <w:ilvl w:val="0"/>
                <w:numId w:val="98"/>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construction and sustainable management of the building stock and infrastructure of a modern mountain; </w:t>
            </w:r>
          </w:p>
          <w:p w14:paraId="2DCC784B" w14:textId="77777777" w:rsidR="0039681A" w:rsidRPr="00A36E36" w:rsidRDefault="0039681A" w:rsidP="0039681A">
            <w:pPr>
              <w:numPr>
                <w:ilvl w:val="0"/>
                <w:numId w:val="98"/>
              </w:numPr>
              <w:tabs>
                <w:tab w:val="clear" w:pos="720"/>
              </w:tabs>
              <w:spacing w:after="0" w:line="240" w:lineRule="auto"/>
              <w:ind w:left="163" w:firstLine="0"/>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energy efficiency and intelligent integration of plants and networks; </w:t>
            </w:r>
          </w:p>
          <w:p w14:paraId="182F9A1C" w14:textId="77777777" w:rsidR="0039681A" w:rsidRPr="00A36E36" w:rsidRDefault="0039681A" w:rsidP="0039681A">
            <w:pPr>
              <w:numPr>
                <w:ilvl w:val="0"/>
                <w:numId w:val="98"/>
              </w:numPr>
              <w:tabs>
                <w:tab w:val="clear" w:pos="720"/>
              </w:tabs>
              <w:spacing w:after="0" w:line="240" w:lineRule="auto"/>
              <w:ind w:left="163" w:firstLine="0"/>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sustainable development of production activities (zero waste production); </w:t>
            </w:r>
          </w:p>
          <w:p w14:paraId="7537D4DF" w14:textId="77777777" w:rsidR="0039681A" w:rsidRPr="00A36E36" w:rsidRDefault="0039681A" w:rsidP="0039681A">
            <w:pPr>
              <w:numPr>
                <w:ilvl w:val="0"/>
                <w:numId w:val="98"/>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integration of mobility services; </w:t>
            </w:r>
          </w:p>
          <w:p w14:paraId="79EE71C2" w14:textId="77777777" w:rsidR="0039681A" w:rsidRPr="00A36E36" w:rsidRDefault="0039681A" w:rsidP="0039681A">
            <w:pPr>
              <w:numPr>
                <w:ilvl w:val="0"/>
                <w:numId w:val="98"/>
              </w:numPr>
              <w:tabs>
                <w:tab w:val="clear" w:pos="720"/>
              </w:tabs>
              <w:spacing w:after="0" w:line="240" w:lineRule="auto"/>
              <w:ind w:left="163" w:firstLine="0"/>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development of a sustainable farm model ("which is also energy independent through the production and use of energy from renewable sources in the electrical, thermal and transport sectors"). </w:t>
            </w:r>
          </w:p>
          <w:p w14:paraId="4B8F1E54"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bio-methane shall comply with the sustainability and greenhouse gas emission savings criteria set out in Articles 29-31 and the rules on food and feed based biofuels set out in Article 26 of the Renewable Energy Directive 2018/2001/EU (REDII), and related implementing and delegated acts in order to allow the measure to comply with Do-No-Significant-Harm principle and with the relevant requirements of footnote 8 of Annex VI of the Regulation (EU) 2021/241 </w:t>
            </w:r>
          </w:p>
        </w:tc>
      </w:tr>
      <w:tr w:rsidR="0039681A" w:rsidRPr="0070054C" w14:paraId="00C6ADE0"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79505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M2C1-19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0B903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3.1: Green islands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A95951"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D43426" w14:textId="26C50AA6"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7C4B11DB">
              <w:rPr>
                <w:rFonts w:ascii="Arial Narrow" w:eastAsia="Times New Roman" w:hAnsi="Arial Narrow" w:cs="Times New Roman"/>
                <w:noProof/>
                <w:color w:val="006100"/>
                <w:sz w:val="20"/>
                <w:szCs w:val="20"/>
                <w:lang w:val="en-IE" w:eastAsia="en-IE"/>
              </w:rPr>
              <w:t>Administrative act(s) for interventions in small islands</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4E1405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06F1038" w14:textId="70364E81"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xml:space="preserve">Number of </w:t>
            </w:r>
            <w:r>
              <w:rPr>
                <w:rFonts w:ascii="Arial Narrow" w:eastAsia="Times New Roman" w:hAnsi="Arial Narrow" w:cs="Times New Roman"/>
                <w:noProof/>
                <w:color w:val="006100"/>
                <w:kern w:val="0"/>
                <w:sz w:val="20"/>
                <w:szCs w:val="20"/>
                <w:lang w:eastAsia="en-IE"/>
                <w14:ligatures w14:val="none"/>
              </w:rPr>
              <w:t>projects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CE056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B2A1E0" w14:textId="6E6EA0A6"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Pr>
                <w:rFonts w:ascii="Arial Narrow" w:eastAsia="Times New Roman" w:hAnsi="Arial Narrow" w:cs="Times New Roman"/>
                <w:noProof/>
                <w:color w:val="006100"/>
                <w:kern w:val="0"/>
                <w:sz w:val="20"/>
                <w:szCs w:val="20"/>
                <w:lang w:eastAsia="en-IE"/>
                <w14:ligatures w14:val="none"/>
              </w:rPr>
              <w:t>57</w:t>
            </w:r>
            <w:r w:rsidRPr="00647572">
              <w:rPr>
                <w:rFonts w:ascii="Arial Narrow" w:eastAsia="Times New Roman" w:hAnsi="Arial Narrow" w:cs="Times New Roman"/>
                <w:noProof/>
                <w:color w:val="006100"/>
                <w:kern w:val="0"/>
                <w:sz w:val="20"/>
                <w:szCs w:val="20"/>
                <w:lang w:eastAsia="en-IE"/>
                <w14:ligatures w14:val="none"/>
              </w:rPr>
              <w:t>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F8FD92"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2492CC"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BF0676" w14:textId="1B85D38D"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42B4DA29">
              <w:rPr>
                <w:rFonts w:ascii="Arial Narrow" w:eastAsia="Times New Roman" w:hAnsi="Arial Narrow" w:cs="Times New Roman"/>
                <w:noProof/>
                <w:color w:val="006100"/>
                <w:sz w:val="20"/>
                <w:szCs w:val="20"/>
                <w:lang w:val="en-IE" w:eastAsia="en-IE"/>
              </w:rPr>
              <w:t xml:space="preserve">Administrative act(s) are issued confirming that interventions are carried out under </w:t>
            </w:r>
            <w:r>
              <w:rPr>
                <w:rFonts w:ascii="Arial Narrow" w:eastAsia="Times New Roman" w:hAnsi="Arial Narrow" w:cs="Times New Roman"/>
                <w:noProof/>
                <w:color w:val="006100"/>
                <w:sz w:val="20"/>
                <w:szCs w:val="20"/>
                <w:lang w:val="en-IE" w:eastAsia="en-IE"/>
              </w:rPr>
              <w:t xml:space="preserve">each of the </w:t>
            </w:r>
            <w:r w:rsidRPr="42B4DA29">
              <w:rPr>
                <w:rFonts w:ascii="Arial Narrow" w:eastAsia="Times New Roman" w:hAnsi="Arial Narrow" w:cs="Times New Roman"/>
                <w:noProof/>
                <w:color w:val="006100"/>
                <w:sz w:val="20"/>
                <w:szCs w:val="20"/>
                <w:lang w:val="en-IE" w:eastAsia="en-IE"/>
              </w:rPr>
              <w:t>57</w:t>
            </w:r>
            <w:r w:rsidRPr="00A36E36">
              <w:rPr>
                <w:rFonts w:ascii="Arial Narrow" w:eastAsia="Times New Roman" w:hAnsi="Arial Narrow" w:cs="Times New Roman"/>
                <w:noProof/>
                <w:color w:val="006100"/>
                <w:kern w:val="0"/>
                <w:sz w:val="20"/>
                <w:szCs w:val="20"/>
                <w:lang w:val="en-IE" w:eastAsia="en-IE"/>
                <w14:ligatures w14:val="none"/>
              </w:rPr>
              <w:t xml:space="preserve"> projects</w:t>
            </w:r>
            <w:r w:rsidRPr="42B4DA29">
              <w:rPr>
                <w:rFonts w:ascii="Arial Narrow" w:eastAsia="Times New Roman" w:hAnsi="Arial Narrow" w:cs="Times New Roman"/>
                <w:noProof/>
                <w:color w:val="006100"/>
                <w:sz w:val="20"/>
                <w:szCs w:val="20"/>
                <w:lang w:val="en-IE" w:eastAsia="en-IE"/>
              </w:rPr>
              <w:t xml:space="preserve"> </w:t>
            </w:r>
            <w:r w:rsidRPr="00A36E36">
              <w:rPr>
                <w:rFonts w:ascii="Arial Narrow" w:eastAsia="Times New Roman" w:hAnsi="Arial Narrow" w:cs="Times New Roman"/>
                <w:noProof/>
                <w:color w:val="006100"/>
                <w:kern w:val="0"/>
                <w:sz w:val="20"/>
                <w:szCs w:val="20"/>
                <w:lang w:val="en-IE" w:eastAsia="en-IE"/>
                <w14:ligatures w14:val="none"/>
              </w:rPr>
              <w:t>in 19 small islands</w:t>
            </w:r>
            <w:r w:rsidRPr="42B4DA29">
              <w:rPr>
                <w:rFonts w:ascii="Arial Narrow" w:eastAsia="Times New Roman" w:hAnsi="Arial Narrow" w:cs="Times New Roman"/>
                <w:noProof/>
                <w:color w:val="006100"/>
                <w:sz w:val="20"/>
                <w:szCs w:val="20"/>
                <w:lang w:val="en-IE" w:eastAsia="en-IE"/>
              </w:rPr>
              <w:t>,</w:t>
            </w:r>
            <w:r w:rsidRPr="00A36E36">
              <w:rPr>
                <w:rFonts w:ascii="Arial Narrow" w:eastAsia="Times New Roman" w:hAnsi="Arial Narrow" w:cs="Times New Roman"/>
                <w:noProof/>
                <w:color w:val="006100"/>
                <w:kern w:val="0"/>
                <w:sz w:val="20"/>
                <w:szCs w:val="20"/>
                <w:lang w:val="en-IE" w:eastAsia="en-IE"/>
                <w14:ligatures w14:val="none"/>
              </w:rPr>
              <w:t xml:space="preserve"> involving at least</w:t>
            </w:r>
            <w:r w:rsidRPr="42B4DA29">
              <w:rPr>
                <w:rFonts w:ascii="Arial Narrow" w:eastAsia="Times New Roman" w:hAnsi="Arial Narrow" w:cs="Times New Roman"/>
                <w:noProof/>
                <w:color w:val="006100"/>
                <w:sz w:val="20"/>
                <w:szCs w:val="20"/>
                <w:lang w:val="en-IE" w:eastAsia="en-IE"/>
              </w:rPr>
              <w:t xml:space="preserve"> one project per island.</w:t>
            </w:r>
            <w:r w:rsidRPr="00A36E36">
              <w:rPr>
                <w:rFonts w:ascii="Arial Narrow" w:eastAsia="Times New Roman" w:hAnsi="Arial Narrow" w:cs="Times New Roman"/>
                <w:noProof/>
                <w:color w:val="006100"/>
                <w:kern w:val="0"/>
                <w:sz w:val="20"/>
                <w:szCs w:val="20"/>
                <w:lang w:val="en-IE" w:eastAsia="en-IE"/>
                <w14:ligatures w14:val="none"/>
              </w:rPr>
              <w:t xml:space="preserve"> The eligible </w:t>
            </w:r>
            <w:r>
              <w:rPr>
                <w:rFonts w:ascii="Arial Narrow" w:eastAsia="Times New Roman" w:hAnsi="Arial Narrow" w:cs="Times New Roman"/>
                <w:noProof/>
                <w:color w:val="006100"/>
                <w:kern w:val="0"/>
                <w:sz w:val="20"/>
                <w:szCs w:val="20"/>
                <w:lang w:val="en-IE" w:eastAsia="en-IE"/>
                <w14:ligatures w14:val="none"/>
              </w:rPr>
              <w:t>projects</w:t>
            </w:r>
            <w:r w:rsidRPr="00A36E36">
              <w:rPr>
                <w:rFonts w:ascii="Arial Narrow" w:eastAsia="Times New Roman" w:hAnsi="Arial Narrow" w:cs="Times New Roman"/>
                <w:noProof/>
                <w:color w:val="006100"/>
                <w:kern w:val="0"/>
                <w:sz w:val="20"/>
                <w:szCs w:val="20"/>
                <w:lang w:val="en-IE" w:eastAsia="en-IE"/>
                <w14:ligatures w14:val="none"/>
              </w:rPr>
              <w:t xml:space="preserve"> are:</w:t>
            </w:r>
          </w:p>
          <w:p w14:paraId="0467C8D8" w14:textId="78118C55" w:rsidR="0039681A" w:rsidRPr="00647572" w:rsidRDefault="0039681A" w:rsidP="00AF5341">
            <w:pPr>
              <w:numPr>
                <w:ilvl w:val="0"/>
                <w:numId w:val="99"/>
              </w:numPr>
              <w:tabs>
                <w:tab w:val="clear" w:pos="720"/>
              </w:tabs>
              <w:spacing w:after="0" w:line="240" w:lineRule="auto"/>
              <w:ind w:left="341" w:hanging="284"/>
              <w:textAlignment w:val="baseline"/>
              <w:rPr>
                <w:rFonts w:ascii="Arial Narrow" w:eastAsia="Times New Roman" w:hAnsi="Arial Narrow" w:cs="Times New Roman"/>
                <w:noProof/>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energy efficiency; </w:t>
            </w:r>
          </w:p>
          <w:p w14:paraId="1C90B022" w14:textId="77777777" w:rsidR="0039681A" w:rsidRPr="00A36E36" w:rsidRDefault="0039681A" w:rsidP="00AF5341">
            <w:pPr>
              <w:numPr>
                <w:ilvl w:val="0"/>
                <w:numId w:val="99"/>
              </w:numPr>
              <w:tabs>
                <w:tab w:val="clear" w:pos="720"/>
              </w:tabs>
              <w:spacing w:after="0" w:line="240" w:lineRule="auto"/>
              <w:ind w:left="341" w:hanging="284"/>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creating and/or upgrading collective mobility services and charging infrastructures; buses and boats powered by electricity; shelters for public transport services; car sharing, bike sharing, scooter sharing; </w:t>
            </w:r>
          </w:p>
          <w:p w14:paraId="75C1BB86" w14:textId="77777777" w:rsidR="0039681A" w:rsidRPr="00A36E36" w:rsidRDefault="0039681A" w:rsidP="00AF5341">
            <w:pPr>
              <w:numPr>
                <w:ilvl w:val="0"/>
                <w:numId w:val="99"/>
              </w:numPr>
              <w:tabs>
                <w:tab w:val="clear" w:pos="720"/>
              </w:tabs>
              <w:spacing w:after="0" w:line="240" w:lineRule="auto"/>
              <w:ind w:left="341" w:hanging="284"/>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construction and/or adaptation of cycle routes, construction of sheltering areas; </w:t>
            </w:r>
          </w:p>
          <w:p w14:paraId="24440635" w14:textId="77777777" w:rsidR="0039681A" w:rsidRPr="00A36E36" w:rsidRDefault="0039681A" w:rsidP="00AF5341">
            <w:pPr>
              <w:numPr>
                <w:ilvl w:val="0"/>
                <w:numId w:val="99"/>
              </w:numPr>
              <w:tabs>
                <w:tab w:val="clear" w:pos="720"/>
              </w:tabs>
              <w:spacing w:after="0" w:line="240" w:lineRule="auto"/>
              <w:ind w:left="341" w:hanging="284"/>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separate collection with enhancement of collection systems; </w:t>
            </w:r>
          </w:p>
          <w:p w14:paraId="60AEE2EA" w14:textId="77777777" w:rsidR="0039681A" w:rsidRPr="00A36E36" w:rsidRDefault="0039681A" w:rsidP="00AF5341">
            <w:pPr>
              <w:numPr>
                <w:ilvl w:val="0"/>
                <w:numId w:val="99"/>
              </w:numPr>
              <w:tabs>
                <w:tab w:val="clear" w:pos="720"/>
              </w:tabs>
              <w:spacing w:after="0" w:line="240" w:lineRule="auto"/>
              <w:ind w:left="341" w:hanging="284"/>
              <w:textAlignment w:val="baseline"/>
              <w:rPr>
                <w:rFonts w:ascii="Arial Narrow" w:eastAsia="Times New Roman" w:hAnsi="Arial Narrow" w:cs="Times New Roman"/>
                <w:noProof/>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construction/modernisation of ecological islands with associated re-use centre; </w:t>
            </w:r>
          </w:p>
          <w:p w14:paraId="304405AC" w14:textId="77777777" w:rsidR="0039681A" w:rsidRDefault="0039681A" w:rsidP="0039681A">
            <w:pPr>
              <w:numPr>
                <w:ilvl w:val="0"/>
                <w:numId w:val="99"/>
              </w:numPr>
              <w:tabs>
                <w:tab w:val="clear" w:pos="720"/>
              </w:tabs>
              <w:spacing w:after="0" w:line="240" w:lineRule="auto"/>
              <w:ind w:left="341" w:hanging="284"/>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desalination systems; </w:t>
            </w:r>
          </w:p>
          <w:p w14:paraId="3C9A6915" w14:textId="77777777" w:rsidR="0039681A" w:rsidRPr="00AF5341" w:rsidRDefault="0039681A" w:rsidP="00AF5341">
            <w:pPr>
              <w:numPr>
                <w:ilvl w:val="0"/>
                <w:numId w:val="99"/>
              </w:numPr>
              <w:tabs>
                <w:tab w:val="clear" w:pos="720"/>
              </w:tabs>
              <w:spacing w:after="0" w:line="240" w:lineRule="auto"/>
              <w:ind w:left="341" w:hanging="284"/>
              <w:textAlignment w:val="baseline"/>
              <w:rPr>
                <w:rFonts w:ascii="Arial Narrow" w:eastAsia="Times New Roman" w:hAnsi="Arial Narrow" w:cs="Times New Roman"/>
                <w:noProof/>
                <w:color w:val="006100"/>
                <w:kern w:val="0"/>
                <w:sz w:val="20"/>
                <w:szCs w:val="20"/>
                <w:lang w:val="en-IE" w:eastAsia="en-IE"/>
                <w14:ligatures w14:val="none"/>
              </w:rPr>
            </w:pPr>
            <w:r w:rsidRPr="00AF5341">
              <w:rPr>
                <w:rFonts w:ascii="Arial Narrow" w:eastAsia="Times New Roman" w:hAnsi="Arial Narrow" w:cs="Times New Roman"/>
                <w:noProof/>
                <w:color w:val="006100"/>
                <w:kern w:val="0"/>
                <w:sz w:val="20"/>
                <w:szCs w:val="20"/>
                <w:lang w:val="en-IE" w:eastAsia="en-IE"/>
                <w14:ligatures w14:val="none"/>
              </w:rPr>
              <w:t xml:space="preserve">water efficiency, </w:t>
            </w:r>
            <w:r w:rsidRPr="00A36E36">
              <w:rPr>
                <w:rFonts w:ascii="Arial Narrow" w:eastAsia="Times New Roman" w:hAnsi="Arial Narrow" w:cs="Times New Roman"/>
                <w:noProof/>
                <w:color w:val="006100"/>
                <w:kern w:val="0"/>
                <w:sz w:val="20"/>
                <w:szCs w:val="20"/>
                <w:lang w:val="en-IE" w:eastAsia="en-IE"/>
                <w14:ligatures w14:val="none"/>
              </w:rPr>
              <w:t>which may include, but are not limited to</w:t>
            </w:r>
            <w:r>
              <w:rPr>
                <w:rFonts w:ascii="Arial Narrow" w:eastAsia="Times New Roman" w:hAnsi="Arial Narrow" w:cs="Times New Roman"/>
                <w:noProof/>
                <w:color w:val="006100"/>
                <w:kern w:val="0"/>
                <w:sz w:val="20"/>
                <w:szCs w:val="20"/>
                <w:lang w:val="en-IE" w:eastAsia="en-IE"/>
                <w14:ligatures w14:val="none"/>
              </w:rPr>
              <w:t xml:space="preserve"> the</w:t>
            </w:r>
            <w:r w:rsidRPr="00AF5341">
              <w:rPr>
                <w:rFonts w:ascii="Arial Narrow" w:eastAsia="Times New Roman" w:hAnsi="Arial Narrow" w:cs="Times New Roman"/>
                <w:noProof/>
                <w:color w:val="006100"/>
                <w:kern w:val="0"/>
                <w:sz w:val="20"/>
                <w:szCs w:val="20"/>
                <w:lang w:val="en-IE" w:eastAsia="en-IE"/>
                <w14:ligatures w14:val="none"/>
              </w:rPr>
              <w:t xml:space="preserve"> construction of new drinking water treatment systems;</w:t>
            </w:r>
          </w:p>
          <w:p w14:paraId="0ABE1D0E" w14:textId="77777777" w:rsidR="0039681A" w:rsidRPr="00A36E36" w:rsidRDefault="0039681A" w:rsidP="00AF5341">
            <w:pPr>
              <w:numPr>
                <w:ilvl w:val="0"/>
                <w:numId w:val="99"/>
              </w:numPr>
              <w:tabs>
                <w:tab w:val="clear" w:pos="720"/>
              </w:tabs>
              <w:spacing w:after="0" w:line="240" w:lineRule="auto"/>
              <w:ind w:left="341" w:hanging="284"/>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renewable energies plants for the electricity, which may include, but are not limited to photovoltaic, wind offshore or marine renewable energy (for example, wave or tidal power); </w:t>
            </w:r>
          </w:p>
          <w:p w14:paraId="3A6D4E12" w14:textId="77777777" w:rsidR="0039681A" w:rsidRPr="00A36E36" w:rsidRDefault="0039681A" w:rsidP="00AF5341">
            <w:pPr>
              <w:numPr>
                <w:ilvl w:val="0"/>
                <w:numId w:val="99"/>
              </w:numPr>
              <w:tabs>
                <w:tab w:val="clear" w:pos="720"/>
              </w:tabs>
              <w:spacing w:after="0" w:line="240" w:lineRule="auto"/>
              <w:ind w:left="341" w:hanging="284"/>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energy efficiency measures aimed at reducing electricity demand; </w:t>
            </w:r>
          </w:p>
          <w:p w14:paraId="0E58D3EC" w14:textId="5441827D" w:rsidR="0039681A" w:rsidRPr="00A36E36" w:rsidRDefault="0039681A" w:rsidP="00AF5341">
            <w:pPr>
              <w:numPr>
                <w:ilvl w:val="0"/>
                <w:numId w:val="99"/>
              </w:numPr>
              <w:tabs>
                <w:tab w:val="clear" w:pos="720"/>
              </w:tabs>
              <w:spacing w:after="0" w:line="240" w:lineRule="auto"/>
              <w:ind w:left="341" w:hanging="284"/>
              <w:textAlignment w:val="baseline"/>
              <w:rPr>
                <w:rFonts w:ascii="Arial Narrow" w:eastAsia="Times New Roman" w:hAnsi="Arial Narrow" w:cs="Times New Roman"/>
                <w:noProof/>
                <w:kern w:val="0"/>
                <w:sz w:val="20"/>
                <w:szCs w:val="20"/>
                <w:lang w:val="en-IE" w:eastAsia="en-IE"/>
                <w14:ligatures w14:val="none"/>
              </w:rPr>
            </w:pPr>
            <w:r>
              <w:rPr>
                <w:rFonts w:ascii="Arial Narrow" w:eastAsia="Times New Roman" w:hAnsi="Arial Narrow" w:cs="Times New Roman"/>
                <w:noProof/>
                <w:color w:val="006100"/>
                <w:kern w:val="0"/>
                <w:sz w:val="20"/>
                <w:szCs w:val="20"/>
                <w:lang w:val="en-IE" w:eastAsia="en-IE"/>
                <w14:ligatures w14:val="none"/>
              </w:rPr>
              <w:t>projects</w:t>
            </w:r>
            <w:r w:rsidRPr="00A36E36">
              <w:rPr>
                <w:rFonts w:ascii="Arial Narrow" w:eastAsia="Times New Roman" w:hAnsi="Arial Narrow" w:cs="Times New Roman"/>
                <w:noProof/>
                <w:color w:val="006100"/>
                <w:kern w:val="0"/>
                <w:sz w:val="20"/>
                <w:szCs w:val="20"/>
                <w:lang w:val="en-IE" w:eastAsia="en-IE"/>
                <w14:ligatures w14:val="none"/>
              </w:rPr>
              <w:t xml:space="preserve"> on the electricity grid and related infrastructures, which may include, but are not limited to storage devices, integration of the electricity system with the island's water system, smart grids, innovative energy management or monitoring systems. </w:t>
            </w:r>
          </w:p>
        </w:tc>
      </w:tr>
      <w:tr w:rsidR="0039681A" w:rsidRPr="0070054C" w14:paraId="53EB5AA2"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091322"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M2C1-20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42FF85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3.2: Green Communities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57D42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722013" w14:textId="578B6CBD"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Award of (all) public contracts for</w:t>
            </w:r>
            <w:r w:rsidR="00381DB1">
              <w:rPr>
                <w:rFonts w:ascii="Arial Narrow" w:eastAsia="Times New Roman" w:hAnsi="Arial Narrow" w:cs="Times New Roman"/>
                <w:noProof/>
                <w:color w:val="006100"/>
                <w:kern w:val="0"/>
                <w:sz w:val="20"/>
                <w:szCs w:val="20"/>
                <w:lang w:val="en-IE" w:eastAsia="en-IE"/>
                <w14:ligatures w14:val="none"/>
              </w:rPr>
              <w:t xml:space="preserve"> </w:t>
            </w:r>
            <w:r w:rsidRPr="00A36E36">
              <w:rPr>
                <w:rFonts w:ascii="Arial Narrow" w:eastAsia="Times New Roman" w:hAnsi="Arial Narrow" w:cs="Times New Roman"/>
                <w:noProof/>
                <w:color w:val="006100"/>
                <w:kern w:val="0"/>
                <w:sz w:val="20"/>
                <w:szCs w:val="20"/>
                <w:lang w:val="en-IE" w:eastAsia="en-IE"/>
                <w14:ligatures w14:val="none"/>
              </w:rPr>
              <w:t>the selection of Green Communities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455F2E"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Notification of the award of (all) public contracts for the selection of Green Communities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613F3B"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DC373E6"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E424AF8"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042F53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Q3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C6391E"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2022 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89EA38"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Notification of the awarding procedure for the grants, which should include eligibility criteria that ensure that the selected projects comply with the ‘Do no significant harm’ Technical Guidance (2021/C58/01) through the use of an exclusion list and the requirement of compliance with the relevant EU and national environmental legislation. </w:t>
            </w:r>
          </w:p>
        </w:tc>
      </w:tr>
      <w:tr w:rsidR="0039681A" w:rsidRPr="0070054C" w14:paraId="6DFE2B39"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700CF1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M2C1-21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15A82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Investment 3.2: Green Communities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E1CC18"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35F9752" w14:textId="2B18F944"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87D9A8E">
              <w:rPr>
                <w:rFonts w:ascii="Arial Narrow" w:eastAsia="Times New Roman" w:hAnsi="Arial Narrow" w:cs="Times New Roman"/>
                <w:noProof/>
                <w:color w:val="006100"/>
                <w:sz w:val="20"/>
                <w:szCs w:val="20"/>
                <w:lang w:val="en-IE" w:eastAsia="en-IE"/>
              </w:rPr>
              <w:t>Administrative certificates on the finalisation of p</w:t>
            </w:r>
            <w:r w:rsidRPr="00A36E36">
              <w:rPr>
                <w:rFonts w:ascii="Arial Narrow" w:eastAsia="Times New Roman" w:hAnsi="Arial Narrow" w:cs="Times New Roman"/>
                <w:noProof/>
                <w:color w:val="006100"/>
                <w:kern w:val="0"/>
                <w:sz w:val="20"/>
                <w:szCs w:val="20"/>
                <w:lang w:val="en-IE" w:eastAsia="en-IE"/>
                <w14:ligatures w14:val="none"/>
              </w:rPr>
              <w:t>rojects in the Green Communities</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3D267E"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FA737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Number of projects</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2B43FC"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ADC1282"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410</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BED7B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F66AD85"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F5D06A" w14:textId="53471B44" w:rsidR="0039681A" w:rsidRPr="00A36E36" w:rsidRDefault="0039681A" w:rsidP="00AF5341">
            <w:pPr>
              <w:spacing w:after="0" w:line="240" w:lineRule="auto"/>
              <w:textAlignment w:val="baseline"/>
              <w:rPr>
                <w:rFonts w:ascii="Arial Narrow" w:eastAsia="Times New Roman" w:hAnsi="Arial Narrow" w:cs="Times New Roman"/>
                <w:noProof/>
                <w:kern w:val="0"/>
                <w:sz w:val="20"/>
                <w:szCs w:val="20"/>
                <w:lang w:val="en-IE" w:eastAsia="en-IE"/>
                <w14:ligatures w14:val="none"/>
              </w:rPr>
            </w:pPr>
            <w:r>
              <w:rPr>
                <w:rFonts w:ascii="Arial Narrow" w:eastAsia="Times New Roman" w:hAnsi="Arial Narrow" w:cs="Times New Roman"/>
                <w:noProof/>
                <w:color w:val="006100"/>
                <w:kern w:val="0"/>
                <w:sz w:val="20"/>
                <w:szCs w:val="20"/>
                <w:lang w:val="en-IE" w:eastAsia="en-IE"/>
                <w14:ligatures w14:val="none"/>
              </w:rPr>
              <w:t xml:space="preserve">Administrative certificates confirming that </w:t>
            </w:r>
            <w:r w:rsidRPr="00A36E36">
              <w:rPr>
                <w:rFonts w:ascii="Arial Narrow" w:eastAsia="Times New Roman" w:hAnsi="Arial Narrow" w:cs="Times New Roman"/>
                <w:noProof/>
                <w:color w:val="006100"/>
                <w:kern w:val="0"/>
                <w:sz w:val="20"/>
                <w:szCs w:val="20"/>
                <w:lang w:val="en-IE" w:eastAsia="en-IE"/>
                <w14:ligatures w14:val="none"/>
              </w:rPr>
              <w:t xml:space="preserve">at least 410 projects in the Green Communities </w:t>
            </w:r>
            <w:r>
              <w:rPr>
                <w:rFonts w:ascii="Arial Narrow" w:eastAsia="Times New Roman" w:hAnsi="Arial Narrow" w:cs="Times New Roman"/>
                <w:noProof/>
                <w:color w:val="006100"/>
                <w:kern w:val="0"/>
                <w:sz w:val="20"/>
                <w:szCs w:val="20"/>
                <w:lang w:val="en-IE" w:eastAsia="en-IE"/>
                <w14:ligatures w14:val="none"/>
              </w:rPr>
              <w:t xml:space="preserve">have been carried out. </w:t>
            </w:r>
          </w:p>
          <w:p w14:paraId="0C49626B"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Projects shall be in</w:t>
            </w:r>
            <w:r w:rsidRPr="42B4DA29">
              <w:rPr>
                <w:rFonts w:ascii="Arial Narrow" w:eastAsia="Times New Roman" w:hAnsi="Arial Narrow" w:cs="Times New Roman"/>
                <w:noProof/>
                <w:color w:val="006100"/>
                <w:sz w:val="20"/>
                <w:szCs w:val="20"/>
                <w:lang w:val="en-IE" w:eastAsia="en-IE"/>
              </w:rPr>
              <w:t xml:space="preserve"> at least one of</w:t>
            </w:r>
            <w:r w:rsidRPr="00A36E36">
              <w:rPr>
                <w:rFonts w:ascii="Arial Narrow" w:eastAsia="Times New Roman" w:hAnsi="Arial Narrow" w:cs="Times New Roman"/>
                <w:noProof/>
                <w:color w:val="006100"/>
                <w:kern w:val="0"/>
                <w:sz w:val="20"/>
                <w:szCs w:val="20"/>
                <w:lang w:val="en-IE" w:eastAsia="en-IE"/>
                <w14:ligatures w14:val="none"/>
              </w:rPr>
              <w:t xml:space="preserve"> the following fields: </w:t>
            </w:r>
          </w:p>
          <w:p w14:paraId="76514DE0" w14:textId="77777777" w:rsidR="0039681A" w:rsidRPr="00A36E36" w:rsidRDefault="0039681A" w:rsidP="0039681A">
            <w:pPr>
              <w:numPr>
                <w:ilvl w:val="0"/>
                <w:numId w:val="99"/>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integrated and certified management of the agro-forestry heritage;</w:t>
            </w:r>
          </w:p>
          <w:p w14:paraId="2825949F" w14:textId="77777777" w:rsidR="0039681A" w:rsidRPr="00A36E36" w:rsidRDefault="0039681A" w:rsidP="0039681A">
            <w:pPr>
              <w:numPr>
                <w:ilvl w:val="0"/>
                <w:numId w:val="99"/>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integrated and certified management of water resources; </w:t>
            </w:r>
          </w:p>
          <w:p w14:paraId="44C3502F" w14:textId="77777777" w:rsidR="0039681A" w:rsidRPr="00A36E36" w:rsidRDefault="0039681A" w:rsidP="0039681A">
            <w:pPr>
              <w:numPr>
                <w:ilvl w:val="0"/>
                <w:numId w:val="99"/>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production of energy from local renewable sources, such as micro hydroelectric plants, biomass, biogas, wind, cogeneration and biomethane; </w:t>
            </w:r>
          </w:p>
          <w:p w14:paraId="13E7EC4D" w14:textId="77777777" w:rsidR="0039681A" w:rsidRPr="00A36E36" w:rsidRDefault="0039681A" w:rsidP="0039681A">
            <w:pPr>
              <w:numPr>
                <w:ilvl w:val="0"/>
                <w:numId w:val="99"/>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the development of sustainable tourism; </w:t>
            </w:r>
          </w:p>
          <w:p w14:paraId="4360F58D" w14:textId="77777777" w:rsidR="0039681A" w:rsidRPr="00A36E36" w:rsidRDefault="0039681A" w:rsidP="0039681A">
            <w:pPr>
              <w:numPr>
                <w:ilvl w:val="0"/>
                <w:numId w:val="99"/>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construction and sustainable management of the building stock and infrastructure of a modern mountain; </w:t>
            </w:r>
          </w:p>
          <w:p w14:paraId="79B9092C" w14:textId="77777777" w:rsidR="0039681A" w:rsidRPr="00A36E36" w:rsidRDefault="0039681A" w:rsidP="0039681A">
            <w:pPr>
              <w:numPr>
                <w:ilvl w:val="0"/>
                <w:numId w:val="99"/>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energy efficiency and intelligent integration of plants and networks; </w:t>
            </w:r>
          </w:p>
          <w:p w14:paraId="4AA1CCDA" w14:textId="77777777" w:rsidR="0039681A" w:rsidRPr="00A36E36" w:rsidRDefault="0039681A" w:rsidP="0039681A">
            <w:pPr>
              <w:numPr>
                <w:ilvl w:val="0"/>
                <w:numId w:val="99"/>
              </w:numPr>
              <w:tabs>
                <w:tab w:val="clear" w:pos="720"/>
              </w:tabs>
              <w:spacing w:after="0" w:line="240" w:lineRule="auto"/>
              <w:ind w:left="735" w:hanging="572"/>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sustainable development of production activities (zero waste production); </w:t>
            </w:r>
          </w:p>
          <w:p w14:paraId="3C3CA861" w14:textId="77777777" w:rsidR="0039681A" w:rsidRPr="00A36E36" w:rsidRDefault="0039681A" w:rsidP="0039681A">
            <w:pPr>
              <w:numPr>
                <w:ilvl w:val="0"/>
                <w:numId w:val="99"/>
              </w:numPr>
              <w:tabs>
                <w:tab w:val="clear" w:pos="720"/>
              </w:tabs>
              <w:spacing w:after="0" w:line="240" w:lineRule="auto"/>
              <w:ind w:left="735" w:hanging="572"/>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the integration of mobility services;</w:t>
            </w:r>
          </w:p>
          <w:p w14:paraId="7E145B44" w14:textId="77777777" w:rsidR="0039681A" w:rsidRPr="00A36E36" w:rsidRDefault="0039681A" w:rsidP="0039681A">
            <w:pPr>
              <w:numPr>
                <w:ilvl w:val="0"/>
                <w:numId w:val="99"/>
              </w:numPr>
              <w:tabs>
                <w:tab w:val="clear" w:pos="720"/>
              </w:tabs>
              <w:spacing w:after="0" w:line="240" w:lineRule="auto"/>
              <w:ind w:left="735" w:hanging="572"/>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the development of a sustainable farm model. </w:t>
            </w:r>
          </w:p>
        </w:tc>
      </w:tr>
      <w:tr w:rsidR="0039681A" w:rsidRPr="0070054C" w14:paraId="7F810E31"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CD1CB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M2C1-22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9D3B827"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3.4: Fondo Contratti di Filiera (FCF) to support supply-chains contracts for the agri-food, fishing and aquaculture, forestry, floriculture and plant nursery sectors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A4C8CE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C75B5B"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Implementing Agreement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08842E"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Implementing Agreement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DC3B58C"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1897B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81623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8A16876"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3317593"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B7841CC"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Implementing Agreement. </w:t>
            </w:r>
          </w:p>
        </w:tc>
      </w:tr>
      <w:tr w:rsidR="0039681A" w:rsidRPr="0070054C" w14:paraId="62678E28"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0A5AF9"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M2C1-23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50CEF5"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3.4: Fondo Contratti di Filiera (FCF) to support supply-chains contracts for the agri-food, fishing and aquaculture, forestry, floriculture and plant nursery sectors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C20784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4B40002"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Resources transferred to ISMEA and amendment of the implementing agreement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87124FE"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Certificate of transfer and amendment of the implementing agreement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A4FD1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8D3204"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6C4B02C"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A77753"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D99A85C"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2025 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DC98FB"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Italy shall transfer additional EUR 2</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000</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000</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000.00 to ISMEA for the Facility. </w:t>
            </w:r>
          </w:p>
          <w:p w14:paraId="6BE59A91"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Amendment of the total funding and management fee of the implementing agreement. </w:t>
            </w:r>
          </w:p>
        </w:tc>
      </w:tr>
      <w:tr w:rsidR="0039681A" w:rsidRPr="0070054C" w14:paraId="09F89D38"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9C57A82"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5244E408">
              <w:rPr>
                <w:rFonts w:ascii="Arial Narrow" w:eastAsia="Times New Roman" w:hAnsi="Arial Narrow" w:cs="Times New Roman"/>
                <w:noProof/>
                <w:color w:val="006100"/>
                <w:sz w:val="20"/>
                <w:szCs w:val="20"/>
                <w:lang w:eastAsia="en-IE"/>
              </w:rPr>
              <w:t>M2C1-24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F9AF3B"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3.4: Fondo Contratti di Filiera (FCF) to support supply-chains contracts for the agri-food, fishing and aquaculture, forestry, floriculture and plant nursery sectors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0C45AC0"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Target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DA5C4E"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Legal agreements with final beneficiaries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13ED2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xml:space="preserve">N/A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7EFD8A"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xml:space="preserve">Percentage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D16C5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1359A25"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100 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677028"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Q2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468BF8"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2026 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746FFA"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ISMEA shall have entered into legal financing agreements with final beneficiaries for an amount necessary to use 100% of the RRF investment into the Facility (taking into account management fees). ISMEA shall produce a report detailing the percentage of this financing that contributes to climate objectives using the methodology in Annex VI. </w:t>
            </w:r>
          </w:p>
        </w:tc>
      </w:tr>
      <w:tr w:rsidR="0039681A" w:rsidRPr="0070054C" w14:paraId="57FBF107"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B42731"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M2C1-25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7503EF9"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3.4: Fondo Contratti di Filiera (FCF) to support supply-chains contracts for the agri-food, fishing and aquaculture, forestry, floriculture and plant nursery sectors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8C8476"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C290F0" w14:textId="77777777" w:rsidR="0039681A" w:rsidRPr="00A36E36" w:rsidRDefault="0039681A">
            <w:pPr>
              <w:spacing w:after="0" w:line="240" w:lineRule="auto"/>
              <w:jc w:val="center"/>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Ministry has transferred the overall amount of resources </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3F1A96"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Certificate of transfer </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3EBA65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 N/A </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25913C7"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E58674D"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 </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7FBCAF" w14:textId="77777777" w:rsidR="0039681A" w:rsidRPr="00647572" w:rsidRDefault="0039681A">
            <w:pPr>
              <w:spacing w:after="0" w:line="240" w:lineRule="auto"/>
              <w:jc w:val="center"/>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 </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F76498A" w14:textId="77777777" w:rsidR="0039681A" w:rsidRPr="00647572" w:rsidRDefault="0039681A">
            <w:pPr>
              <w:spacing w:after="0" w:line="240" w:lineRule="auto"/>
              <w:textAlignment w:val="baseline"/>
              <w:rPr>
                <w:rFonts w:ascii="Times New Roman" w:eastAsia="Times New Roman" w:hAnsi="Times New Roman" w:cs="Times New Roman"/>
                <w:noProof/>
                <w:kern w:val="0"/>
                <w:sz w:val="24"/>
                <w:szCs w:val="24"/>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2024 </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7EFDCF1" w14:textId="77777777" w:rsidR="0039681A" w:rsidRPr="00A36E36" w:rsidRDefault="0039681A">
            <w:pPr>
              <w:spacing w:after="0" w:line="240" w:lineRule="auto"/>
              <w:textAlignment w:val="baseline"/>
              <w:rPr>
                <w:rFonts w:ascii="Times New Roman" w:eastAsia="Times New Roman" w:hAnsi="Times New Roman" w:cs="Times New Roman"/>
                <w:noProof/>
                <w:kern w:val="0"/>
                <w:sz w:val="24"/>
                <w:szCs w:val="24"/>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Italy shall transfer EUR 1</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960</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000</w:t>
            </w:r>
            <w:r w:rsidRPr="00A36E36">
              <w:rPr>
                <w:rFonts w:ascii="Arial" w:eastAsia="Times New Roman" w:hAnsi="Arial" w:cs="Arial"/>
                <w:noProof/>
                <w:color w:val="006100"/>
                <w:kern w:val="0"/>
                <w:sz w:val="20"/>
                <w:szCs w:val="20"/>
                <w:lang w:val="en-IE" w:eastAsia="en-IE"/>
                <w14:ligatures w14:val="none"/>
              </w:rPr>
              <w:t> </w:t>
            </w:r>
            <w:r w:rsidRPr="00A36E36">
              <w:rPr>
                <w:rFonts w:ascii="Arial Narrow" w:eastAsia="Times New Roman" w:hAnsi="Arial Narrow" w:cs="Times New Roman"/>
                <w:noProof/>
                <w:color w:val="006100"/>
                <w:kern w:val="0"/>
                <w:sz w:val="20"/>
                <w:szCs w:val="20"/>
                <w:lang w:val="en-IE" w:eastAsia="en-IE"/>
                <w14:ligatures w14:val="none"/>
              </w:rPr>
              <w:t>000.00 to ISMEA for the Facility.</w:t>
            </w:r>
          </w:p>
        </w:tc>
      </w:tr>
      <w:tr w:rsidR="0039681A" w:rsidRPr="0070054C" w14:paraId="632CB712"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tcPr>
          <w:p w14:paraId="775A6D76" w14:textId="77777777" w:rsidR="0039681A" w:rsidRPr="00647572" w:rsidRDefault="0039681A">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M2C1-26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6326327D" w14:textId="77777777" w:rsidR="0039681A" w:rsidRPr="00A36E36" w:rsidRDefault="0039681A">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4: Agri-Solar Park Facility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4B6BD188" w14:textId="77777777" w:rsidR="0039681A" w:rsidRPr="00647572"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tcPr>
          <w:p w14:paraId="02522C5F" w14:textId="77777777" w:rsidR="0039681A" w:rsidRPr="00647572"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Implementing Agreement</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tcPr>
          <w:p w14:paraId="257CE373" w14:textId="77777777" w:rsidR="0039681A" w:rsidRPr="00A36E36"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Implementing Agreement</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432E6954" w14:textId="77777777" w:rsidR="0039681A" w:rsidRPr="00647572"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668B8EFC" w14:textId="77777777" w:rsidR="0039681A" w:rsidRPr="00647572"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12F940BA" w14:textId="77777777" w:rsidR="0039681A" w:rsidRPr="00647572"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N/A</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tcPr>
          <w:p w14:paraId="7F34D79D" w14:textId="77777777" w:rsidR="0039681A" w:rsidRPr="00647572"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Q4</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tcPr>
          <w:p w14:paraId="29409D25" w14:textId="77777777" w:rsidR="0039681A" w:rsidRPr="00647572" w:rsidRDefault="0039681A" w:rsidP="00AF5341">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2025</w:t>
            </w:r>
          </w:p>
        </w:tc>
        <w:tc>
          <w:tcPr>
            <w:tcW w:w="3769" w:type="dxa"/>
            <w:tcBorders>
              <w:top w:val="single" w:sz="4" w:space="0" w:color="auto"/>
              <w:left w:val="single" w:sz="4" w:space="0" w:color="auto"/>
              <w:bottom w:val="single" w:sz="4" w:space="0" w:color="auto"/>
              <w:right w:val="single" w:sz="4" w:space="0" w:color="auto"/>
            </w:tcBorders>
            <w:shd w:val="clear" w:color="auto" w:fill="C6EFCE"/>
            <w:vAlign w:val="center"/>
          </w:tcPr>
          <w:p w14:paraId="2ED958B4" w14:textId="77777777" w:rsidR="0039681A" w:rsidRPr="00A36E36" w:rsidRDefault="0039681A" w:rsidP="00351087">
            <w:p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Entry into force of the Implementing Agreement.</w:t>
            </w:r>
          </w:p>
        </w:tc>
      </w:tr>
      <w:tr w:rsidR="0039681A" w:rsidRPr="0070054C" w14:paraId="0D36AF8E" w14:textId="77777777" w:rsidTr="003869FD">
        <w:trPr>
          <w:trHeight w:val="300"/>
        </w:trPr>
        <w:tc>
          <w:tcPr>
            <w:tcW w:w="1273" w:type="dxa"/>
            <w:tcBorders>
              <w:top w:val="single" w:sz="4" w:space="0" w:color="auto"/>
              <w:left w:val="single" w:sz="4" w:space="0" w:color="auto"/>
              <w:bottom w:val="single" w:sz="4" w:space="0" w:color="auto"/>
              <w:right w:val="single" w:sz="4" w:space="0" w:color="auto"/>
            </w:tcBorders>
            <w:shd w:val="clear" w:color="auto" w:fill="C6EFCE"/>
            <w:vAlign w:val="center"/>
          </w:tcPr>
          <w:p w14:paraId="45782AE5" w14:textId="77777777" w:rsidR="0039681A" w:rsidRPr="00647572" w:rsidRDefault="0039681A">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647572">
              <w:rPr>
                <w:rFonts w:ascii="Arial Narrow" w:eastAsia="Times New Roman" w:hAnsi="Arial Narrow" w:cs="Times New Roman"/>
                <w:noProof/>
                <w:color w:val="006100"/>
                <w:kern w:val="0"/>
                <w:sz w:val="20"/>
                <w:szCs w:val="20"/>
                <w:lang w:eastAsia="en-IE"/>
                <w14:ligatures w14:val="none"/>
              </w:rPr>
              <w:t>M2C1-27 </w:t>
            </w:r>
          </w:p>
        </w:tc>
        <w:tc>
          <w:tcPr>
            <w:tcW w:w="1418" w:type="dxa"/>
            <w:tcBorders>
              <w:top w:val="single" w:sz="4" w:space="0" w:color="auto"/>
              <w:left w:val="single" w:sz="4" w:space="0" w:color="auto"/>
              <w:bottom w:val="single" w:sz="4" w:space="0" w:color="auto"/>
              <w:right w:val="single" w:sz="4" w:space="0" w:color="auto"/>
            </w:tcBorders>
            <w:shd w:val="clear" w:color="auto" w:fill="C6EFCE"/>
            <w:vAlign w:val="center"/>
          </w:tcPr>
          <w:p w14:paraId="2E12689C" w14:textId="77777777" w:rsidR="0039681A" w:rsidRPr="00A36E36" w:rsidRDefault="0039681A">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Investment 4: Agri-Solar Park Facility </w:t>
            </w:r>
          </w:p>
        </w:tc>
        <w:tc>
          <w:tcPr>
            <w:tcW w:w="1417" w:type="dxa"/>
            <w:tcBorders>
              <w:top w:val="single" w:sz="4" w:space="0" w:color="auto"/>
              <w:left w:val="single" w:sz="4" w:space="0" w:color="auto"/>
              <w:bottom w:val="single" w:sz="4" w:space="0" w:color="auto"/>
              <w:right w:val="single" w:sz="4" w:space="0" w:color="auto"/>
            </w:tcBorders>
            <w:shd w:val="clear" w:color="auto" w:fill="C6EFCE"/>
            <w:vAlign w:val="center"/>
          </w:tcPr>
          <w:p w14:paraId="13440536" w14:textId="77777777" w:rsidR="0039681A" w:rsidRPr="00AF5341"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F5341">
              <w:rPr>
                <w:rFonts w:ascii="Arial Narrow" w:eastAsia="Times New Roman" w:hAnsi="Arial Narrow" w:cs="Times New Roman"/>
                <w:noProof/>
                <w:color w:val="006100"/>
                <w:kern w:val="0"/>
                <w:sz w:val="20"/>
                <w:szCs w:val="20"/>
                <w:lang w:val="en-IE" w:eastAsia="en-IE"/>
                <w14:ligatures w14:val="none"/>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tcPr>
          <w:p w14:paraId="3388A89B" w14:textId="77777777" w:rsidR="0039681A" w:rsidRPr="00A36E36"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Legal agreements signed with final beneficiaries </w:t>
            </w:r>
            <w:r w:rsidRPr="00A36E36" w:rsidDel="00CE3EF7">
              <w:rPr>
                <w:rFonts w:ascii="Arial Narrow" w:eastAsia="Times New Roman" w:hAnsi="Arial Narrow" w:cs="Times New Roman"/>
                <w:noProof/>
                <w:color w:val="006100"/>
                <w:kern w:val="0"/>
                <w:sz w:val="20"/>
                <w:szCs w:val="20"/>
                <w:lang w:val="en-IE" w:eastAsia="en-IE"/>
                <w14:ligatures w14:val="none"/>
              </w:rPr>
              <w:t>and investment completion</w:t>
            </w:r>
          </w:p>
        </w:tc>
        <w:tc>
          <w:tcPr>
            <w:tcW w:w="1701" w:type="dxa"/>
            <w:tcBorders>
              <w:top w:val="single" w:sz="4" w:space="0" w:color="auto"/>
              <w:left w:val="single" w:sz="4" w:space="0" w:color="auto"/>
              <w:bottom w:val="single" w:sz="4" w:space="0" w:color="auto"/>
              <w:right w:val="single" w:sz="4" w:space="0" w:color="auto"/>
            </w:tcBorders>
            <w:shd w:val="clear" w:color="auto" w:fill="C6EFCE"/>
            <w:vAlign w:val="center"/>
          </w:tcPr>
          <w:p w14:paraId="1CB920CC" w14:textId="77777777" w:rsidR="0039681A" w:rsidRPr="00A36E36"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Legal agreements signed and certificate of transfer</w:t>
            </w:r>
          </w:p>
        </w:tc>
        <w:tc>
          <w:tcPr>
            <w:tcW w:w="992" w:type="dxa"/>
            <w:tcBorders>
              <w:top w:val="single" w:sz="4" w:space="0" w:color="auto"/>
              <w:left w:val="single" w:sz="4" w:space="0" w:color="auto"/>
              <w:bottom w:val="single" w:sz="4" w:space="0" w:color="auto"/>
              <w:right w:val="single" w:sz="4" w:space="0" w:color="auto"/>
            </w:tcBorders>
            <w:shd w:val="clear" w:color="auto" w:fill="C6EFCE"/>
            <w:vAlign w:val="center"/>
          </w:tcPr>
          <w:p w14:paraId="052BE776" w14:textId="77777777" w:rsidR="0039681A" w:rsidRPr="00AF5341"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F5341">
              <w:rPr>
                <w:rFonts w:ascii="Arial Narrow" w:eastAsia="Times New Roman" w:hAnsi="Arial Narrow" w:cs="Times New Roman"/>
                <w:noProof/>
                <w:color w:val="006100"/>
                <w:kern w:val="0"/>
                <w:sz w:val="20"/>
                <w:szCs w:val="20"/>
                <w:lang w:val="en-IE" w:eastAsia="en-IE"/>
                <w14:ligatures w14:val="none"/>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vAlign w:val="center"/>
          </w:tcPr>
          <w:p w14:paraId="005B59EF" w14:textId="77777777" w:rsidR="0039681A" w:rsidRPr="00AF5341"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F5341">
              <w:rPr>
                <w:rFonts w:ascii="Arial Narrow" w:eastAsia="Times New Roman" w:hAnsi="Arial Narrow" w:cs="Times New Roman"/>
                <w:noProof/>
                <w:color w:val="006100"/>
                <w:kern w:val="0"/>
                <w:sz w:val="20"/>
                <w:szCs w:val="20"/>
                <w:lang w:val="en-IE" w:eastAsia="en-IE"/>
                <w14:ligatures w14:val="non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vAlign w:val="center"/>
          </w:tcPr>
          <w:p w14:paraId="4B95E4EA" w14:textId="77777777" w:rsidR="0039681A" w:rsidRPr="00AF5341"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F5341">
              <w:rPr>
                <w:rFonts w:ascii="Arial Narrow" w:eastAsia="Times New Roman" w:hAnsi="Arial Narrow" w:cs="Times New Roman"/>
                <w:noProof/>
                <w:color w:val="006100"/>
                <w:kern w:val="0"/>
                <w:sz w:val="20"/>
                <w:szCs w:val="20"/>
                <w:lang w:val="en-IE" w:eastAsia="en-IE"/>
                <w14:ligatures w14:val="none"/>
              </w:rPr>
              <w:t>N/A</w:t>
            </w:r>
          </w:p>
        </w:tc>
        <w:tc>
          <w:tcPr>
            <w:tcW w:w="567" w:type="dxa"/>
            <w:tcBorders>
              <w:top w:val="single" w:sz="4" w:space="0" w:color="auto"/>
              <w:left w:val="single" w:sz="4" w:space="0" w:color="auto"/>
              <w:bottom w:val="single" w:sz="4" w:space="0" w:color="auto"/>
              <w:right w:val="single" w:sz="4" w:space="0" w:color="auto"/>
            </w:tcBorders>
            <w:shd w:val="clear" w:color="auto" w:fill="C6EFCE"/>
            <w:vAlign w:val="center"/>
          </w:tcPr>
          <w:p w14:paraId="507BBC9A" w14:textId="77777777" w:rsidR="0039681A" w:rsidRPr="00AF5341" w:rsidRDefault="0039681A" w:rsidP="00351087">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F5341">
              <w:rPr>
                <w:rFonts w:ascii="Arial Narrow" w:eastAsia="Times New Roman" w:hAnsi="Arial Narrow" w:cs="Times New Roman"/>
                <w:noProof/>
                <w:color w:val="006100"/>
                <w:kern w:val="0"/>
                <w:sz w:val="20"/>
                <w:szCs w:val="20"/>
                <w:lang w:val="en-IE" w:eastAsia="en-IE"/>
                <w14:ligatures w14:val="none"/>
              </w:rPr>
              <w:t>Q2</w:t>
            </w:r>
          </w:p>
        </w:tc>
        <w:tc>
          <w:tcPr>
            <w:tcW w:w="625" w:type="dxa"/>
            <w:tcBorders>
              <w:top w:val="single" w:sz="4" w:space="0" w:color="auto"/>
              <w:left w:val="single" w:sz="4" w:space="0" w:color="auto"/>
              <w:bottom w:val="single" w:sz="4" w:space="0" w:color="auto"/>
              <w:right w:val="single" w:sz="4" w:space="0" w:color="auto"/>
            </w:tcBorders>
            <w:shd w:val="clear" w:color="auto" w:fill="C6EFCE"/>
            <w:vAlign w:val="center"/>
          </w:tcPr>
          <w:p w14:paraId="35FF2EC5" w14:textId="77777777" w:rsidR="0039681A" w:rsidRPr="00AF5341" w:rsidRDefault="0039681A" w:rsidP="00AF5341">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AF5341">
              <w:rPr>
                <w:rFonts w:ascii="Arial Narrow" w:eastAsia="Times New Roman" w:hAnsi="Arial Narrow" w:cs="Times New Roman"/>
                <w:noProof/>
                <w:color w:val="006100"/>
                <w:kern w:val="0"/>
                <w:sz w:val="20"/>
                <w:szCs w:val="20"/>
                <w:lang w:val="en-IE" w:eastAsia="en-IE"/>
                <w14:ligatures w14:val="none"/>
              </w:rPr>
              <w:t>2026</w:t>
            </w:r>
          </w:p>
        </w:tc>
        <w:tc>
          <w:tcPr>
            <w:tcW w:w="3769" w:type="dxa"/>
            <w:tcBorders>
              <w:top w:val="single" w:sz="4" w:space="0" w:color="auto"/>
              <w:left w:val="single" w:sz="4" w:space="0" w:color="auto"/>
              <w:bottom w:val="single" w:sz="4" w:space="0" w:color="auto"/>
              <w:right w:val="single" w:sz="4" w:space="0" w:color="auto"/>
            </w:tcBorders>
            <w:shd w:val="clear" w:color="auto" w:fill="C6EFCE"/>
          </w:tcPr>
          <w:p w14:paraId="19B218B4" w14:textId="77777777" w:rsidR="0039681A" w:rsidRPr="00A36E36" w:rsidRDefault="0039681A">
            <w:pPr>
              <w:spacing w:after="0" w:line="240" w:lineRule="auto"/>
              <w:jc w:val="both"/>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GSE shall have entered into legal grant agreements with final beneficiaries for an amount necessary to use 100% of the RRF investment into the Scheme (taking into account management fees). </w:t>
            </w:r>
          </w:p>
          <w:p w14:paraId="606A82C3" w14:textId="77777777" w:rsidR="0039681A" w:rsidRPr="00A36E36" w:rsidRDefault="0039681A">
            <w:pPr>
              <w:spacing w:after="0" w:line="240" w:lineRule="auto"/>
              <w:jc w:val="both"/>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 xml:space="preserve">At least </w:t>
            </w:r>
            <w:r w:rsidRPr="00E03BEA">
              <w:rPr>
                <w:rFonts w:ascii="Arial Narrow" w:eastAsia="Times New Roman" w:hAnsi="Arial Narrow" w:cs="Times New Roman"/>
                <w:noProof/>
                <w:color w:val="006100"/>
                <w:kern w:val="0"/>
                <w:sz w:val="20"/>
                <w:szCs w:val="20"/>
                <w:lang w:val="en-IE" w:eastAsia="en-IE"/>
                <w14:ligatures w14:val="none"/>
              </w:rPr>
              <w:t>633 </w:t>
            </w:r>
            <w:r w:rsidRPr="00432471">
              <w:rPr>
                <w:rFonts w:ascii="Arial Narrow" w:eastAsia="Times New Roman" w:hAnsi="Arial Narrow" w:cs="Times New Roman"/>
                <w:noProof/>
                <w:color w:val="006100"/>
                <w:kern w:val="0"/>
                <w:sz w:val="20"/>
                <w:szCs w:val="20"/>
                <w:lang w:val="en-IE" w:eastAsia="en-IE"/>
                <w14:ligatures w14:val="none"/>
              </w:rPr>
              <w:t>000 000</w:t>
            </w:r>
            <w:r w:rsidRPr="00A36E36">
              <w:rPr>
                <w:rFonts w:ascii="Arial Narrow" w:eastAsia="Times New Roman" w:hAnsi="Arial Narrow" w:cs="Times New Roman"/>
                <w:noProof/>
                <w:color w:val="006100"/>
                <w:kern w:val="0"/>
                <w:sz w:val="20"/>
                <w:szCs w:val="20"/>
                <w:lang w:val="en-IE" w:eastAsia="en-IE"/>
                <w14:ligatures w14:val="none"/>
              </w:rPr>
              <w:t xml:space="preserve"> of this financing shall contribute to climate objectives using the methodology in Annex VI of the RRF Regulation.</w:t>
            </w:r>
          </w:p>
          <w:p w14:paraId="712756B7" w14:textId="77777777" w:rsidR="0039681A" w:rsidRPr="00A36E36" w:rsidRDefault="0039681A">
            <w:pPr>
              <w:spacing w:after="0" w:line="240" w:lineRule="auto"/>
              <w:jc w:val="both"/>
              <w:textAlignment w:val="baseline"/>
              <w:rPr>
                <w:rFonts w:ascii="Arial Narrow" w:eastAsia="Times New Roman" w:hAnsi="Arial Narrow" w:cs="Times New Roman"/>
                <w:noProof/>
                <w:color w:val="006100"/>
                <w:kern w:val="0"/>
                <w:sz w:val="20"/>
                <w:szCs w:val="20"/>
                <w:lang w:val="en-IE" w:eastAsia="en-IE"/>
                <w14:ligatures w14:val="none"/>
              </w:rPr>
            </w:pPr>
            <w:r w:rsidRPr="00A36E36">
              <w:rPr>
                <w:rFonts w:ascii="Arial Narrow" w:eastAsia="Times New Roman" w:hAnsi="Arial Narrow" w:cs="Times New Roman"/>
                <w:noProof/>
                <w:color w:val="006100"/>
                <w:kern w:val="0"/>
                <w:sz w:val="20"/>
                <w:szCs w:val="20"/>
                <w:lang w:val="en-IE" w:eastAsia="en-IE"/>
                <w14:ligatures w14:val="none"/>
              </w:rPr>
              <w:t>Italy shall transfer EUR 789 000 000 to the GSE for the Facility. </w:t>
            </w:r>
          </w:p>
        </w:tc>
      </w:tr>
    </w:tbl>
    <w:p w14:paraId="05F9A4D8" w14:textId="77777777" w:rsidR="0039681A" w:rsidRPr="00A36E36" w:rsidRDefault="0039681A" w:rsidP="00351087">
      <w:pPr>
        <w:spacing w:after="0" w:line="240" w:lineRule="auto"/>
        <w:textAlignment w:val="baseline"/>
        <w:rPr>
          <w:rFonts w:ascii="Segoe UI" w:eastAsia="Times New Roman" w:hAnsi="Segoe UI" w:cs="Segoe UI"/>
          <w:noProof/>
          <w:kern w:val="0"/>
          <w:sz w:val="18"/>
          <w:szCs w:val="18"/>
          <w:lang w:val="en-IE" w:eastAsia="en-IE"/>
          <w14:ligatures w14:val="none"/>
        </w:rPr>
      </w:pPr>
      <w:r w:rsidRPr="00A36E36">
        <w:rPr>
          <w:rFonts w:ascii="Aptos" w:eastAsia="Times New Roman" w:hAnsi="Aptos" w:cs="Segoe UI"/>
          <w:noProof/>
          <w:kern w:val="0"/>
          <w:sz w:val="24"/>
          <w:szCs w:val="24"/>
          <w:lang w:val="en-IE" w:eastAsia="en-IE"/>
          <w14:ligatures w14:val="none"/>
        </w:rPr>
        <w:t> </w:t>
      </w:r>
    </w:p>
    <w:p w14:paraId="46102735" w14:textId="77777777" w:rsidR="003869FD" w:rsidRDefault="003869FD">
      <w:pPr>
        <w:rPr>
          <w:noProof/>
          <w:lang w:val="en-IE"/>
        </w:rPr>
        <w:sectPr w:rsidR="003869FD" w:rsidSect="003869FD">
          <w:headerReference w:type="even" r:id="rId75"/>
          <w:headerReference w:type="default" r:id="rId76"/>
          <w:footerReference w:type="default" r:id="rId77"/>
          <w:headerReference w:type="first" r:id="rId78"/>
          <w:pgSz w:w="16838" w:h="11906" w:orient="landscape"/>
          <w:pgMar w:top="1440" w:right="1440" w:bottom="1440" w:left="1440" w:header="708" w:footer="708" w:gutter="0"/>
          <w:cols w:space="708"/>
          <w:docGrid w:linePitch="360"/>
        </w:sectPr>
      </w:pPr>
    </w:p>
    <w:p w14:paraId="08E34AC9" w14:textId="77777777" w:rsidR="0039681A" w:rsidRPr="00A36E36" w:rsidRDefault="0039681A" w:rsidP="00351087">
      <w:pPr>
        <w:pStyle w:val="Heading2"/>
        <w:ind w:left="1080"/>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E. MISSION 2 COMPONENT 2: Energy transition and sustainable mobility</w:t>
      </w:r>
    </w:p>
    <w:p w14:paraId="12B8C6C8"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component of the Italian recovery and resilience plan covers investments and reforms in energy transition. It includes reforms to facilitate the permitting of projects of renewable energy sources. The component contains investments in renewables supply chain, hydrogen power, bio-methane facilities and smart grids. These reforms and investments are complemented by reforms to increase competition in the electricity market in the “business environment” reform component.</w:t>
      </w:r>
    </w:p>
    <w:p w14:paraId="55AE9E41"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component also covers investments and reforms in sustainable mobility. It includes reforms to facilitate the permitting of projects of sustainable mobility. The component contains investments to build cycling paths and metro/tram/bus rapid transit infrastructures and to procure zero-emission buses, rolling stock, firefighting and airport vehicles. These reforms and investments are complemented by reforms to remove regulated prices for electric charging and increase competition in charging point concessions, regional railways and local public transport in the “business environment” reform component. </w:t>
      </w:r>
    </w:p>
    <w:p w14:paraId="26F9F4EA"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investments and reforms under this component shall contribute addressing the country- specific recommendations addressed to Italy in 2020 and 2019 on the need to “focus investment on the green and digital transition, in particular on […] clean and efficient production and use of energy […] sustainable public transport” (CSR 3, 2020) and to “focus investment-related economic policy on […], and the quality of infrastructure, considering also regional disparities” (country- specific recommendation 3, 2019).</w:t>
      </w:r>
    </w:p>
    <w:p w14:paraId="5E356B8E" w14:textId="77777777" w:rsidR="0039681A" w:rsidRPr="00A36E36" w:rsidRDefault="0039681A" w:rsidP="00351087">
      <w:pPr>
        <w:spacing w:before="120" w:after="120" w:line="257" w:lineRule="auto"/>
        <w:jc w:val="both"/>
        <w:rPr>
          <w:rFonts w:ascii="Times New Roman" w:hAnsi="Times New Roman" w:cs="Times New Roman"/>
          <w:noProof/>
          <w:lang w:val="en-IE"/>
        </w:rPr>
      </w:pPr>
      <w:r w:rsidRPr="00A36E36">
        <w:rPr>
          <w:rFonts w:ascii="Times New Roman" w:hAnsi="Times New Roman" w:cs="Times New Roman"/>
          <w:noProof/>
          <w:lang w:val="en-IE"/>
        </w:rPr>
        <w:t>The component supports the guidelines issued to Italy on the implementation of its National Energy and Climate Plan (SWD(2020) 911 final), that were inviting Italy to promoting, revamping and repowering existing renewable installations, in particular existing wind power plants and to explore innovative offshore energy across the Mediterranean.</w:t>
      </w:r>
    </w:p>
    <w:p w14:paraId="426C096B"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45B217C0" w14:textId="77777777" w:rsidR="0039681A" w:rsidRPr="00A36E36" w:rsidRDefault="0039681A" w:rsidP="00351087">
      <w:pPr>
        <w:pStyle w:val="Heading3"/>
        <w:ind w:left="850" w:hanging="850"/>
        <w:rPr>
          <w:rFonts w:ascii="Times New Roman" w:hAnsi="Times New Roman" w:cs="Times New Roman"/>
          <w:b/>
          <w:bCs/>
          <w:i/>
          <w:iCs/>
          <w:noProof/>
          <w:color w:val="156082" w:themeColor="accent1"/>
          <w:u w:val="single"/>
          <w:lang w:val="en-IE"/>
        </w:rPr>
      </w:pPr>
      <w:r w:rsidRPr="00A36E36">
        <w:rPr>
          <w:rFonts w:ascii="Times New Roman" w:hAnsi="Times New Roman" w:cs="Times New Roman"/>
          <w:b/>
          <w:noProof/>
          <w:u w:val="single"/>
          <w:lang w:val="en-IE"/>
        </w:rPr>
        <w:t xml:space="preserve">E.1. </w:t>
      </w:r>
      <w:r w:rsidRPr="00A36E36">
        <w:rPr>
          <w:rFonts w:ascii="Times New Roman" w:hAnsi="Times New Roman" w:cs="Times New Roman"/>
          <w:noProof/>
          <w:lang w:val="en-IE"/>
        </w:rPr>
        <w:tab/>
      </w:r>
      <w:r w:rsidRPr="00A36E36">
        <w:rPr>
          <w:rFonts w:ascii="Times New Roman" w:hAnsi="Times New Roman" w:cs="Times New Roman"/>
          <w:b/>
          <w:noProof/>
          <w:u w:val="single"/>
          <w:lang w:val="en-IE"/>
        </w:rPr>
        <w:t>Description of the reforms and investments for non-repayable financial support</w:t>
      </w:r>
    </w:p>
    <w:p w14:paraId="5C45FE56"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1 - Simplification of authorization procedures for renewable onshore and offshore plants and new legal framework to sustain the production from renewable sources and time and eligibility extension of the current support schemes</w:t>
      </w:r>
    </w:p>
    <w:p w14:paraId="043AFE11" w14:textId="77777777" w:rsidR="0039681A" w:rsidRPr="00647572" w:rsidRDefault="0039681A" w:rsidP="00351087">
      <w:pPr>
        <w:spacing w:before="120" w:after="120"/>
        <w:jc w:val="both"/>
        <w:rPr>
          <w:rFonts w:ascii="Times New Roman" w:hAnsi="Times New Roman" w:cs="Times New Roman"/>
          <w:noProof/>
        </w:rPr>
      </w:pPr>
      <w:r w:rsidRPr="00647572">
        <w:rPr>
          <w:rFonts w:ascii="Times New Roman" w:hAnsi="Times New Roman" w:cs="Times New Roman"/>
          <w:noProof/>
        </w:rPr>
        <w:t>This reform consists in:</w:t>
      </w:r>
    </w:p>
    <w:p w14:paraId="663176F7" w14:textId="77777777" w:rsidR="0039681A" w:rsidRPr="00A36E36" w:rsidRDefault="0039681A" w:rsidP="0039681A">
      <w:pPr>
        <w:numPr>
          <w:ilvl w:val="0"/>
          <w:numId w:val="100"/>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the entry into force of simplification measures for renewable energy source installations and the repowering and revamping of existing plants, in coherence with the provisions of Decree law No. 76 of 17 July 2020 ‘’the Simplifications Decree’’; </w:t>
      </w:r>
    </w:p>
    <w:p w14:paraId="12ADC2B1" w14:textId="77777777" w:rsidR="0039681A" w:rsidRPr="00A36E36" w:rsidRDefault="0039681A" w:rsidP="0039681A">
      <w:pPr>
        <w:numPr>
          <w:ilvl w:val="0"/>
          <w:numId w:val="100"/>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the enactment of a decree, agreed with the Regions and the other State Administrations concerned, aimed at defining criteria for the identification of the areas suitable and not suitable for the installation of renewable energy plants for an additional renewable energy production capacity of at least 73 GW, in coherence with the updated version of the PNIEC, for the achievement of the objectives of development of renewable sources; </w:t>
      </w:r>
    </w:p>
    <w:p w14:paraId="2F12B56D" w14:textId="77777777" w:rsidR="0039681A" w:rsidRPr="00A36E36" w:rsidRDefault="0039681A" w:rsidP="0039681A">
      <w:pPr>
        <w:numPr>
          <w:ilvl w:val="0"/>
          <w:numId w:val="100"/>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the completion of the RES support mechanism also for additional non-mature or with high operating cost technologies and the extension of the auction run period for the so called RES1 mechanism, while maintaining the principle of competitive access; </w:t>
      </w:r>
    </w:p>
    <w:p w14:paraId="7BC6E81E" w14:textId="77777777" w:rsidR="0039681A" w:rsidRDefault="0039681A" w:rsidP="0039681A">
      <w:pPr>
        <w:numPr>
          <w:ilvl w:val="0"/>
          <w:numId w:val="100"/>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provisions to promote investment in storage systems, in the legislative decree transposing Directive (EU) 2019/944 on common rules for the internal market in electricity.</w:t>
      </w:r>
    </w:p>
    <w:p w14:paraId="18C3B8B8" w14:textId="77777777" w:rsidR="0039681A" w:rsidRPr="00A36E36" w:rsidRDefault="0039681A" w:rsidP="00351087">
      <w:pPr>
        <w:spacing w:before="120" w:after="120"/>
        <w:ind w:left="360"/>
        <w:contextualSpacing/>
        <w:jc w:val="both"/>
        <w:rPr>
          <w:rFonts w:ascii="Times New Roman" w:hAnsi="Times New Roman" w:cs="Times New Roman"/>
          <w:noProof/>
          <w:lang w:val="en-IE"/>
        </w:rPr>
      </w:pPr>
    </w:p>
    <w:p w14:paraId="27921B06" w14:textId="77777777" w:rsidR="0039681A" w:rsidRPr="00A36E36" w:rsidRDefault="0039681A" w:rsidP="00351087">
      <w:pPr>
        <w:keepNext/>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2- New legislation to promote renewable gas production and consumption</w:t>
      </w:r>
    </w:p>
    <w:p w14:paraId="2B238727"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reform consists in reinforcing support for clean bio-methane by adopting legislation to increase the scope of bio-methane projects eligible for support and extend the period of time for the availability of grants. The biomethane shall comply with criteria set out in Renewable Energy Directive 2018/2001/EU (REDII) in order to allow the measure to comply with Do-No-Significant-Harm principle and with the relevant requirements of footnote 8 of Annex VI of the Regulation (EU) 2021/241.</w:t>
      </w:r>
    </w:p>
    <w:p w14:paraId="0D04B212"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3 - Administrative simplification and reduction of regulatory barriers to hydrogen deployment</w:t>
      </w:r>
    </w:p>
    <w:p w14:paraId="08301A49" w14:textId="77777777" w:rsidR="0039681A" w:rsidRPr="00647572" w:rsidRDefault="0039681A" w:rsidP="00351087">
      <w:pPr>
        <w:spacing w:before="120" w:after="120"/>
        <w:jc w:val="both"/>
        <w:rPr>
          <w:rFonts w:ascii="Times New Roman" w:hAnsi="Times New Roman" w:cs="Times New Roman"/>
          <w:noProof/>
        </w:rPr>
      </w:pPr>
      <w:r w:rsidRPr="00A36E36">
        <w:rPr>
          <w:rFonts w:ascii="Times New Roman" w:hAnsi="Times New Roman" w:cs="Times New Roman"/>
          <w:noProof/>
          <w:lang w:val="en-IE"/>
        </w:rPr>
        <w:t xml:space="preserve">This reform consists in the entry into force of a legislative framework to promote hydrogen as a renewable source of energy. </w:t>
      </w:r>
      <w:r w:rsidRPr="00647572">
        <w:rPr>
          <w:rFonts w:ascii="Times New Roman" w:hAnsi="Times New Roman" w:cs="Times New Roman"/>
          <w:noProof/>
        </w:rPr>
        <w:t>This legislative framework shall contain:</w:t>
      </w:r>
    </w:p>
    <w:p w14:paraId="386D0968" w14:textId="77777777" w:rsidR="0039681A" w:rsidRPr="00A36E36" w:rsidRDefault="0039681A" w:rsidP="0039681A">
      <w:pPr>
        <w:numPr>
          <w:ilvl w:val="0"/>
          <w:numId w:val="100"/>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Technical safety regulations on production, transport, (technical and regulatory criteria for the introduction of hydrogen into the natural gas network), storage and use of hydrogen;</w:t>
      </w:r>
    </w:p>
    <w:p w14:paraId="4A0EBF09" w14:textId="77777777" w:rsidR="0039681A" w:rsidRPr="00A36E36" w:rsidRDefault="0039681A" w:rsidP="0039681A">
      <w:pPr>
        <w:numPr>
          <w:ilvl w:val="0"/>
          <w:numId w:val="100"/>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A fast-track authorization procedure with a one stop shop procedure to obtain the authorisation to build and operate a small scale hydrogen production plant (for electrolyser facilities of less than 1-5 MW; the storage threshold shall be defined in the aforementioned technical safety regulations of hydrogen). </w:t>
      </w:r>
    </w:p>
    <w:p w14:paraId="32C39775" w14:textId="77777777" w:rsidR="0039681A" w:rsidRPr="00A36E36" w:rsidRDefault="0039681A" w:rsidP="0039681A">
      <w:pPr>
        <w:numPr>
          <w:ilvl w:val="0"/>
          <w:numId w:val="100"/>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Regulation of the participation of hydrogen production plants in network services. The Energy Regulator (ARERA) shall be tasked to issue a specific regulatory measure upon consultation of the stakeholders.</w:t>
      </w:r>
    </w:p>
    <w:p w14:paraId="14963F85" w14:textId="77777777" w:rsidR="0039681A" w:rsidRPr="00A36E36" w:rsidRDefault="0039681A" w:rsidP="0039681A">
      <w:pPr>
        <w:numPr>
          <w:ilvl w:val="0"/>
          <w:numId w:val="100"/>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A system of guarantees of origin for renewable hydrogen in order to give price signals to consumers.</w:t>
      </w:r>
    </w:p>
    <w:p w14:paraId="630F86E3" w14:textId="77777777" w:rsidR="0039681A" w:rsidRPr="00A36E36" w:rsidRDefault="0039681A" w:rsidP="0039681A">
      <w:pPr>
        <w:numPr>
          <w:ilvl w:val="0"/>
          <w:numId w:val="100"/>
        </w:numPr>
        <w:spacing w:before="120" w:after="120"/>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Procedures and/or criteria to define the selected refuelling areas along the motorways for the optimisation of the location of the refuelling stations to create H2 corridors for trucks, starting from the Northern Italian Regions as far as the Po Valley and logistic hubs and the main highways along the peninsula. </w:t>
      </w:r>
    </w:p>
    <w:p w14:paraId="65B6ADCB" w14:textId="77777777" w:rsidR="0039681A" w:rsidRPr="00A36E36" w:rsidRDefault="0039681A" w:rsidP="0039681A">
      <w:pPr>
        <w:numPr>
          <w:ilvl w:val="0"/>
          <w:numId w:val="100"/>
        </w:numPr>
        <w:spacing w:before="120" w:after="120"/>
        <w:ind w:left="357" w:hanging="357"/>
        <w:jc w:val="both"/>
        <w:rPr>
          <w:rFonts w:ascii="Times New Roman" w:hAnsi="Times New Roman" w:cs="Times New Roman"/>
          <w:noProof/>
          <w:lang w:val="en-IE"/>
        </w:rPr>
      </w:pPr>
      <w:r w:rsidRPr="00A36E36">
        <w:rPr>
          <w:rFonts w:ascii="Times New Roman" w:hAnsi="Times New Roman" w:cs="Times New Roman"/>
          <w:noProof/>
          <w:lang w:val="en-IE"/>
        </w:rPr>
        <w:t>The coordination of the 10-year Development plan of the national Transmission System Operator (TSO) with the plans of other European TSOs aimed at the development of common standards for hydrogen transport by means of existing gas pipelines or dedicated pipelines.</w:t>
      </w:r>
    </w:p>
    <w:p w14:paraId="2C364433"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4 - Measures to promote hydrogen competitiveness</w:t>
      </w:r>
    </w:p>
    <w:p w14:paraId="38E3313E"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reform consists in adopting tax measures to incentivise the production and/or utilisation of hydrogen, in line with EU rules about taxation, and transposing RED II Directive. This measure shall support hydrogen production based on electrolysis using renewable energy sources as defined in the Directive (EU) 2018/2001 (renewable Directive) or grid electricity.</w:t>
      </w:r>
    </w:p>
    <w:p w14:paraId="7EE4F3C2" w14:textId="77777777" w:rsidR="0039681A" w:rsidRPr="00A36E36" w:rsidRDefault="0039681A" w:rsidP="00351087">
      <w:pPr>
        <w:spacing w:after="200" w:line="276" w:lineRule="auto"/>
        <w:rPr>
          <w:rFonts w:ascii="Times New Roman" w:hAnsi="Times New Roman" w:cs="Times New Roman"/>
          <w:b/>
          <w:noProof/>
          <w:lang w:val="en-IE"/>
        </w:rPr>
      </w:pPr>
      <w:r w:rsidRPr="00A36E36">
        <w:rPr>
          <w:rFonts w:ascii="Times New Roman" w:hAnsi="Times New Roman" w:cs="Times New Roman"/>
          <w:b/>
          <w:noProof/>
          <w:lang w:val="en-IE"/>
        </w:rPr>
        <w:t>Reform 5 - Smarter procedures for project evaluation in the local public transport systems sector with fixed installations and in the rapid mass transport sector</w:t>
      </w:r>
    </w:p>
    <w:p w14:paraId="30684A52"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reform consists in adopting a legislation assigning clearly responsibilities in the approval of local public transport projects and a simplification of the payment procedure. </w:t>
      </w:r>
    </w:p>
    <w:p w14:paraId="2BF7F48C"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2.1 - Strengthening smart grids</w:t>
      </w:r>
    </w:p>
    <w:p w14:paraId="626D60A5" w14:textId="0F449B6E" w:rsidR="0039681A" w:rsidRPr="00A36E36" w:rsidRDefault="0039681A" w:rsidP="00351087">
      <w:pPr>
        <w:spacing w:before="120" w:after="120"/>
        <w:jc w:val="both"/>
        <w:rPr>
          <w:rFonts w:ascii="Times New Roman" w:hAnsi="Times New Roman" w:cs="Times New Roman"/>
          <w:noProof/>
          <w:lang w:val="en-IE"/>
        </w:rPr>
      </w:pPr>
      <w:r w:rsidRPr="2B5A1C98">
        <w:rPr>
          <w:rFonts w:ascii="Times New Roman" w:hAnsi="Times New Roman" w:cs="Times New Roman"/>
          <w:noProof/>
          <w:lang w:val="en-IE"/>
        </w:rPr>
        <w:t xml:space="preserve">The objective of this investment is the infrastructural upgrade and digitalisation of the electricity distribution grid. The investment consists in providing grants to </w:t>
      </w:r>
      <w:r>
        <w:rPr>
          <w:rFonts w:ascii="Times New Roman" w:hAnsi="Times New Roman" w:cs="Times New Roman"/>
          <w:noProof/>
          <w:lang w:val="en-IE"/>
        </w:rPr>
        <w:t>grid</w:t>
      </w:r>
      <w:r w:rsidRPr="2B5A1C98">
        <w:rPr>
          <w:rFonts w:ascii="Times New Roman" w:hAnsi="Times New Roman" w:cs="Times New Roman"/>
          <w:noProof/>
          <w:lang w:val="en-IE"/>
        </w:rPr>
        <w:t xml:space="preserve"> operators to finance interventions that increase the hosting capacity of the </w:t>
      </w:r>
      <w:r>
        <w:rPr>
          <w:rFonts w:ascii="Times New Roman" w:hAnsi="Times New Roman" w:cs="Times New Roman"/>
          <w:noProof/>
          <w:lang w:val="en-IE"/>
        </w:rPr>
        <w:t>grid</w:t>
      </w:r>
      <w:r w:rsidRPr="2B5A1C98">
        <w:rPr>
          <w:rFonts w:ascii="Times New Roman" w:hAnsi="Times New Roman" w:cs="Times New Roman"/>
          <w:noProof/>
          <w:lang w:val="en-IE"/>
        </w:rPr>
        <w:t xml:space="preserve"> as well as the maximum power delivered for consumption by the grid to households.</w:t>
      </w:r>
    </w:p>
    <w:p w14:paraId="19218637"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2.2 - Interventions to increase the resilience of the power grid</w:t>
      </w:r>
    </w:p>
    <w:p w14:paraId="3626B184" w14:textId="2EFD0891" w:rsidR="0039681A" w:rsidRPr="00A36E36" w:rsidRDefault="0039681A" w:rsidP="00351087">
      <w:pPr>
        <w:spacing w:before="120" w:after="120"/>
        <w:jc w:val="both"/>
        <w:rPr>
          <w:rFonts w:ascii="Times New Roman" w:hAnsi="Times New Roman" w:cs="Times New Roman"/>
          <w:noProof/>
          <w:lang w:val="en-IE"/>
        </w:rPr>
      </w:pPr>
      <w:r w:rsidRPr="477DC6F9">
        <w:rPr>
          <w:rFonts w:ascii="Times New Roman" w:hAnsi="Times New Roman" w:cs="Times New Roman"/>
          <w:noProof/>
          <w:lang w:val="en-IE"/>
        </w:rPr>
        <w:t xml:space="preserve">The objective of this investment is to increase the resilience of the transmission and distribution grid to extreme weather events, hence reducing the probability of prolonged interruptions of electricity supply. The investment consists in providing grants to grid operators for </w:t>
      </w:r>
      <w:r>
        <w:rPr>
          <w:rFonts w:ascii="Times New Roman" w:hAnsi="Times New Roman" w:cs="Times New Roman"/>
          <w:noProof/>
          <w:lang w:val="en-IE"/>
        </w:rPr>
        <w:t>interventions</w:t>
      </w:r>
      <w:r w:rsidRPr="477DC6F9">
        <w:rPr>
          <w:rFonts w:ascii="Times New Roman" w:hAnsi="Times New Roman" w:cs="Times New Roman"/>
          <w:noProof/>
          <w:lang w:val="en-IE"/>
        </w:rPr>
        <w:t xml:space="preserve"> </w:t>
      </w:r>
      <w:r>
        <w:rPr>
          <w:rFonts w:ascii="Times New Roman" w:hAnsi="Times New Roman" w:cs="Times New Roman"/>
          <w:noProof/>
          <w:lang w:val="en-IE"/>
        </w:rPr>
        <w:t xml:space="preserve">corresponding to </w:t>
      </w:r>
      <w:r w:rsidRPr="477DC6F9">
        <w:rPr>
          <w:rFonts w:ascii="Times New Roman" w:hAnsi="Times New Roman" w:cs="Times New Roman"/>
          <w:noProof/>
          <w:lang w:val="en-IE"/>
        </w:rPr>
        <w:t>increas</w:t>
      </w:r>
      <w:r>
        <w:rPr>
          <w:rFonts w:ascii="Times New Roman" w:hAnsi="Times New Roman" w:cs="Times New Roman"/>
          <w:noProof/>
          <w:lang w:val="en-IE"/>
        </w:rPr>
        <w:t>ed</w:t>
      </w:r>
      <w:r w:rsidRPr="477DC6F9">
        <w:rPr>
          <w:rFonts w:ascii="Times New Roman" w:hAnsi="Times New Roman" w:cs="Times New Roman"/>
          <w:noProof/>
          <w:lang w:val="en-IE"/>
        </w:rPr>
        <w:t xml:space="preserve"> resilience of the grid.</w:t>
      </w:r>
    </w:p>
    <w:p w14:paraId="0574DE03"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4.1 - Investment in soft mobility (National Plan of Cycle Path)</w:t>
      </w:r>
    </w:p>
    <w:p w14:paraId="6F75D062" w14:textId="77777777" w:rsidR="0039681A" w:rsidRPr="00A36E36" w:rsidRDefault="0039681A" w:rsidP="00351087">
      <w:pPr>
        <w:spacing w:before="120" w:after="120"/>
        <w:jc w:val="both"/>
        <w:rPr>
          <w:noProof/>
          <w:lang w:val="en-IE"/>
        </w:rPr>
      </w:pPr>
      <w:r w:rsidRPr="27B89EC4">
        <w:rPr>
          <w:rFonts w:ascii="Times New Roman" w:hAnsi="Times New Roman" w:cs="Times New Roman"/>
          <w:noProof/>
          <w:lang w:val="en-IE"/>
        </w:rPr>
        <w:t>The objective of this investment is to build cycle paths to facilitate commuting between locations in metropolitan areas or cities hosting universities, and touristic cycle paths mainly in rural areas. This investment consists in building at least 1 261 km of cycling lanes in metropolitan areas and of tourist cycle paths.</w:t>
      </w:r>
    </w:p>
    <w:p w14:paraId="15C841C1"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4.3 – Installation of charging infrastructures</w:t>
      </w:r>
    </w:p>
    <w:p w14:paraId="3E8F5038" w14:textId="3FACA5A2" w:rsidR="0039681A" w:rsidRPr="00A36E36" w:rsidRDefault="0039681A" w:rsidP="00351087">
      <w:pPr>
        <w:spacing w:before="120" w:after="120"/>
        <w:jc w:val="both"/>
        <w:rPr>
          <w:rFonts w:ascii="Times New Roman" w:hAnsi="Times New Roman" w:cs="Times New Roman"/>
          <w:noProof/>
          <w:lang w:val="en-IE"/>
        </w:rPr>
      </w:pPr>
      <w:r w:rsidRPr="38C28C36">
        <w:rPr>
          <w:rFonts w:ascii="Times New Roman" w:hAnsi="Times New Roman" w:cs="Times New Roman"/>
          <w:noProof/>
          <w:lang w:val="en-IE"/>
        </w:rPr>
        <w:t>The objective of this investment is to support the decarbonisation of the transport sector. This investment consists in financing the installation of charging infrastructure points on freeways or in urban areas.</w:t>
      </w:r>
    </w:p>
    <w:p w14:paraId="1B055CA6" w14:textId="77777777" w:rsidR="0039681A" w:rsidRPr="00A36E36" w:rsidRDefault="0039681A" w:rsidP="00351087">
      <w:pPr>
        <w:spacing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4.4.1 - Strengthening of the regional public transport zero- emission bus fleet</w:t>
      </w:r>
    </w:p>
    <w:p w14:paraId="37BFF9C9"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investment is to reduce greenhouse gases emissions and modernise the public buses fleet. This investment consists in the procurement of zero-emission buses and the installation of charging stations.</w:t>
      </w:r>
    </w:p>
    <w:p w14:paraId="5ADE77AC"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Investment 4.4.3 – Renewal fleet for the National fire brigade command </w:t>
      </w:r>
    </w:p>
    <w:p w14:paraId="23A1F1A7"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investment is to reduce greenhouse gases emissions and modernise the fire-brigade fleet. This investment consists in the procurement of at least 3</w:t>
      </w:r>
      <w:r w:rsidRPr="00A36E36">
        <w:rPr>
          <w:noProof/>
          <w:color w:val="006100"/>
          <w:sz w:val="20"/>
          <w:szCs w:val="20"/>
          <w:lang w:val="en-IE"/>
        </w:rPr>
        <w:t> </w:t>
      </w:r>
      <w:r w:rsidRPr="00A36E36">
        <w:rPr>
          <w:rFonts w:ascii="Times New Roman" w:hAnsi="Times New Roman" w:cs="Times New Roman"/>
          <w:noProof/>
          <w:lang w:val="en-IE"/>
        </w:rPr>
        <w:t>800 vehicles for the National Fire Brigade.</w:t>
      </w:r>
    </w:p>
    <w:p w14:paraId="16C06A4A" w14:textId="77777777" w:rsidR="0039681A" w:rsidRPr="00A36E36" w:rsidRDefault="0039681A" w:rsidP="00351087">
      <w:pPr>
        <w:rPr>
          <w:rFonts w:ascii="Times New Roman" w:hAnsi="Times New Roman" w:cs="Times New Roman"/>
          <w:b/>
          <w:bCs/>
          <w:noProof/>
          <w:lang w:val="en-IE"/>
        </w:rPr>
      </w:pPr>
      <w:r w:rsidRPr="00A36E36">
        <w:rPr>
          <w:rFonts w:ascii="Times New Roman" w:hAnsi="Times New Roman" w:cs="Times New Roman"/>
          <w:b/>
          <w:bCs/>
          <w:noProof/>
          <w:lang w:val="en-IE"/>
        </w:rPr>
        <w:t>Investment 4.5 - Private and light commercial vehicle fleet renewal program with electric vehicles</w:t>
      </w:r>
    </w:p>
    <w:p w14:paraId="6EBA4B75" w14:textId="5D5B1104" w:rsidR="0039681A" w:rsidRPr="00296A6A" w:rsidRDefault="0039681A" w:rsidP="00351087">
      <w:pPr>
        <w:rPr>
          <w:rFonts w:ascii="Times New Roman" w:hAnsi="Times New Roman" w:cs="Times New Roman"/>
          <w:noProof/>
          <w:lang w:val="en-IE"/>
        </w:rPr>
      </w:pPr>
      <w:r w:rsidRPr="03CEC332">
        <w:rPr>
          <w:rFonts w:ascii="Times New Roman" w:hAnsi="Times New Roman" w:cs="Times New Roman"/>
          <w:noProof/>
          <w:lang w:val="en-IE"/>
        </w:rPr>
        <w:t>This investment aims at reducing greenhouse gases and air pollution caused by road transport in urban areas. This investment consists in purchasing zero-emission vehicles and scrapping thermal vehicles.</w:t>
      </w:r>
    </w:p>
    <w:p w14:paraId="7BEDB8A4" w14:textId="77777777" w:rsidR="0039681A" w:rsidRPr="00A36E36" w:rsidRDefault="0039681A" w:rsidP="00351087">
      <w:pPr>
        <w:spacing w:before="120" w:after="120"/>
        <w:jc w:val="both"/>
        <w:rPr>
          <w:rFonts w:ascii="Times New Roman" w:eastAsia="Times New Roman" w:hAnsi="Times New Roman" w:cs="Times New Roman"/>
          <w:b/>
          <w:bCs/>
          <w:noProof/>
          <w:lang w:val="en-IE"/>
        </w:rPr>
      </w:pPr>
      <w:r w:rsidRPr="7912A1D4">
        <w:rPr>
          <w:rFonts w:ascii="Times New Roman" w:eastAsia="Times New Roman" w:hAnsi="Times New Roman" w:cs="Times New Roman"/>
          <w:b/>
          <w:bCs/>
          <w:noProof/>
          <w:lang w:val="en-IE"/>
        </w:rPr>
        <w:t>Investment 5.4 – Equity injection into the Green Transition Fund (“GTF”) managed by CDP Venture Capital SGR</w:t>
      </w:r>
    </w:p>
    <w:p w14:paraId="69D17691" w14:textId="77777777" w:rsidR="0039681A" w:rsidRPr="00A36E36" w:rsidRDefault="0039681A" w:rsidP="00351087">
      <w:pPr>
        <w:spacing w:line="240" w:lineRule="auto"/>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This measure aims at supporting the growth potential of the Italian economy by incentivizing private investments, improving access to finance for start-ups involved in the green transition, and developing the venture capital market in this sector. The measure shall consist of an equity injection of EUR</w:t>
      </w:r>
      <w:r>
        <w:rPr>
          <w:rFonts w:ascii="Times New Roman" w:eastAsia="Times New Roman" w:hAnsi="Times New Roman" w:cs="Times New Roman"/>
          <w:noProof/>
          <w:lang w:val="en-IE"/>
        </w:rPr>
        <w:t> </w:t>
      </w:r>
      <w:r w:rsidRPr="00A36E36">
        <w:rPr>
          <w:rFonts w:ascii="Times New Roman" w:eastAsia="Times New Roman" w:hAnsi="Times New Roman" w:cs="Times New Roman"/>
          <w:noProof/>
          <w:lang w:val="en-IE"/>
        </w:rPr>
        <w:t>250</w:t>
      </w:r>
      <w:r>
        <w:rPr>
          <w:rFonts w:ascii="Times New Roman" w:eastAsia="Times New Roman" w:hAnsi="Times New Roman" w:cs="Times New Roman"/>
          <w:noProof/>
          <w:lang w:val="en-IE"/>
        </w:rPr>
        <w:t> </w:t>
      </w:r>
      <w:r w:rsidRPr="00A36E36">
        <w:rPr>
          <w:rFonts w:ascii="Times New Roman" w:eastAsia="Times New Roman" w:hAnsi="Times New Roman" w:cs="Times New Roman"/>
          <w:noProof/>
          <w:lang w:val="en-IE"/>
        </w:rPr>
        <w:t>000</w:t>
      </w:r>
      <w:r>
        <w:rPr>
          <w:rFonts w:ascii="Times New Roman" w:eastAsia="Times New Roman" w:hAnsi="Times New Roman" w:cs="Times New Roman"/>
          <w:noProof/>
          <w:lang w:val="en-IE"/>
        </w:rPr>
        <w:t> </w:t>
      </w:r>
      <w:r w:rsidRPr="00A36E36">
        <w:rPr>
          <w:rFonts w:ascii="Times New Roman" w:eastAsia="Times New Roman" w:hAnsi="Times New Roman" w:cs="Times New Roman"/>
          <w:noProof/>
          <w:lang w:val="en-IE"/>
        </w:rPr>
        <w:t xml:space="preserve">000 into the Green Transition Fund (“GTF”) managed by CDP Venture Capital SGR. </w:t>
      </w:r>
    </w:p>
    <w:p w14:paraId="23BE96C8" w14:textId="77777777" w:rsidR="0039681A" w:rsidRPr="00AF5341" w:rsidRDefault="0039681A" w:rsidP="00351087">
      <w:pPr>
        <w:pStyle w:val="LegalNumPar2"/>
        <w:numPr>
          <w:ilvl w:val="0"/>
          <w:numId w:val="0"/>
        </w:numPr>
        <w:spacing w:line="259" w:lineRule="auto"/>
        <w:jc w:val="both"/>
        <w:rPr>
          <w:noProof/>
          <w:lang w:val="en-IE"/>
        </w:rPr>
      </w:pPr>
      <w:r w:rsidRPr="00647572">
        <w:rPr>
          <w:rFonts w:ascii="Times New Roman" w:eastAsia="Times New Roman" w:hAnsi="Times New Roman" w:cs="Times New Roman"/>
          <w:noProof/>
          <w:lang w:val="en-GB" w:eastAsia="ja-JP"/>
        </w:rPr>
        <w:t>CDP Venture Capital SGR shall adopt an investment policy for the use of the equity. The investment policy shall include the description of the financial product(s) with the expected type of eligible final beneficiaries that the equity is expected to support, including the expected timeline for the implementation of 15 years and the management fee of maximum 13%.</w:t>
      </w:r>
      <w:r w:rsidRPr="00647572">
        <w:rPr>
          <w:rFonts w:ascii="Times New Roman" w:eastAsia="Times New Roman" w:hAnsi="Times New Roman" w:cs="Times New Roman"/>
          <w:noProof/>
          <w:vertAlign w:val="superscript"/>
          <w:lang w:val="en-GB" w:eastAsia="ja-JP"/>
        </w:rPr>
        <w:footnoteReference w:id="31"/>
      </w:r>
      <w:r w:rsidRPr="00647572">
        <w:rPr>
          <w:rFonts w:ascii="Times New Roman" w:eastAsia="Times New Roman" w:hAnsi="Times New Roman" w:cs="Times New Roman"/>
          <w:noProof/>
          <w:lang w:val="en-GB" w:eastAsia="ja-JP"/>
        </w:rPr>
        <w:t xml:space="preserve"> The GTF shall operate by providing equity, quasi equity, debt or quasi debt support, directly or indirectly.</w:t>
      </w:r>
      <w:r w:rsidRPr="00647572">
        <w:rPr>
          <w:rFonts w:ascii="Times New Roman" w:eastAsia="Times New Roman" w:hAnsi="Times New Roman" w:cs="Times New Roman"/>
          <w:noProof/>
          <w:vertAlign w:val="superscript"/>
          <w:lang w:val="en-GB" w:eastAsia="ja-JP"/>
        </w:rPr>
        <w:footnoteReference w:id="32"/>
      </w:r>
      <w:r w:rsidRPr="00647572">
        <w:rPr>
          <w:rFonts w:ascii="Times New Roman" w:eastAsia="Times New Roman" w:hAnsi="Times New Roman" w:cs="Times New Roman"/>
          <w:noProof/>
          <w:lang w:val="en-GB" w:eastAsia="ja-JP"/>
        </w:rPr>
        <w:t xml:space="preserve"> CDP Venture Capital SGR shall adopt the audit and control system described in the guidelines “Linee Guida per le attività di rendicontazione e controllo dei Fondi DTF e GTF” for the use of the equity. The Investment Policy shall require that financial product(s) that the equity supports comply with the ‘Do no significant harm’ (DNSH) principle as set out in the DNSH Technical Guidance (2021/C58/01). In particular, in the case of general support to start ups, the investment policy shall exclude companies with a substantial focus</w:t>
      </w:r>
      <w:r w:rsidRPr="00647572">
        <w:rPr>
          <w:rFonts w:ascii="Times New Roman" w:eastAsia="Times New Roman" w:hAnsi="Times New Roman" w:cs="Times New Roman"/>
          <w:noProof/>
          <w:vertAlign w:val="superscript"/>
          <w:lang w:val="en-GB" w:eastAsia="ja-JP"/>
        </w:rPr>
        <w:footnoteReference w:id="33"/>
      </w:r>
      <w:r w:rsidRPr="00647572">
        <w:rPr>
          <w:rFonts w:ascii="Times New Roman" w:eastAsia="Times New Roman" w:hAnsi="Times New Roman" w:cs="Times New Roman"/>
          <w:noProof/>
          <w:vertAlign w:val="superscript"/>
          <w:lang w:val="en-GB" w:eastAsia="ja-JP"/>
        </w:rPr>
        <w:t xml:space="preserve"> </w:t>
      </w:r>
      <w:r w:rsidRPr="00647572">
        <w:rPr>
          <w:rFonts w:ascii="Times New Roman" w:eastAsia="Times New Roman" w:hAnsi="Times New Roman" w:cs="Times New Roman"/>
          <w:noProof/>
          <w:lang w:val="en-GB" w:eastAsia="ja-JP"/>
        </w:rPr>
        <w:t>in the following sectors: (i) fossil fuel-based energy production and related activities</w:t>
      </w:r>
      <w:r w:rsidRPr="00647572">
        <w:rPr>
          <w:rFonts w:ascii="Times New Roman" w:eastAsia="Times New Roman" w:hAnsi="Times New Roman" w:cs="Times New Roman"/>
          <w:noProof/>
          <w:vertAlign w:val="superscript"/>
          <w:lang w:val="en-GB" w:eastAsia="ja-JP"/>
        </w:rPr>
        <w:footnoteReference w:id="34"/>
      </w:r>
      <w:r w:rsidRPr="00647572">
        <w:rPr>
          <w:rFonts w:ascii="Times New Roman" w:eastAsia="Times New Roman" w:hAnsi="Times New Roman" w:cs="Times New Roman"/>
          <w:noProof/>
          <w:lang w:val="en-GB" w:eastAsia="ja-JP"/>
        </w:rPr>
        <w:t>; (ii) energy-intensive and/or high CO2-emitting industries</w:t>
      </w:r>
      <w:r w:rsidRPr="00647572">
        <w:rPr>
          <w:rFonts w:ascii="Times New Roman" w:eastAsia="Times New Roman" w:hAnsi="Times New Roman" w:cs="Times New Roman"/>
          <w:noProof/>
          <w:vertAlign w:val="superscript"/>
          <w:lang w:val="en-GB" w:eastAsia="ja-JP"/>
        </w:rPr>
        <w:footnoteReference w:id="35"/>
      </w:r>
      <w:r w:rsidRPr="00647572">
        <w:rPr>
          <w:rFonts w:ascii="Times New Roman" w:eastAsia="Times New Roman" w:hAnsi="Times New Roman" w:cs="Times New Roman"/>
          <w:noProof/>
          <w:lang w:val="en-GB" w:eastAsia="ja-JP"/>
        </w:rPr>
        <w:t>; (iii) production, rental, or sale of polluting vehicles</w:t>
      </w:r>
      <w:r w:rsidRPr="00647572">
        <w:rPr>
          <w:rFonts w:ascii="Times New Roman" w:eastAsia="Times New Roman" w:hAnsi="Times New Roman" w:cs="Times New Roman"/>
          <w:noProof/>
          <w:vertAlign w:val="superscript"/>
          <w:lang w:val="en-GB" w:eastAsia="ja-JP"/>
        </w:rPr>
        <w:footnoteReference w:id="36"/>
      </w:r>
      <w:r w:rsidRPr="00647572">
        <w:rPr>
          <w:rFonts w:ascii="Times New Roman" w:eastAsia="Times New Roman" w:hAnsi="Times New Roman" w:cs="Times New Roman"/>
          <w:noProof/>
          <w:lang w:val="en-GB" w:eastAsia="ja-JP"/>
        </w:rPr>
        <w:t>; (iv) waste collection, waste treatment and disposal</w:t>
      </w:r>
      <w:r w:rsidRPr="00647572">
        <w:rPr>
          <w:rFonts w:ascii="Times New Roman" w:eastAsia="Times New Roman" w:hAnsi="Times New Roman" w:cs="Times New Roman"/>
          <w:noProof/>
          <w:vertAlign w:val="superscript"/>
          <w:lang w:val="en-GB" w:eastAsia="ja-JP"/>
        </w:rPr>
        <w:footnoteReference w:id="37"/>
      </w:r>
      <w:r w:rsidRPr="00647572">
        <w:rPr>
          <w:rFonts w:ascii="Times New Roman" w:eastAsia="Times New Roman" w:hAnsi="Times New Roman" w:cs="Times New Roman"/>
          <w:noProof/>
          <w:lang w:val="en-GB" w:eastAsia="ja-JP"/>
        </w:rPr>
        <w:t>, (v) processing of nuclear fuel, production of nuclear energy. Moreover, the investment policy shall require compliance with the relevant EU and national environmental legislation.</w:t>
      </w:r>
    </w:p>
    <w:p w14:paraId="61AB4508" w14:textId="77777777" w:rsidR="0039681A" w:rsidRPr="003869FD" w:rsidRDefault="0039681A" w:rsidP="00AF5341">
      <w:pPr>
        <w:pStyle w:val="Heading4"/>
        <w:ind w:left="850" w:hanging="850"/>
        <w:rPr>
          <w:rFonts w:ascii="Times New Roman" w:eastAsia="Times New Roman" w:hAnsi="Times New Roman" w:cs="Times New Roman"/>
          <w:noProof/>
          <w:color w:val="auto"/>
          <w:lang w:val="en-GB"/>
        </w:rPr>
      </w:pPr>
      <w:r w:rsidRPr="003869FD">
        <w:rPr>
          <w:rFonts w:ascii="Times New Roman" w:eastAsia="Times New Roman" w:hAnsi="Times New Roman" w:cs="Times New Roman"/>
          <w:b/>
          <w:bCs/>
          <w:i w:val="0"/>
          <w:iCs w:val="0"/>
          <w:noProof/>
          <w:color w:val="auto"/>
          <w:u w:val="single"/>
          <w:lang w:val="en-IE"/>
        </w:rPr>
        <w:t>Investment 5.5. Green tax credit</w:t>
      </w:r>
    </w:p>
    <w:p w14:paraId="02841D99" w14:textId="6B3B9139" w:rsidR="0039681A" w:rsidRPr="0000077A" w:rsidRDefault="0039681A" w:rsidP="00AF5341">
      <w:pPr>
        <w:spacing w:after="120"/>
        <w:jc w:val="both"/>
        <w:rPr>
          <w:rFonts w:ascii="Times New Roman" w:eastAsia="Times New Roman" w:hAnsi="Times New Roman" w:cs="Times New Roman"/>
          <w:noProof/>
          <w:lang w:val="en-GB"/>
        </w:rPr>
      </w:pPr>
      <w:r w:rsidRPr="0000077A">
        <w:rPr>
          <w:rFonts w:ascii="Times New Roman" w:eastAsia="Times New Roman" w:hAnsi="Times New Roman" w:cs="Times New Roman"/>
          <w:noProof/>
          <w:lang w:val="en-IE"/>
        </w:rPr>
        <w:t>The objective of this investment is to support the transition towards energy efficient, sustainable and renewable-based production models for firms. The investment consists in granting a tax credit to firms commensurate with eligible expenses incurred between 1 January 2024 and 31 December 2025, and namely digital assets (4.0 tangible capital goods, 4.0 intangible capital goods</w:t>
      </w:r>
      <w:r w:rsidR="007473DA" w:rsidRPr="0000077A">
        <w:rPr>
          <w:rStyle w:val="FootnoteReference"/>
          <w:rFonts w:ascii="Times New Roman" w:eastAsia="Times New Roman" w:hAnsi="Times New Roman" w:cs="Times New Roman"/>
          <w:noProof/>
          <w:lang w:val="en-IE"/>
        </w:rPr>
        <w:footnoteReference w:id="38"/>
      </w:r>
      <w:r w:rsidRPr="0000077A">
        <w:rPr>
          <w:rFonts w:ascii="Times New Roman" w:eastAsia="Times New Roman" w:hAnsi="Times New Roman" w:cs="Times New Roman"/>
          <w:noProof/>
          <w:lang w:val="en-IE"/>
        </w:rPr>
        <w:t>), and training staff in skills for the green transition.</w:t>
      </w:r>
    </w:p>
    <w:p w14:paraId="21703A52" w14:textId="77777777" w:rsidR="0039681A" w:rsidRPr="00A36E36" w:rsidRDefault="0039681A" w:rsidP="00351087">
      <w:pPr>
        <w:rPr>
          <w:rFonts w:ascii="Times New Roman" w:hAnsi="Times New Roman" w:cs="Times New Roman"/>
          <w:noProof/>
          <w:lang w:val="en-IE"/>
        </w:rPr>
      </w:pPr>
    </w:p>
    <w:p w14:paraId="697A170F" w14:textId="77777777" w:rsidR="0039681A" w:rsidRPr="00A36E36" w:rsidRDefault="0039681A" w:rsidP="00351087">
      <w:pPr>
        <w:rPr>
          <w:rFonts w:ascii="Times New Roman" w:hAnsi="Times New Roman" w:cs="Times New Roman"/>
          <w:noProof/>
          <w:lang w:val="en-IE"/>
        </w:rPr>
        <w:sectPr w:rsidR="0039681A" w:rsidRPr="00A36E36" w:rsidSect="003869FD">
          <w:pgSz w:w="11906" w:h="16838"/>
          <w:pgMar w:top="1440" w:right="1440" w:bottom="1440" w:left="1440" w:header="708" w:footer="708" w:gutter="0"/>
          <w:cols w:space="708"/>
          <w:docGrid w:linePitch="360"/>
        </w:sectPr>
      </w:pPr>
    </w:p>
    <w:p w14:paraId="0BD37EEE"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E.2.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6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682"/>
        <w:gridCol w:w="1110"/>
        <w:gridCol w:w="1391"/>
        <w:gridCol w:w="1374"/>
        <w:gridCol w:w="1267"/>
        <w:gridCol w:w="1003"/>
        <w:gridCol w:w="1391"/>
        <w:gridCol w:w="975"/>
        <w:gridCol w:w="698"/>
        <w:gridCol w:w="3675"/>
      </w:tblGrid>
      <w:tr w:rsidR="0039681A" w:rsidRPr="0070054C" w14:paraId="16037852" w14:textId="77777777" w:rsidTr="00351087">
        <w:trPr>
          <w:trHeight w:val="300"/>
          <w:tblHeader/>
          <w:jc w:val="center"/>
        </w:trPr>
        <w:tc>
          <w:tcPr>
            <w:tcW w:w="1101" w:type="dxa"/>
            <w:vMerge w:val="restart"/>
            <w:shd w:val="clear" w:color="auto" w:fill="BDD7EE"/>
            <w:noWrap/>
            <w:vAlign w:val="center"/>
          </w:tcPr>
          <w:p w14:paraId="4BB93A31"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b/>
                <w:noProof/>
                <w:sz w:val="20"/>
              </w:rPr>
              <w:t>Sequential Number</w:t>
            </w:r>
          </w:p>
        </w:tc>
        <w:tc>
          <w:tcPr>
            <w:tcW w:w="1682" w:type="dxa"/>
            <w:vMerge w:val="restart"/>
            <w:shd w:val="clear" w:color="auto" w:fill="BDD7EE"/>
            <w:noWrap/>
            <w:vAlign w:val="center"/>
          </w:tcPr>
          <w:p w14:paraId="1BFA3974"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b/>
                <w:noProof/>
                <w:sz w:val="20"/>
                <w:lang w:val="en-IE"/>
              </w:rPr>
              <w:t>Related Measure (Reform or Investment)</w:t>
            </w:r>
          </w:p>
        </w:tc>
        <w:tc>
          <w:tcPr>
            <w:tcW w:w="1110" w:type="dxa"/>
            <w:vMerge w:val="restart"/>
            <w:shd w:val="clear" w:color="auto" w:fill="BDD7EE"/>
            <w:noWrap/>
            <w:vAlign w:val="center"/>
          </w:tcPr>
          <w:p w14:paraId="697ACDD6"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b/>
                <w:noProof/>
                <w:sz w:val="20"/>
              </w:rPr>
              <w:t>Milestone / Target</w:t>
            </w:r>
          </w:p>
        </w:tc>
        <w:tc>
          <w:tcPr>
            <w:tcW w:w="1391" w:type="dxa"/>
            <w:vMerge w:val="restart"/>
            <w:shd w:val="clear" w:color="auto" w:fill="BDD7EE"/>
            <w:noWrap/>
            <w:vAlign w:val="center"/>
          </w:tcPr>
          <w:p w14:paraId="27377B83"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b/>
                <w:noProof/>
                <w:sz w:val="20"/>
              </w:rPr>
              <w:t>Name</w:t>
            </w:r>
          </w:p>
        </w:tc>
        <w:tc>
          <w:tcPr>
            <w:tcW w:w="1374" w:type="dxa"/>
            <w:vMerge w:val="restart"/>
            <w:shd w:val="clear" w:color="auto" w:fill="BDD7EE"/>
            <w:noWrap/>
            <w:vAlign w:val="center"/>
          </w:tcPr>
          <w:p w14:paraId="168A123B"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661" w:type="dxa"/>
            <w:gridSpan w:val="3"/>
            <w:shd w:val="clear" w:color="auto" w:fill="BDD7EE"/>
            <w:noWrap/>
            <w:vAlign w:val="center"/>
          </w:tcPr>
          <w:p w14:paraId="49EA196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673" w:type="dxa"/>
            <w:gridSpan w:val="2"/>
            <w:shd w:val="clear" w:color="auto" w:fill="BDD7EE"/>
            <w:noWrap/>
            <w:vAlign w:val="center"/>
          </w:tcPr>
          <w:p w14:paraId="34DD788F"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b/>
                <w:noProof/>
                <w:sz w:val="20"/>
              </w:rPr>
              <w:t>Indicative timeline for completion</w:t>
            </w:r>
          </w:p>
        </w:tc>
        <w:tc>
          <w:tcPr>
            <w:tcW w:w="3675" w:type="dxa"/>
            <w:vMerge w:val="restart"/>
            <w:shd w:val="clear" w:color="auto" w:fill="BDD7EE"/>
            <w:noWrap/>
            <w:vAlign w:val="center"/>
          </w:tcPr>
          <w:p w14:paraId="2F66CE42"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b/>
                <w:noProof/>
                <w:sz w:val="20"/>
                <w:lang w:val="en-IE"/>
              </w:rPr>
              <w:t>Description of each milestone and target</w:t>
            </w:r>
          </w:p>
        </w:tc>
      </w:tr>
      <w:tr w:rsidR="0039681A" w:rsidRPr="00647572" w14:paraId="7733867B" w14:textId="77777777" w:rsidTr="00351087">
        <w:trPr>
          <w:trHeight w:val="300"/>
          <w:tblHeader/>
          <w:jc w:val="center"/>
        </w:trPr>
        <w:tc>
          <w:tcPr>
            <w:tcW w:w="1101" w:type="dxa"/>
            <w:vMerge/>
            <w:noWrap/>
            <w:vAlign w:val="center"/>
          </w:tcPr>
          <w:p w14:paraId="1E2B9A10" w14:textId="77777777" w:rsidR="0039681A" w:rsidRPr="00A36E36" w:rsidRDefault="0039681A" w:rsidP="00351087">
            <w:pPr>
              <w:spacing w:line="276" w:lineRule="auto"/>
              <w:jc w:val="center"/>
              <w:rPr>
                <w:rFonts w:ascii="Arial Narrow" w:hAnsi="Arial Narrow"/>
                <w:noProof/>
                <w:color w:val="006100"/>
                <w:sz w:val="20"/>
                <w:szCs w:val="20"/>
                <w:lang w:val="en-IE"/>
              </w:rPr>
            </w:pPr>
          </w:p>
        </w:tc>
        <w:tc>
          <w:tcPr>
            <w:tcW w:w="1682" w:type="dxa"/>
            <w:vMerge/>
            <w:noWrap/>
            <w:vAlign w:val="center"/>
          </w:tcPr>
          <w:p w14:paraId="09C21B1A" w14:textId="77777777" w:rsidR="0039681A" w:rsidRPr="00A36E36" w:rsidRDefault="0039681A" w:rsidP="00351087">
            <w:pPr>
              <w:spacing w:line="276" w:lineRule="auto"/>
              <w:jc w:val="center"/>
              <w:rPr>
                <w:rFonts w:ascii="Arial Narrow" w:hAnsi="Arial Narrow"/>
                <w:noProof/>
                <w:color w:val="006100"/>
                <w:sz w:val="20"/>
                <w:szCs w:val="20"/>
                <w:lang w:val="en-IE"/>
              </w:rPr>
            </w:pPr>
          </w:p>
        </w:tc>
        <w:tc>
          <w:tcPr>
            <w:tcW w:w="1110" w:type="dxa"/>
            <w:vMerge/>
            <w:noWrap/>
            <w:vAlign w:val="center"/>
          </w:tcPr>
          <w:p w14:paraId="76966C44" w14:textId="77777777" w:rsidR="0039681A" w:rsidRPr="00A36E36" w:rsidRDefault="0039681A" w:rsidP="00351087">
            <w:pPr>
              <w:spacing w:line="276" w:lineRule="auto"/>
              <w:jc w:val="center"/>
              <w:rPr>
                <w:rFonts w:ascii="Arial Narrow" w:hAnsi="Arial Narrow"/>
                <w:noProof/>
                <w:color w:val="006100"/>
                <w:sz w:val="20"/>
                <w:szCs w:val="20"/>
                <w:lang w:val="en-IE"/>
              </w:rPr>
            </w:pPr>
          </w:p>
        </w:tc>
        <w:tc>
          <w:tcPr>
            <w:tcW w:w="1391" w:type="dxa"/>
            <w:vMerge/>
            <w:noWrap/>
            <w:vAlign w:val="center"/>
          </w:tcPr>
          <w:p w14:paraId="03C452E9" w14:textId="77777777" w:rsidR="0039681A" w:rsidRPr="00A36E36" w:rsidRDefault="0039681A" w:rsidP="00351087">
            <w:pPr>
              <w:spacing w:line="276" w:lineRule="auto"/>
              <w:jc w:val="center"/>
              <w:rPr>
                <w:rFonts w:ascii="Arial Narrow" w:hAnsi="Arial Narrow"/>
                <w:noProof/>
                <w:color w:val="006100"/>
                <w:sz w:val="20"/>
                <w:szCs w:val="20"/>
                <w:lang w:val="en-IE"/>
              </w:rPr>
            </w:pPr>
          </w:p>
        </w:tc>
        <w:tc>
          <w:tcPr>
            <w:tcW w:w="1374" w:type="dxa"/>
            <w:vMerge/>
            <w:noWrap/>
            <w:vAlign w:val="center"/>
          </w:tcPr>
          <w:p w14:paraId="1DAD5ED5" w14:textId="77777777" w:rsidR="0039681A" w:rsidRPr="00A36E36" w:rsidRDefault="0039681A" w:rsidP="00351087">
            <w:pPr>
              <w:spacing w:line="276" w:lineRule="auto"/>
              <w:jc w:val="center"/>
              <w:rPr>
                <w:rFonts w:ascii="Arial Narrow" w:hAnsi="Arial Narrow"/>
                <w:noProof/>
                <w:color w:val="006100"/>
                <w:sz w:val="20"/>
                <w:szCs w:val="20"/>
                <w:lang w:val="en-IE"/>
              </w:rPr>
            </w:pPr>
          </w:p>
        </w:tc>
        <w:tc>
          <w:tcPr>
            <w:tcW w:w="1267" w:type="dxa"/>
            <w:shd w:val="clear" w:color="auto" w:fill="BDD7EE"/>
            <w:noWrap/>
            <w:vAlign w:val="center"/>
          </w:tcPr>
          <w:p w14:paraId="1F1BCEF9"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b/>
                <w:noProof/>
                <w:sz w:val="20"/>
              </w:rPr>
              <w:t>Unit of measure</w:t>
            </w:r>
          </w:p>
        </w:tc>
        <w:tc>
          <w:tcPr>
            <w:tcW w:w="1003" w:type="dxa"/>
            <w:shd w:val="clear" w:color="auto" w:fill="BDD7EE"/>
            <w:noWrap/>
            <w:vAlign w:val="center"/>
          </w:tcPr>
          <w:p w14:paraId="08DFE5C6"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b/>
                <w:noProof/>
                <w:sz w:val="20"/>
              </w:rPr>
              <w:t>Baseline</w:t>
            </w:r>
          </w:p>
        </w:tc>
        <w:tc>
          <w:tcPr>
            <w:tcW w:w="1391" w:type="dxa"/>
            <w:shd w:val="clear" w:color="auto" w:fill="BDD7EE"/>
            <w:noWrap/>
            <w:vAlign w:val="center"/>
          </w:tcPr>
          <w:p w14:paraId="107EA311"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b/>
                <w:noProof/>
                <w:sz w:val="20"/>
              </w:rPr>
              <w:t>Goal</w:t>
            </w:r>
          </w:p>
        </w:tc>
        <w:tc>
          <w:tcPr>
            <w:tcW w:w="975" w:type="dxa"/>
            <w:shd w:val="clear" w:color="auto" w:fill="BDD7EE"/>
            <w:noWrap/>
            <w:vAlign w:val="center"/>
          </w:tcPr>
          <w:p w14:paraId="65427740"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b/>
                <w:noProof/>
                <w:sz w:val="20"/>
              </w:rPr>
              <w:t>Quarter</w:t>
            </w:r>
          </w:p>
        </w:tc>
        <w:tc>
          <w:tcPr>
            <w:tcW w:w="698" w:type="dxa"/>
            <w:shd w:val="clear" w:color="auto" w:fill="BDD7EE"/>
            <w:noWrap/>
            <w:vAlign w:val="center"/>
          </w:tcPr>
          <w:p w14:paraId="41E5B54E"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b/>
                <w:noProof/>
                <w:sz w:val="20"/>
              </w:rPr>
              <w:t>Year</w:t>
            </w:r>
          </w:p>
        </w:tc>
        <w:tc>
          <w:tcPr>
            <w:tcW w:w="3675" w:type="dxa"/>
            <w:vMerge/>
            <w:noWrap/>
            <w:vAlign w:val="center"/>
          </w:tcPr>
          <w:p w14:paraId="2469501F" w14:textId="77777777" w:rsidR="0039681A" w:rsidRPr="00647572" w:rsidRDefault="0039681A" w:rsidP="00351087">
            <w:pPr>
              <w:spacing w:after="120"/>
              <w:rPr>
                <w:rFonts w:ascii="Arial Narrow" w:hAnsi="Arial Narrow"/>
                <w:noProof/>
                <w:color w:val="006100"/>
                <w:sz w:val="20"/>
                <w:szCs w:val="20"/>
              </w:rPr>
            </w:pPr>
          </w:p>
        </w:tc>
      </w:tr>
      <w:tr w:rsidR="0039681A" w:rsidRPr="0070054C" w14:paraId="7A0E0DFE"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BB18FE"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BA88F0"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Simplification of authorization procedures for renewable onshore and offshore plants and new legal framework to sustain the production from renewable sources and time and eligibility extension of the current support schemes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242FAA"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54362"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legal framework for the simplification of the authorisation procedures for building-up structures for onshore and off-shore renewable energies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6CA09"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law</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F1A765"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AF855D"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C190D"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79EBFA"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EB102"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2024</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B975BE"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legal framework shall include the following objectives:</w:t>
            </w:r>
          </w:p>
          <w:p w14:paraId="64E6AF98" w14:textId="77777777" w:rsidR="0039681A" w:rsidRPr="00A36E36" w:rsidRDefault="0039681A" w:rsidP="0039681A">
            <w:pPr>
              <w:numPr>
                <w:ilvl w:val="0"/>
                <w:numId w:val="101"/>
              </w:numPr>
              <w:pBdr>
                <w:top w:val="nil"/>
                <w:left w:val="nil"/>
                <w:bottom w:val="nil"/>
                <w:right w:val="nil"/>
                <w:between w:val="nil"/>
              </w:pBdr>
              <w:spacing w:after="0" w:line="240" w:lineRule="auto"/>
              <w:ind w:left="357" w:hanging="357"/>
              <w:rPr>
                <w:rFonts w:ascii="Arial Narrow" w:hAnsi="Arial Narrow"/>
                <w:noProof/>
                <w:color w:val="006100"/>
                <w:sz w:val="20"/>
                <w:szCs w:val="20"/>
                <w:lang w:val="en-IE"/>
              </w:rPr>
            </w:pPr>
            <w:r w:rsidRPr="00A36E36">
              <w:rPr>
                <w:rFonts w:ascii="Arial Narrow" w:hAnsi="Arial Narrow"/>
                <w:noProof/>
                <w:color w:val="006100"/>
                <w:sz w:val="20"/>
                <w:lang w:val="en-IE"/>
              </w:rPr>
              <w:t>the entry into force of simplification measures for renewable energy source installations and the repowering and revamping of existing plants, in coherence with the provisions of Decree law No. 76 of 17 July 2020 ‘’the Simplifications Decree’’;</w:t>
            </w:r>
          </w:p>
          <w:p w14:paraId="00EB558E" w14:textId="77777777" w:rsidR="0039681A" w:rsidRPr="00A36E36" w:rsidRDefault="0039681A" w:rsidP="0039681A">
            <w:pPr>
              <w:numPr>
                <w:ilvl w:val="0"/>
                <w:numId w:val="101"/>
              </w:numPr>
              <w:pBdr>
                <w:top w:val="nil"/>
                <w:left w:val="nil"/>
                <w:bottom w:val="nil"/>
                <w:right w:val="nil"/>
                <w:between w:val="nil"/>
              </w:pBdr>
              <w:spacing w:after="0" w:line="240" w:lineRule="auto"/>
              <w:ind w:left="357" w:hanging="357"/>
              <w:rPr>
                <w:rFonts w:ascii="Arial Narrow" w:hAnsi="Arial Narrow"/>
                <w:noProof/>
                <w:color w:val="006100"/>
                <w:sz w:val="20"/>
                <w:szCs w:val="20"/>
                <w:lang w:val="en-IE"/>
              </w:rPr>
            </w:pPr>
            <w:r w:rsidRPr="00A36E36">
              <w:rPr>
                <w:rFonts w:ascii="Arial Narrow" w:hAnsi="Arial Narrow"/>
                <w:noProof/>
                <w:color w:val="006100"/>
                <w:sz w:val="20"/>
                <w:lang w:val="en-IE"/>
              </w:rPr>
              <w:t>the enactment of a decree, agreed with the Regions and the other State Administrations concerned, aimed at defining criteria for the identification of the areas suitable and not suitable for the installation of renewable energy plants for an additional renewable energy production capacity of at least 73 GW, in coherence with the updated version of the PNIEC, for the achievement of the objectives of development of renewable sources;</w:t>
            </w:r>
          </w:p>
          <w:p w14:paraId="5F3DDB50" w14:textId="77777777" w:rsidR="0039681A" w:rsidRPr="00A36E36" w:rsidRDefault="0039681A" w:rsidP="0039681A">
            <w:pPr>
              <w:numPr>
                <w:ilvl w:val="0"/>
                <w:numId w:val="101"/>
              </w:numPr>
              <w:pBdr>
                <w:top w:val="nil"/>
                <w:left w:val="nil"/>
                <w:bottom w:val="nil"/>
                <w:right w:val="nil"/>
                <w:between w:val="nil"/>
              </w:pBdr>
              <w:spacing w:after="0" w:line="240" w:lineRule="auto"/>
              <w:ind w:left="357" w:hanging="357"/>
              <w:rPr>
                <w:rFonts w:ascii="Arial Narrow" w:hAnsi="Arial Narrow"/>
                <w:noProof/>
                <w:color w:val="006100"/>
                <w:sz w:val="20"/>
                <w:szCs w:val="20"/>
                <w:lang w:val="en-IE"/>
              </w:rPr>
            </w:pPr>
            <w:r w:rsidRPr="00A36E36">
              <w:rPr>
                <w:rFonts w:ascii="Arial Narrow" w:hAnsi="Arial Narrow"/>
                <w:noProof/>
                <w:color w:val="006100"/>
                <w:sz w:val="20"/>
                <w:lang w:val="en-IE"/>
              </w:rPr>
              <w:t>the completion of the RES support mechanism also for additional non-mature or with high operating cost technologies and the extension of the auction run period for the so called RES1 mechanism, while maintaining the principle of competitive access;</w:t>
            </w:r>
          </w:p>
          <w:p w14:paraId="631364C7" w14:textId="77777777" w:rsidR="0039681A" w:rsidRPr="00A36E36" w:rsidRDefault="0039681A" w:rsidP="0039681A">
            <w:pPr>
              <w:numPr>
                <w:ilvl w:val="0"/>
                <w:numId w:val="101"/>
              </w:numPr>
              <w:pBdr>
                <w:top w:val="nil"/>
                <w:left w:val="nil"/>
                <w:bottom w:val="nil"/>
                <w:right w:val="nil"/>
                <w:between w:val="nil"/>
              </w:pBd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lang w:val="en-IE"/>
              </w:rPr>
              <w:t>provisions to promote investment in storage systems, in the legislative decree transposing Directive (EU) 2019/944 on common rules for the internal market in electricity.</w:t>
            </w:r>
          </w:p>
        </w:tc>
      </w:tr>
      <w:tr w:rsidR="0039681A" w:rsidRPr="0070054C" w14:paraId="51308917"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3BB21A"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2C476A"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 New legislation to promote renewable gas production and consumption</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BCA1A6"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9225C2"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Legislative Decree to promote the use of renewable gas for the use of biomethane in the transport, industrial and residential sectors and an Implementing Decree setting out the conditions and criteria in relation to its use and the new incentive system.</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F761E"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Provision in the law indicating the entry into force of the law </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23334A"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 xml:space="preserve">N/A </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73884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40094C"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B18BF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535706"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2021</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3E6848"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legislative decree shall include, in particular:</w:t>
            </w:r>
          </w:p>
          <w:p w14:paraId="40336999"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1-legislative amendment for a simplified authorization process and modification of the current grants mechanism in order (i) to widen the eligibility perimeter and (ii) to extend the grants availability period and (iii) foresee the feed in tariff mechanism and the Guarantee of Origin for renewable gas</w:t>
            </w:r>
          </w:p>
          <w:p w14:paraId="0F66EB73"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 xml:space="preserve">2-The transposition of the REDII directive by legislative decree </w:t>
            </w:r>
          </w:p>
          <w:p w14:paraId="7A635E96"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3-The general coordination would be accomplished by Ministero della Transizione Ecologica (MiTE), with the support of the other Administrations with advisory functions: Ministry of Agriculture (MIPAAF), Ministry of Economics and Finance (MEF) and Gestore Servizi Energetici.</w:t>
            </w:r>
          </w:p>
        </w:tc>
      </w:tr>
      <w:tr w:rsidR="0039681A" w:rsidRPr="0070054C" w14:paraId="731E118B"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082713"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CFD713"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Investment 2.1 Strengthening smart grids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7ABF35"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061CC8"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to increase the network capacity</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8B1E45"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14E90C"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D631B"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FAC1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49F1C9"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CD6711"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7AFC0"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to increase the network capacity for the distribution of renewable energy and for the electrification of energy consumption</w:t>
            </w:r>
          </w:p>
        </w:tc>
      </w:tr>
      <w:tr w:rsidR="0039681A" w:rsidRPr="0070054C" w14:paraId="1BED41AA"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93F58F"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M2C2-10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06DA7"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Investment 2.1 Strengthening smart grids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BB7F6D"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1457AE" w14:textId="54DF32FD" w:rsidR="0039681A" w:rsidRPr="00A36E36" w:rsidRDefault="0039681A" w:rsidP="0035108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Increase</w:t>
            </w:r>
            <w:r>
              <w:rPr>
                <w:rFonts w:ascii="Arial Narrow" w:hAnsi="Arial Narrow"/>
                <w:noProof/>
                <w:color w:val="006100"/>
                <w:sz w:val="20"/>
                <w:lang w:val="en-IE"/>
              </w:rPr>
              <w:t xml:space="preserve"> in the</w:t>
            </w:r>
            <w:r w:rsidRPr="00A36E36">
              <w:rPr>
                <w:rFonts w:ascii="Arial Narrow" w:hAnsi="Arial Narrow"/>
                <w:noProof/>
                <w:color w:val="006100"/>
                <w:sz w:val="20"/>
                <w:lang w:val="en-IE"/>
              </w:rPr>
              <w:t xml:space="preserve"> network </w:t>
            </w:r>
            <w:r>
              <w:rPr>
                <w:rFonts w:ascii="Arial Narrow" w:hAnsi="Arial Narrow"/>
                <w:noProof/>
                <w:color w:val="006100"/>
                <w:sz w:val="20"/>
                <w:lang w:val="en-IE"/>
              </w:rPr>
              <w:t xml:space="preserve">hosting </w:t>
            </w:r>
            <w:r w:rsidRPr="00A36E36">
              <w:rPr>
                <w:rFonts w:ascii="Arial Narrow" w:hAnsi="Arial Narrow"/>
                <w:noProof/>
                <w:color w:val="006100"/>
                <w:sz w:val="20"/>
                <w:lang w:val="en-IE"/>
              </w:rPr>
              <w:t>capacity and</w:t>
            </w:r>
            <w:r w:rsidR="00381DB1">
              <w:rPr>
                <w:rFonts w:ascii="Arial Narrow" w:hAnsi="Arial Narrow"/>
                <w:noProof/>
                <w:color w:val="006100"/>
                <w:sz w:val="20"/>
                <w:lang w:val="en-IE"/>
              </w:rPr>
              <w:t xml:space="preserve"> </w:t>
            </w:r>
            <w:r>
              <w:rPr>
                <w:rFonts w:ascii="Arial Narrow" w:hAnsi="Arial Narrow"/>
                <w:noProof/>
                <w:color w:val="006100"/>
                <w:sz w:val="20"/>
                <w:lang w:val="en-IE"/>
              </w:rPr>
              <w:t>maximum power delivered for</w:t>
            </w:r>
            <w:r w:rsidRPr="00A36E36">
              <w:rPr>
                <w:rFonts w:ascii="Arial Narrow" w:hAnsi="Arial Narrow"/>
                <w:noProof/>
                <w:color w:val="006100"/>
                <w:sz w:val="20"/>
                <w:lang w:val="en-IE"/>
              </w:rPr>
              <w:t>consumption</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49B4F" w14:textId="175EF7B6" w:rsidR="0039681A" w:rsidRPr="00A36E36" w:rsidRDefault="0039681A" w:rsidP="00351087">
            <w:pPr>
              <w:spacing w:line="276" w:lineRule="auto"/>
              <w:jc w:val="center"/>
              <w:rPr>
                <w:rFonts w:ascii="Arial Narrow" w:eastAsia="Arial Narrow" w:hAnsi="Arial Narrow" w:cs="Arial Narrow"/>
                <w:noProof/>
                <w:sz w:val="20"/>
                <w:szCs w:val="20"/>
                <w:lang w:val="en-IE"/>
              </w:rPr>
            </w:pPr>
            <w:r w:rsidRPr="03034D7C">
              <w:rPr>
                <w:rFonts w:ascii="Arial Narrow" w:hAnsi="Arial Narrow"/>
                <w:noProof/>
                <w:color w:val="006100"/>
                <w:sz w:val="20"/>
                <w:szCs w:val="20"/>
                <w:lang w:val="en-IE"/>
              </w:rPr>
              <w:t>Interventions carried out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6EB28" w14:textId="77777777" w:rsidR="0039681A" w:rsidRPr="00A36E36" w:rsidRDefault="0039681A" w:rsidP="00351087">
            <w:pPr>
              <w:spacing w:line="276" w:lineRule="auto"/>
              <w:jc w:val="center"/>
              <w:rPr>
                <w:rFonts w:ascii="Arial Narrow" w:hAnsi="Arial Narrow"/>
                <w:noProof/>
                <w:color w:val="006100"/>
                <w:sz w:val="20"/>
                <w:szCs w:val="20"/>
                <w:lang w:val="en-IE"/>
              </w:rPr>
            </w:pPr>
            <w:r w:rsidRPr="6678131C">
              <w:rPr>
                <w:rFonts w:ascii="Arial Narrow" w:hAnsi="Arial Narrow"/>
                <w:noProof/>
                <w:color w:val="006100"/>
                <w:sz w:val="20"/>
                <w:szCs w:val="20"/>
                <w:lang w:val="en-IE"/>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2845FC" w14:textId="77777777" w:rsidR="0039681A" w:rsidRPr="00A36E36" w:rsidRDefault="0039681A" w:rsidP="00351087">
            <w:pPr>
              <w:spacing w:line="276" w:lineRule="auto"/>
              <w:jc w:val="center"/>
              <w:rPr>
                <w:rFonts w:ascii="Arial Narrow" w:hAnsi="Arial Narrow"/>
                <w:noProof/>
                <w:color w:val="006100"/>
                <w:sz w:val="20"/>
                <w:szCs w:val="20"/>
                <w:lang w:val="en-IE"/>
              </w:rPr>
            </w:pPr>
            <w:r w:rsidRPr="536BDC9B">
              <w:rPr>
                <w:rFonts w:ascii="Arial Narrow" w:hAnsi="Arial Narrow"/>
                <w:noProof/>
                <w:color w:val="006100"/>
                <w:sz w:val="20"/>
                <w:szCs w:val="20"/>
                <w:lang w:val="en-IE"/>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1901D" w14:textId="77777777" w:rsidR="0039681A" w:rsidRPr="00A36E36" w:rsidRDefault="0039681A" w:rsidP="00351087">
            <w:pPr>
              <w:spacing w:line="276" w:lineRule="auto"/>
              <w:jc w:val="center"/>
              <w:rPr>
                <w:rFonts w:ascii="Arial Narrow" w:hAnsi="Arial Narrow"/>
                <w:noProof/>
                <w:color w:val="006100"/>
                <w:sz w:val="20"/>
                <w:szCs w:val="20"/>
                <w:lang w:val="en-IE"/>
              </w:rPr>
            </w:pPr>
            <w:r w:rsidRPr="6678131C">
              <w:rPr>
                <w:rFonts w:ascii="Arial Narrow" w:hAnsi="Arial Narrow"/>
                <w:noProof/>
                <w:color w:val="006100"/>
                <w:sz w:val="20"/>
                <w:szCs w:val="20"/>
                <w:lang w:val="en-IE"/>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291E2"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3373C7"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D699D" w14:textId="3151D124" w:rsidR="0039681A" w:rsidRPr="00A36E36" w:rsidRDefault="0039681A" w:rsidP="00351087">
            <w:pPr>
              <w:rPr>
                <w:rFonts w:ascii="Arial Narrow" w:hAnsi="Arial Narrow"/>
                <w:noProof/>
                <w:color w:val="006100"/>
                <w:sz w:val="20"/>
                <w:szCs w:val="20"/>
                <w:lang w:val="en-IE"/>
              </w:rPr>
            </w:pPr>
            <w:r w:rsidRPr="03034D7C">
              <w:rPr>
                <w:rFonts w:ascii="Arial Narrow" w:hAnsi="Arial Narrow"/>
                <w:noProof/>
                <w:color w:val="006100"/>
                <w:sz w:val="20"/>
                <w:szCs w:val="20"/>
                <w:lang w:val="en-IE"/>
              </w:rPr>
              <w:t>Independent engineer report(s) certifying that interventions have been carried out resulting in:</w:t>
            </w:r>
          </w:p>
          <w:p w14:paraId="6BF9A172" w14:textId="2AD12B9E" w:rsidR="0039681A" w:rsidRPr="00A36E36" w:rsidRDefault="0039681A" w:rsidP="00351087">
            <w:pPr>
              <w:rPr>
                <w:rFonts w:ascii="Arial Narrow" w:hAnsi="Arial Narrow"/>
                <w:noProof/>
                <w:color w:val="006100"/>
                <w:sz w:val="20"/>
                <w:szCs w:val="20"/>
                <w:lang w:val="en-IE"/>
              </w:rPr>
            </w:pPr>
            <w:r w:rsidRPr="03034D7C">
              <w:rPr>
                <w:rFonts w:ascii="Arial Narrow" w:hAnsi="Arial Narrow"/>
                <w:noProof/>
                <w:color w:val="006100"/>
                <w:sz w:val="20"/>
                <w:szCs w:val="20"/>
                <w:lang w:val="en-IE"/>
              </w:rPr>
              <w:t>-an increase of the network hosting capacity by at least 4</w:t>
            </w:r>
            <w:r w:rsidRPr="03034D7C">
              <w:rPr>
                <w:noProof/>
                <w:color w:val="006100"/>
                <w:sz w:val="20"/>
                <w:szCs w:val="20"/>
                <w:lang w:val="en-IE"/>
              </w:rPr>
              <w:t> </w:t>
            </w:r>
            <w:r w:rsidRPr="03034D7C">
              <w:rPr>
                <w:rFonts w:ascii="Arial Narrow" w:hAnsi="Arial Narrow"/>
                <w:noProof/>
                <w:color w:val="006100"/>
                <w:sz w:val="20"/>
                <w:szCs w:val="20"/>
                <w:lang w:val="en-IE"/>
              </w:rPr>
              <w:t xml:space="preserve">000 MW, </w:t>
            </w:r>
          </w:p>
          <w:p w14:paraId="62B38474" w14:textId="35832890" w:rsidR="0039681A" w:rsidRPr="00A36E36" w:rsidRDefault="0039681A" w:rsidP="00351087">
            <w:pPr>
              <w:spacing w:after="120"/>
              <w:rPr>
                <w:rFonts w:ascii="Arial Narrow" w:hAnsi="Arial Narrow"/>
                <w:noProof/>
                <w:color w:val="006100"/>
                <w:sz w:val="20"/>
                <w:szCs w:val="20"/>
                <w:lang w:val="en-IE"/>
              </w:rPr>
            </w:pPr>
            <w:r w:rsidRPr="02B01815">
              <w:rPr>
                <w:rFonts w:ascii="Arial Narrow" w:hAnsi="Arial Narrow"/>
                <w:noProof/>
                <w:color w:val="006100"/>
                <w:sz w:val="20"/>
                <w:szCs w:val="20"/>
                <w:lang w:val="en-IE"/>
              </w:rPr>
              <w:t>-an increase in the maximum power delivered for consumption by the grid for a number of Points Of Delivery corresponding to at least 1 500 000 inhabitants.</w:t>
            </w:r>
          </w:p>
        </w:tc>
      </w:tr>
      <w:tr w:rsidR="0039681A" w:rsidRPr="0070054C" w14:paraId="4062BAD8"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FCE355"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M2C2-12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AA2625"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2.2 Interventions to increase the resilience of power grid</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86336F"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6FE291"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the projects to increase the resilience of the electricity system network</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53CC2F"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the projects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CD1C7E"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AB32A"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481E3C"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CC4AF"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D21BBB"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EAA94"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Award of the projects to increase the resilience of at least 4 000 km in the electricity system network so as to reduce the frequency and duration of energy cuts arising from extreme weather conditions.</w:t>
            </w:r>
          </w:p>
        </w:tc>
      </w:tr>
      <w:tr w:rsidR="0039681A" w:rsidRPr="0070054C" w14:paraId="6F36C0CE"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A6CA76"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M2C2-13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1CA1C" w14:textId="77777777" w:rsidR="0039681A" w:rsidRPr="00A36E36" w:rsidRDefault="0039681A" w:rsidP="0035108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Investment 2.2 Interventions to increase the resilience of power grid</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A38BAF" w14:textId="03B7DFD4" w:rsidR="0039681A" w:rsidRPr="00647572" w:rsidRDefault="0039681A" w:rsidP="00351087">
            <w:pPr>
              <w:spacing w:line="276" w:lineRule="auto"/>
              <w:jc w:val="center"/>
              <w:rPr>
                <w:rFonts w:ascii="Arial Narrow" w:hAnsi="Arial Narrow"/>
                <w:noProof/>
                <w:color w:val="006100"/>
                <w:sz w:val="20"/>
              </w:rPr>
            </w:pPr>
            <w:r>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32878C" w14:textId="40126E61" w:rsidR="0039681A" w:rsidRPr="00A36E36" w:rsidRDefault="0039681A" w:rsidP="0035108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Increase the resilience of the</w:t>
            </w:r>
            <w:r>
              <w:rPr>
                <w:rFonts w:ascii="Arial Narrow" w:hAnsi="Arial Narrow"/>
                <w:noProof/>
                <w:color w:val="006100"/>
                <w:sz w:val="20"/>
                <w:lang w:val="en-IE"/>
              </w:rPr>
              <w:t>electric grid</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6F0EF" w14:textId="1E215914" w:rsidR="0039681A" w:rsidRPr="00AF5341" w:rsidRDefault="0039681A" w:rsidP="00351087">
            <w:pPr>
              <w:spacing w:line="276" w:lineRule="auto"/>
              <w:jc w:val="center"/>
              <w:rPr>
                <w:rFonts w:ascii="Arial Narrow" w:hAnsi="Arial Narrow"/>
                <w:noProof/>
                <w:color w:val="006100"/>
                <w:sz w:val="20"/>
                <w:szCs w:val="20"/>
                <w:lang w:val="en-IE"/>
              </w:rPr>
            </w:pPr>
            <w:r w:rsidRPr="03034D7C">
              <w:rPr>
                <w:rFonts w:ascii="Arial Narrow" w:hAnsi="Arial Narrow"/>
                <w:noProof/>
                <w:color w:val="006100"/>
                <w:sz w:val="20"/>
                <w:szCs w:val="20"/>
                <w:lang w:val="en-IE"/>
              </w:rPr>
              <w:t>Interventions carried out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D5C9F4" w14:textId="006325F1" w:rsidR="0039681A" w:rsidRPr="00647572" w:rsidRDefault="0039681A" w:rsidP="00351087">
            <w:pPr>
              <w:spacing w:line="276" w:lineRule="auto"/>
              <w:jc w:val="center"/>
              <w:rPr>
                <w:rFonts w:ascii="Arial Narrow" w:hAnsi="Arial Narrow"/>
                <w:noProof/>
                <w:color w:val="006100"/>
                <w:sz w:val="20"/>
                <w:szCs w:val="20"/>
              </w:rPr>
            </w:pPr>
            <w:r w:rsidRPr="322A42A0">
              <w:rPr>
                <w:rFonts w:ascii="Arial Narrow" w:hAnsi="Arial Narrow"/>
                <w:noProof/>
                <w:color w:val="006100"/>
                <w:sz w:val="20"/>
                <w:szCs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B17A44" w14:textId="76B34193" w:rsidR="0039681A" w:rsidRPr="00647572" w:rsidRDefault="0039681A" w:rsidP="00351087">
            <w:pPr>
              <w:spacing w:line="276" w:lineRule="auto"/>
              <w:jc w:val="center"/>
              <w:rPr>
                <w:rFonts w:ascii="Arial Narrow" w:hAnsi="Arial Narrow"/>
                <w:noProof/>
                <w:color w:val="006100"/>
                <w:sz w:val="20"/>
                <w:szCs w:val="20"/>
              </w:rPr>
            </w:pPr>
            <w:r w:rsidRPr="322A42A0">
              <w:rPr>
                <w:rFonts w:ascii="Arial Narrow" w:hAnsi="Arial Narrow"/>
                <w:noProof/>
                <w:color w:val="006100"/>
                <w:sz w:val="20"/>
                <w:szCs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AC80BB" w14:textId="55E798FE" w:rsidR="0039681A" w:rsidRPr="00647572" w:rsidRDefault="0039681A" w:rsidP="00351087">
            <w:pPr>
              <w:spacing w:line="276" w:lineRule="auto"/>
              <w:jc w:val="center"/>
              <w:rPr>
                <w:rFonts w:ascii="Arial Narrow" w:hAnsi="Arial Narrow"/>
                <w:noProof/>
                <w:color w:val="006100"/>
                <w:sz w:val="20"/>
                <w:szCs w:val="20"/>
              </w:rPr>
            </w:pPr>
            <w:r w:rsidRPr="322A42A0">
              <w:rPr>
                <w:rFonts w:ascii="Arial Narrow" w:hAnsi="Arial Narrow"/>
                <w:noProof/>
                <w:color w:val="006100"/>
                <w:sz w:val="20"/>
                <w:szCs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D373DB"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105DF1"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F0C808" w14:textId="616603B0" w:rsidR="0039681A" w:rsidRPr="00A36E36" w:rsidRDefault="0039681A" w:rsidP="00351087">
            <w:pPr>
              <w:spacing w:after="120"/>
              <w:rPr>
                <w:rFonts w:ascii="Arial Narrow" w:hAnsi="Arial Narrow"/>
                <w:noProof/>
                <w:color w:val="006100"/>
                <w:sz w:val="20"/>
                <w:szCs w:val="20"/>
                <w:lang w:val="en-IE"/>
              </w:rPr>
            </w:pPr>
            <w:r w:rsidRPr="03034D7C">
              <w:rPr>
                <w:rFonts w:ascii="Arial Narrow" w:hAnsi="Arial Narrow"/>
                <w:noProof/>
                <w:color w:val="006100"/>
                <w:sz w:val="20"/>
                <w:szCs w:val="20"/>
                <w:lang w:val="en-IE"/>
              </w:rPr>
              <w:t>Independent engineer report(s) certifying that interventions have been carried out corresponding to an increase in the resilience of at least 4 000 km of electric grid.</w:t>
            </w:r>
          </w:p>
        </w:tc>
      </w:tr>
      <w:tr w:rsidR="0039681A" w:rsidRPr="0070054C" w14:paraId="63D42779"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8FA03D"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M2C2-14</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03124F"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3.3 Hydrogen testing for road transport</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24BD9"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849414"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the development of re-charging stations based on hydrogen</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1B1B5"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Notification of the award of (all) public contracts for the development of at least 40 re-charging stations based on hydrogen </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7B62EA"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8E9601"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1D8CE3"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B2C937"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DE1A45"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A2BA5C"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the development of at least 40 re-charging stations based on hydrogen in line with Directive 2014/94/EU on Alternative Fuels Infrastructure.</w:t>
            </w:r>
          </w:p>
        </w:tc>
      </w:tr>
      <w:tr w:rsidR="0039681A" w:rsidRPr="0070054C" w14:paraId="7C39495D"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B34CE"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M2C2-16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25B999"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3.4 Hydrogen testing for railway mobility</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DF89A"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46F380"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Allocation of resources for hydrogen testing for railway mobility</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F8613F"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allocation of resources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78F5E"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3EF0C"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F6A0C2"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226FD"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EA310"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62468C"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Allocation of resources according to the procedures and criteria established to build ten refuelling stations for railway based on hydrogen along six railway lines.</w:t>
            </w:r>
          </w:p>
        </w:tc>
      </w:tr>
      <w:tr w:rsidR="0039681A" w:rsidRPr="0070054C" w14:paraId="5A980A76"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C07331"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M2C2-18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FE2C3"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3.5 Hydrogen Research and Development</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7B2304"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FB1191"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R&amp;D contracts to research projects on hydrogen</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DDBB99"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the contracts on hydrogen research and development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72B7D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3BC74"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615FAA"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FFF6F"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716C5"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D16E6B"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R&amp;D contracts, which shall aim to improve knowledge of the implementation of the hydrogen vector in the production, storage and distribution phases. The contracts shall develop at least four dimensions of research:</w:t>
            </w:r>
          </w:p>
          <w:p w14:paraId="4185B319"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a) Green and Clean Hydrogen production</w:t>
            </w:r>
          </w:p>
          <w:p w14:paraId="413490B6"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b) Innovative technologies for hydrogen storage, transport and transformation into derivates and e-fuels</w:t>
            </w:r>
          </w:p>
          <w:p w14:paraId="18A06CA9"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c) Fuel Cells for stationary and mobility application</w:t>
            </w:r>
          </w:p>
          <w:p w14:paraId="5D75615D"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d) Integrated smart management systems to increase the resilience and reliability of intelligent hydrogen-based infrastructures</w:t>
            </w:r>
          </w:p>
          <w:p w14:paraId="7B25220B"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This measure shall support hydrogen production based on electrolysis using renewable energy sources as defined in the Directive (EU) 2018/2001 (renewable Directive) or grid electricity, or hydrogen activities that comply with the life-cycle GHG emissions savings requirement of 73.4% for hydrogen resulting in life-cycle GHG emissions lower than 3tCO2e/tH2 and 70% for hydrogen-based synthetic fuels relative to a fossil fuel comparator of 94g CO2e/MJ in analogy to the approach set out in Article 25(2) of and Annex V to Directive (EU) 2018/2001.</w:t>
            </w:r>
          </w:p>
        </w:tc>
      </w:tr>
      <w:tr w:rsidR="0039681A" w:rsidRPr="0070054C" w14:paraId="4C3C1C05"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6447C"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M2C2-20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E06F0"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3 Administrative simplification and reduction of regulatory barriers to hydrogen deployment</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2D0060"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43EE3"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necessary legislative actions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9D6667"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law</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6E5264"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B790F"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FE6CC"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622B5"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Q1</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EE6AAB"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7F1810"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necessary legislative actions shall set out (i) security provisions in relation to the production, transport and storage of hydrogen, (ii) simplify procedures for the build-up of small structures for the production of green hydrogen and (iii) measures in relation to the conditions to build re-charging stations based on hydrogen.</w:t>
            </w:r>
          </w:p>
          <w:p w14:paraId="31CACD8B"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This measure shall only support hydrogen activities that comply with life cycle GHG emissions savings requirement of 73.4 % for hydrogen resulting in 3 tCO2eq/tH2.</w:t>
            </w:r>
          </w:p>
        </w:tc>
      </w:tr>
      <w:tr w:rsidR="0039681A" w:rsidRPr="0070054C" w14:paraId="4131C86E"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BD371"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M2C2-21</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B77E9"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4 Measures to promote hydrogen competitiveness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3E1A9"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24FD31"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fiscal incentives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1210BF"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law</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196852"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3F239"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3045C7"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1D1AA"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052F96"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FF7C9D" w14:textId="2C20A95B"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law shall set out fiscal incentives to support the production of green hydrogen and to favour the consumption of green hydrogen by the transport sector</w:t>
            </w:r>
            <w:r w:rsidR="003869FD">
              <w:rPr>
                <w:rFonts w:ascii="Arial Narrow" w:hAnsi="Arial Narrow"/>
                <w:noProof/>
                <w:color w:val="006100"/>
                <w:sz w:val="20"/>
                <w:lang w:val="en-IE"/>
              </w:rPr>
              <w:t>.</w:t>
            </w:r>
          </w:p>
          <w:p w14:paraId="105C54E6"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This measure shall only support hydrogen activities that comply with life cycle GHG emissions savings requirement of 73.4 % for hydrogen resulting in 3 tCO2eq/tH2.</w:t>
            </w:r>
          </w:p>
        </w:tc>
      </w:tr>
      <w:tr w:rsidR="0039681A" w:rsidRPr="0070054C" w14:paraId="3B7B7A9B"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E30BBD"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M2C2-22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461B16"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4.1 Investment in soft mobility (National Plan of Cycle Path)</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A1B7E"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4D9E65"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Cycling lanes T1</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C258A5"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CF5E27" w14:textId="77777777" w:rsidR="0039681A" w:rsidRPr="00647572" w:rsidRDefault="0039681A" w:rsidP="00351087">
            <w:pPr>
              <w:spacing w:line="276" w:lineRule="auto"/>
              <w:jc w:val="center"/>
              <w:rPr>
                <w:rFonts w:ascii="Arial Narrow" w:hAnsi="Arial Narrow"/>
                <w:noProof/>
                <w:sz w:val="20"/>
                <w:szCs w:val="20"/>
              </w:rPr>
            </w:pPr>
            <w:r w:rsidRPr="00647572">
              <w:rPr>
                <w:rFonts w:ascii="Arial Narrow" w:hAnsi="Arial Narrow"/>
                <w:noProof/>
                <w:color w:val="006100"/>
                <w:sz w:val="20"/>
              </w:rPr>
              <w:t>Km</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5BB817"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B20D7D"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C6B05"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628D57"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D4F303"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Completion of at least 200 km of cycling lanes in metropolitan areas, as defined in the description of the measure or cities hosting universities.</w:t>
            </w:r>
          </w:p>
        </w:tc>
      </w:tr>
      <w:tr w:rsidR="0039681A" w:rsidRPr="0070054C" w14:paraId="45E37F2C"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B4ED9"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M2C2-23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AC99B3"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4.1 Investment in soft mobility (National Plan of Cycle Path)</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12AB7"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207B48" w14:textId="21A86635" w:rsidR="0039681A" w:rsidRPr="00AF5341" w:rsidRDefault="0039681A" w:rsidP="00351087">
            <w:pPr>
              <w:spacing w:line="276" w:lineRule="auto"/>
              <w:jc w:val="center"/>
              <w:rPr>
                <w:rFonts w:ascii="Arial Narrow" w:hAnsi="Arial Narrow"/>
                <w:noProof/>
                <w:color w:val="006100"/>
                <w:sz w:val="20"/>
                <w:szCs w:val="20"/>
                <w:lang w:val="en-IE"/>
              </w:rPr>
            </w:pPr>
            <w:r w:rsidRPr="00AF5341">
              <w:rPr>
                <w:rFonts w:ascii="Arial Narrow" w:hAnsi="Arial Narrow"/>
                <w:noProof/>
                <w:color w:val="006100"/>
                <w:sz w:val="20"/>
                <w:lang w:val="en-IE"/>
              </w:rPr>
              <w:t>Administrative certificates for the construction of cycling lanes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659F7"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562648" w14:textId="77777777" w:rsidR="0039681A" w:rsidRPr="00647572" w:rsidRDefault="0039681A" w:rsidP="00351087">
            <w:pPr>
              <w:spacing w:line="276" w:lineRule="auto"/>
              <w:jc w:val="center"/>
              <w:rPr>
                <w:rFonts w:ascii="Arial Narrow" w:hAnsi="Arial Narrow"/>
                <w:noProof/>
                <w:sz w:val="20"/>
                <w:szCs w:val="20"/>
              </w:rPr>
            </w:pPr>
            <w:r w:rsidRPr="00647572">
              <w:rPr>
                <w:rFonts w:ascii="Arial Narrow" w:hAnsi="Arial Narrow"/>
                <w:noProof/>
                <w:color w:val="006100"/>
                <w:sz w:val="20"/>
              </w:rPr>
              <w:t>Km</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771EB"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AA3570"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1</w:t>
            </w:r>
            <w:r w:rsidRPr="00647572">
              <w:rPr>
                <w:rFonts w:ascii="Arial Narrow" w:hAnsi="Arial Narrow"/>
                <w:noProof/>
                <w:color w:val="006100"/>
                <w:sz w:val="20"/>
              </w:rPr>
              <w:t> </w:t>
            </w:r>
            <w:r w:rsidRPr="00647572">
              <w:rPr>
                <w:rFonts w:ascii="Arial Narrow" w:hAnsi="Arial Narrow"/>
                <w:noProof/>
                <w:color w:val="006100"/>
                <w:sz w:val="20"/>
                <w:szCs w:val="20"/>
              </w:rPr>
              <w:t>261</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D0E734"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425D61"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052184" w14:textId="14D8E17B" w:rsidR="0039681A" w:rsidRPr="00A36E36" w:rsidRDefault="0039681A" w:rsidP="00351087">
            <w:pPr>
              <w:spacing w:after="120"/>
              <w:rPr>
                <w:rFonts w:ascii="Arial Narrow" w:hAnsi="Arial Narrow"/>
                <w:noProof/>
                <w:color w:val="006100"/>
                <w:sz w:val="20"/>
                <w:szCs w:val="20"/>
                <w:lang w:val="en-IE"/>
              </w:rPr>
            </w:pPr>
            <w:r>
              <w:rPr>
                <w:rFonts w:ascii="Arial Narrow" w:hAnsi="Arial Narrow"/>
                <w:noProof/>
                <w:color w:val="006100"/>
                <w:sz w:val="20"/>
                <w:szCs w:val="20"/>
                <w:lang w:val="en-IE"/>
              </w:rPr>
              <w:t xml:space="preserve">Administrative certificates confirming that </w:t>
            </w:r>
            <w:r w:rsidRPr="00A36E36">
              <w:rPr>
                <w:rFonts w:ascii="Arial Narrow" w:hAnsi="Arial Narrow"/>
                <w:noProof/>
                <w:color w:val="006100"/>
                <w:sz w:val="20"/>
                <w:szCs w:val="20"/>
                <w:lang w:val="en-IE"/>
              </w:rPr>
              <w:t>works for the construction of at least 1</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261 km of cycling lanes in metropolitan areas and of tourist cycle paths</w:t>
            </w:r>
            <w:r>
              <w:rPr>
                <w:rFonts w:ascii="Arial Narrow" w:hAnsi="Arial Narrow"/>
                <w:noProof/>
                <w:color w:val="006100"/>
                <w:sz w:val="20"/>
                <w:szCs w:val="20"/>
                <w:lang w:val="en-IE"/>
              </w:rPr>
              <w:t xml:space="preserve"> have been carried out</w:t>
            </w:r>
            <w:r w:rsidRPr="00A36E36">
              <w:rPr>
                <w:rFonts w:ascii="Arial Narrow" w:hAnsi="Arial Narrow"/>
                <w:noProof/>
                <w:color w:val="006100"/>
                <w:sz w:val="20"/>
                <w:szCs w:val="20"/>
                <w:lang w:val="en-IE"/>
              </w:rPr>
              <w:t>.</w:t>
            </w:r>
          </w:p>
        </w:tc>
      </w:tr>
      <w:tr w:rsidR="0039681A" w:rsidRPr="0070054C" w14:paraId="476309E4"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299FE"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M2C2-27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2A8B66"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4.3 Installation of charging infrastructures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32B7FF"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C999B7"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the installation of charging infrastructures M1</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1AC07E"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the public contracts for the installation of charging infrastructures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5798C2"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8C3566"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E96B9D"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22CB0"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09672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C72FE3"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to build at least 4 700 re-charging stations in urban areas (all municipalities).</w:t>
            </w:r>
          </w:p>
          <w:p w14:paraId="618506CE"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project may also include pilot re-charging stations aimed at storing energy.</w:t>
            </w:r>
          </w:p>
        </w:tc>
      </w:tr>
      <w:tr w:rsidR="0039681A" w:rsidRPr="0070054C" w14:paraId="2E924FA2"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7F4FBD"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M2C2-28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22CC51"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4.3 Installation of charging infrastructures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052447"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4DA45D"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Award of public contracts for the installation of charging infrastructures </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A76531"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public contracts for the installation of charging infrastructures</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E1E7BD"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3F675"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92B435"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18169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2787AF"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2024</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BE74C4" w14:textId="7C0DC99E" w:rsidR="0039681A" w:rsidRPr="00A36E36" w:rsidRDefault="0039681A" w:rsidP="003869FD">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 the contracts to build at least 2</w:t>
            </w:r>
            <w:r w:rsidRPr="00A36E36">
              <w:rPr>
                <w:noProof/>
                <w:color w:val="006100"/>
                <w:sz w:val="20"/>
                <w:lang w:val="en-IE"/>
              </w:rPr>
              <w:t> </w:t>
            </w:r>
            <w:r w:rsidRPr="00A36E36">
              <w:rPr>
                <w:rFonts w:ascii="Arial Narrow" w:hAnsi="Arial Narrow"/>
                <w:noProof/>
                <w:color w:val="006100"/>
                <w:sz w:val="20"/>
                <w:szCs w:val="20"/>
                <w:lang w:val="en-IE"/>
              </w:rPr>
              <w:t>100 fast public charging infrastructure points along freeways and at least 9</w:t>
            </w:r>
            <w:r w:rsidRPr="00A36E36">
              <w:rPr>
                <w:noProof/>
                <w:color w:val="006100"/>
                <w:sz w:val="20"/>
                <w:lang w:val="en-IE"/>
              </w:rPr>
              <w:t> </w:t>
            </w:r>
            <w:r w:rsidRPr="00A36E36">
              <w:rPr>
                <w:rFonts w:ascii="Arial Narrow" w:hAnsi="Arial Narrow"/>
                <w:noProof/>
                <w:color w:val="006100"/>
                <w:sz w:val="20"/>
                <w:szCs w:val="20"/>
                <w:lang w:val="en-IE"/>
              </w:rPr>
              <w:t>900 in urban areas.</w:t>
            </w:r>
          </w:p>
        </w:tc>
      </w:tr>
      <w:tr w:rsidR="0039681A" w:rsidRPr="0070054C" w14:paraId="4446EE2B"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05B7D1"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M2C2-29</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69AF14"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4.3 Installation of charging infrastructures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6E9084"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AB1AB5" w14:textId="437647DB" w:rsidR="0039681A" w:rsidRPr="00A36E36" w:rsidRDefault="0039681A" w:rsidP="00351087">
            <w:pPr>
              <w:spacing w:line="276" w:lineRule="auto"/>
              <w:jc w:val="center"/>
              <w:rPr>
                <w:rFonts w:ascii="Arial Narrow" w:hAnsi="Arial Narrow"/>
                <w:noProof/>
                <w:color w:val="006100"/>
                <w:sz w:val="20"/>
                <w:szCs w:val="20"/>
                <w:lang w:val="en-IE"/>
              </w:rPr>
            </w:pPr>
            <w:r w:rsidRPr="67B928FA">
              <w:rPr>
                <w:rFonts w:ascii="Arial Narrow" w:hAnsi="Arial Narrow"/>
                <w:noProof/>
                <w:color w:val="006100"/>
                <w:sz w:val="20"/>
                <w:szCs w:val="20"/>
                <w:lang w:val="en-IE"/>
              </w:rPr>
              <w:t xml:space="preserve">Number of charging </w:t>
            </w:r>
            <w:r>
              <w:rPr>
                <w:rFonts w:ascii="Arial Narrow" w:hAnsi="Arial Narrow"/>
                <w:noProof/>
                <w:color w:val="006100"/>
                <w:sz w:val="20"/>
                <w:szCs w:val="20"/>
                <w:lang w:val="en-IE"/>
              </w:rPr>
              <w:t xml:space="preserve">infrastructure </w:t>
            </w:r>
            <w:r w:rsidRPr="67B928FA">
              <w:rPr>
                <w:rFonts w:ascii="Arial Narrow" w:hAnsi="Arial Narrow"/>
                <w:noProof/>
                <w:color w:val="006100"/>
                <w:sz w:val="20"/>
                <w:szCs w:val="20"/>
                <w:lang w:val="en-IE"/>
              </w:rPr>
              <w:t xml:space="preserve">points </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C43E1"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34FC70"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C5052B"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640A1A" w14:textId="67E5C7B3" w:rsidR="0039681A" w:rsidRPr="00647572" w:rsidRDefault="0039681A" w:rsidP="00351087">
            <w:pPr>
              <w:spacing w:line="276" w:lineRule="auto"/>
              <w:jc w:val="center"/>
              <w:rPr>
                <w:rFonts w:ascii="Arial Narrow" w:hAnsi="Arial Narrow"/>
                <w:noProof/>
                <w:color w:val="006100"/>
                <w:sz w:val="20"/>
                <w:szCs w:val="20"/>
              </w:rPr>
            </w:pPr>
            <w:r>
              <w:rPr>
                <w:rFonts w:ascii="Arial Narrow" w:hAnsi="Arial Narrow"/>
                <w:noProof/>
                <w:color w:val="006100"/>
                <w:sz w:val="20"/>
                <w:szCs w:val="20"/>
              </w:rPr>
              <w:t>7 028</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46C39"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8AC4F"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7383A" w14:textId="10481C3A" w:rsidR="0039681A" w:rsidRPr="00A36E36" w:rsidRDefault="0039681A" w:rsidP="00351087">
            <w:pPr>
              <w:spacing w:after="120"/>
              <w:jc w:val="both"/>
              <w:rPr>
                <w:rFonts w:ascii="Arial Narrow" w:hAnsi="Arial Narrow"/>
                <w:noProof/>
                <w:color w:val="006100"/>
                <w:sz w:val="20"/>
                <w:szCs w:val="20"/>
                <w:lang w:val="en-IE"/>
              </w:rPr>
            </w:pPr>
            <w:r w:rsidRPr="3EBBAD8F">
              <w:rPr>
                <w:rFonts w:ascii="Arial Narrow" w:hAnsi="Arial Narrow"/>
                <w:noProof/>
                <w:color w:val="006100"/>
                <w:sz w:val="20"/>
                <w:szCs w:val="20"/>
                <w:lang w:val="en-IE"/>
              </w:rPr>
              <w:t>Certificates of installation and acceptance of the connection costs estimate by the developer are provided for at least 7 028 charging infrastructure points for electric vehicles either along freeways or urban areas.</w:t>
            </w:r>
          </w:p>
          <w:p w14:paraId="3054E7A2" w14:textId="77777777" w:rsidR="0039681A" w:rsidRPr="00A36E36" w:rsidRDefault="0039681A" w:rsidP="00351087">
            <w:pPr>
              <w:spacing w:after="120"/>
              <w:jc w:val="both"/>
              <w:rPr>
                <w:rFonts w:ascii="Arial Narrow" w:hAnsi="Arial Narrow"/>
                <w:noProof/>
                <w:color w:val="006100"/>
                <w:sz w:val="20"/>
                <w:szCs w:val="20"/>
                <w:lang w:val="en-IE"/>
              </w:rPr>
            </w:pPr>
            <w:r w:rsidRPr="2202491C">
              <w:rPr>
                <w:rFonts w:ascii="Arial Narrow" w:hAnsi="Arial Narrow"/>
                <w:noProof/>
                <w:color w:val="006100"/>
                <w:sz w:val="20"/>
                <w:szCs w:val="20"/>
                <w:lang w:val="en-IE"/>
              </w:rPr>
              <w:t xml:space="preserve">The charging infrastructure for electric vehicles shall be of at least 175kW in freeways and 90kw in urban areas. </w:t>
            </w:r>
          </w:p>
        </w:tc>
      </w:tr>
      <w:tr w:rsidR="0039681A" w:rsidRPr="0070054C" w14:paraId="51109B2D"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2BC9ED"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M2C2-30</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EE6EED"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4.5 - Private and light commercial vehicle fleet renewal program with electric vehicles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224E3F"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Target </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079B1"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Number of vehicles purchased</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E9349F"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948FE1"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60759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8C0D4E"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30</w:t>
            </w:r>
            <w:r w:rsidRPr="00647572">
              <w:rPr>
                <w:rFonts w:ascii="Arial Narrow" w:hAnsi="Arial Narrow"/>
                <w:noProof/>
                <w:color w:val="006100"/>
                <w:sz w:val="20"/>
              </w:rPr>
              <w:t> </w:t>
            </w:r>
            <w:r w:rsidRPr="00647572">
              <w:rPr>
                <w:rFonts w:ascii="Arial Narrow" w:hAnsi="Arial Narrow"/>
                <w:noProof/>
                <w:color w:val="006100"/>
                <w:sz w:val="20"/>
                <w:szCs w:val="20"/>
              </w:rPr>
              <w:t>830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72EF2"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0C9F0"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4FD5BB" w14:textId="396F9558" w:rsidR="0039681A" w:rsidRPr="00A36E36" w:rsidRDefault="0039681A" w:rsidP="00351087">
            <w:pPr>
              <w:spacing w:after="120"/>
              <w:rPr>
                <w:rFonts w:ascii="Arial Narrow" w:hAnsi="Arial Narrow"/>
                <w:noProof/>
                <w:color w:val="006100"/>
                <w:sz w:val="20"/>
                <w:szCs w:val="20"/>
                <w:lang w:val="en-IE"/>
              </w:rPr>
            </w:pPr>
            <w:r>
              <w:rPr>
                <w:rFonts w:ascii="Arial Narrow" w:hAnsi="Arial Narrow"/>
                <w:noProof/>
                <w:color w:val="006100"/>
                <w:sz w:val="20"/>
                <w:szCs w:val="20"/>
                <w:lang w:val="en-IE"/>
              </w:rPr>
              <w:t>Signature of c</w:t>
            </w:r>
            <w:r w:rsidRPr="00A36E36">
              <w:rPr>
                <w:rFonts w:ascii="Arial Narrow" w:hAnsi="Arial Narrow"/>
                <w:noProof/>
                <w:color w:val="006100"/>
                <w:sz w:val="20"/>
                <w:szCs w:val="20"/>
                <w:lang w:val="en-IE"/>
              </w:rPr>
              <w:t>ontracts for purchase of at least 30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830 zero-emission vehicles.</w:t>
            </w:r>
          </w:p>
          <w:p w14:paraId="67D77E2E" w14:textId="37FCB021" w:rsidR="0039681A" w:rsidRPr="00A36E36" w:rsidRDefault="0039681A" w:rsidP="003869FD">
            <w:pPr>
              <w:spacing w:after="12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For each vehicle</w:t>
            </w:r>
            <w:r>
              <w:rPr>
                <w:rFonts w:ascii="Arial Narrow" w:hAnsi="Arial Narrow"/>
                <w:noProof/>
                <w:color w:val="006100"/>
                <w:sz w:val="20"/>
                <w:szCs w:val="20"/>
                <w:lang w:val="en-IE"/>
              </w:rPr>
              <w:t xml:space="preserve"> purchased</w:t>
            </w:r>
            <w:r w:rsidRPr="00A36E36">
              <w:rPr>
                <w:rFonts w:ascii="Arial Narrow" w:hAnsi="Arial Narrow"/>
                <w:noProof/>
                <w:color w:val="006100"/>
                <w:sz w:val="20"/>
                <w:szCs w:val="20"/>
                <w:lang w:val="en-IE"/>
              </w:rPr>
              <w:t>, a scrapping certificate demo</w:t>
            </w:r>
            <w:r w:rsidR="00586458">
              <w:rPr>
                <w:rFonts w:ascii="Arial Narrow" w:hAnsi="Arial Narrow"/>
                <w:noProof/>
                <w:color w:val="006100"/>
                <w:sz w:val="20"/>
                <w:szCs w:val="20"/>
                <w:lang w:val="en-IE"/>
              </w:rPr>
              <w:t>n</w:t>
            </w:r>
            <w:r w:rsidRPr="00A36E36">
              <w:rPr>
                <w:rFonts w:ascii="Arial Narrow" w:hAnsi="Arial Narrow"/>
                <w:noProof/>
                <w:color w:val="006100"/>
                <w:sz w:val="20"/>
                <w:szCs w:val="20"/>
                <w:lang w:val="en-IE"/>
              </w:rPr>
              <w:t>strating the scrapping of a thermal vehicle shall also be provided.</w:t>
            </w:r>
          </w:p>
        </w:tc>
      </w:tr>
      <w:tr w:rsidR="0039681A" w:rsidRPr="0070054C" w14:paraId="7F5F3A35"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1DFFD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M2C2-33</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CA38F"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4.4.2: Strengthening of the regional public transport railway fleet with zero emission trains and universal service</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B979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035266"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the strengthening of regional public transport railway fleet with zero emission trains and universal service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7CE506"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the contracts for the regional public transport railway fleet with zero emission trains and universal service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6B0C71"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92F29"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2DEC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982E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AFFFD4"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F66A77" w14:textId="77777777" w:rsidR="0039681A" w:rsidRPr="00A36E36" w:rsidRDefault="0039681A" w:rsidP="00351087">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award of all public contracts for the acquisition of zero emission trains</w:t>
            </w:r>
            <w:r w:rsidRPr="00647572">
              <w:rPr>
                <w:rStyle w:val="FootnoteReference"/>
                <w:rFonts w:ascii="Arial Narrow" w:hAnsi="Arial Narrow"/>
                <w:noProof/>
                <w:color w:val="006100"/>
                <w:sz w:val="20"/>
                <w:szCs w:val="20"/>
              </w:rPr>
              <w:footnoteReference w:id="39"/>
            </w:r>
            <w:r w:rsidRPr="00A36E36">
              <w:rPr>
                <w:rFonts w:ascii="Arial Narrow" w:hAnsi="Arial Narrow"/>
                <w:noProof/>
                <w:lang w:val="en-IE"/>
              </w:rPr>
              <w:t>.</w:t>
            </w:r>
          </w:p>
        </w:tc>
      </w:tr>
      <w:tr w:rsidR="0039681A" w:rsidRPr="0070054C" w14:paraId="23F98843"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490170"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szCs w:val="20"/>
              </w:rPr>
              <w:t>M2C2-35</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C8D4AB"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4.4.1: Strengthening of the regional public transport bus fleet with</w:t>
            </w:r>
            <w:r w:rsidRPr="00A36E36">
              <w:rPr>
                <w:rFonts w:ascii="Arial Narrow" w:hAnsi="Arial Narrow"/>
                <w:noProof/>
                <w:sz w:val="20"/>
                <w:lang w:val="en-IE"/>
              </w:rPr>
              <w:t xml:space="preserve"> </w:t>
            </w:r>
            <w:r w:rsidRPr="00A36E36">
              <w:rPr>
                <w:rFonts w:ascii="Arial Narrow" w:hAnsi="Arial Narrow"/>
                <w:noProof/>
                <w:color w:val="006100"/>
                <w:sz w:val="20"/>
                <w:lang w:val="en-IE"/>
              </w:rPr>
              <w:t>zero-emission buses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9379B2"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B05669" w14:textId="77777777" w:rsidR="0039681A" w:rsidRPr="00A36E36" w:rsidRDefault="0039681A" w:rsidP="0035108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Number of zero- emission buses registred T2</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FF58E"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AC025B"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Number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3389F"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800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000441"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3 000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FF8F2"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EE32C2"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E03F5"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Registration of at least 3 000 zero-emission buses.</w:t>
            </w:r>
          </w:p>
          <w:p w14:paraId="408AB2C8"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Eligible buses belong to the M2 and M3 category of vehicles according to UNECE standards and are either electric or hydrogen fuel cell.</w:t>
            </w:r>
          </w:p>
        </w:tc>
      </w:tr>
      <w:tr w:rsidR="0039681A" w:rsidRPr="0070054C" w14:paraId="5F894B0D"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ED3181"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M2C2-35 ter</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91006C" w14:textId="77777777" w:rsidR="0039681A" w:rsidRPr="00A36E36" w:rsidRDefault="0039681A" w:rsidP="00351087">
            <w:pPr>
              <w:spacing w:line="276" w:lineRule="auto"/>
              <w:jc w:val="center"/>
              <w:rPr>
                <w:rFonts w:ascii="Arial Narrow" w:hAnsi="Arial Narrow"/>
                <w:noProof/>
                <w:color w:val="006100"/>
                <w:sz w:val="20"/>
                <w:lang w:val="en-IE"/>
              </w:rPr>
            </w:pPr>
            <w:r w:rsidRPr="00A36E36">
              <w:rPr>
                <w:rFonts w:ascii="Arial Narrow" w:hAnsi="Arial Narrow"/>
                <w:noProof/>
                <w:color w:val="006100"/>
                <w:sz w:val="20"/>
                <w:szCs w:val="20"/>
                <w:lang w:val="en-IE"/>
              </w:rPr>
              <w:t>Investment 4.4.1: Strengthening of the regional public transport bus fleet with zero-emission buses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CA11EB"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E2051" w14:textId="77777777" w:rsidR="0039681A" w:rsidRPr="00A36E36" w:rsidRDefault="0039681A" w:rsidP="0035108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Number of charging points for zero-and low emissions buses</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CA82E4" w14:textId="77777777" w:rsidR="0039681A" w:rsidRPr="00A36E36" w:rsidRDefault="0039681A" w:rsidP="00351087">
            <w:pPr>
              <w:spacing w:line="276" w:lineRule="auto"/>
              <w:jc w:val="center"/>
              <w:rPr>
                <w:rFonts w:ascii="Arial Narrow" w:hAnsi="Arial Narrow"/>
                <w:noProof/>
                <w:color w:val="006100"/>
                <w:sz w:val="20"/>
                <w:szCs w:val="20"/>
                <w:lang w:val="en-IE"/>
              </w:rPr>
            </w:pPr>
            <w:r w:rsidRPr="0163405B">
              <w:rPr>
                <w:rFonts w:ascii="Arial Narrow" w:hAnsi="Arial Narrow"/>
                <w:noProof/>
                <w:color w:val="006100"/>
                <w:sz w:val="20"/>
                <w:szCs w:val="20"/>
                <w:lang w:val="en-IE"/>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C38E6"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Number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EFA1C0"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1D268E"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1</w:t>
            </w:r>
            <w:r w:rsidRPr="00647572">
              <w:rPr>
                <w:noProof/>
                <w:color w:val="006100"/>
                <w:sz w:val="20"/>
              </w:rPr>
              <w:t> </w:t>
            </w:r>
            <w:r w:rsidRPr="00647572">
              <w:rPr>
                <w:rFonts w:ascii="Arial Narrow" w:hAnsi="Arial Narrow"/>
                <w:noProof/>
                <w:color w:val="006100"/>
                <w:sz w:val="20"/>
              </w:rPr>
              <w:t>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5CED53"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97DE4"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2F6D85" w14:textId="2E5B4049" w:rsidR="0039681A" w:rsidRPr="00A36E36" w:rsidRDefault="0039681A" w:rsidP="00351087">
            <w:pPr>
              <w:spacing w:after="120"/>
              <w:rPr>
                <w:rFonts w:ascii="Arial Narrow" w:hAnsi="Arial Narrow"/>
                <w:noProof/>
                <w:color w:val="006100"/>
                <w:sz w:val="20"/>
                <w:lang w:val="en-IE"/>
              </w:rPr>
            </w:pPr>
            <w:r>
              <w:rPr>
                <w:rFonts w:ascii="Arial Narrow" w:hAnsi="Arial Narrow"/>
                <w:noProof/>
                <w:color w:val="006100"/>
                <w:sz w:val="20"/>
                <w:szCs w:val="20"/>
                <w:lang w:val="en-IE"/>
              </w:rPr>
              <w:t xml:space="preserve">Administrative certificates confirming the </w:t>
            </w:r>
            <w:r w:rsidRPr="00A36E36">
              <w:rPr>
                <w:rFonts w:ascii="Arial Narrow" w:hAnsi="Arial Narrow"/>
                <w:noProof/>
                <w:color w:val="006100"/>
                <w:sz w:val="20"/>
                <w:szCs w:val="20"/>
                <w:lang w:val="en-IE"/>
              </w:rPr>
              <w:t xml:space="preserve">installation and </w:t>
            </w:r>
            <w:r w:rsidRPr="2202491C">
              <w:rPr>
                <w:rFonts w:ascii="Arial Narrow" w:hAnsi="Arial Narrow"/>
                <w:noProof/>
                <w:color w:val="006100"/>
                <w:sz w:val="20"/>
                <w:szCs w:val="20"/>
                <w:lang w:val="en-IE"/>
              </w:rPr>
              <w:t>acceptance of the connection costs estimate by the developer</w:t>
            </w:r>
            <w:r w:rsidRPr="00A36E36">
              <w:rPr>
                <w:rFonts w:ascii="Arial Narrow" w:hAnsi="Arial Narrow"/>
                <w:noProof/>
                <w:color w:val="006100"/>
                <w:sz w:val="20"/>
                <w:szCs w:val="20"/>
                <w:lang w:val="en-IE"/>
              </w:rPr>
              <w:t xml:space="preserve"> for at least 1</w:t>
            </w:r>
            <w:r w:rsidRPr="00A36E36">
              <w:rPr>
                <w:noProof/>
                <w:color w:val="006100"/>
                <w:sz w:val="20"/>
                <w:szCs w:val="20"/>
                <w:lang w:val="en-IE"/>
              </w:rPr>
              <w:t> </w:t>
            </w:r>
            <w:r w:rsidRPr="00A36E36">
              <w:rPr>
                <w:rFonts w:ascii="Arial Narrow" w:hAnsi="Arial Narrow"/>
                <w:noProof/>
                <w:color w:val="006100"/>
                <w:sz w:val="20"/>
                <w:szCs w:val="20"/>
                <w:lang w:val="en-IE"/>
              </w:rPr>
              <w:t>000 charging points.</w:t>
            </w:r>
          </w:p>
        </w:tc>
      </w:tr>
      <w:tr w:rsidR="0039681A" w:rsidRPr="0070054C" w14:paraId="1D673648"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11135B"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szCs w:val="20"/>
              </w:rPr>
              <w:t>M2C2-36</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205788"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4.4.3: Renewal fleet for the National fire brigade command</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CAF591"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3B8A93" w14:textId="77777777" w:rsidR="0039681A" w:rsidRPr="00A36E36" w:rsidRDefault="0039681A" w:rsidP="00351087">
            <w:pPr>
              <w:spacing w:line="276" w:lineRule="auto"/>
              <w:jc w:val="center"/>
              <w:rPr>
                <w:rFonts w:ascii="Arial Narrow" w:hAnsi="Arial Narrow"/>
                <w:noProof/>
                <w:color w:val="006100"/>
                <w:sz w:val="20"/>
                <w:lang w:val="en-IE"/>
              </w:rPr>
            </w:pPr>
            <w:r w:rsidRPr="00A36E36">
              <w:rPr>
                <w:rFonts w:ascii="Arial Narrow" w:hAnsi="Arial Narrow"/>
                <w:noProof/>
                <w:color w:val="006100"/>
                <w:sz w:val="20"/>
                <w:lang w:val="en-IE"/>
              </w:rPr>
              <w:t>Number of clean vehicles for the renewal fleet for the National fire brigade command</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400D81"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53017B"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Number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6C89A7"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E98775"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rPr>
              <w:t>3</w:t>
            </w:r>
            <w:r w:rsidRPr="00647572">
              <w:rPr>
                <w:noProof/>
                <w:color w:val="006100"/>
                <w:sz w:val="20"/>
              </w:rPr>
              <w:t> </w:t>
            </w:r>
            <w:r w:rsidRPr="00647572">
              <w:rPr>
                <w:rFonts w:ascii="Arial Narrow" w:hAnsi="Arial Narrow"/>
                <w:noProof/>
                <w:color w:val="006100"/>
                <w:sz w:val="20"/>
              </w:rPr>
              <w:t>800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E91C2"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szCs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2A9BDE" w14:textId="77777777" w:rsidR="0039681A" w:rsidRPr="00647572" w:rsidRDefault="0039681A" w:rsidP="00351087">
            <w:pPr>
              <w:spacing w:line="276" w:lineRule="auto"/>
              <w:jc w:val="center"/>
              <w:rPr>
                <w:rFonts w:ascii="Arial Narrow" w:hAnsi="Arial Narrow"/>
                <w:noProof/>
                <w:color w:val="006100"/>
                <w:sz w:val="20"/>
              </w:rPr>
            </w:pPr>
            <w:r w:rsidRPr="00647572">
              <w:rPr>
                <w:rFonts w:ascii="Arial Narrow" w:hAnsi="Arial Narrow"/>
                <w:noProof/>
                <w:color w:val="006100"/>
                <w:sz w:val="20"/>
                <w:szCs w:val="20"/>
              </w:rPr>
              <w:t>2025</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AA45B4" w14:textId="77777777" w:rsidR="0039681A" w:rsidRPr="00A36E36" w:rsidRDefault="0039681A" w:rsidP="00351087">
            <w:pPr>
              <w:spacing w:after="12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Registration of at least </w:t>
            </w:r>
            <w:r w:rsidRPr="00A36E36" w:rsidDel="6681DCAA">
              <w:rPr>
                <w:rFonts w:ascii="Arial Narrow" w:hAnsi="Arial Narrow"/>
                <w:noProof/>
                <w:color w:val="006100"/>
                <w:sz w:val="20"/>
                <w:szCs w:val="20"/>
                <w:lang w:val="en-IE"/>
              </w:rPr>
              <w:t>3</w:t>
            </w:r>
            <w:r w:rsidRPr="00A36E36">
              <w:rPr>
                <w:rFonts w:ascii="Arial Narrow" w:hAnsi="Arial Narrow"/>
                <w:noProof/>
                <w:color w:val="006100"/>
                <w:sz w:val="20"/>
                <w:lang w:val="en-IE"/>
              </w:rPr>
              <w:t> </w:t>
            </w:r>
            <w:r w:rsidRPr="00A36E36" w:rsidDel="6681DCAA">
              <w:rPr>
                <w:rFonts w:ascii="Arial Narrow" w:hAnsi="Arial Narrow"/>
                <w:noProof/>
                <w:color w:val="006100"/>
                <w:sz w:val="20"/>
                <w:szCs w:val="20"/>
                <w:lang w:val="en-IE"/>
              </w:rPr>
              <w:t>800</w:t>
            </w:r>
            <w:r w:rsidRPr="00A36E36">
              <w:rPr>
                <w:rFonts w:ascii="Arial Narrow" w:hAnsi="Arial Narrow"/>
                <w:noProof/>
                <w:color w:val="006100"/>
                <w:sz w:val="20"/>
                <w:szCs w:val="20"/>
                <w:lang w:val="en-IE"/>
              </w:rPr>
              <w:t xml:space="preserve"> clean vehicles for the renewal fleet for the National fire brigade command.</w:t>
            </w:r>
          </w:p>
          <w:p w14:paraId="3D40CAC1" w14:textId="77777777" w:rsidR="0039681A" w:rsidRPr="00A36E36" w:rsidRDefault="0039681A" w:rsidP="00351087">
            <w:pPr>
              <w:spacing w:after="120"/>
              <w:jc w:val="both"/>
              <w:rPr>
                <w:rFonts w:ascii="Arial Narrow" w:hAnsi="Arial Narrow"/>
                <w:noProof/>
                <w:sz w:val="20"/>
                <w:szCs w:val="20"/>
                <w:lang w:val="en-IE"/>
              </w:rPr>
            </w:pPr>
            <w:r w:rsidRPr="00A36E36">
              <w:rPr>
                <w:rFonts w:ascii="Arial Narrow" w:hAnsi="Arial Narrow"/>
                <w:noProof/>
                <w:color w:val="006100"/>
                <w:sz w:val="20"/>
                <w:szCs w:val="20"/>
                <w:lang w:val="en-IE"/>
              </w:rPr>
              <w:t>At least 3</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500 vehicles shall be 100% electric while the rest shall run on biofuel or biomethane.</w:t>
            </w:r>
          </w:p>
          <w:p w14:paraId="79AF2913" w14:textId="77777777" w:rsidR="0039681A" w:rsidRPr="00A36E36" w:rsidRDefault="0039681A" w:rsidP="00351087">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Biofuel producers shall have to provide certificate(s) (Proof of Sustainability) issued by independent evaluator(s), that are part of voluntary schemes recognized by the Commission or national schemes, in line with Art. 30(1), 30(4) or 30(6) of Directive 2018/2001. </w:t>
            </w:r>
          </w:p>
          <w:p w14:paraId="4FC7AB5F" w14:textId="77777777" w:rsidR="0039681A" w:rsidRPr="00A36E36" w:rsidRDefault="0039681A" w:rsidP="00351087">
            <w:pPr>
              <w:jc w:val="both"/>
              <w:rPr>
                <w:rFonts w:ascii="Arial Narrow" w:hAnsi="Arial Narrow"/>
                <w:noProof/>
                <w:sz w:val="20"/>
                <w:szCs w:val="20"/>
                <w:lang w:val="en-IE"/>
              </w:rPr>
            </w:pPr>
            <w:r w:rsidRPr="00A36E36">
              <w:rPr>
                <w:rFonts w:ascii="Arial Narrow" w:hAnsi="Arial Narrow"/>
                <w:noProof/>
                <w:color w:val="006100"/>
                <w:sz w:val="20"/>
                <w:szCs w:val="20"/>
                <w:lang w:val="en-IE"/>
              </w:rPr>
              <w:t xml:space="preserve">Moreover, the contract signed with the biomethane supplier shall specify that the operator shall purchase guarantee of origin certificates for the expected fuel use. </w:t>
            </w:r>
          </w:p>
          <w:p w14:paraId="3A0643E3"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Vehicles running on biofuel shall be type-approved for B100.</w:t>
            </w:r>
          </w:p>
        </w:tc>
      </w:tr>
      <w:tr w:rsidR="0039681A" w:rsidRPr="0070054C" w14:paraId="17CF6986"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9A2154"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M2C2-37</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D5DB3"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5: Smarter procedures for project evaluation in the local public transport systems sector with fixed installations and in the rapid mass transport sector</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048C2"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F4252E"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Decree Law</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431301"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Decree law</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3CD72C"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17633D"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46F41B"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F6B3A"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916B7C"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2021</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53E9A"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Decree Law shall simplify the evaluation criteria for projects in relation to local public transport and accelerate the design and authorisation process</w:t>
            </w:r>
          </w:p>
        </w:tc>
      </w:tr>
      <w:tr w:rsidR="0039681A" w:rsidRPr="0070054C" w14:paraId="65269A5B"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0FE96A"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M2C2-38</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A2FAB"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Investment 5.1: Renewables and batteries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839ABE"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D47352"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Ministerial Decree</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58D3DA"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Ministerial Decree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C41B79"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5EE386"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4B5B2F"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F5C2D6"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405E64"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71E338"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Ministerial Decree shall identify the amount of available resources, the access requirements of the beneficiaries, the eligibility conditions for programs and projects, the eligible expenses and the form and intensity of aid for the development of high-efficiency PV panels and for the development of batteries.</w:t>
            </w:r>
          </w:p>
        </w:tc>
      </w:tr>
      <w:tr w:rsidR="0039681A" w:rsidRPr="0070054C" w14:paraId="2B8DE14E"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FC8C0C"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M2C2-41</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956CEB"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Investment 5.3: Electric buses</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8054ED"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46F4F8"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Ministerial Decree which identifies the amount of available resources for reaching the purpose of intervention (busses supply chain)</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30A516"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Ministerial Decree indicating the entry into force</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3A1268"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122AF"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C53A3"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2179AC"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Q4</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456CB7"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2021</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6868EB"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Ministerial Decree shall identify the amount of available resources to implement of approximately 45 industrial transformation projects through “Development contracts</w:t>
            </w:r>
          </w:p>
        </w:tc>
      </w:tr>
      <w:tr w:rsidR="0039681A" w:rsidRPr="0070054C" w14:paraId="1858BF32"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093052"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M2C2-42</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8FA276"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5.4: Equity injection into the Green Transition Fund (“GTF”)</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87FA0"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51981"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Signature of the financial Agreement</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5057C9" w14:textId="77777777" w:rsidR="0039681A" w:rsidRPr="00A36E36" w:rsidRDefault="0039681A" w:rsidP="00351087">
            <w:pPr>
              <w:spacing w:line="276"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signature of the financial Agreement</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447F66"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D873E7"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32489"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N/A</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D576B"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0F4777" w14:textId="77777777" w:rsidR="0039681A" w:rsidRPr="00647572" w:rsidRDefault="0039681A" w:rsidP="00351087">
            <w:pPr>
              <w:spacing w:line="276" w:lineRule="auto"/>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355E6C"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Financial Agreement shall set out the indirect investment into finance VC fund managers with investment and enterprises/start up in line with green transition objectives, to expand the capital available to researchers and start-ups, to strengthen the action of active VC funds, to develop new and innovative ventures in partnership with corporates.</w:t>
            </w:r>
          </w:p>
          <w:p w14:paraId="1F7425EF" w14:textId="77777777" w:rsidR="0039681A" w:rsidRPr="00A36E36" w:rsidRDefault="0039681A" w:rsidP="00351087">
            <w:pPr>
              <w:spacing w:after="0"/>
              <w:rPr>
                <w:rFonts w:ascii="Arial Narrow" w:hAnsi="Arial Narrow"/>
                <w:noProof/>
                <w:color w:val="006100"/>
                <w:sz w:val="20"/>
                <w:szCs w:val="20"/>
                <w:lang w:val="en-IE"/>
              </w:rPr>
            </w:pPr>
            <w:r w:rsidRPr="00A36E36">
              <w:rPr>
                <w:rFonts w:ascii="Arial Narrow" w:hAnsi="Arial Narrow"/>
                <w:noProof/>
                <w:color w:val="006100"/>
                <w:sz w:val="20"/>
                <w:lang w:val="en-IE"/>
              </w:rPr>
              <w:t>The financial agreement shall include:</w:t>
            </w:r>
          </w:p>
          <w:p w14:paraId="45E00D5A" w14:textId="77777777" w:rsidR="0039681A" w:rsidRPr="00647572" w:rsidRDefault="0039681A" w:rsidP="0039681A">
            <w:pPr>
              <w:pStyle w:val="ListParagraph"/>
              <w:numPr>
                <w:ilvl w:val="0"/>
                <w:numId w:val="102"/>
              </w:numPr>
              <w:spacing w:after="0" w:line="240" w:lineRule="auto"/>
              <w:ind w:left="296"/>
              <w:contextualSpacing w:val="0"/>
              <w:rPr>
                <w:rFonts w:ascii="Arial Narrow" w:hAnsi="Arial Narrow"/>
                <w:noProof/>
                <w:color w:val="006100"/>
                <w:sz w:val="20"/>
                <w:szCs w:val="20"/>
              </w:rPr>
            </w:pPr>
            <w:r w:rsidRPr="00647572">
              <w:rPr>
                <w:rFonts w:ascii="Arial Narrow" w:hAnsi="Arial Narrow"/>
                <w:noProof/>
                <w:color w:val="006100"/>
                <w:sz w:val="20"/>
              </w:rPr>
              <w:t>an investment policy,</w:t>
            </w:r>
          </w:p>
          <w:p w14:paraId="3F6D1322" w14:textId="77777777" w:rsidR="0039681A" w:rsidRPr="00647572" w:rsidRDefault="0039681A" w:rsidP="0039681A">
            <w:pPr>
              <w:pStyle w:val="ListParagraph"/>
              <w:numPr>
                <w:ilvl w:val="0"/>
                <w:numId w:val="102"/>
              </w:numPr>
              <w:spacing w:after="0" w:line="240" w:lineRule="auto"/>
              <w:ind w:left="296"/>
              <w:contextualSpacing w:val="0"/>
              <w:rPr>
                <w:rFonts w:ascii="Arial Narrow" w:hAnsi="Arial Narrow"/>
                <w:noProof/>
                <w:color w:val="006100"/>
                <w:sz w:val="20"/>
                <w:szCs w:val="20"/>
              </w:rPr>
            </w:pPr>
            <w:r w:rsidRPr="00647572">
              <w:rPr>
                <w:rFonts w:ascii="Arial Narrow" w:hAnsi="Arial Narrow"/>
                <w:noProof/>
                <w:color w:val="006100"/>
                <w:sz w:val="20"/>
              </w:rPr>
              <w:t>eligibility criteria,</w:t>
            </w:r>
          </w:p>
          <w:p w14:paraId="5683C63C" w14:textId="77777777" w:rsidR="0039681A" w:rsidRPr="00A36E36" w:rsidRDefault="0039681A" w:rsidP="00351087">
            <w:pPr>
              <w:spacing w:after="0"/>
              <w:rPr>
                <w:rFonts w:ascii="Arial Narrow" w:hAnsi="Arial Narrow"/>
                <w:noProof/>
                <w:color w:val="006100"/>
                <w:sz w:val="20"/>
                <w:szCs w:val="20"/>
                <w:lang w:val="en-IE"/>
              </w:rPr>
            </w:pPr>
            <w:r w:rsidRPr="00A36E36">
              <w:rPr>
                <w:rFonts w:ascii="Arial Narrow" w:hAnsi="Arial Narrow"/>
                <w:noProof/>
                <w:color w:val="006100"/>
                <w:sz w:val="20"/>
                <w:lang w:val="en-IE"/>
              </w:rPr>
              <w:t>compliance with the ‘Do no significant harm’ Technical Guidance (2021/C58/01) of supported transactions under this measure through the use of sustainability proofing, an exclusion list, and the requirement of compliance with the relevant EU and national environmental legislation.</w:t>
            </w:r>
          </w:p>
        </w:tc>
      </w:tr>
      <w:tr w:rsidR="0039681A" w:rsidRPr="0070054C" w14:paraId="6C38CC00" w14:textId="77777777" w:rsidTr="00351087">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AB9B03" w14:textId="77777777" w:rsidR="0039681A" w:rsidRPr="00324E17" w:rsidRDefault="0039681A" w:rsidP="00324E17">
            <w:pPr>
              <w:spacing w:line="276" w:lineRule="auto"/>
              <w:jc w:val="center"/>
              <w:rPr>
                <w:rFonts w:ascii="Arial Narrow" w:hAnsi="Arial Narrow"/>
                <w:noProof/>
                <w:color w:val="006100"/>
                <w:sz w:val="20"/>
                <w:lang w:val="en-IE"/>
              </w:rPr>
            </w:pPr>
            <w:r w:rsidRPr="00324E17">
              <w:rPr>
                <w:rFonts w:ascii="Arial Narrow" w:hAnsi="Arial Narrow"/>
                <w:noProof/>
                <w:color w:val="006100"/>
                <w:sz w:val="20"/>
                <w:lang w:val="en-IE"/>
              </w:rPr>
              <w:t>M2C2-55</w:t>
            </w:r>
          </w:p>
        </w:tc>
        <w:tc>
          <w:tcPr>
            <w:tcW w:w="16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667E43" w14:textId="77777777" w:rsidR="0039681A" w:rsidRPr="00324E17" w:rsidRDefault="0039681A" w:rsidP="00324E17">
            <w:pPr>
              <w:spacing w:line="276" w:lineRule="auto"/>
              <w:jc w:val="center"/>
              <w:rPr>
                <w:rFonts w:ascii="Arial Narrow" w:hAnsi="Arial Narrow"/>
                <w:noProof/>
                <w:color w:val="006100"/>
                <w:sz w:val="20"/>
                <w:lang w:val="en-IE"/>
              </w:rPr>
            </w:pPr>
            <w:r w:rsidRPr="00324E17">
              <w:rPr>
                <w:rFonts w:ascii="Arial Narrow" w:hAnsi="Arial Narrow"/>
                <w:noProof/>
                <w:color w:val="006100"/>
                <w:sz w:val="20"/>
                <w:lang w:val="en-IE"/>
              </w:rPr>
              <w:t>Investment 5.5: Green tax credit</w:t>
            </w:r>
          </w:p>
        </w:tc>
        <w:tc>
          <w:tcPr>
            <w:tcW w:w="11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067E59" w14:textId="77777777" w:rsidR="0039681A" w:rsidRPr="00324E17" w:rsidRDefault="0039681A" w:rsidP="00324E17">
            <w:pPr>
              <w:spacing w:line="276" w:lineRule="auto"/>
              <w:jc w:val="center"/>
              <w:rPr>
                <w:rFonts w:ascii="Arial Narrow" w:hAnsi="Arial Narrow"/>
                <w:noProof/>
                <w:color w:val="006100"/>
                <w:sz w:val="20"/>
                <w:lang w:val="en-IE"/>
              </w:rPr>
            </w:pPr>
            <w:r w:rsidRPr="00324E17">
              <w:rPr>
                <w:rFonts w:ascii="Arial Narrow" w:hAnsi="Arial Narrow"/>
                <w:noProof/>
                <w:color w:val="006100"/>
                <w:sz w:val="20"/>
                <w:lang w:val="en-IE"/>
              </w:rPr>
              <w:t>Target</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29E40A" w14:textId="77777777" w:rsidR="0039681A" w:rsidRPr="00324E17" w:rsidRDefault="0039681A" w:rsidP="00324E17">
            <w:pPr>
              <w:spacing w:line="276" w:lineRule="auto"/>
              <w:jc w:val="center"/>
              <w:rPr>
                <w:rFonts w:ascii="Arial Narrow" w:hAnsi="Arial Narrow"/>
                <w:noProof/>
                <w:color w:val="006100"/>
                <w:sz w:val="20"/>
                <w:lang w:val="en-IE"/>
              </w:rPr>
            </w:pPr>
            <w:r w:rsidRPr="00324E17">
              <w:rPr>
                <w:rFonts w:ascii="Arial Narrow" w:hAnsi="Arial Narrow"/>
                <w:noProof/>
                <w:color w:val="006100"/>
                <w:sz w:val="20"/>
                <w:lang w:val="en-IE"/>
              </w:rPr>
              <w:t>Tax credits granted to firms based on documents presented in 2024-2025</w:t>
            </w:r>
          </w:p>
        </w:tc>
        <w:tc>
          <w:tcPr>
            <w:tcW w:w="13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1E26F3" w14:textId="77777777" w:rsidR="0039681A" w:rsidRPr="00324E17" w:rsidRDefault="0039681A" w:rsidP="00324E17">
            <w:pPr>
              <w:spacing w:line="276" w:lineRule="auto"/>
              <w:jc w:val="center"/>
              <w:rPr>
                <w:rFonts w:ascii="Arial Narrow" w:hAnsi="Arial Narrow"/>
                <w:noProof/>
                <w:color w:val="006100"/>
                <w:sz w:val="20"/>
                <w:lang w:val="en-IE"/>
              </w:rPr>
            </w:pPr>
            <w:r w:rsidRPr="00324E17">
              <w:rPr>
                <w:rFonts w:ascii="Arial Narrow" w:hAnsi="Arial Narrow"/>
                <w:noProof/>
                <w:color w:val="006100"/>
                <w:sz w:val="20"/>
                <w:lang w:val="en-IE"/>
              </w:rPr>
              <w:t>N/A</w:t>
            </w:r>
          </w:p>
        </w:tc>
        <w:tc>
          <w:tcPr>
            <w:tcW w:w="126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C937E1" w14:textId="77777777" w:rsidR="0039681A" w:rsidRPr="00324E17" w:rsidRDefault="0039681A" w:rsidP="00324E17">
            <w:pPr>
              <w:spacing w:line="276" w:lineRule="auto"/>
              <w:jc w:val="center"/>
              <w:rPr>
                <w:rFonts w:ascii="Arial Narrow" w:hAnsi="Arial Narrow"/>
                <w:noProof/>
                <w:color w:val="006100"/>
                <w:sz w:val="20"/>
                <w:lang w:val="en-IE"/>
              </w:rPr>
            </w:pPr>
            <w:r w:rsidRPr="00324E17">
              <w:rPr>
                <w:rFonts w:ascii="Arial Narrow" w:hAnsi="Arial Narrow"/>
                <w:noProof/>
                <w:color w:val="006100"/>
                <w:sz w:val="20"/>
                <w:lang w:val="en-IE"/>
              </w:rPr>
              <w:t>Amount of granted resources (EUR)</w:t>
            </w:r>
          </w:p>
        </w:tc>
        <w:tc>
          <w:tcPr>
            <w:tcW w:w="100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719976" w14:textId="77777777" w:rsidR="0039681A" w:rsidRPr="00324E17" w:rsidRDefault="0039681A" w:rsidP="00324E17">
            <w:pPr>
              <w:spacing w:line="276" w:lineRule="auto"/>
              <w:jc w:val="center"/>
              <w:rPr>
                <w:rFonts w:ascii="Arial Narrow" w:hAnsi="Arial Narrow"/>
                <w:noProof/>
                <w:color w:val="006100"/>
                <w:sz w:val="20"/>
                <w:lang w:val="en-IE"/>
              </w:rPr>
            </w:pPr>
            <w:r w:rsidRPr="00324E17">
              <w:rPr>
                <w:rFonts w:ascii="Arial Narrow" w:hAnsi="Arial Narrow"/>
                <w:noProof/>
                <w:color w:val="006100"/>
                <w:sz w:val="20"/>
                <w:lang w:val="en-IE"/>
              </w:rPr>
              <w:t>0</w:t>
            </w:r>
          </w:p>
        </w:tc>
        <w:tc>
          <w:tcPr>
            <w:tcW w:w="13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194531" w14:textId="77777777" w:rsidR="0039681A" w:rsidRPr="00324E17" w:rsidRDefault="0039681A" w:rsidP="00324E17">
            <w:pPr>
              <w:spacing w:line="276" w:lineRule="auto"/>
              <w:jc w:val="center"/>
              <w:rPr>
                <w:rFonts w:ascii="Arial Narrow" w:hAnsi="Arial Narrow"/>
                <w:noProof/>
                <w:color w:val="006100"/>
                <w:sz w:val="20"/>
                <w:lang w:val="en-IE"/>
              </w:rPr>
            </w:pPr>
            <w:r w:rsidRPr="00324E17">
              <w:rPr>
                <w:rFonts w:ascii="Arial Narrow" w:hAnsi="Arial Narrow"/>
                <w:noProof/>
                <w:color w:val="006100"/>
                <w:sz w:val="20"/>
                <w:lang w:val="en-IE"/>
              </w:rPr>
              <w:t>721 000 000</w:t>
            </w:r>
          </w:p>
        </w:tc>
        <w:tc>
          <w:tcPr>
            <w:tcW w:w="9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80566C" w14:textId="77777777" w:rsidR="0039681A" w:rsidRPr="00324E17" w:rsidRDefault="0039681A" w:rsidP="00324E17">
            <w:pPr>
              <w:spacing w:line="276" w:lineRule="auto"/>
              <w:jc w:val="center"/>
              <w:rPr>
                <w:rFonts w:ascii="Arial Narrow" w:hAnsi="Arial Narrow"/>
                <w:noProof/>
                <w:color w:val="006100"/>
                <w:sz w:val="20"/>
                <w:lang w:val="en-IE"/>
              </w:rPr>
            </w:pPr>
            <w:r w:rsidRPr="00324E17">
              <w:rPr>
                <w:rFonts w:ascii="Arial Narrow" w:hAnsi="Arial Narrow"/>
                <w:noProof/>
                <w:color w:val="006100"/>
                <w:sz w:val="20"/>
                <w:lang w:val="en-IE"/>
              </w:rPr>
              <w:t>Q2</w:t>
            </w:r>
          </w:p>
        </w:tc>
        <w:tc>
          <w:tcPr>
            <w:tcW w:w="69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03D1B" w14:textId="77777777" w:rsidR="0039681A" w:rsidRPr="00324E17" w:rsidRDefault="0039681A" w:rsidP="00324E17">
            <w:pPr>
              <w:spacing w:line="276" w:lineRule="auto"/>
              <w:jc w:val="center"/>
              <w:rPr>
                <w:rFonts w:ascii="Arial Narrow" w:hAnsi="Arial Narrow"/>
                <w:noProof/>
                <w:color w:val="006100"/>
                <w:sz w:val="20"/>
                <w:lang w:val="en-IE"/>
              </w:rPr>
            </w:pPr>
            <w:r w:rsidRPr="00324E17">
              <w:rPr>
                <w:rFonts w:ascii="Arial Narrow" w:hAnsi="Arial Narrow"/>
                <w:noProof/>
                <w:color w:val="006100"/>
                <w:sz w:val="20"/>
                <w:lang w:val="en-IE"/>
              </w:rPr>
              <w:t>2026</w:t>
            </w:r>
          </w:p>
        </w:tc>
        <w:tc>
          <w:tcPr>
            <w:tcW w:w="36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526C7" w14:textId="77777777" w:rsidR="0039681A" w:rsidRPr="00324E17" w:rsidRDefault="0039681A" w:rsidP="00324E17">
            <w:pPr>
              <w:spacing w:line="276" w:lineRule="auto"/>
              <w:rPr>
                <w:rFonts w:ascii="Arial Narrow" w:hAnsi="Arial Narrow"/>
                <w:noProof/>
                <w:color w:val="006100"/>
                <w:sz w:val="20"/>
                <w:lang w:val="en-IE"/>
              </w:rPr>
            </w:pPr>
            <w:r w:rsidRPr="00324E17">
              <w:rPr>
                <w:rFonts w:ascii="Arial Narrow" w:hAnsi="Arial Narrow"/>
                <w:noProof/>
                <w:color w:val="006100"/>
                <w:sz w:val="20"/>
                <w:lang w:val="en-IE"/>
              </w:rPr>
              <w:t>Notification of the granting of all RRF resources earmarked for this investment.</w:t>
            </w:r>
          </w:p>
          <w:p w14:paraId="6C9D5E55" w14:textId="77777777" w:rsidR="0039681A" w:rsidRPr="00324E17" w:rsidRDefault="0039681A" w:rsidP="00324E17">
            <w:pPr>
              <w:spacing w:line="276" w:lineRule="auto"/>
              <w:rPr>
                <w:rFonts w:ascii="Arial Narrow" w:hAnsi="Arial Narrow"/>
                <w:noProof/>
                <w:color w:val="006100"/>
                <w:sz w:val="20"/>
                <w:lang w:val="en-IE"/>
              </w:rPr>
            </w:pPr>
            <w:r w:rsidRPr="00324E17">
              <w:rPr>
                <w:rFonts w:ascii="Arial Narrow" w:hAnsi="Arial Narrow"/>
                <w:noProof/>
                <w:color w:val="006100"/>
                <w:sz w:val="20"/>
                <w:lang w:val="en-IE"/>
              </w:rPr>
              <w:t>At least EUR 288 400 000 of the investment shall contribute to the climate change objectives in accordance with Annex VI to the RRF Regulation.</w:t>
            </w:r>
          </w:p>
        </w:tc>
      </w:tr>
    </w:tbl>
    <w:p w14:paraId="59F71635" w14:textId="77777777" w:rsidR="0039681A" w:rsidRPr="00A36E36" w:rsidRDefault="0039681A" w:rsidP="00351087">
      <w:pPr>
        <w:spacing w:before="120" w:after="120"/>
        <w:jc w:val="both"/>
        <w:rPr>
          <w:noProof/>
          <w:lang w:val="en-IE"/>
        </w:rPr>
        <w:sectPr w:rsidR="0039681A" w:rsidRPr="00A36E36" w:rsidSect="0039681A">
          <w:headerReference w:type="even" r:id="rId79"/>
          <w:headerReference w:type="default" r:id="rId80"/>
          <w:footerReference w:type="default" r:id="rId81"/>
          <w:headerReference w:type="first" r:id="rId82"/>
          <w:pgSz w:w="16839" w:h="11907" w:orient="landscape"/>
          <w:pgMar w:top="1134" w:right="1134" w:bottom="1134" w:left="1134" w:header="567" w:footer="567" w:gutter="0"/>
          <w:cols w:space="720"/>
          <w:docGrid w:linePitch="360"/>
        </w:sectPr>
      </w:pPr>
    </w:p>
    <w:p w14:paraId="771BD2FB" w14:textId="77777777" w:rsidR="0039681A" w:rsidRPr="00A36E36" w:rsidRDefault="0039681A" w:rsidP="0035108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E.3.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0179DE53"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1.1 - Development of agri-voltaic systems</w:t>
      </w:r>
    </w:p>
    <w:p w14:paraId="3B52C270" w14:textId="77777777" w:rsidR="0039681A" w:rsidRPr="00A36E36" w:rsidRDefault="0039681A" w:rsidP="00351087">
      <w:p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This measure shall consist of a </w:t>
      </w:r>
      <w:r w:rsidRPr="00A36E36">
        <w:rPr>
          <w:rFonts w:ascii="Times New Roman" w:eastAsia="@MS Mincho" w:hAnsi="Times New Roman" w:cs="Times New Roman"/>
          <w:noProof/>
          <w:lang w:val="en-IE"/>
        </w:rPr>
        <w:t>public investment</w:t>
      </w:r>
      <w:r w:rsidRPr="00A36E36">
        <w:rPr>
          <w:rFonts w:ascii="Times New Roman" w:eastAsia="Calibri" w:hAnsi="Times New Roman" w:cs="Times New Roman"/>
          <w:noProof/>
          <w:lang w:val="en-IE"/>
        </w:rPr>
        <w:t xml:space="preserve"> in a grant Scheme </w:t>
      </w:r>
      <w:r w:rsidRPr="00A36E36">
        <w:rPr>
          <w:rFonts w:ascii="Times New Roman" w:eastAsia="@MS Mincho" w:hAnsi="Times New Roman" w:cs="Times New Roman"/>
          <w:noProof/>
          <w:lang w:val="en-IE"/>
        </w:rPr>
        <w:t>in order to incentivise private investment and improve access to finance in Italy’s agricultural and renewable energy sector.</w:t>
      </w:r>
      <w:r w:rsidRPr="00A36E36">
        <w:rPr>
          <w:rFonts w:ascii="Times New Roman" w:eastAsia="Calibri" w:hAnsi="Times New Roman" w:cs="Times New Roman"/>
          <w:noProof/>
          <w:lang w:val="en-IE"/>
        </w:rPr>
        <w:t xml:space="preserve"> The scheme shall operate by providing grants directly to the private sector. </w:t>
      </w:r>
    </w:p>
    <w:p w14:paraId="70FA0393" w14:textId="77777777" w:rsidR="0039681A" w:rsidRPr="00A36E36" w:rsidRDefault="0039681A" w:rsidP="00351087">
      <w:p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Scheme shall be managed by Gestore Servizi Energetici S.p.A. (GSE) as the implementing partner. The Scheme shall provide a grant covering a portion of the projects’ cost. The scheme shall support the construction of agri-voltaic systems, consisting of the installation of photovoltaic plants on agricultural land along with measuring instruments to monitor the underlying agricultural activity</w:t>
      </w:r>
      <w:r w:rsidRPr="00647572">
        <w:rPr>
          <w:rStyle w:val="FootnoteReference"/>
          <w:rFonts w:ascii="Times New Roman" w:eastAsia="Calibri" w:hAnsi="Times New Roman" w:cs="Times New Roman"/>
          <w:noProof/>
        </w:rPr>
        <w:footnoteReference w:id="40"/>
      </w:r>
      <w:r w:rsidRPr="00A36E36">
        <w:rPr>
          <w:rFonts w:ascii="Times New Roman" w:eastAsia="Calibri" w:hAnsi="Times New Roman" w:cs="Times New Roman"/>
          <w:noProof/>
          <w:lang w:val="en-IE"/>
        </w:rPr>
        <w:t>.</w:t>
      </w:r>
    </w:p>
    <w:p w14:paraId="42680F3F" w14:textId="77777777" w:rsidR="0039681A" w:rsidRPr="00A36E36" w:rsidRDefault="0039681A" w:rsidP="00351087">
      <w:pPr>
        <w:spacing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In order to implement the investment into the Scheme, Italy and GSE shall sign an Implementing Agreement that shall include the following content:</w:t>
      </w:r>
    </w:p>
    <w:p w14:paraId="2D1DACA5" w14:textId="77777777" w:rsidR="0039681A" w:rsidRPr="00A36E36" w:rsidRDefault="0039681A" w:rsidP="0039681A">
      <w:pPr>
        <w:numPr>
          <w:ilvl w:val="0"/>
          <w:numId w:val="103"/>
        </w:numPr>
        <w:jc w:val="both"/>
        <w:rPr>
          <w:rFonts w:ascii="Times New Roman" w:eastAsia="Times New Roman" w:hAnsi="Times New Roman" w:cs="Times New Roman"/>
          <w:noProof/>
          <w:lang w:val="en-IE"/>
        </w:rPr>
      </w:pPr>
      <w:r w:rsidRPr="00A36E36">
        <w:rPr>
          <w:rFonts w:ascii="Times New Roman" w:eastAsia="Calibri" w:hAnsi="Times New Roman" w:cs="Times New Roman"/>
          <w:noProof/>
          <w:lang w:val="en-IE"/>
        </w:rPr>
        <w:t xml:space="preserve">Description of the decision-making process of the </w:t>
      </w:r>
      <w:r w:rsidRPr="00A36E36">
        <w:rPr>
          <w:rFonts w:ascii="Times New Roman" w:eastAsia="Calibri" w:hAnsi="Times New Roman" w:cs="Times New Roman"/>
          <w:bCs/>
          <w:noProof/>
          <w:lang w:val="en-IE"/>
        </w:rPr>
        <w:t>Scheme</w:t>
      </w:r>
      <w:r w:rsidRPr="00A36E36">
        <w:rPr>
          <w:rFonts w:ascii="Times New Roman" w:eastAsia="Calibri" w:hAnsi="Times New Roman" w:cs="Times New Roman"/>
          <w:noProof/>
          <w:lang w:val="en-IE"/>
        </w:rPr>
        <w:t>: The final award decision of the Scheme shall be taken by an investment committee or other relevant equivalent governing body and approved by a majority of votes from members who are independent from the government.</w:t>
      </w:r>
    </w:p>
    <w:p w14:paraId="6674F7BA" w14:textId="77777777" w:rsidR="0039681A" w:rsidRPr="00647572" w:rsidRDefault="0039681A" w:rsidP="00351087">
      <w:pPr>
        <w:pStyle w:val="LegalNumPar"/>
        <w:spacing w:line="259" w:lineRule="auto"/>
        <w:ind w:left="901" w:hanging="476"/>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Key requirements of the associated grant policy,</w:t>
      </w:r>
      <w:r w:rsidRPr="00647572">
        <w:rPr>
          <w:rFonts w:ascii="Times New Roman" w:eastAsia="Calibri" w:hAnsi="Times New Roman" w:cs="Times New Roman"/>
          <w:b/>
          <w:noProof/>
          <w:lang w:val="en-GB"/>
        </w:rPr>
        <w:t xml:space="preserve"> </w:t>
      </w:r>
      <w:r w:rsidRPr="00647572">
        <w:rPr>
          <w:rFonts w:ascii="Times New Roman" w:eastAsia="Calibri" w:hAnsi="Times New Roman" w:cs="Times New Roman"/>
          <w:noProof/>
          <w:lang w:val="en-GB"/>
        </w:rPr>
        <w:t>which shall include:</w:t>
      </w:r>
    </w:p>
    <w:p w14:paraId="305086D8" w14:textId="77777777" w:rsidR="0039681A" w:rsidRPr="00647572" w:rsidRDefault="0039681A" w:rsidP="0039681A">
      <w:pPr>
        <w:pStyle w:val="LegalNumPar2"/>
        <w:numPr>
          <w:ilvl w:val="1"/>
          <w:numId w:val="104"/>
        </w:numPr>
        <w:spacing w:line="259" w:lineRule="auto"/>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The description of the grants provided and eligible final beneficiaries.</w:t>
      </w:r>
    </w:p>
    <w:p w14:paraId="1C51D201" w14:textId="77777777" w:rsidR="0039681A" w:rsidRPr="00647572" w:rsidRDefault="0039681A" w:rsidP="0039681A">
      <w:pPr>
        <w:pStyle w:val="LegalNumPar2"/>
        <w:numPr>
          <w:ilvl w:val="1"/>
          <w:numId w:val="104"/>
        </w:numPr>
        <w:spacing w:line="259" w:lineRule="auto"/>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The requirement that all investments supported are economically viable</w:t>
      </w:r>
      <w:r w:rsidRPr="00647572">
        <w:rPr>
          <w:rFonts w:ascii="Times New Roman" w:eastAsia="Calibri" w:hAnsi="Times New Roman" w:cs="Times New Roman"/>
          <w:b/>
          <w:noProof/>
          <w:lang w:val="en-GB"/>
        </w:rPr>
        <w:t>.</w:t>
      </w:r>
    </w:p>
    <w:p w14:paraId="09F2396C" w14:textId="77777777" w:rsidR="0039681A" w:rsidRPr="00647572" w:rsidRDefault="0039681A" w:rsidP="0039681A">
      <w:pPr>
        <w:pStyle w:val="LegalNumPar2"/>
        <w:numPr>
          <w:ilvl w:val="1"/>
          <w:numId w:val="104"/>
        </w:numPr>
        <w:spacing w:line="259" w:lineRule="auto"/>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The requirement to comply with the ‘Do no significant harm’ (DNSH) principle as set out in the DNSH Technical Guidance (2021/C58/01). In particular, the grant policy shall exclude the following list of activities and assets from eligibility: (i) activities and assets related to fossil fuels, including downstream use</w:t>
      </w:r>
      <w:r w:rsidRPr="00647572">
        <w:rPr>
          <w:noProof/>
          <w:vertAlign w:val="superscript"/>
          <w:lang w:val="en-GB"/>
        </w:rPr>
        <w:footnoteReference w:id="41"/>
      </w:r>
      <w:r w:rsidRPr="00647572">
        <w:rPr>
          <w:rFonts w:ascii="Times New Roman" w:eastAsia="Calibri" w:hAnsi="Times New Roman" w:cs="Times New Roman"/>
          <w:noProof/>
          <w:lang w:val="en-GB"/>
        </w:rPr>
        <w:t>, (ii) activities and assets under the EU Emission Trading System (ETS) achieving projected greenhouse gas emissions that are not lower than the relevant benchmarks</w:t>
      </w:r>
      <w:r w:rsidRPr="00647572">
        <w:rPr>
          <w:noProof/>
          <w:vertAlign w:val="superscript"/>
          <w:lang w:val="en-GB"/>
        </w:rPr>
        <w:footnoteReference w:id="42"/>
      </w:r>
      <w:r w:rsidRPr="00647572">
        <w:rPr>
          <w:rFonts w:ascii="Times New Roman" w:eastAsia="Calibri" w:hAnsi="Times New Roman" w:cs="Times New Roman"/>
          <w:noProof/>
          <w:lang w:val="en-GB"/>
        </w:rPr>
        <w:t>, (iii) activities and assets related to waste landfills, incinerators</w:t>
      </w:r>
      <w:r w:rsidRPr="00647572">
        <w:rPr>
          <w:noProof/>
          <w:vertAlign w:val="superscript"/>
          <w:lang w:val="en-GB"/>
        </w:rPr>
        <w:footnoteReference w:id="43"/>
      </w:r>
      <w:r w:rsidRPr="00647572">
        <w:rPr>
          <w:rFonts w:ascii="Times New Roman" w:eastAsia="Calibri" w:hAnsi="Times New Roman" w:cs="Times New Roman"/>
          <w:noProof/>
          <w:lang w:val="en-GB"/>
        </w:rPr>
        <w:t xml:space="preserve"> and mechanical biological treatment plants</w:t>
      </w:r>
      <w:r w:rsidRPr="00647572">
        <w:rPr>
          <w:noProof/>
          <w:vertAlign w:val="superscript"/>
          <w:lang w:val="en-GB"/>
        </w:rPr>
        <w:footnoteReference w:id="44"/>
      </w:r>
      <w:r w:rsidRPr="00647572">
        <w:rPr>
          <w:rFonts w:ascii="Times New Roman" w:eastAsia="Calibri" w:hAnsi="Times New Roman" w:cs="Times New Roman"/>
          <w:noProof/>
          <w:lang w:val="en-GB"/>
        </w:rPr>
        <w:t xml:space="preserve">. </w:t>
      </w:r>
    </w:p>
    <w:p w14:paraId="2C919B88" w14:textId="77777777" w:rsidR="0039681A" w:rsidRPr="00647572" w:rsidRDefault="0039681A" w:rsidP="0039681A">
      <w:pPr>
        <w:pStyle w:val="LegalNumPar2"/>
        <w:numPr>
          <w:ilvl w:val="1"/>
          <w:numId w:val="104"/>
        </w:numPr>
        <w:spacing w:line="259" w:lineRule="auto"/>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The requirement</w:t>
      </w:r>
      <w:r w:rsidRPr="00647572" w:rsidDel="00E46B3C">
        <w:rPr>
          <w:rFonts w:ascii="Times New Roman" w:eastAsia="Calibri" w:hAnsi="Times New Roman" w:cs="Times New Roman"/>
          <w:noProof/>
          <w:lang w:val="en-GB"/>
        </w:rPr>
        <w:t xml:space="preserve"> </w:t>
      </w:r>
      <w:r w:rsidRPr="00647572">
        <w:rPr>
          <w:rFonts w:ascii="Times New Roman" w:eastAsia="Calibri" w:hAnsi="Times New Roman" w:cs="Times New Roman"/>
          <w:noProof/>
          <w:lang w:val="en-GB"/>
        </w:rPr>
        <w:t>that final beneficiaries of the Scheme shall not receive support from other Union instruments to cover the same cost.</w:t>
      </w:r>
    </w:p>
    <w:p w14:paraId="69088C31" w14:textId="77777777" w:rsidR="0039681A" w:rsidRPr="00647572" w:rsidRDefault="0039681A" w:rsidP="00351087">
      <w:pPr>
        <w:pStyle w:val="LegalNumPar"/>
        <w:spacing w:line="259" w:lineRule="auto"/>
        <w:ind w:left="901" w:hanging="476"/>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The amount covered by the Implementing Agreement, the fee structure for the Implementing Partner and the requirement to use any unused proceeds of the scheme, including beyond 2026, for the same policy purposes.</w:t>
      </w:r>
    </w:p>
    <w:p w14:paraId="07F72133" w14:textId="77777777" w:rsidR="0039681A" w:rsidRPr="00647572" w:rsidRDefault="0039681A" w:rsidP="00351087">
      <w:pPr>
        <w:pStyle w:val="LegalNumPar"/>
        <w:spacing w:line="259" w:lineRule="auto"/>
        <w:ind w:left="901" w:hanging="476"/>
        <w:jc w:val="both"/>
        <w:rPr>
          <w:rFonts w:ascii="Times New Roman" w:eastAsia="Calibri" w:hAnsi="Times New Roman" w:cs="Times New Roman"/>
          <w:noProof/>
          <w:lang w:val="en-GB"/>
        </w:rPr>
      </w:pPr>
      <w:r w:rsidRPr="00647572">
        <w:rPr>
          <w:rFonts w:ascii="Times New Roman" w:eastAsia="Calibri" w:hAnsi="Times New Roman" w:cs="Times New Roman"/>
          <w:noProof/>
          <w:lang w:val="en-GB"/>
        </w:rPr>
        <w:t>Monitoring, audit, and control requirements, including:</w:t>
      </w:r>
    </w:p>
    <w:p w14:paraId="2EC15C7F" w14:textId="77777777" w:rsidR="0039681A" w:rsidRPr="00A36E36" w:rsidRDefault="0039681A" w:rsidP="00384DBE">
      <w:pPr>
        <w:pStyle w:val="ListParagraph"/>
        <w:numPr>
          <w:ilvl w:val="0"/>
          <w:numId w:val="171"/>
        </w:numPr>
        <w:spacing w:before="120" w:after="120" w:line="240" w:lineRule="auto"/>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description of the implementing partner’s monitoring system to report on the subsidies mobilized.</w:t>
      </w:r>
    </w:p>
    <w:p w14:paraId="4B064C1A" w14:textId="77777777" w:rsidR="0039681A" w:rsidRPr="00A36E36" w:rsidRDefault="0039681A" w:rsidP="00384DBE">
      <w:pPr>
        <w:numPr>
          <w:ilvl w:val="0"/>
          <w:numId w:val="171"/>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The description of the implementing partner’s procedures that will ensure the prevention, detection and correction of fraud, corruption, and conflicts of interests. </w:t>
      </w:r>
    </w:p>
    <w:p w14:paraId="4BA264BA" w14:textId="77777777" w:rsidR="0039681A" w:rsidRPr="00A36E36" w:rsidRDefault="0039681A" w:rsidP="00384DBE">
      <w:pPr>
        <w:numPr>
          <w:ilvl w:val="0"/>
          <w:numId w:val="171"/>
        </w:numPr>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The obligation to verify the eligibility of every operation in accordance with the requirements laid out in the Implementing Agreement before awarding a subsidy to an operation.</w:t>
      </w:r>
    </w:p>
    <w:p w14:paraId="2FFF00E6" w14:textId="77777777" w:rsidR="0039681A" w:rsidRPr="00647572" w:rsidRDefault="0039681A" w:rsidP="00384DBE">
      <w:pPr>
        <w:numPr>
          <w:ilvl w:val="0"/>
          <w:numId w:val="171"/>
        </w:numPr>
        <w:spacing w:line="240" w:lineRule="auto"/>
        <w:jc w:val="both"/>
        <w:rPr>
          <w:rFonts w:ascii="Times New Roman" w:eastAsia="Calibri" w:hAnsi="Times New Roman" w:cs="Times New Roman"/>
          <w:noProof/>
        </w:rPr>
      </w:pPr>
      <w:r w:rsidRPr="00A36E36">
        <w:rPr>
          <w:rFonts w:ascii="Times New Roman" w:eastAsia="Calibri" w:hAnsi="Times New Roman" w:cs="Times New Roman"/>
          <w:noProof/>
          <w:lang w:val="en-IE"/>
        </w:rPr>
        <w:t xml:space="preserve">The obligation of carrying out risk-based ex-post audits in accordance with an audit plan of the GSE. </w:t>
      </w:r>
      <w:r w:rsidRPr="00647572">
        <w:rPr>
          <w:rFonts w:ascii="Times New Roman" w:eastAsia="Calibri" w:hAnsi="Times New Roman" w:cs="Times New Roman"/>
          <w:noProof/>
        </w:rPr>
        <w:t>These audits shall verify:</w:t>
      </w:r>
    </w:p>
    <w:p w14:paraId="64D23C69" w14:textId="77777777" w:rsidR="0039681A" w:rsidRPr="00A36E36" w:rsidRDefault="0039681A" w:rsidP="00351087">
      <w:pPr>
        <w:spacing w:line="240" w:lineRule="auto"/>
        <w:ind w:left="1440"/>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i) that the control systems are effective, including the detection of fraud, corruption, and conflict of interests;</w:t>
      </w:r>
    </w:p>
    <w:p w14:paraId="70648592" w14:textId="77777777" w:rsidR="0039681A" w:rsidRPr="00A36E36" w:rsidRDefault="0039681A" w:rsidP="00351087">
      <w:pPr>
        <w:spacing w:line="240" w:lineRule="auto"/>
        <w:ind w:left="1440"/>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ii) compliance with the DNSH principle, the State Aid rules, the climate target requirements; and</w:t>
      </w:r>
    </w:p>
    <w:p w14:paraId="5B6534CA" w14:textId="5A5FBEC8" w:rsidR="0039681A" w:rsidRPr="00A36E36" w:rsidRDefault="0039681A" w:rsidP="00351087">
      <w:pPr>
        <w:spacing w:line="240" w:lineRule="auto"/>
        <w:ind w:left="1440"/>
        <w:jc w:val="both"/>
        <w:rPr>
          <w:rFonts w:ascii="Times New Roman" w:eastAsia="Calibri" w:hAnsi="Times New Roman" w:cs="Times New Roman"/>
          <w:noProof/>
          <w:lang w:val="en-IE"/>
        </w:rPr>
      </w:pPr>
      <w:r w:rsidRPr="00A36E36">
        <w:rPr>
          <w:rFonts w:ascii="Times New Roman" w:eastAsia="Calibri" w:hAnsi="Times New Roman" w:cs="Times New Roman"/>
          <w:noProof/>
          <w:lang w:val="en-IE"/>
        </w:rPr>
        <w:t xml:space="preserve">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w:t>
      </w:r>
      <w:r w:rsidR="003678D7">
        <w:rPr>
          <w:rFonts w:ascii="Times New Roman" w:eastAsia="Calibri" w:hAnsi="Times New Roman" w:cs="Times New Roman"/>
          <w:noProof/>
          <w:lang w:val="en-IE"/>
        </w:rPr>
        <w:t xml:space="preserve">and </w:t>
      </w:r>
      <w:r w:rsidRPr="00A36E36">
        <w:rPr>
          <w:rFonts w:ascii="Times New Roman" w:eastAsia="Calibri" w:hAnsi="Times New Roman" w:cs="Times New Roman"/>
          <w:noProof/>
          <w:lang w:val="en-IE"/>
        </w:rPr>
        <w:t xml:space="preserve">grant agreements are being respected. </w:t>
      </w:r>
    </w:p>
    <w:p w14:paraId="54A701DF"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Investment 1.2 - Promotion of RES for energy communities and jointly acting renewables self-consumers</w:t>
      </w:r>
    </w:p>
    <w:p w14:paraId="25FFB5B5" w14:textId="77777777" w:rsidR="0039681A" w:rsidRPr="00A36E36" w:rsidRDefault="0039681A" w:rsidP="00351087">
      <w:pPr>
        <w:spacing w:before="120" w:after="120"/>
        <w:jc w:val="both"/>
        <w:rPr>
          <w:rFonts w:ascii="Times New Roman" w:eastAsia="MS Mincho" w:hAnsi="Times New Roman" w:cs="Times New Roman"/>
          <w:noProof/>
          <w:lang w:val="en-IE"/>
        </w:rPr>
      </w:pPr>
      <w:r w:rsidRPr="00A36E36">
        <w:rPr>
          <w:rFonts w:ascii="Times New Roman" w:eastAsia="MS Mincho" w:hAnsi="Times New Roman" w:cs="Times New Roman"/>
          <w:noProof/>
          <w:lang w:val="en-IE"/>
        </w:rPr>
        <w:t>This measure shall consist of a public investment in a Grant Scheme in order to incentivise private investment and improve access to finance in Italy to support the installation of new power generation capacity for collective configurations and renewable energy communities located in municipalities with population below 50</w:t>
      </w:r>
      <w:r w:rsidRPr="00A36E36">
        <w:rPr>
          <w:rFonts w:ascii="Arial Narrow" w:hAnsi="Arial Narrow"/>
          <w:noProof/>
          <w:color w:val="006100"/>
          <w:sz w:val="20"/>
          <w:lang w:val="en-IE"/>
        </w:rPr>
        <w:t> </w:t>
      </w:r>
      <w:r w:rsidRPr="00A36E36">
        <w:rPr>
          <w:rFonts w:ascii="Times New Roman" w:eastAsia="MS Mincho" w:hAnsi="Times New Roman" w:cs="Times New Roman"/>
          <w:noProof/>
          <w:lang w:val="en-IE"/>
        </w:rPr>
        <w:t>000 inhabitans</w:t>
      </w:r>
      <w:r w:rsidRPr="00647572">
        <w:rPr>
          <w:rStyle w:val="FootnoteReference"/>
          <w:rFonts w:ascii="Times New Roman" w:hAnsi="Times New Roman" w:cs="Times New Roman"/>
          <w:noProof/>
        </w:rPr>
        <w:footnoteReference w:id="45"/>
      </w:r>
      <w:r w:rsidRPr="00A36E36">
        <w:rPr>
          <w:rFonts w:ascii="Times New Roman" w:eastAsia="MS Mincho" w:hAnsi="Times New Roman" w:cs="Times New Roman"/>
          <w:noProof/>
          <w:lang w:val="en-IE"/>
        </w:rPr>
        <w:t xml:space="preserve">. The Scheme shall operate by providing grants directly to the private sector as well as to public sector entities engaged in similar activities. </w:t>
      </w:r>
    </w:p>
    <w:p w14:paraId="5DEAB798" w14:textId="77777777" w:rsidR="0039681A" w:rsidRPr="00647572" w:rsidRDefault="0039681A" w:rsidP="00351087">
      <w:pPr>
        <w:spacing w:before="120" w:after="120"/>
        <w:jc w:val="both"/>
        <w:rPr>
          <w:rFonts w:ascii="Times New Roman" w:eastAsia="MS Mincho" w:hAnsi="Times New Roman" w:cs="Times New Roman"/>
          <w:noProof/>
        </w:rPr>
      </w:pPr>
      <w:r w:rsidRPr="00A36E36">
        <w:rPr>
          <w:rFonts w:ascii="Times New Roman" w:eastAsia="MS Mincho" w:hAnsi="Times New Roman" w:cs="Times New Roman"/>
          <w:noProof/>
          <w:lang w:val="en-IE"/>
        </w:rPr>
        <w:t xml:space="preserve">The Scheme shall be managed by Gestore dei Servizi Energetiche S.p.A. [hereafter referred to as GSE] as the implementing partner. </w:t>
      </w:r>
      <w:r w:rsidRPr="00647572">
        <w:rPr>
          <w:rFonts w:ascii="Times New Roman" w:eastAsia="MS Mincho" w:hAnsi="Times New Roman" w:cs="Times New Roman"/>
          <w:noProof/>
        </w:rPr>
        <w:t>The Scheme shall include the following product line:</w:t>
      </w:r>
    </w:p>
    <w:p w14:paraId="10923011" w14:textId="77777777" w:rsidR="0039681A" w:rsidRPr="00A36E36" w:rsidRDefault="0039681A" w:rsidP="0039681A">
      <w:pPr>
        <w:numPr>
          <w:ilvl w:val="0"/>
          <w:numId w:val="105"/>
        </w:numPr>
        <w:spacing w:before="120" w:after="120" w:line="279" w:lineRule="auto"/>
        <w:jc w:val="both"/>
        <w:rPr>
          <w:rFonts w:ascii="Times New Roman" w:eastAsia="MS Mincho" w:hAnsi="Times New Roman" w:cs="Times New Roman"/>
          <w:noProof/>
          <w:lang w:val="en-IE"/>
        </w:rPr>
      </w:pPr>
      <w:r w:rsidRPr="00A36E36">
        <w:rPr>
          <w:rFonts w:ascii="Times New Roman" w:eastAsia="MS Mincho" w:hAnsi="Times New Roman" w:cs="Times New Roman"/>
          <w:noProof/>
          <w:lang w:val="en-IE"/>
        </w:rPr>
        <w:t>Grant covering maximum 40% of the project costs for the construction of renewable energy sources and production plants, possibly coupled to energy storage.</w:t>
      </w:r>
    </w:p>
    <w:p w14:paraId="534ABA97" w14:textId="77777777" w:rsidR="0039681A" w:rsidRPr="00A36E36" w:rsidRDefault="0039681A" w:rsidP="00351087">
      <w:pPr>
        <w:spacing w:before="120" w:after="120"/>
        <w:jc w:val="both"/>
        <w:rPr>
          <w:rFonts w:ascii="Times New Roman" w:eastAsia="MS Mincho" w:hAnsi="Times New Roman" w:cs="Times New Roman"/>
          <w:noProof/>
          <w:lang w:val="en-IE"/>
        </w:rPr>
      </w:pPr>
      <w:r w:rsidRPr="00A36E36">
        <w:rPr>
          <w:rFonts w:ascii="Times New Roman" w:eastAsia="MS Mincho" w:hAnsi="Times New Roman" w:cs="Times New Roman"/>
          <w:noProof/>
          <w:lang w:val="en-IE"/>
        </w:rPr>
        <w:t>In order to implement the investment into the Scheme, Italy and the GSE shall sign an Implementing Agreement that shall include the following content:</w:t>
      </w:r>
    </w:p>
    <w:p w14:paraId="74E51875" w14:textId="77777777" w:rsidR="0039681A" w:rsidRPr="00A36E36" w:rsidRDefault="0039681A" w:rsidP="0039681A">
      <w:pPr>
        <w:numPr>
          <w:ilvl w:val="0"/>
          <w:numId w:val="106"/>
        </w:numPr>
        <w:spacing w:before="120" w:after="120" w:line="279" w:lineRule="auto"/>
        <w:jc w:val="both"/>
        <w:rPr>
          <w:rFonts w:ascii="Times New Roman" w:eastAsia="MS Mincho" w:hAnsi="Times New Roman" w:cs="Times New Roman"/>
          <w:noProof/>
          <w:lang w:val="en-IE"/>
        </w:rPr>
      </w:pPr>
      <w:r w:rsidRPr="00A36E36">
        <w:rPr>
          <w:rFonts w:ascii="Times New Roman" w:eastAsia="MS Mincho" w:hAnsi="Times New Roman" w:cs="Times New Roman"/>
          <w:noProof/>
          <w:lang w:val="en-IE"/>
        </w:rPr>
        <w:t>Description of the decision-making process of the Scheme: The final award decision of the Scheme shall be taken by an investment committee or other relevant equivalent governing body and approved by a majority of votes from members who are independent from the government.</w:t>
      </w:r>
    </w:p>
    <w:p w14:paraId="13E82609" w14:textId="77777777" w:rsidR="0039681A" w:rsidRPr="00A36E36" w:rsidRDefault="0039681A" w:rsidP="0039681A">
      <w:pPr>
        <w:numPr>
          <w:ilvl w:val="0"/>
          <w:numId w:val="106"/>
        </w:numPr>
        <w:spacing w:before="120" w:after="120" w:line="279" w:lineRule="auto"/>
        <w:jc w:val="both"/>
        <w:rPr>
          <w:rFonts w:ascii="Times New Roman" w:eastAsia="MS Mincho" w:hAnsi="Times New Roman" w:cs="Times New Roman"/>
          <w:noProof/>
          <w:lang w:val="en-IE"/>
        </w:rPr>
      </w:pPr>
      <w:r w:rsidRPr="00A36E36">
        <w:rPr>
          <w:rFonts w:ascii="Times New Roman" w:eastAsia="MS Mincho" w:hAnsi="Times New Roman" w:cs="Times New Roman"/>
          <w:noProof/>
          <w:lang w:val="en-IE"/>
        </w:rPr>
        <w:t>Key requirements of the associated grant policy,</w:t>
      </w:r>
      <w:r w:rsidRPr="00A36E36">
        <w:rPr>
          <w:rFonts w:ascii="Times New Roman" w:eastAsia="MS Mincho" w:hAnsi="Times New Roman" w:cs="Times New Roman"/>
          <w:b/>
          <w:bCs/>
          <w:noProof/>
          <w:lang w:val="en-IE"/>
        </w:rPr>
        <w:t xml:space="preserve"> </w:t>
      </w:r>
      <w:r w:rsidRPr="00A36E36">
        <w:rPr>
          <w:rFonts w:ascii="Times New Roman" w:eastAsia="MS Mincho" w:hAnsi="Times New Roman" w:cs="Times New Roman"/>
          <w:noProof/>
          <w:lang w:val="en-IE"/>
        </w:rPr>
        <w:t>which shall include:</w:t>
      </w:r>
    </w:p>
    <w:p w14:paraId="4C07DF8A" w14:textId="77777777" w:rsidR="0039681A" w:rsidRPr="00A36E36" w:rsidRDefault="0039681A" w:rsidP="0039681A">
      <w:pPr>
        <w:pStyle w:val="ListParagraph"/>
        <w:numPr>
          <w:ilvl w:val="1"/>
          <w:numId w:val="107"/>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 xml:space="preserve">The description of the grants provided and eligible final beneficiaries. </w:t>
      </w:r>
    </w:p>
    <w:p w14:paraId="65179AC8" w14:textId="77777777" w:rsidR="0039681A" w:rsidRPr="00A36E36" w:rsidRDefault="0039681A" w:rsidP="0039681A">
      <w:pPr>
        <w:pStyle w:val="ListParagraph"/>
        <w:numPr>
          <w:ilvl w:val="1"/>
          <w:numId w:val="107"/>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The requirement that all investments supported are economically viable.</w:t>
      </w:r>
    </w:p>
    <w:p w14:paraId="5599C8D7" w14:textId="77777777" w:rsidR="0039681A" w:rsidRPr="00A36E36" w:rsidRDefault="0039681A" w:rsidP="0039681A">
      <w:pPr>
        <w:pStyle w:val="ListParagraph"/>
        <w:numPr>
          <w:ilvl w:val="1"/>
          <w:numId w:val="107"/>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 xml:space="preserve">The requirement to comply with the </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Do no significant harm</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 (DNSH) principle as set out in the DNSH Technical Guidance (2021/C58/01). In particular, the grant policy shall exclude the following list of activities and assets from eligibility: (i) activities and assets related to fossil fuels, including downstream use</w:t>
      </w:r>
      <w:r w:rsidRPr="00647572">
        <w:rPr>
          <w:rFonts w:ascii="Times New Roman" w:hAnsi="Times New Roman" w:cs="Times New Roman"/>
          <w:noProof/>
          <w:vertAlign w:val="superscript"/>
        </w:rPr>
        <w:footnoteReference w:id="46"/>
      </w:r>
      <w:r w:rsidRPr="00A36E36">
        <w:rPr>
          <w:rFonts w:ascii="Times New Roman" w:hAnsi="Times New Roman" w:cs="Times New Roman"/>
          <w:noProof/>
          <w:vertAlign w:val="superscript"/>
          <w:lang w:val="en-IE"/>
        </w:rPr>
        <w:t>,</w:t>
      </w:r>
      <w:r w:rsidRPr="00A36E36">
        <w:rPr>
          <w:rFonts w:ascii="Times New Roman" w:hAnsi="Times New Roman" w:cs="Times New Roman"/>
          <w:noProof/>
          <w:lang w:val="en-IE"/>
        </w:rPr>
        <w:t xml:space="preserve"> (ii) activities and assets under the EU Emission Trading System (ETS) achieving projected greenhouse gas emissions that are not lower than the relevant benchmarks</w:t>
      </w:r>
      <w:r w:rsidRPr="00647572">
        <w:rPr>
          <w:rFonts w:ascii="Times New Roman" w:hAnsi="Times New Roman" w:cs="Times New Roman"/>
          <w:noProof/>
          <w:vertAlign w:val="superscript"/>
        </w:rPr>
        <w:footnoteReference w:id="47"/>
      </w:r>
      <w:r w:rsidRPr="00A36E36">
        <w:rPr>
          <w:rFonts w:ascii="Times New Roman" w:hAnsi="Times New Roman" w:cs="Times New Roman"/>
          <w:noProof/>
          <w:vertAlign w:val="superscript"/>
          <w:lang w:val="en-IE"/>
        </w:rPr>
        <w:t>,</w:t>
      </w:r>
      <w:r w:rsidRPr="00A36E36">
        <w:rPr>
          <w:rFonts w:ascii="Times New Roman" w:hAnsi="Times New Roman" w:cs="Times New Roman"/>
          <w:noProof/>
          <w:lang w:val="en-IE"/>
        </w:rPr>
        <w:t xml:space="preserve"> (iii) activities and assets related to waste landfills, incinerators</w:t>
      </w:r>
      <w:r w:rsidRPr="00647572">
        <w:rPr>
          <w:rFonts w:ascii="Times New Roman" w:hAnsi="Times New Roman" w:cs="Times New Roman"/>
          <w:noProof/>
          <w:vertAlign w:val="superscript"/>
        </w:rPr>
        <w:footnoteReference w:id="48"/>
      </w:r>
      <w:r w:rsidRPr="00A36E36">
        <w:rPr>
          <w:rFonts w:ascii="Times New Roman" w:hAnsi="Times New Roman" w:cs="Times New Roman"/>
          <w:noProof/>
          <w:lang w:val="en-IE"/>
        </w:rPr>
        <w:t xml:space="preserve"> and mechanical biological treatment plants</w:t>
      </w:r>
      <w:r w:rsidRPr="00647572">
        <w:rPr>
          <w:rFonts w:ascii="Times New Roman" w:hAnsi="Times New Roman" w:cs="Times New Roman"/>
          <w:noProof/>
          <w:vertAlign w:val="superscript"/>
        </w:rPr>
        <w:footnoteReference w:id="49"/>
      </w:r>
      <w:r w:rsidRPr="00A36E36">
        <w:rPr>
          <w:rFonts w:ascii="Times New Roman" w:hAnsi="Times New Roman" w:cs="Times New Roman"/>
          <w:noProof/>
          <w:lang w:val="en-IE"/>
        </w:rPr>
        <w:t xml:space="preserve">. </w:t>
      </w:r>
    </w:p>
    <w:p w14:paraId="07BAC650" w14:textId="77777777" w:rsidR="0039681A" w:rsidRPr="00A36E36" w:rsidRDefault="0039681A" w:rsidP="0039681A">
      <w:pPr>
        <w:pStyle w:val="ListParagraph"/>
        <w:numPr>
          <w:ilvl w:val="1"/>
          <w:numId w:val="107"/>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The requirement that final beneficiaries of the Scheme shall not receive support from other Union instruments to cover the same cost.</w:t>
      </w:r>
    </w:p>
    <w:p w14:paraId="23569540" w14:textId="77777777" w:rsidR="0039681A" w:rsidRPr="00A36E36" w:rsidRDefault="0039681A" w:rsidP="0039681A">
      <w:pPr>
        <w:pStyle w:val="ListParagraph"/>
        <w:numPr>
          <w:ilvl w:val="0"/>
          <w:numId w:val="106"/>
        </w:numPr>
        <w:spacing w:after="0" w:line="257" w:lineRule="auto"/>
        <w:jc w:val="both"/>
        <w:rPr>
          <w:rFonts w:ascii="Times New Roman" w:hAnsi="Times New Roman" w:cs="Times New Roman"/>
          <w:noProof/>
          <w:lang w:val="en-IE"/>
        </w:rPr>
      </w:pPr>
      <w:r w:rsidRPr="00A36E36">
        <w:rPr>
          <w:rFonts w:ascii="Times New Roman" w:hAnsi="Times New Roman" w:cs="Times New Roman"/>
          <w:noProof/>
          <w:lang w:val="en-IE"/>
        </w:rPr>
        <w:t>The amount covered by the Implementing Agreement, the fee structure for the Implementing Partner and the requirement to use any unused proceeds of the scheme, including beyond 2026, for the same policy purposes.</w:t>
      </w:r>
    </w:p>
    <w:p w14:paraId="4BA875D7" w14:textId="77777777" w:rsidR="0039681A" w:rsidRPr="00A36E36" w:rsidRDefault="0039681A" w:rsidP="0039681A">
      <w:pPr>
        <w:pStyle w:val="ListParagraph"/>
        <w:numPr>
          <w:ilvl w:val="0"/>
          <w:numId w:val="106"/>
        </w:numPr>
        <w:spacing w:after="0" w:line="257" w:lineRule="auto"/>
        <w:jc w:val="both"/>
        <w:rPr>
          <w:rFonts w:ascii="Times New Roman" w:hAnsi="Times New Roman" w:cs="Times New Roman"/>
          <w:noProof/>
          <w:lang w:val="en-IE"/>
        </w:rPr>
      </w:pPr>
      <w:r w:rsidRPr="00A36E36">
        <w:rPr>
          <w:rFonts w:ascii="Times New Roman" w:hAnsi="Times New Roman" w:cs="Times New Roman"/>
          <w:noProof/>
          <w:lang w:val="en-IE"/>
        </w:rPr>
        <w:t>Monitoring, audit, and control requirements, including:</w:t>
      </w:r>
    </w:p>
    <w:p w14:paraId="18BD9EC9" w14:textId="77777777" w:rsidR="0039681A" w:rsidRPr="00A36E36" w:rsidRDefault="0039681A" w:rsidP="0039681A">
      <w:pPr>
        <w:pStyle w:val="ListParagraph"/>
        <w:numPr>
          <w:ilvl w:val="0"/>
          <w:numId w:val="108"/>
        </w:numPr>
        <w:spacing w:after="0" w:line="240"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monitoring system to report on the grants mobilized.</w:t>
      </w:r>
    </w:p>
    <w:p w14:paraId="3D814B27" w14:textId="77777777" w:rsidR="0039681A" w:rsidRPr="00A36E36" w:rsidRDefault="0039681A" w:rsidP="0039681A">
      <w:pPr>
        <w:pStyle w:val="ListParagraph"/>
        <w:numPr>
          <w:ilvl w:val="0"/>
          <w:numId w:val="108"/>
        </w:numPr>
        <w:spacing w:after="0" w:line="257"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procedures that will ensure the prevention, detection and correction of fraud, corruption, and conflicts of interests.</w:t>
      </w:r>
    </w:p>
    <w:p w14:paraId="242CF19C" w14:textId="77777777" w:rsidR="0039681A" w:rsidRPr="00A36E36" w:rsidRDefault="0039681A" w:rsidP="0039681A">
      <w:pPr>
        <w:pStyle w:val="ListParagraph"/>
        <w:numPr>
          <w:ilvl w:val="0"/>
          <w:numId w:val="108"/>
        </w:numPr>
        <w:spacing w:after="0" w:line="257"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awarding a grant to an operation.</w:t>
      </w:r>
    </w:p>
    <w:p w14:paraId="6B3DAA5D" w14:textId="77777777" w:rsidR="0039681A" w:rsidRPr="00A36E36" w:rsidRDefault="0039681A" w:rsidP="0039681A">
      <w:pPr>
        <w:pStyle w:val="ListParagraph"/>
        <w:numPr>
          <w:ilvl w:val="0"/>
          <w:numId w:val="108"/>
        </w:numPr>
        <w:spacing w:after="0" w:line="257"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 xml:space="preserve">The obligation of carrying out risk-based ex-post audits in accordance with an audit plan of the GSE. These audits shall verify i) that the control systems are effective, including the detection of fraud, corruption, and conflict of interests; ii) compliance with the DNSH principle, the State Aid rules;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Grant Agreements are being respected. </w:t>
      </w:r>
    </w:p>
    <w:p w14:paraId="37BD9092"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1.4 - Development of bio-methane, according to criteria for promoting the circular economy</w:t>
      </w:r>
    </w:p>
    <w:p w14:paraId="7E600255" w14:textId="77777777" w:rsidR="0039681A" w:rsidRPr="00A36E36" w:rsidRDefault="0039681A" w:rsidP="00351087">
      <w:pPr>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This measure shall consist of a public investment in a grant Scheme in order to incentivise private investment and improve access to finance in Italy’s biomethane production. The Scheme shall operate by providing grants directly to the private sector</w:t>
      </w:r>
      <w:r w:rsidRPr="00647572">
        <w:rPr>
          <w:rStyle w:val="FootnoteReference"/>
          <w:rFonts w:ascii="Times New Roman" w:hAnsi="Times New Roman" w:cs="Times New Roman"/>
          <w:noProof/>
        </w:rPr>
        <w:footnoteReference w:id="50"/>
      </w:r>
      <w:r w:rsidRPr="00A36E36">
        <w:rPr>
          <w:rFonts w:ascii="Times New Roman" w:hAnsi="Times New Roman" w:cs="Times New Roman"/>
          <w:noProof/>
          <w:lang w:val="en-IE"/>
        </w:rPr>
        <w:t>.</w:t>
      </w:r>
      <w:r w:rsidRPr="00A36E36">
        <w:rPr>
          <w:rFonts w:ascii="Times New Roman" w:eastAsia="Times New Roman" w:hAnsi="Times New Roman" w:cs="Times New Roman"/>
          <w:noProof/>
          <w:lang w:val="en-IE"/>
        </w:rPr>
        <w:t xml:space="preserve"> </w:t>
      </w:r>
    </w:p>
    <w:p w14:paraId="44467A27" w14:textId="77777777" w:rsidR="0039681A" w:rsidRPr="00A36E36" w:rsidRDefault="0039681A" w:rsidP="00351087">
      <w:pPr>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The Scheme shall be managed by Gestore dei Servizi Energetici (GSE) as the implementing partner. The Scheme shall include at least one of the following product lines: </w:t>
      </w:r>
    </w:p>
    <w:p w14:paraId="5EC90CFF" w14:textId="77777777" w:rsidR="0039681A" w:rsidRPr="00A36E36" w:rsidRDefault="0039681A" w:rsidP="0039681A">
      <w:pPr>
        <w:pStyle w:val="ListParagraph"/>
        <w:numPr>
          <w:ilvl w:val="0"/>
          <w:numId w:val="109"/>
        </w:numPr>
        <w:spacing w:after="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Support for the construction of new plants for the production of bio-methane. </w:t>
      </w:r>
    </w:p>
    <w:p w14:paraId="620482E1" w14:textId="77777777" w:rsidR="0039681A" w:rsidRPr="00A36E36" w:rsidRDefault="0039681A" w:rsidP="00351087">
      <w:pPr>
        <w:spacing w:after="0"/>
        <w:jc w:val="both"/>
        <w:rPr>
          <w:rFonts w:ascii="Times New Roman" w:hAnsi="Times New Roman" w:cs="Times New Roman"/>
          <w:noProof/>
          <w:lang w:val="en-IE"/>
        </w:rPr>
      </w:pPr>
    </w:p>
    <w:p w14:paraId="621DCF52" w14:textId="77777777" w:rsidR="0039681A" w:rsidRPr="00A36E36" w:rsidRDefault="0039681A" w:rsidP="0039681A">
      <w:pPr>
        <w:pStyle w:val="ListParagraph"/>
        <w:numPr>
          <w:ilvl w:val="0"/>
          <w:numId w:val="109"/>
        </w:numPr>
        <w:spacing w:after="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Reconverting and improving the efficiency of existing agricultural biogas plants (including Organic Fraction of Urban Solid Waste – OFUSW) towards the production of biomethane for transport, industry and heating. </w:t>
      </w:r>
    </w:p>
    <w:p w14:paraId="2CA777F9" w14:textId="77777777" w:rsidR="0039681A" w:rsidRPr="00A36E36" w:rsidRDefault="0039681A" w:rsidP="00351087">
      <w:pPr>
        <w:pStyle w:val="ListParagraph"/>
        <w:spacing w:after="0" w:line="240" w:lineRule="auto"/>
        <w:jc w:val="both"/>
        <w:rPr>
          <w:rFonts w:ascii="Times New Roman" w:hAnsi="Times New Roman" w:cs="Times New Roman"/>
          <w:noProof/>
          <w:lang w:val="en-IE"/>
        </w:rPr>
      </w:pPr>
    </w:p>
    <w:p w14:paraId="2FB2569D" w14:textId="77777777" w:rsidR="0039681A" w:rsidRPr="00A36E36" w:rsidRDefault="0039681A" w:rsidP="0039681A">
      <w:pPr>
        <w:pStyle w:val="ListParagraph"/>
        <w:numPr>
          <w:ilvl w:val="0"/>
          <w:numId w:val="109"/>
        </w:numPr>
        <w:spacing w:after="0" w:line="240" w:lineRule="auto"/>
        <w:jc w:val="both"/>
        <w:rPr>
          <w:rFonts w:ascii="Times New Roman" w:eastAsia="Aptos" w:hAnsi="Times New Roman" w:cs="Times New Roman"/>
          <w:noProof/>
          <w:lang w:val="en-IE"/>
        </w:rPr>
      </w:pPr>
      <w:r w:rsidRPr="00E74433">
        <w:rPr>
          <w:rFonts w:ascii="Times New Roman" w:eastAsia="Aptos" w:hAnsi="Times New Roman" w:cs="Times New Roman"/>
          <w:noProof/>
          <w:lang w:val="en-IE"/>
        </w:rPr>
        <w:t>Replacement of obsolete and low-efficiency mechanical vehicles with vehicles powered by biomethane.</w:t>
      </w:r>
    </w:p>
    <w:p w14:paraId="67B17FA1" w14:textId="77777777" w:rsidR="0039681A" w:rsidRPr="00E74433" w:rsidRDefault="0039681A" w:rsidP="00351087">
      <w:pPr>
        <w:pStyle w:val="ListParagraph"/>
        <w:spacing w:after="0" w:line="240" w:lineRule="auto"/>
        <w:ind w:hanging="360"/>
        <w:jc w:val="both"/>
        <w:rPr>
          <w:rFonts w:ascii="Times New Roman" w:eastAsia="Aptos" w:hAnsi="Times New Roman" w:cs="Times New Roman"/>
          <w:noProof/>
          <w:lang w:val="en-IE"/>
        </w:rPr>
      </w:pPr>
    </w:p>
    <w:p w14:paraId="1F7A1EFA" w14:textId="77777777" w:rsidR="0039681A" w:rsidRPr="00A36E36" w:rsidRDefault="0039681A" w:rsidP="0039681A">
      <w:pPr>
        <w:pStyle w:val="ListParagraph"/>
        <w:numPr>
          <w:ilvl w:val="0"/>
          <w:numId w:val="109"/>
        </w:numPr>
        <w:spacing w:after="0" w:line="240" w:lineRule="auto"/>
        <w:jc w:val="both"/>
        <w:rPr>
          <w:rFonts w:ascii="Times New Roman" w:eastAsia="Aptos" w:hAnsi="Times New Roman" w:cs="Times New Roman"/>
          <w:noProof/>
          <w:lang w:val="en-IE"/>
        </w:rPr>
      </w:pPr>
      <w:r w:rsidRPr="00E74433">
        <w:rPr>
          <w:rFonts w:ascii="Times New Roman" w:eastAsia="Aptos" w:hAnsi="Times New Roman" w:cs="Times New Roman"/>
          <w:noProof/>
          <w:lang w:val="en-IE"/>
        </w:rPr>
        <w:t xml:space="preserve">Support </w:t>
      </w:r>
      <w:r>
        <w:rPr>
          <w:rFonts w:ascii="Times New Roman" w:eastAsia="Aptos" w:hAnsi="Times New Roman" w:cs="Times New Roman"/>
          <w:noProof/>
          <w:lang w:val="en-IE"/>
        </w:rPr>
        <w:t xml:space="preserve">of </w:t>
      </w:r>
      <w:r w:rsidRPr="00E74433">
        <w:rPr>
          <w:rFonts w:ascii="Times New Roman" w:eastAsia="Aptos" w:hAnsi="Times New Roman" w:cs="Times New Roman"/>
          <w:noProof/>
          <w:lang w:val="en-IE"/>
        </w:rPr>
        <w:t>environmentally sustainable practices in biogas production, including reduced soil disturbance practices (minimum tillage) and the deployment of low-emission systems for digestate application.</w:t>
      </w:r>
    </w:p>
    <w:p w14:paraId="2B032E58" w14:textId="77777777" w:rsidR="0039681A" w:rsidRPr="00E74433" w:rsidRDefault="0039681A" w:rsidP="00351087">
      <w:pPr>
        <w:pStyle w:val="ListParagraph"/>
        <w:spacing w:after="0" w:line="240" w:lineRule="auto"/>
        <w:jc w:val="both"/>
        <w:rPr>
          <w:rFonts w:ascii="Times New Roman" w:eastAsia="Aptos" w:hAnsi="Times New Roman" w:cs="Times New Roman"/>
          <w:noProof/>
          <w:lang w:val="en-IE"/>
        </w:rPr>
      </w:pPr>
    </w:p>
    <w:p w14:paraId="3415B16C" w14:textId="77777777" w:rsidR="0039681A" w:rsidRPr="00E74433" w:rsidRDefault="0039681A" w:rsidP="0039681A">
      <w:pPr>
        <w:pStyle w:val="ListParagraph"/>
        <w:numPr>
          <w:ilvl w:val="0"/>
          <w:numId w:val="109"/>
        </w:numPr>
        <w:spacing w:after="0" w:line="240" w:lineRule="auto"/>
        <w:jc w:val="both"/>
        <w:rPr>
          <w:rFonts w:ascii="Times New Roman" w:eastAsia="Aptos" w:hAnsi="Times New Roman" w:cs="Times New Roman"/>
          <w:noProof/>
          <w:lang w:val="en-IE"/>
        </w:rPr>
      </w:pPr>
      <w:r w:rsidRPr="00E74433">
        <w:rPr>
          <w:rFonts w:ascii="Times New Roman" w:eastAsia="Aptos" w:hAnsi="Times New Roman" w:cs="Times New Roman"/>
          <w:noProof/>
          <w:lang w:val="en-IE"/>
        </w:rPr>
        <w:t xml:space="preserve">Increasing the efficiency of existing biogas production plants, including on-site heat recovery and emissions reduction. </w:t>
      </w:r>
    </w:p>
    <w:p w14:paraId="3F4452B4" w14:textId="77777777" w:rsidR="0039681A" w:rsidRPr="00A36E36" w:rsidRDefault="0039681A" w:rsidP="00351087">
      <w:pPr>
        <w:rPr>
          <w:noProof/>
          <w:lang w:val="en-IE"/>
        </w:rPr>
      </w:pPr>
    </w:p>
    <w:p w14:paraId="3B258E65" w14:textId="77777777" w:rsidR="0039681A" w:rsidRPr="00A36E36" w:rsidRDefault="0039681A" w:rsidP="00351087">
      <w:pPr>
        <w:spacing w:after="0"/>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Scheme, Italy and GSE shall sign an Implementing Agreement that shall include the following content:</w:t>
      </w:r>
    </w:p>
    <w:p w14:paraId="2AD48BB7" w14:textId="77777777" w:rsidR="0039681A" w:rsidRPr="00A36E36" w:rsidRDefault="0039681A" w:rsidP="0039681A">
      <w:pPr>
        <w:pStyle w:val="ListParagraph"/>
        <w:numPr>
          <w:ilvl w:val="0"/>
          <w:numId w:val="110"/>
        </w:numPr>
        <w:spacing w:before="120" w:after="0" w:line="257" w:lineRule="auto"/>
        <w:jc w:val="both"/>
        <w:rPr>
          <w:rFonts w:ascii="Times New Roman" w:hAnsi="Times New Roman" w:cs="Times New Roman"/>
          <w:noProof/>
          <w:lang w:val="en-IE"/>
        </w:rPr>
      </w:pPr>
      <w:r w:rsidRPr="00A36E36">
        <w:rPr>
          <w:rFonts w:ascii="Times New Roman" w:hAnsi="Times New Roman" w:cs="Times New Roman"/>
          <w:noProof/>
          <w:lang w:val="en-IE"/>
        </w:rPr>
        <w:t>Description of the decision-making process of the Scheme: The final award decision of the Scheme shall be taken by an investment committee or other relevant equivalent governing body and approved by a majority of votes from members who are independent from the government.</w:t>
      </w:r>
    </w:p>
    <w:p w14:paraId="3700A8D9" w14:textId="77777777" w:rsidR="0039681A" w:rsidRPr="00A36E36" w:rsidRDefault="0039681A" w:rsidP="0039681A">
      <w:pPr>
        <w:pStyle w:val="ListParagraph"/>
        <w:numPr>
          <w:ilvl w:val="0"/>
          <w:numId w:val="110"/>
        </w:numPr>
        <w:spacing w:before="120" w:after="0" w:line="257" w:lineRule="auto"/>
        <w:jc w:val="both"/>
        <w:rPr>
          <w:rFonts w:ascii="Times New Roman" w:hAnsi="Times New Roman" w:cs="Times New Roman"/>
          <w:noProof/>
          <w:lang w:val="en-IE"/>
        </w:rPr>
      </w:pPr>
      <w:r w:rsidRPr="00A36E36">
        <w:rPr>
          <w:rFonts w:ascii="Times New Roman" w:hAnsi="Times New Roman" w:cs="Times New Roman"/>
          <w:noProof/>
          <w:lang w:val="en-IE"/>
        </w:rPr>
        <w:t>Key requirements of the associated grant policy,</w:t>
      </w:r>
      <w:r w:rsidRPr="00A36E36">
        <w:rPr>
          <w:rFonts w:ascii="Times New Roman" w:hAnsi="Times New Roman" w:cs="Times New Roman"/>
          <w:b/>
          <w:noProof/>
          <w:lang w:val="en-IE"/>
        </w:rPr>
        <w:t xml:space="preserve"> </w:t>
      </w:r>
      <w:r w:rsidRPr="00A36E36">
        <w:rPr>
          <w:rFonts w:ascii="Times New Roman" w:hAnsi="Times New Roman" w:cs="Times New Roman"/>
          <w:noProof/>
          <w:lang w:val="en-IE"/>
        </w:rPr>
        <w:t>which shall include:</w:t>
      </w:r>
    </w:p>
    <w:p w14:paraId="2F5A5D9B" w14:textId="77777777" w:rsidR="0039681A" w:rsidRPr="00A36E36" w:rsidRDefault="0039681A" w:rsidP="0039681A">
      <w:pPr>
        <w:pStyle w:val="ListParagraph"/>
        <w:numPr>
          <w:ilvl w:val="1"/>
          <w:numId w:val="110"/>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The description of the grants provided and eligible final beneficiaries.</w:t>
      </w:r>
    </w:p>
    <w:p w14:paraId="38C5D5CE" w14:textId="77777777" w:rsidR="0039681A" w:rsidRPr="00A36E36" w:rsidRDefault="0039681A" w:rsidP="0039681A">
      <w:pPr>
        <w:pStyle w:val="ListParagraph"/>
        <w:numPr>
          <w:ilvl w:val="1"/>
          <w:numId w:val="110"/>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The requirement that all investments supported are economically viable.</w:t>
      </w:r>
    </w:p>
    <w:p w14:paraId="18A81927" w14:textId="77777777" w:rsidR="0039681A" w:rsidRPr="00E74433" w:rsidRDefault="0039681A" w:rsidP="0039681A">
      <w:pPr>
        <w:pStyle w:val="ListParagraph"/>
        <w:numPr>
          <w:ilvl w:val="1"/>
          <w:numId w:val="110"/>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The requirement to comply with the ‘Do no significant harm’ (DNSH) principle as set out in the DNSH Technical Guidance (2021/C58/01). In particular, the grant policy shall exclude the following list of activities and assets from eligibility: (i) activities and assets related to fossil fuels, including downstream use</w:t>
      </w:r>
      <w:r w:rsidRPr="00647572">
        <w:rPr>
          <w:rStyle w:val="FootnoteReference"/>
          <w:rFonts w:ascii="Times New Roman" w:hAnsi="Times New Roman" w:cs="Times New Roman"/>
          <w:noProof/>
        </w:rPr>
        <w:footnoteReference w:id="51"/>
      </w:r>
      <w:r w:rsidRPr="00A36E36">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647572">
        <w:rPr>
          <w:rStyle w:val="FootnoteReference"/>
          <w:rFonts w:ascii="Times New Roman" w:hAnsi="Times New Roman" w:cs="Times New Roman"/>
          <w:noProof/>
        </w:rPr>
        <w:footnoteReference w:id="52"/>
      </w:r>
      <w:r w:rsidRPr="00A36E36">
        <w:rPr>
          <w:rFonts w:ascii="Times New Roman" w:hAnsi="Times New Roman" w:cs="Times New Roman"/>
          <w:noProof/>
          <w:lang w:val="en-IE"/>
        </w:rPr>
        <w:t>, (iii) activities and assets related to waste landfills, incinerators</w:t>
      </w:r>
      <w:r w:rsidRPr="00647572">
        <w:rPr>
          <w:rStyle w:val="FootnoteReference"/>
          <w:rFonts w:ascii="Times New Roman" w:hAnsi="Times New Roman" w:cs="Times New Roman"/>
          <w:noProof/>
        </w:rPr>
        <w:footnoteReference w:id="53"/>
      </w:r>
      <w:r w:rsidRPr="00A36E36">
        <w:rPr>
          <w:rFonts w:ascii="Times New Roman" w:hAnsi="Times New Roman" w:cs="Times New Roman"/>
          <w:noProof/>
          <w:lang w:val="en-IE"/>
        </w:rPr>
        <w:t xml:space="preserve"> and mechanical biological treatment plants</w:t>
      </w:r>
      <w:r w:rsidRPr="00647572">
        <w:rPr>
          <w:rStyle w:val="FootnoteReference"/>
          <w:rFonts w:ascii="Times New Roman" w:hAnsi="Times New Roman" w:cs="Times New Roman"/>
          <w:noProof/>
        </w:rPr>
        <w:footnoteReference w:id="54"/>
      </w:r>
      <w:r w:rsidRPr="00A36E36">
        <w:rPr>
          <w:rFonts w:ascii="Times New Roman" w:hAnsi="Times New Roman" w:cs="Times New Roman"/>
          <w:noProof/>
          <w:lang w:val="en-IE"/>
        </w:rPr>
        <w:t xml:space="preserve">. </w:t>
      </w:r>
      <w:r w:rsidRPr="00E74433">
        <w:rPr>
          <w:rFonts w:ascii="Times New Roman" w:hAnsi="Times New Roman" w:cs="Times New Roman"/>
          <w:noProof/>
          <w:lang w:val="en-IE"/>
        </w:rPr>
        <w:t>The biomethane and biogas shall comply with the criteria set out in Directive 2018/2001 (RED II Directive) and with the relevant requirements of footnote 8 of Annex VI of the Regulation (EU) 2021/241.</w:t>
      </w:r>
      <w:r>
        <w:rPr>
          <w:rFonts w:ascii="Times New Roman" w:hAnsi="Times New Roman" w:cs="Times New Roman"/>
          <w:noProof/>
          <w:lang w:val="en-IE"/>
        </w:rPr>
        <w:t xml:space="preserve"> </w:t>
      </w:r>
      <w:r w:rsidRPr="00E74433">
        <w:rPr>
          <w:rFonts w:ascii="Times New Roman" w:hAnsi="Times New Roman" w:cs="Times New Roman"/>
          <w:noProof/>
          <w:lang w:val="en-IE"/>
        </w:rPr>
        <w:t xml:space="preserve">Moreover, for vehicles running on biomethane, the legal agreement with the operator shall specify that the operator shall purchase guarantee of origin certificates for the expected fuel use. </w:t>
      </w:r>
    </w:p>
    <w:p w14:paraId="03D9B46E" w14:textId="77777777" w:rsidR="0039681A" w:rsidRPr="00A36E36" w:rsidRDefault="0039681A" w:rsidP="0039681A">
      <w:pPr>
        <w:pStyle w:val="ListParagraph"/>
        <w:numPr>
          <w:ilvl w:val="1"/>
          <w:numId w:val="110"/>
        </w:numPr>
        <w:spacing w:after="0" w:line="257" w:lineRule="auto"/>
        <w:ind w:left="953" w:hanging="477"/>
        <w:jc w:val="both"/>
        <w:rPr>
          <w:rFonts w:ascii="Times New Roman" w:hAnsi="Times New Roman" w:cs="Times New Roman"/>
          <w:noProof/>
          <w:lang w:val="en-IE"/>
        </w:rPr>
      </w:pPr>
      <w:r w:rsidRPr="00A36E36">
        <w:rPr>
          <w:rFonts w:ascii="Times New Roman" w:hAnsi="Times New Roman" w:cs="Times New Roman"/>
          <w:noProof/>
          <w:lang w:val="en-IE"/>
        </w:rPr>
        <w:t>The requirement that final beneficiaries of the Scheme shall not receive support from other Union instruments to cover the same cost.</w:t>
      </w:r>
    </w:p>
    <w:p w14:paraId="51EB8978" w14:textId="77777777" w:rsidR="0039681A" w:rsidRPr="00A36E36" w:rsidRDefault="0039681A" w:rsidP="0039681A">
      <w:pPr>
        <w:pStyle w:val="ListParagraph"/>
        <w:numPr>
          <w:ilvl w:val="0"/>
          <w:numId w:val="110"/>
        </w:numPr>
        <w:spacing w:after="0" w:line="257" w:lineRule="auto"/>
        <w:ind w:left="476" w:hanging="476"/>
        <w:jc w:val="both"/>
        <w:rPr>
          <w:rFonts w:ascii="Times New Roman" w:hAnsi="Times New Roman" w:cs="Times New Roman"/>
          <w:noProof/>
          <w:lang w:val="en-IE"/>
        </w:rPr>
      </w:pPr>
      <w:r w:rsidRPr="00A36E36">
        <w:rPr>
          <w:rFonts w:ascii="Times New Roman" w:hAnsi="Times New Roman" w:cs="Times New Roman"/>
          <w:noProof/>
          <w:lang w:val="en-IE"/>
        </w:rPr>
        <w:t>The amount covered by the Implementing Agreement, the fee structure for the Implementing Partner and the requirement to use any unused proceeds of the scheme, including beyond 2026, for the same policy purposes.</w:t>
      </w:r>
    </w:p>
    <w:p w14:paraId="5405B28F" w14:textId="77777777" w:rsidR="0039681A" w:rsidRPr="00A36E36" w:rsidRDefault="0039681A" w:rsidP="0039681A">
      <w:pPr>
        <w:pStyle w:val="ListParagraph"/>
        <w:numPr>
          <w:ilvl w:val="0"/>
          <w:numId w:val="110"/>
        </w:numPr>
        <w:spacing w:after="0" w:line="257" w:lineRule="auto"/>
        <w:ind w:left="476" w:hanging="476"/>
        <w:jc w:val="both"/>
        <w:rPr>
          <w:rFonts w:ascii="Times New Roman" w:hAnsi="Times New Roman" w:cs="Times New Roman"/>
          <w:noProof/>
          <w:lang w:val="en-IE"/>
        </w:rPr>
      </w:pPr>
      <w:r w:rsidRPr="00A36E36">
        <w:rPr>
          <w:rFonts w:ascii="Times New Roman" w:hAnsi="Times New Roman" w:cs="Times New Roman"/>
          <w:noProof/>
          <w:lang w:val="en-IE"/>
        </w:rPr>
        <w:t>Monitoring, audit, and control requirements, including:</w:t>
      </w:r>
    </w:p>
    <w:p w14:paraId="799FFC5A" w14:textId="77777777" w:rsidR="0039681A" w:rsidRPr="00A36E36" w:rsidRDefault="0039681A" w:rsidP="0039681A">
      <w:pPr>
        <w:pStyle w:val="ListParagraph"/>
        <w:numPr>
          <w:ilvl w:val="0"/>
          <w:numId w:val="111"/>
        </w:numPr>
        <w:spacing w:after="0" w:line="240"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monitoring system to report on the subsidies mobilized.</w:t>
      </w:r>
    </w:p>
    <w:p w14:paraId="09A0F1D3" w14:textId="77777777" w:rsidR="0039681A" w:rsidRPr="00A36E36" w:rsidRDefault="0039681A" w:rsidP="0039681A">
      <w:pPr>
        <w:pStyle w:val="ListParagraph"/>
        <w:numPr>
          <w:ilvl w:val="0"/>
          <w:numId w:val="111"/>
        </w:numPr>
        <w:spacing w:after="0" w:line="257"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s procedures that will ensure the prevention, detection and correction of fraud, corruption, and conflicts of interests. </w:t>
      </w:r>
    </w:p>
    <w:p w14:paraId="7E69D921" w14:textId="77777777" w:rsidR="0039681A" w:rsidRPr="00A36E36" w:rsidRDefault="0039681A" w:rsidP="0039681A">
      <w:pPr>
        <w:pStyle w:val="ListParagraph"/>
        <w:numPr>
          <w:ilvl w:val="0"/>
          <w:numId w:val="111"/>
        </w:numPr>
        <w:spacing w:after="0" w:line="257"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awarding a subsidy to an operation.</w:t>
      </w:r>
    </w:p>
    <w:p w14:paraId="3DBBD102" w14:textId="77777777" w:rsidR="0039681A" w:rsidRPr="00A36E36" w:rsidRDefault="0039681A" w:rsidP="0039681A">
      <w:pPr>
        <w:pStyle w:val="ListParagraph"/>
        <w:numPr>
          <w:ilvl w:val="0"/>
          <w:numId w:val="111"/>
        </w:numPr>
        <w:spacing w:after="0" w:line="240" w:lineRule="auto"/>
        <w:ind w:left="1440"/>
        <w:jc w:val="both"/>
        <w:rPr>
          <w:rFonts w:ascii="Times New Roman" w:hAnsi="Times New Roman" w:cs="Times New Roman"/>
          <w:noProof/>
          <w:lang w:val="en-IE"/>
        </w:rPr>
      </w:pPr>
      <w:r w:rsidRPr="00A36E36">
        <w:rPr>
          <w:rFonts w:ascii="Times New Roman" w:hAnsi="Times New Roman" w:cs="Times New Roman"/>
          <w:noProof/>
          <w:lang w:val="en-IE"/>
        </w:rPr>
        <w:t xml:space="preserve">The obligation of carrying out risk-based ex-post audits in accordance with an audit plan of the GSE.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grant agreements are being respected. </w:t>
      </w:r>
    </w:p>
    <w:p w14:paraId="694E03AE"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2.1 - Strengthening smart grids</w:t>
      </w:r>
    </w:p>
    <w:p w14:paraId="70F00EC3" w14:textId="5F21C498" w:rsidR="0039681A" w:rsidRPr="00A36E36" w:rsidRDefault="0039681A" w:rsidP="00351087">
      <w:pPr>
        <w:spacing w:before="120" w:after="120"/>
        <w:jc w:val="both"/>
        <w:rPr>
          <w:rFonts w:ascii="Times New Roman" w:hAnsi="Times New Roman" w:cs="Times New Roman"/>
          <w:noProof/>
          <w:lang w:val="en-IE"/>
        </w:rPr>
      </w:pPr>
      <w:r w:rsidRPr="201C8FD0">
        <w:rPr>
          <w:rFonts w:ascii="Times New Roman" w:hAnsi="Times New Roman" w:cs="Times New Roman"/>
          <w:noProof/>
          <w:lang w:val="en-IE"/>
        </w:rPr>
        <w:t xml:space="preserve">The objective of this investment is the infrastructural upgrade and digitalisation of the electricity distribution grid. The investment consists in providing grants to grid operators to finance interventions that increase the hosting capacity of the grid as well as the maximum power delivered for consumption by the grid. </w:t>
      </w:r>
    </w:p>
    <w:p w14:paraId="447345E7"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2.2 - Interventions to increase the resilience of the power grid</w:t>
      </w:r>
    </w:p>
    <w:p w14:paraId="154D7A86" w14:textId="600464D4" w:rsidR="0039681A" w:rsidRPr="00A36E36" w:rsidRDefault="0039681A" w:rsidP="00351087">
      <w:pPr>
        <w:spacing w:before="120" w:after="120"/>
        <w:jc w:val="both"/>
        <w:rPr>
          <w:rFonts w:ascii="Times New Roman" w:hAnsi="Times New Roman" w:cs="Times New Roman"/>
          <w:noProof/>
          <w:lang w:val="en-IE"/>
        </w:rPr>
      </w:pPr>
      <w:r w:rsidRPr="201C8FD0">
        <w:rPr>
          <w:rFonts w:ascii="Times New Roman" w:hAnsi="Times New Roman" w:cs="Times New Roman"/>
          <w:noProof/>
          <w:lang w:val="en-IE"/>
        </w:rPr>
        <w:t>The objective of this investment is to increase the resilience of the transmission and distribution grid to extreme weather events, hence reducing the probability of prolonged interruptions of electricity supply. The investment consists in providing grants to grid operators for works increasing the resilience of the power grid.</w:t>
      </w:r>
    </w:p>
    <w:p w14:paraId="586224B8" w14:textId="77777777" w:rsidR="0039681A" w:rsidRPr="00A36E36" w:rsidRDefault="0039681A" w:rsidP="00351087">
      <w:pPr>
        <w:rPr>
          <w:rFonts w:ascii="Times New Roman" w:hAnsi="Times New Roman" w:cs="Times New Roman"/>
          <w:b/>
          <w:noProof/>
          <w:lang w:val="en-IE"/>
        </w:rPr>
      </w:pPr>
      <w:r w:rsidRPr="00A36E36">
        <w:rPr>
          <w:rFonts w:ascii="Times New Roman" w:hAnsi="Times New Roman" w:cs="Times New Roman"/>
          <w:b/>
          <w:noProof/>
          <w:lang w:val="en-IE"/>
        </w:rPr>
        <w:t>Investment 3.1 - Production of Hydrogen in brownfield sites (Hydrogen Valleys)</w:t>
      </w:r>
    </w:p>
    <w:p w14:paraId="48278FF8" w14:textId="239D00A5"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create new hydrogen valleys, that is local production and use of renewable hydrogen in industry, SMEs, and local transport</w:t>
      </w:r>
      <w:r>
        <w:rPr>
          <w:rFonts w:ascii="Times New Roman" w:hAnsi="Times New Roman" w:cs="Times New Roman"/>
          <w:noProof/>
          <w:lang w:val="en-IE"/>
        </w:rPr>
        <w:t xml:space="preserve"> in abandoned industrial areas</w:t>
      </w:r>
      <w:r w:rsidRPr="00A36E36">
        <w:rPr>
          <w:rFonts w:ascii="Times New Roman" w:hAnsi="Times New Roman" w:cs="Times New Roman"/>
          <w:noProof/>
          <w:lang w:val="en-IE"/>
        </w:rPr>
        <w:t>. The investment consists in providing grants to carry out projects to</w:t>
      </w:r>
      <w:r>
        <w:rPr>
          <w:rFonts w:ascii="Times New Roman" w:hAnsi="Times New Roman" w:cs="Times New Roman"/>
          <w:noProof/>
          <w:lang w:val="en-IE"/>
        </w:rPr>
        <w:t xml:space="preserve"> create hydrogen valleys</w:t>
      </w:r>
      <w:r w:rsidRPr="00A36E36">
        <w:rPr>
          <w:rFonts w:ascii="Times New Roman" w:hAnsi="Times New Roman" w:cs="Times New Roman"/>
          <w:noProof/>
          <w:lang w:val="en-IE"/>
        </w:rPr>
        <w:t xml:space="preserve">. </w:t>
      </w:r>
    </w:p>
    <w:p w14:paraId="30CAF0DD"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3.2 - Hydrogen Use in hard-to-abate industry</w:t>
      </w:r>
    </w:p>
    <w:p w14:paraId="74872AF8"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noProof/>
          <w:lang w:val="en-IE"/>
        </w:rPr>
        <w:t>This investment consists in supporting R&amp;D&amp;I on industrial processes to develop initiatives to use hydrogen in industrial sectors that use methane as an energy source for thermal energy (cement, paper mills, ceramic, glass industries, etc.). The fossil fuel sector such as oil refineries shall not be eligible. This measure shall support hydrogen production based on electrolysis using renewable energy sources as defined in the Directive (EU) 2018/2001 (renewable Directive) or grid electricity.</w:t>
      </w:r>
      <w:r w:rsidRPr="00A36E36">
        <w:rPr>
          <w:rFonts w:ascii="Times New Roman" w:hAnsi="Times New Roman" w:cs="Times New Roman"/>
          <w:b/>
          <w:bCs/>
          <w:noProof/>
          <w:lang w:val="en-IE"/>
        </w:rPr>
        <w:t xml:space="preserve"> </w:t>
      </w:r>
    </w:p>
    <w:p w14:paraId="00886063"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In order to ensure that the measure complies with the ‘Do no significant harm’ principle under the Recovery and Resilience Facility as set out in the DNSH Technical Guidance (2021/C58/01), the eligibility criteria in upcoming calls shall exclude activities under the EU Emission Trading System (ETS) achieving projected greenhouse gas emissions that are not lower than the relevant benchmarks. Where the activity achieves projected greenhouse gas emissions that are not significantly lower, but still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p w14:paraId="0AE665D9"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3.4 - Hydrogen testing for railway mobility and road transport</w:t>
      </w:r>
    </w:p>
    <w:p w14:paraId="43DDEBEE" w14:textId="77777777"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color w:val="000000" w:themeColor="text1"/>
          <w:lang w:val="en-IE"/>
        </w:rPr>
        <w:t xml:space="preserve">The objective of this investment is to contribute to the use of hydrogen for refuelling purposes. </w:t>
      </w:r>
    </w:p>
    <w:p w14:paraId="33B0F459"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investment consists in building refuelling stations for railway based on hydrogen to be preferably located near local renewable hydrogen production sites and/or motorway hydrogen refuelling stations, and hydrogen-based refuelling stations for road transport.</w:t>
      </w:r>
    </w:p>
    <w:p w14:paraId="269AC543" w14:textId="77777777" w:rsidR="0039681A" w:rsidRPr="00A36E36" w:rsidRDefault="0039681A" w:rsidP="00351087">
      <w:pPr>
        <w:spacing w:before="120" w:after="120" w:line="278"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3.5 - Hydrogen Research and Development</w:t>
      </w:r>
    </w:p>
    <w:p w14:paraId="1A8E6765" w14:textId="77777777" w:rsidR="0039681A" w:rsidRPr="00A36E36" w:rsidRDefault="0039681A" w:rsidP="00351087">
      <w:pPr>
        <w:spacing w:before="120" w:after="120" w:line="278"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support research and development across the hydrogen value chain. The investment consists in supporting hydrogen R&amp;D projects concerning green hydrogen production, hydrogen storage, transport and transformation into derivates and e-fuels, fuel cells, and integrated smart management systems for hydrogen-based infrastructure. </w:t>
      </w:r>
    </w:p>
    <w:p w14:paraId="64214F2D" w14:textId="77777777" w:rsidR="0039681A" w:rsidRPr="00A36E36" w:rsidRDefault="0039681A" w:rsidP="00351087">
      <w:pPr>
        <w:spacing w:before="120" w:after="120" w:line="278"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4.2 - Development of Rapid Mass Transport systems</w:t>
      </w:r>
    </w:p>
    <w:p w14:paraId="6CE7681B" w14:textId="77777777" w:rsidR="0039681A" w:rsidRPr="00A36E36" w:rsidRDefault="0039681A" w:rsidP="00351087">
      <w:pPr>
        <w:spacing w:after="120"/>
        <w:ind w:right="4"/>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measure is to increase rapid mass transport system ridership, favouring a modal shift from car transport to public transport. This investment consists in the construction of new and the extension of existing lines of rapid mass transport systems, the upgrade of the infrastructure of rapid mass transport systems, and the purchase of zero-emission rolling stock for rapid mass transport systems. </w:t>
      </w:r>
    </w:p>
    <w:p w14:paraId="0491D032" w14:textId="77777777" w:rsidR="0039681A" w:rsidRPr="00A36E36" w:rsidRDefault="0039681A" w:rsidP="00351087">
      <w:pPr>
        <w:spacing w:after="120"/>
        <w:jc w:val="both"/>
        <w:rPr>
          <w:rFonts w:ascii="Times New Roman" w:hAnsi="Times New Roman" w:cs="Times New Roman"/>
          <w:b/>
          <w:bCs/>
          <w:noProof/>
          <w:lang w:val="en-IE"/>
        </w:rPr>
      </w:pPr>
      <w:bookmarkStart w:id="13" w:name="_Hlk151064119"/>
      <w:r w:rsidRPr="00A36E36">
        <w:rPr>
          <w:rFonts w:ascii="Times New Roman" w:hAnsi="Times New Roman" w:cs="Times New Roman"/>
          <w:b/>
          <w:bCs/>
          <w:noProof/>
          <w:lang w:val="en-IE"/>
        </w:rPr>
        <w:t>Investment 4.4.1 - Strengthening of the regional public transport zero- emission bus fleet</w:t>
      </w:r>
    </w:p>
    <w:p w14:paraId="68ECAF5B"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investment is to reduce greenhouse gases emissions and modernise the public buses fleet. This investment consists in the procurement of zero-emission buses and the installation of charging stations.</w:t>
      </w:r>
    </w:p>
    <w:bookmarkEnd w:id="13"/>
    <w:p w14:paraId="5B1021CE"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4.4.2 – Strengthening of the regional public transport railway fleet with zero emission trains and universal service</w:t>
      </w:r>
    </w:p>
    <w:p w14:paraId="14EDBD52" w14:textId="40192063" w:rsidR="0039681A" w:rsidRPr="00A36E36" w:rsidRDefault="0039681A" w:rsidP="00351087">
      <w:pPr>
        <w:spacing w:before="120" w:after="120"/>
        <w:jc w:val="both"/>
        <w:rPr>
          <w:rFonts w:ascii="Times New Roman" w:hAnsi="Times New Roman" w:cs="Times New Roman"/>
          <w:b/>
          <w:bCs/>
          <w:noProof/>
          <w:lang w:val="en-IE"/>
        </w:rPr>
      </w:pPr>
      <w:r w:rsidRPr="20A893EA">
        <w:rPr>
          <w:rFonts w:ascii="Times New Roman" w:hAnsi="Times New Roman" w:cs="Times New Roman"/>
          <w:noProof/>
          <w:lang w:val="en-IE"/>
        </w:rPr>
        <w:t>The objective of the investment is to reduce greenhouse gases emissions of railway transport and modernise the railway fleet. This investment consists in the procurement</w:t>
      </w:r>
      <w:r w:rsidR="00381DB1">
        <w:rPr>
          <w:rFonts w:ascii="Times New Roman" w:hAnsi="Times New Roman" w:cs="Times New Roman"/>
          <w:noProof/>
          <w:lang w:val="en-IE"/>
        </w:rPr>
        <w:t xml:space="preserve"> </w:t>
      </w:r>
      <w:r w:rsidRPr="20A893EA">
        <w:rPr>
          <w:rFonts w:ascii="Times New Roman" w:hAnsi="Times New Roman" w:cs="Times New Roman"/>
          <w:noProof/>
          <w:lang w:val="en-IE"/>
        </w:rPr>
        <w:t xml:space="preserve">of at least </w:t>
      </w:r>
      <w:r w:rsidRPr="147F5636">
        <w:rPr>
          <w:rFonts w:ascii="Times New Roman" w:hAnsi="Times New Roman" w:cs="Times New Roman"/>
          <w:noProof/>
          <w:lang w:val="en-IE"/>
        </w:rPr>
        <w:t>11</w:t>
      </w:r>
      <w:r>
        <w:rPr>
          <w:rFonts w:ascii="Times New Roman" w:hAnsi="Times New Roman" w:cs="Times New Roman"/>
          <w:noProof/>
          <w:lang w:val="en-IE"/>
        </w:rPr>
        <w:t>8</w:t>
      </w:r>
      <w:r w:rsidRPr="20A893EA">
        <w:rPr>
          <w:rFonts w:ascii="Times New Roman" w:hAnsi="Times New Roman" w:cs="Times New Roman"/>
          <w:noProof/>
          <w:lang w:val="en-IE"/>
        </w:rPr>
        <w:t xml:space="preserve"> zero emission passengers’ trains.</w:t>
      </w:r>
    </w:p>
    <w:p w14:paraId="6479A898" w14:textId="77777777" w:rsidR="00EA010C" w:rsidRDefault="00EA010C" w:rsidP="00351087">
      <w:pPr>
        <w:spacing w:before="120" w:after="120"/>
        <w:jc w:val="both"/>
        <w:rPr>
          <w:rFonts w:ascii="Times New Roman" w:hAnsi="Times New Roman" w:cs="Times New Roman"/>
          <w:b/>
          <w:bCs/>
          <w:noProof/>
          <w:lang w:val="en-IE"/>
        </w:rPr>
      </w:pPr>
    </w:p>
    <w:p w14:paraId="7F84B253" w14:textId="3D28E22D"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Investment 4.4.3 – Renewal fleet for the National fire brigade command </w:t>
      </w:r>
    </w:p>
    <w:p w14:paraId="20BA1B8E" w14:textId="77777777" w:rsidR="0039681A" w:rsidRPr="00AF5341" w:rsidRDefault="0039681A" w:rsidP="00351087">
      <w:pPr>
        <w:spacing w:after="120"/>
        <w:jc w:val="both"/>
        <w:rPr>
          <w:noProof/>
          <w:lang w:val="en-IE"/>
        </w:rPr>
      </w:pPr>
      <w:r w:rsidRPr="00A36E36">
        <w:rPr>
          <w:rFonts w:ascii="Times New Roman" w:hAnsi="Times New Roman" w:cs="Times New Roman"/>
          <w:noProof/>
          <w:lang w:val="en-IE"/>
        </w:rPr>
        <w:t>The objective of the investment is to reduce greenhouse gases emissions and modernise the fire-brigade fleet. This investment consists in the procurement of at least 3</w:t>
      </w:r>
      <w:r w:rsidRPr="00A36E36">
        <w:rPr>
          <w:noProof/>
          <w:color w:val="006100"/>
          <w:sz w:val="20"/>
          <w:szCs w:val="20"/>
          <w:lang w:val="en-IE"/>
        </w:rPr>
        <w:t> </w:t>
      </w:r>
      <w:r w:rsidRPr="00A36E36">
        <w:rPr>
          <w:rFonts w:ascii="Times New Roman" w:hAnsi="Times New Roman" w:cs="Times New Roman"/>
          <w:noProof/>
          <w:lang w:val="en-IE"/>
        </w:rPr>
        <w:t>800 vehicles for the National Fire Brigade.</w:t>
      </w:r>
    </w:p>
    <w:p w14:paraId="1EBFE4BD" w14:textId="77777777" w:rsidR="0039681A" w:rsidRDefault="0039681A" w:rsidP="00351087">
      <w:pPr>
        <w:spacing w:before="120" w:after="120"/>
        <w:jc w:val="both"/>
        <w:rPr>
          <w:rFonts w:ascii="Times New Roman" w:eastAsia="Times New Roman" w:hAnsi="Times New Roman" w:cs="Times New Roman"/>
          <w:b/>
          <w:bCs/>
          <w:noProof/>
          <w:lang w:val="en-IE"/>
        </w:rPr>
      </w:pPr>
      <w:r w:rsidRPr="62B27A35">
        <w:rPr>
          <w:rFonts w:ascii="Times New Roman" w:eastAsia="Times New Roman" w:hAnsi="Times New Roman" w:cs="Times New Roman"/>
          <w:b/>
          <w:bCs/>
          <w:noProof/>
          <w:lang w:val="en-IE"/>
        </w:rPr>
        <w:t>Investment 4.6 - Diagnostic trains</w:t>
      </w:r>
    </w:p>
    <w:p w14:paraId="42B6EB72" w14:textId="77777777" w:rsidR="0039681A" w:rsidRDefault="0039681A" w:rsidP="00351087">
      <w:pPr>
        <w:spacing w:before="120" w:after="120"/>
        <w:jc w:val="both"/>
        <w:rPr>
          <w:rFonts w:ascii="Times New Roman" w:eastAsia="Times New Roman" w:hAnsi="Times New Roman" w:cs="Times New Roman"/>
          <w:noProof/>
          <w:lang w:val="en-IE"/>
        </w:rPr>
      </w:pPr>
      <w:r w:rsidRPr="3EBBAD8F">
        <w:rPr>
          <w:rFonts w:ascii="Times New Roman" w:eastAsia="Times New Roman" w:hAnsi="Times New Roman" w:cs="Times New Roman"/>
          <w:noProof/>
          <w:lang w:val="en-IE"/>
        </w:rPr>
        <w:t>The measure aims at strengthening the fleet of diagnostic trains. The measure consists in the purchase of at least 7 diagnostic trains and in the equipment of at least 2 diagnostic trains.</w:t>
      </w:r>
    </w:p>
    <w:p w14:paraId="7E734482" w14:textId="77777777" w:rsidR="0039681A" w:rsidRPr="00A36E36" w:rsidRDefault="0039681A" w:rsidP="00351087">
      <w:pPr>
        <w:spacing w:after="120"/>
        <w:jc w:val="both"/>
        <w:rPr>
          <w:rFonts w:ascii="Times New Roman" w:hAnsi="Times New Roman" w:cs="Times New Roman"/>
          <w:b/>
          <w:noProof/>
          <w:lang w:val="en-IE"/>
        </w:rPr>
      </w:pPr>
      <w:r w:rsidRPr="00A36E36">
        <w:rPr>
          <w:rFonts w:ascii="Times New Roman" w:hAnsi="Times New Roman" w:cs="Times New Roman"/>
          <w:b/>
          <w:noProof/>
          <w:lang w:val="en-IE"/>
        </w:rPr>
        <w:t>Investment 5.1 – Support to the production system for the Ecological Transition, Net Zero Technologies, and competitiveness and resilience of strategic supply chains</w:t>
      </w:r>
    </w:p>
    <w:p w14:paraId="27183619"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measure shall consist of two sub-investments.</w:t>
      </w:r>
    </w:p>
    <w:p w14:paraId="66E0351F" w14:textId="77777777" w:rsidR="0039681A" w:rsidRPr="00A36E36" w:rsidRDefault="0039681A" w:rsidP="00351087">
      <w:pPr>
        <w:keepNext/>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Sub-investment 1:</w:t>
      </w:r>
    </w:p>
    <w:p w14:paraId="4262D083" w14:textId="77777777" w:rsidR="0039681A" w:rsidRPr="00A36E36" w:rsidRDefault="0039681A" w:rsidP="00351087">
      <w:pPr>
        <w:spacing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This sub-investment shall consist of a public investment in a Facility, “Net Zero Technologies”, in order to incentivise private investment and improve access to finance in the fields of energy efficiency, renewable generation for auto-consumption, and sustainable transformation of the production process. </w:t>
      </w:r>
    </w:p>
    <w:p w14:paraId="63E5FACB" w14:textId="77777777" w:rsidR="0039681A" w:rsidRPr="00647572" w:rsidRDefault="0039681A" w:rsidP="00351087">
      <w:pPr>
        <w:spacing w:after="120"/>
        <w:jc w:val="both"/>
        <w:rPr>
          <w:rFonts w:ascii="Times New Roman" w:hAnsi="Times New Roman" w:cs="Times New Roman"/>
          <w:noProof/>
        </w:rPr>
      </w:pPr>
      <w:r w:rsidRPr="00647572">
        <w:rPr>
          <w:rFonts w:ascii="Times New Roman" w:hAnsi="Times New Roman" w:cs="Times New Roman"/>
          <w:noProof/>
        </w:rPr>
        <w:t>The investment shall support:</w:t>
      </w:r>
    </w:p>
    <w:p w14:paraId="08D32959" w14:textId="77777777" w:rsidR="0039681A" w:rsidRPr="00A36E36" w:rsidRDefault="0039681A" w:rsidP="0039681A">
      <w:pPr>
        <w:pStyle w:val="ListParagraph"/>
        <w:numPr>
          <w:ilvl w:val="0"/>
          <w:numId w:val="112"/>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ecological transition of the national production system at various levels by supporting investments about the strengthening of production chains for devices and their direct and indirect components relevant to the ecological transition (for example battery and energy storage, solar and wind technologies, heat pumps and geothermal energy technologies, hydrogen technologies, and devices for carbon capture and storage), </w:t>
      </w:r>
    </w:p>
    <w:p w14:paraId="27E5E884" w14:textId="77777777" w:rsidR="0039681A" w:rsidRPr="00A36E36" w:rsidRDefault="0039681A" w:rsidP="0039681A">
      <w:pPr>
        <w:pStyle w:val="ListParagraph"/>
        <w:numPr>
          <w:ilvl w:val="0"/>
          <w:numId w:val="112"/>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energy efficiency of production processes (also through the production for self-consumption of electricity from renewable sources, with the exclusion of biomass),</w:t>
      </w:r>
    </w:p>
    <w:p w14:paraId="3A15D7BC" w14:textId="77777777" w:rsidR="0039681A" w:rsidRPr="00A36E36" w:rsidRDefault="0039681A" w:rsidP="0039681A">
      <w:pPr>
        <w:pStyle w:val="ListParagraph"/>
        <w:numPr>
          <w:ilvl w:val="0"/>
          <w:numId w:val="112"/>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sustainability of production processes, also with a view to the circular economy and more efficient use of resources.</w:t>
      </w:r>
    </w:p>
    <w:p w14:paraId="73022195"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The investment i) shall include the following product lines:</w:t>
      </w:r>
    </w:p>
    <w:p w14:paraId="33CF4C9D" w14:textId="4D5BB49C" w:rsidR="0039681A" w:rsidRPr="00A36E36" w:rsidRDefault="0039681A" w:rsidP="00351087">
      <w:pPr>
        <w:spacing w:after="120"/>
        <w:jc w:val="both"/>
        <w:rPr>
          <w:rFonts w:ascii="Times New Roman" w:hAnsi="Times New Roman" w:cs="Times New Roman"/>
          <w:noProof/>
          <w:lang w:val="en-IE"/>
        </w:rPr>
      </w:pPr>
      <w:r w:rsidRPr="6667E779">
        <w:rPr>
          <w:rFonts w:ascii="Times New Roman" w:hAnsi="Times New Roman" w:cs="Times New Roman"/>
          <w:noProof/>
          <w:lang w:val="en-IE"/>
        </w:rPr>
        <w:t>-</w:t>
      </w:r>
      <w:r w:rsidRPr="00AF5341">
        <w:rPr>
          <w:noProof/>
          <w:lang w:val="en-IE"/>
        </w:rPr>
        <w:tab/>
      </w:r>
      <w:r w:rsidRPr="6667E779">
        <w:rPr>
          <w:rFonts w:ascii="Times New Roman" w:hAnsi="Times New Roman" w:cs="Times New Roman"/>
          <w:noProof/>
          <w:lang w:val="en-IE"/>
        </w:rPr>
        <w:t xml:space="preserve">The first one focuses on the manufacturing of photovoltaic or wind technologies. </w:t>
      </w:r>
    </w:p>
    <w:p w14:paraId="32BAE3B3" w14:textId="28232D0D" w:rsidR="0039681A" w:rsidRPr="00A36E36" w:rsidRDefault="0039681A" w:rsidP="00351087">
      <w:pPr>
        <w:spacing w:after="120"/>
        <w:jc w:val="both"/>
        <w:rPr>
          <w:rFonts w:ascii="Times New Roman" w:hAnsi="Times New Roman" w:cs="Times New Roman"/>
          <w:noProof/>
          <w:lang w:val="en-IE"/>
        </w:rPr>
      </w:pPr>
      <w:r w:rsidRPr="6667E779">
        <w:rPr>
          <w:rFonts w:ascii="Times New Roman" w:hAnsi="Times New Roman" w:cs="Times New Roman"/>
          <w:noProof/>
          <w:lang w:val="en-IE"/>
        </w:rPr>
        <w:t>-</w:t>
      </w:r>
      <w:r w:rsidRPr="00AF5341">
        <w:rPr>
          <w:noProof/>
          <w:lang w:val="en-IE"/>
        </w:rPr>
        <w:tab/>
      </w:r>
      <w:r w:rsidRPr="6667E779">
        <w:rPr>
          <w:rFonts w:ascii="Times New Roman" w:hAnsi="Times New Roman" w:cs="Times New Roman"/>
          <w:noProof/>
          <w:lang w:val="en-IE"/>
        </w:rPr>
        <w:t>The second one focuses on the manufacturing of batteries..</w:t>
      </w:r>
    </w:p>
    <w:p w14:paraId="46BE1A80"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Facility shall operate by providing non-repayable grants, subsidised loans, and interest subsidies directly to the private sector. </w:t>
      </w:r>
    </w:p>
    <w:p w14:paraId="060B7D7D" w14:textId="77777777" w:rsidR="0039681A" w:rsidRPr="00647572" w:rsidRDefault="0039681A" w:rsidP="00351087">
      <w:pPr>
        <w:spacing w:after="120"/>
        <w:jc w:val="both"/>
        <w:rPr>
          <w:rFonts w:ascii="Times New Roman" w:hAnsi="Times New Roman" w:cs="Times New Roman"/>
          <w:noProof/>
        </w:rPr>
      </w:pPr>
      <w:r w:rsidRPr="00A36E36">
        <w:rPr>
          <w:rFonts w:ascii="Times New Roman" w:hAnsi="Times New Roman" w:cs="Times New Roman"/>
          <w:noProof/>
          <w:lang w:val="en-IE"/>
        </w:rPr>
        <w:t xml:space="preserve">The Facility shall be managed by Invitalia S.p.A. as the implementing partner. </w:t>
      </w:r>
      <w:r w:rsidRPr="00647572">
        <w:rPr>
          <w:rFonts w:ascii="Times New Roman" w:hAnsi="Times New Roman" w:cs="Times New Roman"/>
          <w:noProof/>
        </w:rPr>
        <w:t>The Facility shall include the following financial instruments:</w:t>
      </w:r>
    </w:p>
    <w:p w14:paraId="01D9E7DA" w14:textId="1CD52B8D" w:rsidR="0039681A" w:rsidRPr="00A36E36" w:rsidRDefault="0039681A" w:rsidP="0039681A">
      <w:pPr>
        <w:pStyle w:val="ListParagraph"/>
        <w:numPr>
          <w:ilvl w:val="0"/>
          <w:numId w:val="113"/>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Development Contract which shall support Net Zero Technologies projects larger than EUR</w:t>
      </w:r>
      <w:r w:rsidR="002D3AB2">
        <w:rPr>
          <w:rFonts w:ascii="Times New Roman" w:hAnsi="Times New Roman" w:cs="Times New Roman"/>
          <w:noProof/>
          <w:lang w:val="en-IE"/>
        </w:rPr>
        <w:t> </w:t>
      </w:r>
      <w:r w:rsidRPr="00A36E36">
        <w:rPr>
          <w:rFonts w:ascii="Times New Roman" w:hAnsi="Times New Roman" w:cs="Times New Roman"/>
          <w:noProof/>
          <w:lang w:val="en-IE"/>
        </w:rPr>
        <w:t>20</w:t>
      </w:r>
      <w:r w:rsidRPr="00A36E36">
        <w:rPr>
          <w:rFonts w:ascii="Times New Roman" w:hAnsi="Times New Roman" w:cs="Times New Roman" w:hint="eastAsia"/>
          <w:noProof/>
          <w:color w:val="006100"/>
          <w:sz w:val="20"/>
          <w:lang w:val="en-IE"/>
        </w:rPr>
        <w:t> </w:t>
      </w:r>
      <w:r w:rsidRPr="00A36E36">
        <w:rPr>
          <w:rFonts w:ascii="Times New Roman" w:hAnsi="Times New Roman" w:cs="Times New Roman"/>
          <w:noProof/>
          <w:lang w:val="en-IE"/>
        </w:rPr>
        <w:t>000</w:t>
      </w:r>
      <w:r w:rsidRPr="00A36E36">
        <w:rPr>
          <w:rFonts w:ascii="Times New Roman" w:hAnsi="Times New Roman" w:cs="Times New Roman" w:hint="eastAsia"/>
          <w:noProof/>
          <w:color w:val="006100"/>
          <w:sz w:val="20"/>
          <w:lang w:val="en-IE"/>
        </w:rPr>
        <w:t> </w:t>
      </w:r>
      <w:r w:rsidRPr="00A36E36">
        <w:rPr>
          <w:rFonts w:ascii="Times New Roman" w:hAnsi="Times New Roman" w:cs="Times New Roman"/>
          <w:noProof/>
          <w:lang w:val="en-IE"/>
        </w:rPr>
        <w:t>000 by providing grants, interest rate subsidies, and subsidised loans.</w:t>
      </w:r>
    </w:p>
    <w:p w14:paraId="1FA03598" w14:textId="77777777" w:rsidR="0039681A" w:rsidRPr="00A36E36" w:rsidRDefault="0039681A" w:rsidP="0039681A">
      <w:pPr>
        <w:pStyle w:val="ListParagraph"/>
        <w:numPr>
          <w:ilvl w:val="0"/>
          <w:numId w:val="113"/>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Fund for the Industrial Transformation which shall support projects between EUR 3</w:t>
      </w:r>
      <w:r w:rsidRPr="00A36E36">
        <w:rPr>
          <w:rFonts w:ascii="Times New Roman" w:hAnsi="Times New Roman" w:cs="Times New Roman" w:hint="eastAsia"/>
          <w:noProof/>
          <w:color w:val="006100"/>
          <w:sz w:val="20"/>
          <w:lang w:val="en-IE"/>
        </w:rPr>
        <w:t> </w:t>
      </w:r>
      <w:r w:rsidRPr="00A36E36">
        <w:rPr>
          <w:rFonts w:ascii="Times New Roman" w:hAnsi="Times New Roman" w:cs="Times New Roman"/>
          <w:noProof/>
          <w:lang w:val="en-IE"/>
        </w:rPr>
        <w:t>000</w:t>
      </w:r>
      <w:r w:rsidRPr="00A36E36">
        <w:rPr>
          <w:rFonts w:ascii="Times New Roman" w:hAnsi="Times New Roman" w:cs="Times New Roman" w:hint="eastAsia"/>
          <w:noProof/>
          <w:color w:val="006100"/>
          <w:sz w:val="20"/>
          <w:lang w:val="en-IE"/>
        </w:rPr>
        <w:t> </w:t>
      </w:r>
      <w:r w:rsidRPr="00A36E36">
        <w:rPr>
          <w:rFonts w:ascii="Times New Roman" w:hAnsi="Times New Roman" w:cs="Times New Roman"/>
          <w:noProof/>
          <w:lang w:val="en-IE"/>
        </w:rPr>
        <w:t>000 and EUR 20</w:t>
      </w:r>
      <w:r w:rsidRPr="00A36E36">
        <w:rPr>
          <w:rFonts w:ascii="Times New Roman" w:hAnsi="Times New Roman" w:cs="Times New Roman" w:hint="eastAsia"/>
          <w:noProof/>
          <w:color w:val="006100"/>
          <w:sz w:val="20"/>
          <w:lang w:val="en-IE"/>
        </w:rPr>
        <w:t> </w:t>
      </w:r>
      <w:r w:rsidRPr="00A36E36">
        <w:rPr>
          <w:rFonts w:ascii="Times New Roman" w:hAnsi="Times New Roman" w:cs="Times New Roman"/>
          <w:noProof/>
          <w:lang w:val="en-IE"/>
        </w:rPr>
        <w:t>000</w:t>
      </w:r>
      <w:r w:rsidRPr="00A36E36">
        <w:rPr>
          <w:rFonts w:ascii="Times New Roman" w:hAnsi="Times New Roman" w:cs="Times New Roman" w:hint="eastAsia"/>
          <w:noProof/>
          <w:color w:val="006100"/>
          <w:sz w:val="20"/>
          <w:lang w:val="en-IE"/>
        </w:rPr>
        <w:t> </w:t>
      </w:r>
      <w:r w:rsidRPr="00A36E36">
        <w:rPr>
          <w:rFonts w:ascii="Times New Roman" w:hAnsi="Times New Roman" w:cs="Times New Roman"/>
          <w:noProof/>
          <w:lang w:val="en-IE"/>
        </w:rPr>
        <w:t>000, by providing grants.</w:t>
      </w:r>
    </w:p>
    <w:p w14:paraId="6034BFD1"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Facility, Italy and Invitalia S.p.A. shall sign an Implementing Agreement that shall include the following content:</w:t>
      </w:r>
    </w:p>
    <w:p w14:paraId="62AF9D39" w14:textId="77777777" w:rsidR="0039681A" w:rsidRPr="00A36E36" w:rsidRDefault="0039681A" w:rsidP="0039681A">
      <w:pPr>
        <w:pStyle w:val="ListParagraph"/>
        <w:numPr>
          <w:ilvl w:val="3"/>
          <w:numId w:val="114"/>
        </w:numPr>
        <w:spacing w:after="120" w:line="240" w:lineRule="auto"/>
        <w:ind w:left="709"/>
        <w:jc w:val="both"/>
        <w:rPr>
          <w:rFonts w:ascii="Times New Roman" w:hAnsi="Times New Roman" w:cs="Times New Roman"/>
          <w:noProof/>
          <w:lang w:val="en-IE"/>
        </w:rPr>
      </w:pPr>
      <w:r w:rsidRPr="00A36E36">
        <w:rPr>
          <w:rFonts w:ascii="Times New Roman" w:hAnsi="Times New Roman" w:cs="Times New Roman"/>
          <w:noProof/>
          <w:lang w:val="en-IE"/>
        </w:rPr>
        <w:t>Description of the decision-making process of the Facility: The final investment and award decisions of the Facility shall be taken by an investment committee or other relevant equivalent governing body and approved by a majority of votes from members who are independent from the government.</w:t>
      </w:r>
    </w:p>
    <w:p w14:paraId="062F8DEB" w14:textId="77777777" w:rsidR="0039681A" w:rsidRPr="00A36E36" w:rsidRDefault="0039681A" w:rsidP="0039681A">
      <w:pPr>
        <w:pStyle w:val="ListParagraph"/>
        <w:numPr>
          <w:ilvl w:val="3"/>
          <w:numId w:val="114"/>
        </w:numPr>
        <w:spacing w:after="120" w:line="240" w:lineRule="auto"/>
        <w:ind w:left="709"/>
        <w:jc w:val="both"/>
        <w:rPr>
          <w:rFonts w:ascii="Times New Roman" w:hAnsi="Times New Roman" w:cs="Times New Roman"/>
          <w:noProof/>
          <w:lang w:val="en-IE"/>
        </w:rPr>
      </w:pPr>
      <w:r w:rsidRPr="00A36E36">
        <w:rPr>
          <w:rFonts w:ascii="Times New Roman" w:hAnsi="Times New Roman" w:cs="Times New Roman"/>
          <w:noProof/>
          <w:lang w:val="en-IE"/>
        </w:rPr>
        <w:t>Key requirements of the associated investment policy, which shall include:</w:t>
      </w:r>
    </w:p>
    <w:p w14:paraId="69642DA9" w14:textId="77777777" w:rsidR="0039681A" w:rsidRPr="00A36E36" w:rsidRDefault="0039681A" w:rsidP="0039681A">
      <w:pPr>
        <w:pStyle w:val="ListParagraph"/>
        <w:numPr>
          <w:ilvl w:val="4"/>
          <w:numId w:val="114"/>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 xml:space="preserve">The description of the financial products and eligible final beneficiaries. </w:t>
      </w:r>
    </w:p>
    <w:p w14:paraId="43389C90" w14:textId="77777777" w:rsidR="0039681A" w:rsidRPr="00A36E36" w:rsidRDefault="0039681A" w:rsidP="0039681A">
      <w:pPr>
        <w:pStyle w:val="ListParagraph"/>
        <w:numPr>
          <w:ilvl w:val="4"/>
          <w:numId w:val="114"/>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 xml:space="preserve">The requirement that all investments supported are economically viable. </w:t>
      </w:r>
    </w:p>
    <w:p w14:paraId="6DDB16ED" w14:textId="77777777" w:rsidR="0039681A" w:rsidRPr="00A36E36" w:rsidRDefault="0039681A" w:rsidP="0039681A">
      <w:pPr>
        <w:pStyle w:val="ListParagraph"/>
        <w:numPr>
          <w:ilvl w:val="4"/>
          <w:numId w:val="114"/>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 xml:space="preserve">The requirement to comply with the </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Do no significant harm</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 (DNSH) principle as set out in the DNSH Technical Guidance (2021/C58/01). In particular, the investment policy shall exclude the following list of activities and assets from eligibility: (i) activities and assets related to fossil fuels, including downstream use</w:t>
      </w:r>
      <w:r w:rsidRPr="00647572">
        <w:rPr>
          <w:rStyle w:val="FootnoteReference"/>
          <w:rFonts w:ascii="Times New Roman" w:hAnsi="Times New Roman" w:cs="Times New Roman"/>
          <w:noProof/>
        </w:rPr>
        <w:footnoteReference w:id="55"/>
      </w:r>
      <w:r w:rsidRPr="00A36E36">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647572">
        <w:rPr>
          <w:rStyle w:val="FootnoteReference"/>
          <w:rFonts w:ascii="Times New Roman" w:hAnsi="Times New Roman" w:cs="Times New Roman"/>
          <w:noProof/>
        </w:rPr>
        <w:footnoteReference w:id="56"/>
      </w:r>
      <w:r w:rsidRPr="00A36E36">
        <w:rPr>
          <w:rFonts w:ascii="Times New Roman" w:hAnsi="Times New Roman" w:cs="Times New Roman"/>
          <w:noProof/>
          <w:lang w:val="en-IE"/>
        </w:rPr>
        <w:t>, (iii) activities and assets related to waste landfills, incinerators</w:t>
      </w:r>
      <w:r w:rsidRPr="00647572">
        <w:rPr>
          <w:rStyle w:val="FootnoteReference"/>
          <w:rFonts w:ascii="Times New Roman" w:hAnsi="Times New Roman" w:cs="Times New Roman"/>
          <w:noProof/>
        </w:rPr>
        <w:footnoteReference w:id="57"/>
      </w:r>
      <w:r w:rsidRPr="00A36E36">
        <w:rPr>
          <w:rFonts w:ascii="Times New Roman" w:hAnsi="Times New Roman" w:cs="Times New Roman"/>
          <w:noProof/>
          <w:lang w:val="en-IE"/>
        </w:rPr>
        <w:t xml:space="preserve"> and mechanical biological treatment plants</w:t>
      </w:r>
      <w:r w:rsidRPr="00647572">
        <w:rPr>
          <w:rStyle w:val="FootnoteReference"/>
          <w:rFonts w:ascii="Times New Roman" w:hAnsi="Times New Roman" w:cs="Times New Roman"/>
          <w:noProof/>
        </w:rPr>
        <w:footnoteReference w:id="58"/>
      </w:r>
      <w:r w:rsidRPr="00A36E36">
        <w:rPr>
          <w:rFonts w:ascii="Times New Roman" w:hAnsi="Times New Roman" w:cs="Times New Roman"/>
          <w:noProof/>
          <w:lang w:val="en-IE"/>
        </w:rPr>
        <w:t xml:space="preserve">. </w:t>
      </w:r>
    </w:p>
    <w:p w14:paraId="090B8168" w14:textId="77777777" w:rsidR="0039681A" w:rsidRPr="00A36E36" w:rsidRDefault="0039681A" w:rsidP="0039681A">
      <w:pPr>
        <w:pStyle w:val="ListParagraph"/>
        <w:numPr>
          <w:ilvl w:val="4"/>
          <w:numId w:val="114"/>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The requirement that final beneficiaries of the Facility shall not receive support from other Union instruments to cover the same cost.</w:t>
      </w:r>
    </w:p>
    <w:p w14:paraId="19701746" w14:textId="77777777" w:rsidR="0039681A" w:rsidRPr="00A36E36" w:rsidRDefault="0039681A" w:rsidP="0039681A">
      <w:pPr>
        <w:pStyle w:val="ListParagraph"/>
        <w:numPr>
          <w:ilvl w:val="3"/>
          <w:numId w:val="114"/>
        </w:numPr>
        <w:spacing w:after="120" w:line="240" w:lineRule="auto"/>
        <w:ind w:left="709"/>
        <w:jc w:val="both"/>
        <w:rPr>
          <w:rFonts w:ascii="Times New Roman" w:hAnsi="Times New Roman" w:cs="Times New Roman"/>
          <w:noProof/>
          <w:lang w:val="en-IE"/>
        </w:rPr>
      </w:pPr>
      <w:r w:rsidRPr="00A36E36">
        <w:rPr>
          <w:rFonts w:ascii="Times New Roman" w:hAnsi="Times New Roman" w:cs="Times New Roman"/>
          <w:noProof/>
          <w:lang w:val="en-IE"/>
        </w:rPr>
        <w:t>The amount covered by the Implementing Agreement, the fee structure for the Implementing Partner and the requirement to reinvest any reflows according to the investment policy of the Facility.</w:t>
      </w:r>
    </w:p>
    <w:p w14:paraId="7C399D83" w14:textId="77777777" w:rsidR="0039681A" w:rsidRPr="00A36E36" w:rsidRDefault="0039681A" w:rsidP="0039681A">
      <w:pPr>
        <w:pStyle w:val="ListParagraph"/>
        <w:numPr>
          <w:ilvl w:val="3"/>
          <w:numId w:val="114"/>
        </w:numPr>
        <w:spacing w:after="120" w:line="240" w:lineRule="auto"/>
        <w:ind w:left="709"/>
        <w:jc w:val="both"/>
        <w:rPr>
          <w:rFonts w:ascii="Times New Roman" w:hAnsi="Times New Roman" w:cs="Times New Roman"/>
          <w:noProof/>
          <w:lang w:val="en-IE"/>
        </w:rPr>
      </w:pPr>
      <w:r w:rsidRPr="00A36E36">
        <w:rPr>
          <w:rFonts w:ascii="Times New Roman" w:hAnsi="Times New Roman" w:cs="Times New Roman"/>
          <w:noProof/>
          <w:lang w:val="en-IE"/>
        </w:rPr>
        <w:t>Monitoring, audit, and control requirements, including:</w:t>
      </w:r>
    </w:p>
    <w:p w14:paraId="495C9690" w14:textId="77777777" w:rsidR="0039681A" w:rsidRPr="00A36E36" w:rsidRDefault="0039681A" w:rsidP="0039681A">
      <w:pPr>
        <w:pStyle w:val="ListParagraph"/>
        <w:numPr>
          <w:ilvl w:val="4"/>
          <w:numId w:val="114"/>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monitoring system to report on the investment mobilized.</w:t>
      </w:r>
    </w:p>
    <w:p w14:paraId="0008E26A" w14:textId="77777777" w:rsidR="0039681A" w:rsidRPr="00A36E36" w:rsidRDefault="0039681A" w:rsidP="0039681A">
      <w:pPr>
        <w:pStyle w:val="ListParagraph"/>
        <w:numPr>
          <w:ilvl w:val="4"/>
          <w:numId w:val="114"/>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s procedures that shall ensure the prevention, detection and correction of fraud, corruption, and conflicts of interests. </w:t>
      </w:r>
    </w:p>
    <w:p w14:paraId="6FE2B6A6" w14:textId="77777777" w:rsidR="0039681A" w:rsidRPr="00A36E36" w:rsidRDefault="0039681A" w:rsidP="0039681A">
      <w:pPr>
        <w:pStyle w:val="ListParagraph"/>
        <w:numPr>
          <w:ilvl w:val="4"/>
          <w:numId w:val="114"/>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committing to finance an operation.</w:t>
      </w:r>
    </w:p>
    <w:p w14:paraId="6785FCB5" w14:textId="77777777" w:rsidR="0039681A" w:rsidRPr="00A36E36" w:rsidRDefault="0039681A" w:rsidP="0039681A">
      <w:pPr>
        <w:pStyle w:val="ListParagraph"/>
        <w:numPr>
          <w:ilvl w:val="4"/>
          <w:numId w:val="114"/>
        </w:numPr>
        <w:spacing w:after="120" w:line="240" w:lineRule="auto"/>
        <w:ind w:left="1276"/>
        <w:jc w:val="both"/>
        <w:rPr>
          <w:rFonts w:ascii="Times New Roman" w:hAnsi="Times New Roman" w:cs="Times New Roman"/>
          <w:noProof/>
          <w:lang w:val="en-IE"/>
        </w:rPr>
      </w:pPr>
      <w:r w:rsidRPr="00A36E36">
        <w:rPr>
          <w:rFonts w:ascii="Times New Roman" w:hAnsi="Times New Roman" w:cs="Times New Roman"/>
          <w:noProof/>
          <w:lang w:val="en-IE"/>
        </w:rPr>
        <w:t>The obligation of carrying out risk-based ex-post audits in accordance with an audit plan of the Invitalia S.p.A. These audits shall verify:</w:t>
      </w:r>
    </w:p>
    <w:p w14:paraId="1A3CA3B7" w14:textId="77777777" w:rsidR="0039681A" w:rsidRPr="00A36E36" w:rsidRDefault="0039681A" w:rsidP="0039681A">
      <w:pPr>
        <w:pStyle w:val="ListParagraph"/>
        <w:numPr>
          <w:ilvl w:val="5"/>
          <w:numId w:val="114"/>
        </w:numPr>
        <w:spacing w:after="120" w:line="240" w:lineRule="auto"/>
        <w:ind w:left="1985"/>
        <w:jc w:val="both"/>
        <w:rPr>
          <w:rFonts w:ascii="Times New Roman" w:hAnsi="Times New Roman" w:cs="Times New Roman"/>
          <w:noProof/>
          <w:lang w:val="en-IE"/>
        </w:rPr>
      </w:pPr>
      <w:r w:rsidRPr="00A36E36">
        <w:rPr>
          <w:rFonts w:ascii="Times New Roman" w:hAnsi="Times New Roman" w:cs="Times New Roman"/>
          <w:noProof/>
          <w:lang w:val="en-IE"/>
        </w:rPr>
        <w:t>that the control systems are effective, including the detection of fraud, corruption, and conflict of interests;</w:t>
      </w:r>
    </w:p>
    <w:p w14:paraId="236175E7" w14:textId="77777777" w:rsidR="0039681A" w:rsidRPr="00A36E36" w:rsidRDefault="0039681A" w:rsidP="0039681A">
      <w:pPr>
        <w:pStyle w:val="ListParagraph"/>
        <w:numPr>
          <w:ilvl w:val="5"/>
          <w:numId w:val="114"/>
        </w:numPr>
        <w:spacing w:after="120" w:line="240" w:lineRule="auto"/>
        <w:ind w:left="1985"/>
        <w:jc w:val="both"/>
        <w:rPr>
          <w:rFonts w:ascii="Times New Roman" w:hAnsi="Times New Roman" w:cs="Times New Roman"/>
          <w:noProof/>
          <w:lang w:val="en-IE"/>
        </w:rPr>
      </w:pPr>
      <w:r w:rsidRPr="00A36E36">
        <w:rPr>
          <w:rFonts w:ascii="Times New Roman" w:hAnsi="Times New Roman" w:cs="Times New Roman"/>
          <w:noProof/>
          <w:lang w:val="en-IE"/>
        </w:rPr>
        <w:t xml:space="preserve">compliance with the DNSH principle, the State Aid rules, the climate target requirements; and </w:t>
      </w:r>
    </w:p>
    <w:p w14:paraId="6CF4F143" w14:textId="77777777" w:rsidR="0039681A" w:rsidRPr="00A36E36" w:rsidRDefault="0039681A" w:rsidP="0039681A">
      <w:pPr>
        <w:pStyle w:val="ListParagraph"/>
        <w:numPr>
          <w:ilvl w:val="5"/>
          <w:numId w:val="114"/>
        </w:numPr>
        <w:spacing w:after="120" w:line="240" w:lineRule="auto"/>
        <w:ind w:left="1985"/>
        <w:jc w:val="both"/>
        <w:rPr>
          <w:rFonts w:ascii="Times New Roman" w:hAnsi="Times New Roman" w:cs="Times New Roman"/>
          <w:noProof/>
          <w:lang w:val="en-IE"/>
        </w:rPr>
      </w:pPr>
      <w:r w:rsidRPr="00A36E36">
        <w:rPr>
          <w:rFonts w:ascii="Times New Roman" w:hAnsi="Times New Roman" w:cs="Times New Roman"/>
          <w:noProof/>
          <w:lang w:val="en-IE"/>
        </w:rPr>
        <w:t xml:space="preserve">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 </w:t>
      </w:r>
    </w:p>
    <w:p w14:paraId="0BD88916" w14:textId="726C9642"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5. Requirements for climate investments carried out by the implementing partner: at least EUR</w:t>
      </w:r>
      <w:r w:rsidR="002D3AB2" w:rsidRPr="0039681A">
        <w:rPr>
          <w:rFonts w:ascii="Arial Narrow" w:eastAsia="Aptos" w:hAnsi="Arial Narrow" w:cs="Times New Roman"/>
          <w:noProof/>
          <w:color w:val="006100"/>
          <w:sz w:val="20"/>
          <w:lang w:val="en-IE"/>
        </w:rPr>
        <w:t> </w:t>
      </w:r>
      <w:r>
        <w:rPr>
          <w:rFonts w:ascii="Times New Roman" w:hAnsi="Times New Roman" w:cs="Times New Roman"/>
          <w:noProof/>
          <w:lang w:val="en-IE"/>
        </w:rPr>
        <w:t>660</w:t>
      </w:r>
      <w:r w:rsidRPr="00A36E36">
        <w:rPr>
          <w:rFonts w:ascii="Times New Roman" w:hAnsi="Times New Roman" w:cs="Times New Roman" w:hint="eastAsia"/>
          <w:noProof/>
          <w:color w:val="006100"/>
          <w:sz w:val="20"/>
          <w:szCs w:val="20"/>
          <w:lang w:val="en-IE"/>
        </w:rPr>
        <w:t> </w:t>
      </w:r>
      <w:r w:rsidRPr="00A36E36">
        <w:rPr>
          <w:rFonts w:ascii="Times New Roman" w:hAnsi="Times New Roman" w:cs="Times New Roman"/>
          <w:noProof/>
          <w:lang w:val="en-IE"/>
        </w:rPr>
        <w:t>000</w:t>
      </w:r>
      <w:r w:rsidRPr="00A36E36">
        <w:rPr>
          <w:rFonts w:ascii="Times New Roman" w:hAnsi="Times New Roman" w:cs="Times New Roman" w:hint="eastAsia"/>
          <w:noProof/>
          <w:color w:val="006100"/>
          <w:sz w:val="20"/>
          <w:szCs w:val="20"/>
          <w:lang w:val="en-IE"/>
        </w:rPr>
        <w:t> </w:t>
      </w:r>
      <w:r w:rsidRPr="00A36E36">
        <w:rPr>
          <w:rFonts w:ascii="Times New Roman" w:hAnsi="Times New Roman" w:cs="Times New Roman"/>
          <w:noProof/>
          <w:lang w:val="en-IE"/>
        </w:rPr>
        <w:t>000 of the RRF investment into the Facility shall contribute to the climate change objectives in accordance with Annex VI to the RRF Regulation</w:t>
      </w:r>
      <w:r w:rsidRPr="00647572">
        <w:rPr>
          <w:rStyle w:val="FootnoteReference"/>
          <w:rFonts w:ascii="Times New Roman" w:hAnsi="Times New Roman" w:cs="Times New Roman"/>
          <w:noProof/>
        </w:rPr>
        <w:footnoteReference w:id="59"/>
      </w:r>
      <w:r w:rsidRPr="00A36E36">
        <w:rPr>
          <w:rFonts w:ascii="Times New Roman" w:hAnsi="Times New Roman" w:cs="Times New Roman"/>
          <w:noProof/>
          <w:lang w:val="en-IE"/>
        </w:rPr>
        <w:t>.</w:t>
      </w:r>
    </w:p>
    <w:p w14:paraId="0D0FBA48" w14:textId="77777777" w:rsidR="0039681A" w:rsidRDefault="0039681A" w:rsidP="00351087">
      <w:pPr>
        <w:rPr>
          <w:rFonts w:ascii="Times New Roman" w:hAnsi="Times New Roman" w:cs="Times New Roman"/>
          <w:b/>
          <w:noProof/>
          <w:lang w:val="en-IE"/>
        </w:rPr>
      </w:pPr>
      <w:r>
        <w:rPr>
          <w:rFonts w:ascii="Times New Roman" w:hAnsi="Times New Roman" w:cs="Times New Roman"/>
          <w:b/>
          <w:noProof/>
          <w:lang w:val="en-IE"/>
        </w:rPr>
        <w:br w:type="page"/>
      </w:r>
    </w:p>
    <w:p w14:paraId="2F6A12DB"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Sub-investment 2:</w:t>
      </w:r>
    </w:p>
    <w:p w14:paraId="136225F7"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sub-investment shall consist of a public investment in a Facility, “Competitiveness and resilience of strategic supply chains”, in order to incentivise private investment and improve access to finance to strengthen industrial supply chains.</w:t>
      </w:r>
    </w:p>
    <w:p w14:paraId="3757365E"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The investment shall support projects related to key strategic value chains, such as industrial development programs and environmental protection development programs.</w:t>
      </w:r>
    </w:p>
    <w:p w14:paraId="27CD927C"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The Facility shall operate by providing non-repayable grants, subsidised loans, and interest subsidies directly to the private sector.</w:t>
      </w:r>
    </w:p>
    <w:p w14:paraId="14796CD3"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Facility shall be managed by Invitalia S.p.A. as the implementing partner. </w:t>
      </w:r>
    </w:p>
    <w:p w14:paraId="1150A2F6"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Facility, Italy and Invitalia shall sign an Implementing Agreement that shall include the following content:</w:t>
      </w:r>
    </w:p>
    <w:p w14:paraId="5D8875B5" w14:textId="77777777" w:rsidR="0039681A" w:rsidRPr="00A36E36" w:rsidRDefault="0039681A" w:rsidP="0039681A">
      <w:pPr>
        <w:pStyle w:val="ListParagraph"/>
        <w:numPr>
          <w:ilvl w:val="0"/>
          <w:numId w:val="115"/>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Description of the decision-making process of the Facility: The final investment and award decisions of the Facility shall be taken by an investment committee or other relevant equivalent governing body and approved by a majority of votes from members who are independent from the government.</w:t>
      </w:r>
    </w:p>
    <w:p w14:paraId="57187F63" w14:textId="77777777" w:rsidR="0039681A" w:rsidRPr="00A36E36" w:rsidRDefault="0039681A" w:rsidP="0039681A">
      <w:pPr>
        <w:pStyle w:val="ListParagraph"/>
        <w:numPr>
          <w:ilvl w:val="0"/>
          <w:numId w:val="115"/>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Key requirements of the associated investment policy, which shall include:</w:t>
      </w:r>
    </w:p>
    <w:p w14:paraId="61DBE29D" w14:textId="77777777" w:rsidR="0039681A" w:rsidRPr="00A36E36" w:rsidRDefault="0039681A" w:rsidP="0039681A">
      <w:pPr>
        <w:pStyle w:val="ListParagraph"/>
        <w:numPr>
          <w:ilvl w:val="0"/>
          <w:numId w:val="116"/>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description of the financial product(s) and eligible final beneficiaries. </w:t>
      </w:r>
    </w:p>
    <w:p w14:paraId="4B917F38" w14:textId="77777777" w:rsidR="0039681A" w:rsidRPr="00A36E36" w:rsidRDefault="0039681A" w:rsidP="0039681A">
      <w:pPr>
        <w:pStyle w:val="ListParagraph"/>
        <w:numPr>
          <w:ilvl w:val="0"/>
          <w:numId w:val="116"/>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requirement that all investments supported are economically viable. </w:t>
      </w:r>
    </w:p>
    <w:p w14:paraId="27CA6D8C" w14:textId="77777777" w:rsidR="0039681A" w:rsidRPr="00A36E36" w:rsidRDefault="0039681A" w:rsidP="0039681A">
      <w:pPr>
        <w:pStyle w:val="ListParagraph"/>
        <w:numPr>
          <w:ilvl w:val="0"/>
          <w:numId w:val="116"/>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requirement to comply with the </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Do no significant harm</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 (DNSH) principle as set out in the DNSH Technical Guidance (2021/C58/01). In particular, the investment policy shall exclude the following list of activities and assets from eligibility: (i) activities and assets related to fossil fuels, including downstream use</w:t>
      </w:r>
      <w:r w:rsidRPr="00647572">
        <w:rPr>
          <w:rStyle w:val="FootnoteReference"/>
          <w:rFonts w:ascii="Times New Roman" w:hAnsi="Times New Roman" w:cs="Times New Roman"/>
          <w:noProof/>
        </w:rPr>
        <w:footnoteReference w:id="60"/>
      </w:r>
      <w:r w:rsidRPr="00A36E36">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647572">
        <w:rPr>
          <w:rStyle w:val="FootnoteReference"/>
          <w:rFonts w:ascii="Times New Roman" w:hAnsi="Times New Roman" w:cs="Times New Roman"/>
          <w:noProof/>
        </w:rPr>
        <w:footnoteReference w:id="61"/>
      </w:r>
      <w:r w:rsidRPr="00A36E36">
        <w:rPr>
          <w:rFonts w:ascii="Times New Roman" w:hAnsi="Times New Roman" w:cs="Times New Roman"/>
          <w:noProof/>
          <w:lang w:val="en-IE"/>
        </w:rPr>
        <w:t>, (iii) activities and assets related to waste landfills, incinerators</w:t>
      </w:r>
      <w:r w:rsidRPr="00647572">
        <w:rPr>
          <w:rStyle w:val="FootnoteReference"/>
          <w:rFonts w:ascii="Times New Roman" w:hAnsi="Times New Roman" w:cs="Times New Roman"/>
          <w:noProof/>
        </w:rPr>
        <w:footnoteReference w:id="62"/>
      </w:r>
      <w:r w:rsidRPr="00A36E36">
        <w:rPr>
          <w:rFonts w:ascii="Times New Roman" w:hAnsi="Times New Roman" w:cs="Times New Roman"/>
          <w:noProof/>
          <w:lang w:val="en-IE"/>
        </w:rPr>
        <w:t xml:space="preserve"> and mechanical biological treatment plants</w:t>
      </w:r>
      <w:r w:rsidRPr="00647572">
        <w:rPr>
          <w:rStyle w:val="FootnoteReference"/>
          <w:rFonts w:ascii="Times New Roman" w:hAnsi="Times New Roman" w:cs="Times New Roman"/>
          <w:noProof/>
        </w:rPr>
        <w:footnoteReference w:id="63"/>
      </w:r>
      <w:r w:rsidRPr="00A36E36">
        <w:rPr>
          <w:rFonts w:ascii="Times New Roman" w:hAnsi="Times New Roman" w:cs="Times New Roman"/>
          <w:noProof/>
          <w:lang w:val="en-IE"/>
        </w:rPr>
        <w:t xml:space="preserve">. </w:t>
      </w:r>
    </w:p>
    <w:p w14:paraId="1BD96469" w14:textId="77777777" w:rsidR="0039681A" w:rsidRPr="00A36E36" w:rsidRDefault="0039681A" w:rsidP="0039681A">
      <w:pPr>
        <w:pStyle w:val="ListParagraph"/>
        <w:numPr>
          <w:ilvl w:val="0"/>
          <w:numId w:val="116"/>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requirement that final beneficiaries of the Facility shall not receive support from other Union instruments to cover the same cost.</w:t>
      </w:r>
    </w:p>
    <w:p w14:paraId="7DEDCDBB" w14:textId="77777777" w:rsidR="0039681A" w:rsidRPr="00A36E36" w:rsidRDefault="0039681A" w:rsidP="0039681A">
      <w:pPr>
        <w:pStyle w:val="ListParagraph"/>
        <w:numPr>
          <w:ilvl w:val="0"/>
          <w:numId w:val="115"/>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amount covered by the Implementing Agreement, the fee structure for the Implementing Partner and the requirement to reinvest any reflows according to the investment policy of the Facility.</w:t>
      </w:r>
    </w:p>
    <w:p w14:paraId="26FA8AFA" w14:textId="77777777" w:rsidR="0039681A" w:rsidRPr="00A36E36" w:rsidRDefault="0039681A" w:rsidP="0039681A">
      <w:pPr>
        <w:pStyle w:val="ListParagraph"/>
        <w:numPr>
          <w:ilvl w:val="0"/>
          <w:numId w:val="115"/>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Monitoring, audit, and control requirements, including:</w:t>
      </w:r>
    </w:p>
    <w:p w14:paraId="74B25F06" w14:textId="77777777" w:rsidR="0039681A" w:rsidRPr="00A36E36" w:rsidRDefault="0039681A" w:rsidP="0039681A">
      <w:pPr>
        <w:pStyle w:val="ListParagraph"/>
        <w:numPr>
          <w:ilvl w:val="1"/>
          <w:numId w:val="117"/>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monitoring system to report on the investment mobilized.</w:t>
      </w:r>
    </w:p>
    <w:p w14:paraId="79F470F2" w14:textId="77777777" w:rsidR="0039681A" w:rsidRPr="00A36E36" w:rsidRDefault="0039681A" w:rsidP="0039681A">
      <w:pPr>
        <w:pStyle w:val="ListParagraph"/>
        <w:numPr>
          <w:ilvl w:val="1"/>
          <w:numId w:val="117"/>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s procedures that shall ensure the prevention, detection and correction of fraud, corruption, and conflicts of interests. </w:t>
      </w:r>
    </w:p>
    <w:p w14:paraId="319DF936" w14:textId="77777777" w:rsidR="0039681A" w:rsidRPr="00A36E36" w:rsidRDefault="0039681A" w:rsidP="0039681A">
      <w:pPr>
        <w:pStyle w:val="ListParagraph"/>
        <w:numPr>
          <w:ilvl w:val="1"/>
          <w:numId w:val="117"/>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committing to finance an operation.</w:t>
      </w:r>
    </w:p>
    <w:p w14:paraId="146E6BDB" w14:textId="77777777" w:rsidR="0039681A" w:rsidRPr="00647572" w:rsidRDefault="0039681A" w:rsidP="0039681A">
      <w:pPr>
        <w:pStyle w:val="ListParagraph"/>
        <w:numPr>
          <w:ilvl w:val="1"/>
          <w:numId w:val="117"/>
        </w:numPr>
        <w:spacing w:after="120" w:line="240" w:lineRule="auto"/>
        <w:jc w:val="both"/>
        <w:rPr>
          <w:rFonts w:ascii="Times New Roman" w:hAnsi="Times New Roman" w:cs="Times New Roman"/>
          <w:noProof/>
        </w:rPr>
      </w:pPr>
      <w:r w:rsidRPr="00A36E36">
        <w:rPr>
          <w:rFonts w:ascii="Times New Roman" w:hAnsi="Times New Roman" w:cs="Times New Roman"/>
          <w:noProof/>
          <w:lang w:val="en-IE"/>
        </w:rPr>
        <w:t xml:space="preserve">The obligation of carrying out risk-based ex-post audits in accordance with an audit plan of the Invitalia SPA. </w:t>
      </w:r>
      <w:r w:rsidRPr="00647572">
        <w:rPr>
          <w:rFonts w:ascii="Times New Roman" w:hAnsi="Times New Roman" w:cs="Times New Roman"/>
          <w:noProof/>
        </w:rPr>
        <w:t>These audits shall verify:</w:t>
      </w:r>
    </w:p>
    <w:p w14:paraId="6B2C5EDD" w14:textId="77777777" w:rsidR="0039681A" w:rsidRPr="00A36E36" w:rsidRDefault="0039681A" w:rsidP="0039681A">
      <w:pPr>
        <w:pStyle w:val="ListParagraph"/>
        <w:numPr>
          <w:ilvl w:val="2"/>
          <w:numId w:val="117"/>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that the control systems are effective, including the detection of fraud, corruption, and conflict of interests;</w:t>
      </w:r>
    </w:p>
    <w:p w14:paraId="204027DE" w14:textId="77777777" w:rsidR="0039681A" w:rsidRPr="00A36E36" w:rsidRDefault="0039681A" w:rsidP="0039681A">
      <w:pPr>
        <w:pStyle w:val="ListParagraph"/>
        <w:numPr>
          <w:ilvl w:val="2"/>
          <w:numId w:val="117"/>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compliance with the DNSH principle, the State Aid rules, the climate target requirements; and </w:t>
      </w:r>
    </w:p>
    <w:p w14:paraId="5846328F" w14:textId="77777777" w:rsidR="0039681A" w:rsidRPr="00A36E36" w:rsidRDefault="0039681A" w:rsidP="0039681A">
      <w:pPr>
        <w:pStyle w:val="ListParagraph"/>
        <w:numPr>
          <w:ilvl w:val="2"/>
          <w:numId w:val="117"/>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w:t>
      </w:r>
    </w:p>
    <w:p w14:paraId="180E79A9" w14:textId="77777777" w:rsidR="0039681A" w:rsidRPr="00A36E36" w:rsidRDefault="0039681A" w:rsidP="00351087">
      <w:pPr>
        <w:spacing w:before="120" w:after="120"/>
        <w:jc w:val="both"/>
        <w:rPr>
          <w:rFonts w:ascii="Times New Roman" w:eastAsia="Times New Roman" w:hAnsi="Times New Roman" w:cs="Times New Roman"/>
          <w:b/>
          <w:noProof/>
          <w:lang w:val="en-IE"/>
        </w:rPr>
      </w:pPr>
      <w:r w:rsidRPr="00A36E36">
        <w:rPr>
          <w:rFonts w:ascii="Times New Roman" w:eastAsia="Times New Roman" w:hAnsi="Times New Roman" w:cs="Times New Roman"/>
          <w:b/>
          <w:noProof/>
          <w:lang w:val="en-IE"/>
        </w:rPr>
        <w:t>Investment 5.2 - Development of an international, industrial and R&amp;D leadership in hydrogen</w:t>
      </w:r>
    </w:p>
    <w:p w14:paraId="7E5DF679" w14:textId="5BB5906B"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The objective of this investment is to support the </w:t>
      </w:r>
      <w:r>
        <w:rPr>
          <w:rFonts w:ascii="Times New Roman" w:eastAsia="Times New Roman" w:hAnsi="Times New Roman" w:cs="Times New Roman"/>
          <w:noProof/>
          <w:lang w:val="en-IE"/>
        </w:rPr>
        <w:t xml:space="preserve">development of </w:t>
      </w:r>
      <w:r w:rsidRPr="00A36E36">
        <w:rPr>
          <w:rFonts w:ascii="Times New Roman" w:eastAsia="Times New Roman" w:hAnsi="Times New Roman" w:cs="Times New Roman"/>
          <w:noProof/>
          <w:lang w:val="en-IE"/>
        </w:rPr>
        <w:t xml:space="preserve">hydrogen in Italy. This investment consists in financing projects for the manufacturing of electrolysers. </w:t>
      </w:r>
    </w:p>
    <w:p w14:paraId="75C574FE" w14:textId="77777777" w:rsidR="0039681A" w:rsidRPr="00A36E36" w:rsidRDefault="0039681A" w:rsidP="00351087">
      <w:pPr>
        <w:spacing w:before="120" w:after="120"/>
        <w:jc w:val="both"/>
        <w:rPr>
          <w:rFonts w:ascii="Times New Roman" w:eastAsia="Times New Roman" w:hAnsi="Times New Roman" w:cs="Times New Roman"/>
          <w:b/>
          <w:noProof/>
          <w:lang w:val="en-IE"/>
        </w:rPr>
      </w:pPr>
      <w:r w:rsidRPr="00A36E36">
        <w:rPr>
          <w:rFonts w:ascii="Times New Roman" w:eastAsia="Times New Roman" w:hAnsi="Times New Roman" w:cs="Times New Roman"/>
          <w:b/>
          <w:noProof/>
          <w:lang w:val="en-IE"/>
        </w:rPr>
        <w:t>Investment 5.3 – Development of an international, industrial and R&amp;D leadership in electric buses</w:t>
      </w:r>
    </w:p>
    <w:p w14:paraId="332629FD" w14:textId="77777777"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This investment consists in supporting about 45 projects that can promote the digital and green transformation of bus industry to product electric and connected buses. This investment is also expected to support investments on the renewal of the electric bus fleet (without covering hybrid buses).</w:t>
      </w:r>
    </w:p>
    <w:p w14:paraId="5A25902C" w14:textId="77777777" w:rsidR="0039681A" w:rsidRPr="00A36E36" w:rsidRDefault="0039681A" w:rsidP="00351087">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Investment 5.4 – Equity injection into the Green Transition Fund (“GTF”) managed by CDP Venture Capital SGR</w:t>
      </w:r>
    </w:p>
    <w:p w14:paraId="6E18C9D7" w14:textId="77777777" w:rsidR="0039681A" w:rsidRPr="00A36E36" w:rsidRDefault="0039681A" w:rsidP="00351087">
      <w:pPr>
        <w:spacing w:line="240" w:lineRule="auto"/>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 xml:space="preserve">This measure aims at supporting the growth potential of the Italian economy by incentivizing private investments, improving access to finance for start-ups involved in the green transition, and developing the venture capital market in this sector. The measure shall consist of an equity injection of EUR 250 000 000 into the Green Transition Fund (“GTF”) managed by CDP Venture Capital SGR. </w:t>
      </w:r>
    </w:p>
    <w:p w14:paraId="48041F7C" w14:textId="77777777" w:rsidR="0039681A" w:rsidRPr="00647572" w:rsidRDefault="0039681A" w:rsidP="00351087">
      <w:pPr>
        <w:pStyle w:val="LegalNumPar2"/>
        <w:numPr>
          <w:ilvl w:val="0"/>
          <w:numId w:val="0"/>
        </w:numPr>
        <w:spacing w:line="259" w:lineRule="auto"/>
        <w:jc w:val="both"/>
        <w:rPr>
          <w:rFonts w:ascii="Times New Roman" w:eastAsia="Times New Roman" w:hAnsi="Times New Roman" w:cs="Times New Roman"/>
          <w:noProof/>
          <w:lang w:val="en-GB" w:eastAsia="ja-JP"/>
        </w:rPr>
      </w:pPr>
      <w:r w:rsidRPr="00647572">
        <w:rPr>
          <w:rFonts w:ascii="Times New Roman" w:eastAsia="Times New Roman" w:hAnsi="Times New Roman" w:cs="Times New Roman"/>
          <w:noProof/>
          <w:lang w:val="en-GB" w:eastAsia="ja-JP"/>
        </w:rPr>
        <w:t xml:space="preserve">CDP Venture Capital SGR shall adopt an investment policy for the use of the equity. The investment policy shall include the description of the financial product(s) with the expected type of eligible final beneficiaries </w:t>
      </w:r>
      <w:bookmarkStart w:id="14" w:name="_Hlk198572061"/>
      <w:r w:rsidRPr="00647572">
        <w:rPr>
          <w:rFonts w:ascii="Times New Roman" w:eastAsia="Times New Roman" w:hAnsi="Times New Roman" w:cs="Times New Roman"/>
          <w:noProof/>
          <w:lang w:val="en-GB" w:eastAsia="ja-JP"/>
        </w:rPr>
        <w:t>that the equity is expected to support</w:t>
      </w:r>
      <w:bookmarkEnd w:id="14"/>
      <w:r w:rsidRPr="00647572">
        <w:rPr>
          <w:rFonts w:ascii="Times New Roman" w:eastAsia="Times New Roman" w:hAnsi="Times New Roman" w:cs="Times New Roman"/>
          <w:noProof/>
          <w:lang w:val="en-GB" w:eastAsia="ja-JP"/>
        </w:rPr>
        <w:t xml:space="preserve">, </w:t>
      </w:r>
      <w:bookmarkStart w:id="15" w:name="_Hlk198538454"/>
      <w:r w:rsidRPr="00647572">
        <w:rPr>
          <w:rFonts w:ascii="Times New Roman" w:eastAsia="Times New Roman" w:hAnsi="Times New Roman" w:cs="Times New Roman"/>
          <w:noProof/>
          <w:lang w:val="en-GB" w:eastAsia="ja-JP"/>
        </w:rPr>
        <w:t>including the expected timeline for the implementation of 15 years and the management fee of maximum 13%</w:t>
      </w:r>
      <w:bookmarkEnd w:id="15"/>
      <w:r w:rsidRPr="00647572">
        <w:rPr>
          <w:rFonts w:ascii="Times New Roman" w:eastAsia="Times New Roman" w:hAnsi="Times New Roman" w:cs="Times New Roman"/>
          <w:noProof/>
          <w:lang w:val="en-GB" w:eastAsia="ja-JP"/>
        </w:rPr>
        <w:t>.</w:t>
      </w:r>
      <w:r w:rsidRPr="00647572">
        <w:rPr>
          <w:rFonts w:ascii="Times New Roman" w:eastAsia="Times New Roman" w:hAnsi="Times New Roman" w:cs="Times New Roman"/>
          <w:noProof/>
          <w:vertAlign w:val="superscript"/>
          <w:lang w:val="en-GB" w:eastAsia="ja-JP"/>
        </w:rPr>
        <w:footnoteReference w:id="64"/>
      </w:r>
      <w:r w:rsidRPr="00647572">
        <w:rPr>
          <w:rFonts w:ascii="Times New Roman" w:eastAsia="Times New Roman" w:hAnsi="Times New Roman" w:cs="Times New Roman"/>
          <w:noProof/>
          <w:lang w:val="en-GB" w:eastAsia="ja-JP"/>
        </w:rPr>
        <w:t xml:space="preserve"> The GTF shall operate by providing equity, quasi equity, debt or quasi debt support, directly or indirectly.</w:t>
      </w:r>
      <w:r w:rsidRPr="00647572">
        <w:rPr>
          <w:rFonts w:ascii="Times New Roman" w:eastAsia="Times New Roman" w:hAnsi="Times New Roman" w:cs="Times New Roman"/>
          <w:noProof/>
          <w:vertAlign w:val="superscript"/>
          <w:lang w:val="en-GB" w:eastAsia="ja-JP"/>
        </w:rPr>
        <w:footnoteReference w:id="65"/>
      </w:r>
      <w:r w:rsidRPr="00647572">
        <w:rPr>
          <w:rFonts w:ascii="Times New Roman" w:eastAsia="Times New Roman" w:hAnsi="Times New Roman" w:cs="Times New Roman"/>
          <w:noProof/>
          <w:lang w:val="en-GB" w:eastAsia="ja-JP"/>
        </w:rPr>
        <w:t xml:space="preserve"> CDP Venture Capital SGR shall adopt the audit and control system described in the guidelines “Linee Guida per le attività di rendicontazione e controllo dei Fondi DTF e GTF” for the use of the equity. The Investment Policy shall require that financial product(s) that the equity supports comply with the ‘Do no significant harm’ (DNSH) principle as set out in the DNSH Technical Guidance (2021/C58/01). In particular, in the case of general support to start ups, the investment policy shall exclude companies with a substantial focus</w:t>
      </w:r>
      <w:r w:rsidRPr="00647572">
        <w:rPr>
          <w:rFonts w:ascii="Times New Roman" w:eastAsia="Times New Roman" w:hAnsi="Times New Roman" w:cs="Times New Roman"/>
          <w:noProof/>
          <w:vertAlign w:val="superscript"/>
          <w:lang w:val="en-GB" w:eastAsia="ja-JP"/>
        </w:rPr>
        <w:footnoteReference w:id="66"/>
      </w:r>
      <w:r w:rsidRPr="00647572">
        <w:rPr>
          <w:rFonts w:ascii="Times New Roman" w:eastAsia="Times New Roman" w:hAnsi="Times New Roman" w:cs="Times New Roman"/>
          <w:noProof/>
          <w:vertAlign w:val="superscript"/>
          <w:lang w:val="en-GB" w:eastAsia="ja-JP"/>
        </w:rPr>
        <w:t xml:space="preserve"> </w:t>
      </w:r>
      <w:r w:rsidRPr="00647572">
        <w:rPr>
          <w:rFonts w:ascii="Times New Roman" w:eastAsia="Times New Roman" w:hAnsi="Times New Roman" w:cs="Times New Roman"/>
          <w:noProof/>
          <w:lang w:val="en-GB" w:eastAsia="ja-JP"/>
        </w:rPr>
        <w:t>in the following sectors: (i) fossil fuel-based energy production and related activities</w:t>
      </w:r>
      <w:r w:rsidRPr="00647572">
        <w:rPr>
          <w:rFonts w:ascii="Times New Roman" w:eastAsia="Times New Roman" w:hAnsi="Times New Roman" w:cs="Times New Roman"/>
          <w:noProof/>
          <w:vertAlign w:val="superscript"/>
          <w:lang w:val="en-GB" w:eastAsia="ja-JP"/>
        </w:rPr>
        <w:footnoteReference w:id="67"/>
      </w:r>
      <w:r w:rsidRPr="00647572">
        <w:rPr>
          <w:rFonts w:ascii="Times New Roman" w:eastAsia="Times New Roman" w:hAnsi="Times New Roman" w:cs="Times New Roman"/>
          <w:noProof/>
          <w:lang w:val="en-GB" w:eastAsia="ja-JP"/>
        </w:rPr>
        <w:t>; (ii) energy-intensive and/or high CO2-emitting industries</w:t>
      </w:r>
      <w:r w:rsidRPr="00647572">
        <w:rPr>
          <w:rFonts w:ascii="Times New Roman" w:eastAsia="Times New Roman" w:hAnsi="Times New Roman" w:cs="Times New Roman"/>
          <w:noProof/>
          <w:vertAlign w:val="superscript"/>
          <w:lang w:val="en-GB" w:eastAsia="ja-JP"/>
        </w:rPr>
        <w:footnoteReference w:id="68"/>
      </w:r>
      <w:r w:rsidRPr="00647572">
        <w:rPr>
          <w:rFonts w:ascii="Times New Roman" w:eastAsia="Times New Roman" w:hAnsi="Times New Roman" w:cs="Times New Roman"/>
          <w:noProof/>
          <w:lang w:val="en-GB" w:eastAsia="ja-JP"/>
        </w:rPr>
        <w:t>; (iii) production, rental, or sale of polluting vehicles</w:t>
      </w:r>
      <w:r w:rsidRPr="00647572">
        <w:rPr>
          <w:rFonts w:ascii="Times New Roman" w:eastAsia="Times New Roman" w:hAnsi="Times New Roman" w:cs="Times New Roman"/>
          <w:noProof/>
          <w:vertAlign w:val="superscript"/>
          <w:lang w:val="en-GB" w:eastAsia="ja-JP"/>
        </w:rPr>
        <w:footnoteReference w:id="69"/>
      </w:r>
      <w:r w:rsidRPr="00647572">
        <w:rPr>
          <w:rFonts w:ascii="Times New Roman" w:eastAsia="Times New Roman" w:hAnsi="Times New Roman" w:cs="Times New Roman"/>
          <w:noProof/>
          <w:lang w:val="en-GB" w:eastAsia="ja-JP"/>
        </w:rPr>
        <w:t>; (iv) waste collection, waste treatment and disposal</w:t>
      </w:r>
      <w:r w:rsidRPr="00647572">
        <w:rPr>
          <w:rFonts w:ascii="Times New Roman" w:eastAsia="Times New Roman" w:hAnsi="Times New Roman" w:cs="Times New Roman"/>
          <w:noProof/>
          <w:vertAlign w:val="superscript"/>
          <w:lang w:val="en-GB" w:eastAsia="ja-JP"/>
        </w:rPr>
        <w:footnoteReference w:id="70"/>
      </w:r>
      <w:r w:rsidRPr="00647572">
        <w:rPr>
          <w:rFonts w:ascii="Times New Roman" w:eastAsia="Times New Roman" w:hAnsi="Times New Roman" w:cs="Times New Roman"/>
          <w:noProof/>
          <w:lang w:val="en-GB" w:eastAsia="ja-JP"/>
        </w:rPr>
        <w:t>, (v) processing of nuclear fuel, production of nuclear energy. Moreover, the investment policy shall require compliance with the relevant EU and national environmental legislation.</w:t>
      </w:r>
    </w:p>
    <w:p w14:paraId="6138C4EA" w14:textId="77777777" w:rsidR="0039681A" w:rsidRPr="00647572" w:rsidRDefault="0039681A" w:rsidP="00351087">
      <w:pPr>
        <w:pStyle w:val="LegalNumPar2"/>
        <w:numPr>
          <w:ilvl w:val="0"/>
          <w:numId w:val="0"/>
        </w:numPr>
        <w:spacing w:line="259" w:lineRule="auto"/>
        <w:jc w:val="both"/>
        <w:rPr>
          <w:rFonts w:ascii="Times New Roman" w:eastAsia="Times New Roman" w:hAnsi="Times New Roman" w:cs="Times New Roman"/>
          <w:noProof/>
          <w:lang w:val="en-GB"/>
        </w:rPr>
        <w:sectPr w:rsidR="0039681A" w:rsidRPr="00647572" w:rsidSect="0039681A">
          <w:headerReference w:type="even" r:id="rId83"/>
          <w:headerReference w:type="default" r:id="rId84"/>
          <w:footerReference w:type="default" r:id="rId85"/>
          <w:headerReference w:type="first" r:id="rId86"/>
          <w:pgSz w:w="11907" w:h="16839"/>
          <w:pgMar w:top="1134" w:right="1134" w:bottom="1134" w:left="1134" w:header="567" w:footer="567" w:gutter="0"/>
          <w:cols w:space="720"/>
          <w:docGrid w:linePitch="360"/>
        </w:sectPr>
      </w:pPr>
      <w:r w:rsidRPr="00647572">
        <w:rPr>
          <w:rFonts w:ascii="Times New Roman" w:eastAsia="Times New Roman" w:hAnsi="Times New Roman" w:cs="Times New Roman"/>
          <w:noProof/>
          <w:lang w:val="en-GB"/>
        </w:rPr>
        <w:t xml:space="preserve"> </w:t>
      </w:r>
    </w:p>
    <w:p w14:paraId="59E74249" w14:textId="77777777" w:rsidR="0039681A" w:rsidRPr="00A36E36" w:rsidRDefault="0039681A" w:rsidP="00351087">
      <w:pPr>
        <w:pStyle w:val="Heading3"/>
        <w:ind w:left="850" w:hanging="850"/>
        <w:rPr>
          <w:noProof/>
          <w:sz w:val="24"/>
          <w:szCs w:val="24"/>
          <w:lang w:val="en-IE"/>
        </w:rPr>
      </w:pPr>
      <w:r w:rsidRPr="00A36E36">
        <w:rPr>
          <w:rFonts w:ascii="Times New Roman" w:eastAsia="Times New Roman" w:hAnsi="Times New Roman" w:cs="Times New Roman"/>
          <w:b/>
          <w:noProof/>
          <w:sz w:val="24"/>
          <w:szCs w:val="24"/>
          <w:u w:val="single"/>
          <w:lang w:val="en-IE"/>
        </w:rPr>
        <w:t xml:space="preserve">E.4. </w:t>
      </w:r>
      <w:r w:rsidRPr="00A36E36">
        <w:rPr>
          <w:noProof/>
          <w:sz w:val="24"/>
          <w:szCs w:val="24"/>
          <w:lang w:val="en-IE"/>
        </w:rPr>
        <w:tab/>
      </w:r>
      <w:r w:rsidRPr="00A36E36">
        <w:rPr>
          <w:rFonts w:ascii="Times New Roman" w:eastAsia="Times New Roman" w:hAnsi="Times New Roman" w:cs="Times New Roman"/>
          <w:b/>
          <w:noProof/>
          <w:sz w:val="24"/>
          <w:szCs w:val="24"/>
          <w:u w:val="single"/>
          <w:lang w:val="en-IE"/>
        </w:rPr>
        <w:t xml:space="preserve">Milestones, targets, indicators, and timetable for monitoring and implementation for the loan </w:t>
      </w: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495"/>
        <w:gridCol w:w="1057"/>
        <w:gridCol w:w="1276"/>
        <w:gridCol w:w="1559"/>
        <w:gridCol w:w="992"/>
        <w:gridCol w:w="992"/>
        <w:gridCol w:w="993"/>
        <w:gridCol w:w="850"/>
        <w:gridCol w:w="711"/>
        <w:gridCol w:w="3506"/>
      </w:tblGrid>
      <w:tr w:rsidR="0039681A" w:rsidRPr="0070054C" w14:paraId="56790980" w14:textId="77777777" w:rsidTr="00F118A8">
        <w:trPr>
          <w:trHeight w:val="927"/>
          <w:tblHeader/>
          <w:jc w:val="center"/>
        </w:trPr>
        <w:tc>
          <w:tcPr>
            <w:tcW w:w="1129" w:type="dxa"/>
            <w:vMerge w:val="restart"/>
            <w:shd w:val="clear" w:color="auto" w:fill="BDD7EE"/>
            <w:vAlign w:val="center"/>
            <w:hideMark/>
          </w:tcPr>
          <w:p w14:paraId="17E6DF56" w14:textId="77777777" w:rsidR="0039681A" w:rsidRPr="00647572" w:rsidRDefault="0039681A" w:rsidP="00351087">
            <w:pPr>
              <w:jc w:val="center"/>
              <w:rPr>
                <w:rFonts w:ascii="Arial Narrow" w:hAnsi="Arial Narrow"/>
                <w:b/>
                <w:noProof/>
                <w:sz w:val="20"/>
                <w:szCs w:val="20"/>
              </w:rPr>
            </w:pPr>
            <w:r w:rsidRPr="00647572">
              <w:rPr>
                <w:rFonts w:ascii="Arial Narrow" w:hAnsi="Arial Narrow"/>
                <w:noProof/>
                <w:sz w:val="20"/>
              </w:rPr>
              <w:t>S</w:t>
            </w:r>
            <w:r w:rsidRPr="00647572">
              <w:rPr>
                <w:rFonts w:ascii="Arial Narrow" w:hAnsi="Arial Narrow"/>
                <w:b/>
                <w:noProof/>
                <w:sz w:val="20"/>
              </w:rPr>
              <w:t>equential Number</w:t>
            </w:r>
          </w:p>
        </w:tc>
        <w:tc>
          <w:tcPr>
            <w:tcW w:w="1495" w:type="dxa"/>
            <w:vMerge w:val="restart"/>
            <w:shd w:val="clear" w:color="auto" w:fill="BDD7EE"/>
            <w:vAlign w:val="center"/>
            <w:hideMark/>
          </w:tcPr>
          <w:p w14:paraId="0F12A08A" w14:textId="77777777" w:rsidR="0039681A" w:rsidRPr="00A36E36" w:rsidRDefault="0039681A" w:rsidP="00351087">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057" w:type="dxa"/>
            <w:vMerge w:val="restart"/>
            <w:shd w:val="clear" w:color="auto" w:fill="BDD7EE"/>
            <w:vAlign w:val="center"/>
            <w:hideMark/>
          </w:tcPr>
          <w:p w14:paraId="58A58DBF"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Milestone / Target</w:t>
            </w:r>
          </w:p>
        </w:tc>
        <w:tc>
          <w:tcPr>
            <w:tcW w:w="1276" w:type="dxa"/>
            <w:vMerge w:val="restart"/>
            <w:shd w:val="clear" w:color="auto" w:fill="BDD7EE"/>
            <w:vAlign w:val="center"/>
            <w:hideMark/>
          </w:tcPr>
          <w:p w14:paraId="623BBA64"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Name</w:t>
            </w:r>
          </w:p>
        </w:tc>
        <w:tc>
          <w:tcPr>
            <w:tcW w:w="1559" w:type="dxa"/>
            <w:vMerge w:val="restart"/>
            <w:shd w:val="clear" w:color="auto" w:fill="BDD7EE"/>
            <w:vAlign w:val="center"/>
            <w:hideMark/>
          </w:tcPr>
          <w:p w14:paraId="286A7EA6"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Qualitative indicators</w:t>
            </w:r>
            <w:r w:rsidRPr="00647572">
              <w:rPr>
                <w:rFonts w:ascii="Arial Narrow" w:hAnsi="Arial Narrow"/>
                <w:noProof/>
              </w:rPr>
              <w:t xml:space="preserve"> </w:t>
            </w:r>
            <w:r w:rsidRPr="00647572">
              <w:rPr>
                <w:noProof/>
              </w:rPr>
              <w:br/>
            </w:r>
            <w:r w:rsidRPr="00647572">
              <w:rPr>
                <w:rFonts w:ascii="Arial Narrow" w:hAnsi="Arial Narrow"/>
                <w:b/>
                <w:noProof/>
                <w:sz w:val="20"/>
              </w:rPr>
              <w:t>(for milestones)</w:t>
            </w:r>
          </w:p>
        </w:tc>
        <w:tc>
          <w:tcPr>
            <w:tcW w:w="2977" w:type="dxa"/>
            <w:gridSpan w:val="3"/>
            <w:shd w:val="clear" w:color="auto" w:fill="BDD7EE"/>
            <w:vAlign w:val="center"/>
            <w:hideMark/>
          </w:tcPr>
          <w:p w14:paraId="1889647F"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61" w:type="dxa"/>
            <w:gridSpan w:val="2"/>
            <w:shd w:val="clear" w:color="auto" w:fill="BDD7EE"/>
            <w:vAlign w:val="center"/>
            <w:hideMark/>
          </w:tcPr>
          <w:p w14:paraId="69E12CD5"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3506" w:type="dxa"/>
            <w:vMerge w:val="restart"/>
            <w:shd w:val="clear" w:color="auto" w:fill="BDD7EE"/>
            <w:vAlign w:val="center"/>
            <w:hideMark/>
          </w:tcPr>
          <w:p w14:paraId="7E81D944" w14:textId="77777777" w:rsidR="0039681A" w:rsidRPr="00A36E36" w:rsidRDefault="0039681A" w:rsidP="00351087">
            <w:pP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05B8D13F" w14:textId="77777777" w:rsidTr="00F118A8">
        <w:trPr>
          <w:trHeight w:val="771"/>
          <w:tblHeader/>
          <w:jc w:val="center"/>
        </w:trPr>
        <w:tc>
          <w:tcPr>
            <w:tcW w:w="1129" w:type="dxa"/>
            <w:vMerge/>
            <w:vAlign w:val="center"/>
            <w:hideMark/>
          </w:tcPr>
          <w:p w14:paraId="7C6E60D1" w14:textId="77777777" w:rsidR="0039681A" w:rsidRPr="00A36E36" w:rsidRDefault="0039681A" w:rsidP="00351087">
            <w:pPr>
              <w:jc w:val="center"/>
              <w:rPr>
                <w:rFonts w:ascii="Arial Narrow" w:hAnsi="Arial Narrow"/>
                <w:b/>
                <w:bCs/>
                <w:noProof/>
                <w:sz w:val="20"/>
                <w:szCs w:val="20"/>
                <w:lang w:val="en-IE"/>
              </w:rPr>
            </w:pPr>
          </w:p>
        </w:tc>
        <w:tc>
          <w:tcPr>
            <w:tcW w:w="1495" w:type="dxa"/>
            <w:vMerge/>
            <w:vAlign w:val="center"/>
            <w:hideMark/>
          </w:tcPr>
          <w:p w14:paraId="318532A7" w14:textId="77777777" w:rsidR="0039681A" w:rsidRPr="00A36E36" w:rsidRDefault="0039681A" w:rsidP="00351087">
            <w:pPr>
              <w:jc w:val="center"/>
              <w:rPr>
                <w:rFonts w:ascii="Arial Narrow" w:hAnsi="Arial Narrow"/>
                <w:b/>
                <w:bCs/>
                <w:noProof/>
                <w:sz w:val="20"/>
                <w:szCs w:val="20"/>
                <w:lang w:val="en-IE"/>
              </w:rPr>
            </w:pPr>
          </w:p>
        </w:tc>
        <w:tc>
          <w:tcPr>
            <w:tcW w:w="1057" w:type="dxa"/>
            <w:vMerge/>
            <w:vAlign w:val="center"/>
            <w:hideMark/>
          </w:tcPr>
          <w:p w14:paraId="5DF50CE7" w14:textId="77777777" w:rsidR="0039681A" w:rsidRPr="00A36E36" w:rsidRDefault="0039681A" w:rsidP="00351087">
            <w:pPr>
              <w:jc w:val="center"/>
              <w:rPr>
                <w:rFonts w:ascii="Arial Narrow" w:hAnsi="Arial Narrow"/>
                <w:b/>
                <w:bCs/>
                <w:noProof/>
                <w:sz w:val="20"/>
                <w:szCs w:val="20"/>
                <w:lang w:val="en-IE"/>
              </w:rPr>
            </w:pPr>
          </w:p>
        </w:tc>
        <w:tc>
          <w:tcPr>
            <w:tcW w:w="1276" w:type="dxa"/>
            <w:vMerge/>
            <w:vAlign w:val="center"/>
            <w:hideMark/>
          </w:tcPr>
          <w:p w14:paraId="1CFCEAC3" w14:textId="77777777" w:rsidR="0039681A" w:rsidRPr="00A36E36" w:rsidRDefault="0039681A" w:rsidP="00351087">
            <w:pPr>
              <w:jc w:val="center"/>
              <w:rPr>
                <w:rFonts w:ascii="Arial Narrow" w:hAnsi="Arial Narrow"/>
                <w:b/>
                <w:bCs/>
                <w:noProof/>
                <w:sz w:val="20"/>
                <w:szCs w:val="20"/>
                <w:lang w:val="en-IE"/>
              </w:rPr>
            </w:pPr>
          </w:p>
        </w:tc>
        <w:tc>
          <w:tcPr>
            <w:tcW w:w="1559" w:type="dxa"/>
            <w:vMerge/>
            <w:vAlign w:val="center"/>
            <w:hideMark/>
          </w:tcPr>
          <w:p w14:paraId="2DC70372" w14:textId="77777777" w:rsidR="0039681A" w:rsidRPr="00A36E36" w:rsidRDefault="0039681A" w:rsidP="00351087">
            <w:pPr>
              <w:jc w:val="center"/>
              <w:rPr>
                <w:rFonts w:ascii="Arial Narrow" w:hAnsi="Arial Narrow"/>
                <w:b/>
                <w:bCs/>
                <w:noProof/>
                <w:sz w:val="20"/>
                <w:szCs w:val="20"/>
                <w:lang w:val="en-IE"/>
              </w:rPr>
            </w:pPr>
          </w:p>
        </w:tc>
        <w:tc>
          <w:tcPr>
            <w:tcW w:w="992" w:type="dxa"/>
            <w:shd w:val="clear" w:color="auto" w:fill="BDD7EE"/>
            <w:vAlign w:val="center"/>
            <w:hideMark/>
          </w:tcPr>
          <w:p w14:paraId="46DC06A1"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Unit of measure</w:t>
            </w:r>
          </w:p>
        </w:tc>
        <w:tc>
          <w:tcPr>
            <w:tcW w:w="992" w:type="dxa"/>
            <w:shd w:val="clear" w:color="auto" w:fill="BDD7EE"/>
            <w:vAlign w:val="center"/>
            <w:hideMark/>
          </w:tcPr>
          <w:p w14:paraId="01F71CA5"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Baseline</w:t>
            </w:r>
          </w:p>
        </w:tc>
        <w:tc>
          <w:tcPr>
            <w:tcW w:w="993" w:type="dxa"/>
            <w:shd w:val="clear" w:color="auto" w:fill="BDD7EE"/>
            <w:vAlign w:val="center"/>
            <w:hideMark/>
          </w:tcPr>
          <w:p w14:paraId="0012845E"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Goal</w:t>
            </w:r>
          </w:p>
        </w:tc>
        <w:tc>
          <w:tcPr>
            <w:tcW w:w="850" w:type="dxa"/>
            <w:shd w:val="clear" w:color="auto" w:fill="BDD7EE"/>
            <w:vAlign w:val="center"/>
            <w:hideMark/>
          </w:tcPr>
          <w:p w14:paraId="616CB3E2"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Quarter</w:t>
            </w:r>
          </w:p>
        </w:tc>
        <w:tc>
          <w:tcPr>
            <w:tcW w:w="711" w:type="dxa"/>
            <w:shd w:val="clear" w:color="auto" w:fill="BDD7EE"/>
            <w:vAlign w:val="center"/>
            <w:hideMark/>
          </w:tcPr>
          <w:p w14:paraId="223DDC9C"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Year</w:t>
            </w:r>
          </w:p>
        </w:tc>
        <w:tc>
          <w:tcPr>
            <w:tcW w:w="3506" w:type="dxa"/>
            <w:vMerge/>
            <w:vAlign w:val="center"/>
            <w:hideMark/>
          </w:tcPr>
          <w:p w14:paraId="3A450AB7" w14:textId="77777777" w:rsidR="0039681A" w:rsidRPr="00647572" w:rsidRDefault="0039681A" w:rsidP="00351087">
            <w:pPr>
              <w:rPr>
                <w:rFonts w:ascii="Arial Narrow" w:hAnsi="Arial Narrow"/>
                <w:b/>
                <w:bCs/>
                <w:noProof/>
                <w:sz w:val="20"/>
                <w:szCs w:val="20"/>
              </w:rPr>
            </w:pPr>
          </w:p>
        </w:tc>
      </w:tr>
      <w:tr w:rsidR="0039681A" w:rsidRPr="0070054C" w14:paraId="39B76116"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400B4C" w14:textId="77777777" w:rsidR="0039681A" w:rsidRPr="00647572" w:rsidRDefault="0039681A" w:rsidP="00351087">
            <w:pPr>
              <w:jc w:val="center"/>
              <w:rPr>
                <w:rFonts w:ascii="Arial Narrow" w:hAnsi="Arial Narrow"/>
                <w:noProof/>
                <w:color w:val="006100"/>
                <w:sz w:val="20"/>
                <w:szCs w:val="20"/>
              </w:rPr>
            </w:pPr>
            <w:bookmarkStart w:id="16" w:name="_Hlk212539687"/>
            <w:r w:rsidRPr="00647572">
              <w:rPr>
                <w:rFonts w:ascii="Arial Narrow" w:hAnsi="Arial Narrow"/>
                <w:noProof/>
                <w:color w:val="006100"/>
                <w:sz w:val="20"/>
                <w:szCs w:val="20"/>
              </w:rPr>
              <w:t>M2C2-5</w:t>
            </w:r>
            <w:bookmarkEnd w:id="16"/>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E18EF"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1.4 Development of biomethane, according to criteria for promoting the circular economy</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0F56C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7FD9FF"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Implementing agreement, legal agreements signed with final beneficiaries and investment completion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DAC1BD"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Entry into force of implementing agreement, legal agreements signed and certificate of transfer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4728A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 xml:space="preserve">N/A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07DD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17964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EC724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954B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644739"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implementing agreement.</w:t>
            </w:r>
          </w:p>
          <w:p w14:paraId="3A0D45E0"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Italy shall transfer EUR 2 236 020 000 to the GSE for the facility.</w:t>
            </w:r>
          </w:p>
          <w:p w14:paraId="2A3E7912"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GSE shall have entered into legal grant agreements with final beneficiaries for an amount necessary to use 100% of the RRF investment into the Scheme (taking into account management fees). </w:t>
            </w:r>
          </w:p>
        </w:tc>
      </w:tr>
      <w:tr w:rsidR="0039681A" w:rsidRPr="0070054C" w14:paraId="4F1E49EA"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144FA6"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M2C2-9</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07828"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Investment 2.1 Strengthening smart grids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4E8319" w14:textId="77777777" w:rsidR="0039681A" w:rsidRPr="00647572" w:rsidRDefault="0039681A" w:rsidP="00351087">
            <w:pPr>
              <w:jc w:val="center"/>
              <w:rPr>
                <w:rFonts w:ascii="Arial Narrow" w:hAnsi="Arial Narrow"/>
                <w:noProof/>
                <w:color w:val="006100"/>
                <w:sz w:val="20"/>
                <w:szCs w:val="20"/>
              </w:rPr>
            </w:pPr>
            <w:r w:rsidRPr="4A4F5A55">
              <w:rPr>
                <w:rFonts w:ascii="Arial Narrow" w:hAnsi="Arial Narrow"/>
                <w:noProof/>
                <w:color w:val="006100"/>
                <w:sz w:val="20"/>
                <w:szCs w:val="20"/>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085DDA" w14:textId="77777777" w:rsidR="0039681A" w:rsidRPr="00A36E36" w:rsidRDefault="0039681A" w:rsidP="00351087">
            <w:pPr>
              <w:jc w:val="center"/>
              <w:rPr>
                <w:rFonts w:ascii="Arial Narrow" w:hAnsi="Arial Narrow"/>
                <w:noProof/>
                <w:color w:val="006100"/>
                <w:sz w:val="20"/>
                <w:szCs w:val="20"/>
                <w:lang w:val="en-IE"/>
              </w:rPr>
            </w:pPr>
            <w:r w:rsidRPr="1A5606E7">
              <w:rPr>
                <w:rFonts w:ascii="Arial Narrow" w:hAnsi="Arial Narrow"/>
                <w:noProof/>
                <w:color w:val="006100"/>
                <w:sz w:val="20"/>
                <w:szCs w:val="20"/>
                <w:lang w:val="en-IE"/>
              </w:rPr>
              <w:t>Smart</w:t>
            </w:r>
            <w:r w:rsidRPr="4A4F5A55">
              <w:rPr>
                <w:rFonts w:ascii="Arial Narrow" w:hAnsi="Arial Narrow"/>
                <w:noProof/>
                <w:color w:val="006100"/>
                <w:sz w:val="20"/>
                <w:szCs w:val="20"/>
                <w:lang w:val="en-IE"/>
              </w:rPr>
              <w:t xml:space="preserve"> grids- Increase network capacity for the distribution of renewable energies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055321"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2F826"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69782"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EF1790"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1 000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67D824"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DB94F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F01A1" w14:textId="77777777" w:rsidR="0039681A" w:rsidRPr="00A36E36" w:rsidRDefault="0039681A" w:rsidP="00351087">
            <w:pPr>
              <w:rPr>
                <w:rFonts w:ascii="Arial Narrow" w:hAnsi="Arial Narrow"/>
                <w:noProof/>
                <w:sz w:val="20"/>
                <w:lang w:val="en-IE"/>
              </w:rPr>
            </w:pPr>
            <w:r w:rsidRPr="00A36E36">
              <w:rPr>
                <w:rFonts w:ascii="Arial Narrow" w:hAnsi="Arial Narrow"/>
                <w:noProof/>
                <w:color w:val="006100"/>
                <w:sz w:val="20"/>
                <w:lang w:val="en-IE"/>
              </w:rPr>
              <w:t>Increase the network capacity for the distribution of renewable energies by at least 1</w:t>
            </w:r>
            <w:r w:rsidRPr="00A36E36">
              <w:rPr>
                <w:noProof/>
                <w:color w:val="006100"/>
                <w:sz w:val="20"/>
                <w:lang w:val="en-IE"/>
              </w:rPr>
              <w:t> </w:t>
            </w:r>
            <w:r w:rsidRPr="00A36E36">
              <w:rPr>
                <w:rFonts w:ascii="Arial Narrow" w:hAnsi="Arial Narrow"/>
                <w:noProof/>
                <w:color w:val="006100"/>
                <w:sz w:val="20"/>
                <w:lang w:val="en-IE"/>
              </w:rPr>
              <w:t>000 MW</w:t>
            </w:r>
          </w:p>
        </w:tc>
      </w:tr>
      <w:tr w:rsidR="0039681A" w:rsidRPr="0070054C" w14:paraId="609286F1"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67A56"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M2C2-17</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01767"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3.4 Hydrogen testing for railway mobility and road transport</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DE7BF2"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45CF3A"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Number of hydrogen refuelling stations built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BB584"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DF73CD"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6A5A36"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3A22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29</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41B361"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8B3C9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A08171" w14:textId="3E493CAC" w:rsidR="0039681A" w:rsidRPr="00A36E36" w:rsidRDefault="0039681A" w:rsidP="00351087">
            <w:pPr>
              <w:spacing w:after="120"/>
              <w:rPr>
                <w:rFonts w:ascii="Arial Narrow" w:hAnsi="Arial Narrow"/>
                <w:noProof/>
                <w:sz w:val="20"/>
                <w:szCs w:val="20"/>
                <w:lang w:val="en-IE"/>
              </w:rPr>
            </w:pPr>
            <w:r w:rsidRPr="4244B841">
              <w:rPr>
                <w:rFonts w:ascii="Arial Narrow" w:hAnsi="Arial Narrow"/>
                <w:noProof/>
                <w:color w:val="006100"/>
                <w:sz w:val="20"/>
                <w:szCs w:val="20"/>
                <w:lang w:val="en-IE"/>
              </w:rPr>
              <w:t>Works for the construction of at least 8 refuelling stations for railway based on hydrogen along at least five railway lines and for at least 21 hydrogen-based refuelling stations for road transport, have been carried out.</w:t>
            </w:r>
          </w:p>
        </w:tc>
      </w:tr>
      <w:tr w:rsidR="0039681A" w:rsidRPr="00647572" w14:paraId="02019194"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4FC2E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M2C2-19</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F54C0C"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3.5 Hydrogen Research and Development</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3354F"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D10671"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Number of projects for research and development on hydrogen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F108B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E87BB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DF2BDE"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A2BE4F"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6BD4A8"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CA29D0"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B30947"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Reports of completion of research activities issued for at least 10 R&amp;D projects in the following areas; </w:t>
            </w:r>
          </w:p>
          <w:p w14:paraId="6E778DCE"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 Green hydrogen production</w:t>
            </w:r>
          </w:p>
          <w:p w14:paraId="7B880DB2"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b) Hydrogen storage, transport and transformation into derivates and e-fuels</w:t>
            </w:r>
          </w:p>
          <w:p w14:paraId="2D825B3A" w14:textId="77777777" w:rsidR="0039681A" w:rsidRPr="00647572" w:rsidRDefault="0039681A" w:rsidP="00351087">
            <w:pPr>
              <w:spacing w:after="120"/>
              <w:rPr>
                <w:rFonts w:ascii="Arial Narrow" w:hAnsi="Arial Narrow"/>
                <w:noProof/>
                <w:color w:val="006100"/>
                <w:sz w:val="20"/>
                <w:szCs w:val="20"/>
              </w:rPr>
            </w:pPr>
            <w:r w:rsidRPr="00647572">
              <w:rPr>
                <w:rFonts w:ascii="Arial Narrow" w:hAnsi="Arial Narrow"/>
                <w:noProof/>
                <w:color w:val="006100"/>
                <w:sz w:val="20"/>
                <w:szCs w:val="20"/>
              </w:rPr>
              <w:t xml:space="preserve">c) Fuel cells </w:t>
            </w:r>
          </w:p>
          <w:p w14:paraId="7CF299C2" w14:textId="77777777" w:rsidR="0039681A" w:rsidRPr="00647572" w:rsidRDefault="0039681A" w:rsidP="00351087">
            <w:pPr>
              <w:spacing w:after="120"/>
              <w:rPr>
                <w:rFonts w:ascii="Arial Narrow" w:hAnsi="Arial Narrow"/>
                <w:noProof/>
                <w:sz w:val="20"/>
                <w:szCs w:val="20"/>
              </w:rPr>
            </w:pPr>
            <w:r w:rsidRPr="00647572">
              <w:rPr>
                <w:rFonts w:ascii="Arial Narrow" w:hAnsi="Arial Narrow"/>
                <w:noProof/>
                <w:color w:val="006100"/>
                <w:sz w:val="20"/>
                <w:szCs w:val="20"/>
              </w:rPr>
              <w:t>d) Integrated smart management for intelligent hydrogen-based infrastructures</w:t>
            </w:r>
          </w:p>
        </w:tc>
      </w:tr>
      <w:tr w:rsidR="0039681A" w:rsidRPr="0070054C" w14:paraId="787ADB90"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3A960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M2C2-24</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9AA4C0"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 xml:space="preserve">Investment 4.2 Development of Rapid Mass Transport systems </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F1D30"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FF8032"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the build-up of</w:t>
            </w:r>
            <w:r w:rsidRPr="00A36E36">
              <w:rPr>
                <w:rFonts w:ascii="Arial Narrow" w:hAnsi="Arial Narrow"/>
                <w:noProof/>
                <w:color w:val="006100"/>
                <w:sz w:val="20"/>
                <w:shd w:val="clear" w:color="auto" w:fill="E6E6E6"/>
                <w:lang w:val="en-IE"/>
              </w:rPr>
              <w:t xml:space="preserve"> </w:t>
            </w:r>
            <w:r w:rsidRPr="00A36E36">
              <w:rPr>
                <w:rFonts w:ascii="Arial Narrow" w:hAnsi="Arial Narrow"/>
                <w:noProof/>
                <w:color w:val="006100"/>
                <w:sz w:val="20"/>
                <w:lang w:val="en-IE"/>
              </w:rPr>
              <w:t xml:space="preserve">infrastructure for rapid mass transport systems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5DC1F"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Notification of the award of all public contracts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A8913"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96263"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304A8E"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8F437"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ADB887"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2023</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8CBEA6" w14:textId="77777777" w:rsidR="0039681A" w:rsidRPr="00A36E36" w:rsidRDefault="0039681A" w:rsidP="00351087">
            <w:pPr>
              <w:rPr>
                <w:rFonts w:ascii="Arial Narrow" w:hAnsi="Arial Narrow"/>
                <w:noProof/>
                <w:color w:val="006100"/>
                <w:sz w:val="20"/>
                <w:lang w:val="en-IE"/>
              </w:rPr>
            </w:pPr>
            <w:r w:rsidRPr="00A36E36">
              <w:rPr>
                <w:rFonts w:ascii="Arial Narrow" w:hAnsi="Arial Narrow"/>
                <w:noProof/>
                <w:color w:val="006100"/>
                <w:sz w:val="20"/>
                <w:lang w:val="en-IE"/>
              </w:rPr>
              <w:t>Notification of the award of all public contracts for the build-up of infrastructure projects as defined in the description of the measure.</w:t>
            </w:r>
          </w:p>
        </w:tc>
      </w:tr>
      <w:tr w:rsidR="0039681A" w:rsidRPr="0070054C" w14:paraId="68743037"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462DDB"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M2C2-25</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9FEDA"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4.2 Development of Rapid Mass Transport systems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2D84C"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0B30D"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Award of</w:t>
            </w:r>
            <w:r w:rsidRPr="00A36E36">
              <w:rPr>
                <w:rFonts w:ascii="Arial Narrow" w:hAnsi="Arial Narrow"/>
                <w:noProof/>
                <w:sz w:val="20"/>
                <w:lang w:val="en-IE"/>
              </w:rPr>
              <w:t xml:space="preserve"> </w:t>
            </w:r>
            <w:r w:rsidRPr="00A36E36">
              <w:rPr>
                <w:rFonts w:ascii="Arial Narrow" w:hAnsi="Arial Narrow"/>
                <w:noProof/>
                <w:color w:val="006100"/>
                <w:sz w:val="20"/>
                <w:lang w:val="en-IE"/>
              </w:rPr>
              <w:t>all public contracts for the purchase of zero-emission rolling stock and interventions for the upgrade of the infrastructure of rapid mass transport systems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61D297"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 xml:space="preserve">Notification of the award of all public contracts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D8AEAA"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B1985C"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2ECAC7"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26077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F92B8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7EF4D" w14:textId="77777777" w:rsidR="0039681A" w:rsidRPr="00A36E36" w:rsidRDefault="0039681A" w:rsidP="00351087">
            <w:pPr>
              <w:rPr>
                <w:rFonts w:ascii="Arial Narrow" w:hAnsi="Arial Narrow"/>
                <w:noProof/>
                <w:sz w:val="20"/>
                <w:lang w:val="en-IE"/>
              </w:rPr>
            </w:pPr>
            <w:r w:rsidRPr="00A36E36">
              <w:rPr>
                <w:rFonts w:ascii="Arial Narrow" w:hAnsi="Arial Narrow"/>
                <w:noProof/>
                <w:color w:val="006100"/>
                <w:sz w:val="20"/>
                <w:lang w:val="en-IE"/>
              </w:rPr>
              <w:t>Notification of the award of</w:t>
            </w:r>
            <w:r w:rsidRPr="00A36E36">
              <w:rPr>
                <w:rFonts w:ascii="Arial Narrow" w:hAnsi="Arial Narrow"/>
                <w:noProof/>
                <w:sz w:val="20"/>
                <w:lang w:val="en-IE"/>
              </w:rPr>
              <w:t xml:space="preserve"> </w:t>
            </w:r>
            <w:r w:rsidRPr="00A36E36">
              <w:rPr>
                <w:rFonts w:ascii="Arial Narrow" w:hAnsi="Arial Narrow"/>
                <w:noProof/>
                <w:color w:val="006100"/>
                <w:sz w:val="20"/>
                <w:lang w:val="en-IE"/>
              </w:rPr>
              <w:t>all public contracts for the purchase of at least 85 units of rolling stock and at least 5 interventions for the upgrade of the infrastructure of rapid mass transport systems, as defined in the measure description.</w:t>
            </w:r>
          </w:p>
        </w:tc>
      </w:tr>
      <w:tr w:rsidR="0039681A" w:rsidRPr="0070054C" w14:paraId="04774263"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AA69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M2C2-26</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86BFCF"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4.2 Development of Rapid Mass Transport systems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793BD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 xml:space="preserve">Milestone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8B60A" w14:textId="71965359"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Public infrastructure</w:t>
            </w:r>
            <w:r>
              <w:rPr>
                <w:rFonts w:ascii="Arial Narrow" w:hAnsi="Arial Narrow"/>
                <w:noProof/>
                <w:color w:val="006100"/>
                <w:sz w:val="20"/>
                <w:szCs w:val="20"/>
                <w:lang w:val="en-IE"/>
              </w:rPr>
              <w:t xml:space="preserve"> and rolling stock</w:t>
            </w:r>
            <w:r w:rsidRPr="00A36E36">
              <w:rPr>
                <w:rFonts w:ascii="Arial Narrow" w:hAnsi="Arial Narrow"/>
                <w:noProof/>
                <w:color w:val="006100"/>
                <w:sz w:val="20"/>
                <w:szCs w:val="20"/>
                <w:lang w:val="en-IE"/>
              </w:rPr>
              <w:t xml:space="preserve"> for rapid mass transport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C73E1" w14:textId="2F086230" w:rsidR="0039681A" w:rsidRPr="00A36E36" w:rsidRDefault="0039681A" w:rsidP="00351087">
            <w:pPr>
              <w:jc w:val="center"/>
              <w:rPr>
                <w:rFonts w:ascii="Arial Narrow" w:eastAsia="Arial Narrow" w:hAnsi="Arial Narrow" w:cs="Arial Narrow"/>
                <w:noProof/>
                <w:sz w:val="20"/>
                <w:szCs w:val="20"/>
                <w:lang w:val="en-IE"/>
              </w:rPr>
            </w:pPr>
            <w:r w:rsidRPr="00A36E36">
              <w:rPr>
                <w:rFonts w:ascii="Arial Narrow" w:hAnsi="Arial Narrow"/>
                <w:noProof/>
                <w:color w:val="006100"/>
                <w:sz w:val="20"/>
                <w:szCs w:val="20"/>
                <w:lang w:val="en-IE"/>
              </w:rPr>
              <w:t>Certificates issued</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A634D6"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45D52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0E0F3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6B25C6"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94E085"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75FBA7" w14:textId="6FAB91CB" w:rsidR="0039681A" w:rsidRPr="00A36E36" w:rsidRDefault="0039681A" w:rsidP="0039681A">
            <w:pPr>
              <w:pStyle w:val="ListParagraph"/>
              <w:numPr>
                <w:ilvl w:val="0"/>
                <w:numId w:val="118"/>
              </w:numPr>
              <w:spacing w:before="120" w:after="120" w:line="240" w:lineRule="auto"/>
              <w:jc w:val="both"/>
              <w:rPr>
                <w:rFonts w:ascii="Arial Narrow" w:hAnsi="Arial Narrow"/>
                <w:noProof/>
                <w:sz w:val="20"/>
                <w:szCs w:val="20"/>
                <w:lang w:val="en-IE"/>
              </w:rPr>
            </w:pPr>
            <w:r>
              <w:rPr>
                <w:rFonts w:ascii="Arial Narrow" w:hAnsi="Arial Narrow"/>
                <w:noProof/>
                <w:color w:val="006100"/>
                <w:sz w:val="20"/>
                <w:szCs w:val="20"/>
                <w:lang w:val="en-IE"/>
              </w:rPr>
              <w:t xml:space="preserve"> Administrative certificates</w:t>
            </w:r>
            <w:r w:rsidRPr="00A36E36">
              <w:rPr>
                <w:rFonts w:ascii="Arial Narrow" w:hAnsi="Arial Narrow"/>
                <w:noProof/>
                <w:color w:val="006100"/>
                <w:sz w:val="20"/>
                <w:szCs w:val="20"/>
                <w:lang w:val="en-IE"/>
              </w:rPr>
              <w:t xml:space="preserve"> issued for at least 186 km of public transport infrastructure in functional urban areas.</w:t>
            </w:r>
          </w:p>
          <w:p w14:paraId="4943E506" w14:textId="24050817" w:rsidR="0039681A" w:rsidRPr="00A36E36" w:rsidRDefault="0039681A" w:rsidP="0039681A">
            <w:pPr>
              <w:pStyle w:val="ListParagraph"/>
              <w:numPr>
                <w:ilvl w:val="0"/>
                <w:numId w:val="118"/>
              </w:numPr>
              <w:spacing w:before="120" w:after="120" w:line="240" w:lineRule="auto"/>
              <w:jc w:val="both"/>
              <w:rPr>
                <w:rFonts w:ascii="Arial Narrow" w:hAnsi="Arial Narrow"/>
                <w:noProof/>
                <w:sz w:val="20"/>
                <w:szCs w:val="20"/>
                <w:lang w:val="en-IE"/>
              </w:rPr>
            </w:pPr>
            <w:r w:rsidRPr="04242385">
              <w:rPr>
                <w:rFonts w:ascii="Arial Narrow" w:hAnsi="Arial Narrow"/>
                <w:noProof/>
                <w:color w:val="006100"/>
                <w:sz w:val="20"/>
                <w:szCs w:val="20"/>
                <w:lang w:val="en-IE"/>
              </w:rPr>
              <w:t xml:space="preserve"> </w:t>
            </w:r>
            <w:r>
              <w:rPr>
                <w:rFonts w:ascii="Arial Narrow" w:hAnsi="Arial Narrow"/>
                <w:noProof/>
                <w:color w:val="006100"/>
                <w:sz w:val="20"/>
                <w:szCs w:val="20"/>
                <w:lang w:val="en-IE"/>
              </w:rPr>
              <w:t xml:space="preserve">Certificate of delivery or </w:t>
            </w:r>
            <w:r w:rsidRPr="04242385">
              <w:rPr>
                <w:rFonts w:ascii="Arial Narrow" w:hAnsi="Arial Narrow"/>
                <w:noProof/>
                <w:color w:val="006100"/>
                <w:sz w:val="20"/>
                <w:szCs w:val="20"/>
                <w:lang w:val="en-IE"/>
              </w:rPr>
              <w:t xml:space="preserve">confirmation of acceptance accompanied by </w:t>
            </w:r>
            <w:r>
              <w:rPr>
                <w:rFonts w:ascii="Arial Narrow" w:hAnsi="Arial Narrow"/>
                <w:noProof/>
                <w:color w:val="006100"/>
                <w:sz w:val="20"/>
                <w:szCs w:val="20"/>
                <w:lang w:val="en-IE"/>
              </w:rPr>
              <w:t>certificate</w:t>
            </w:r>
            <w:r w:rsidRPr="04242385">
              <w:rPr>
                <w:rFonts w:ascii="Arial Narrow" w:hAnsi="Arial Narrow"/>
                <w:noProof/>
                <w:color w:val="006100"/>
                <w:sz w:val="20"/>
                <w:szCs w:val="20"/>
                <w:lang w:val="en-IE"/>
              </w:rPr>
              <w:t xml:space="preserve"> of </w:t>
            </w:r>
            <w:r>
              <w:rPr>
                <w:rFonts w:ascii="Arial Narrow" w:hAnsi="Arial Narrow"/>
                <w:noProof/>
                <w:color w:val="006100"/>
                <w:sz w:val="20"/>
                <w:szCs w:val="20"/>
                <w:lang w:val="en-IE"/>
              </w:rPr>
              <w:t>c</w:t>
            </w:r>
            <w:r w:rsidRPr="04242385">
              <w:rPr>
                <w:rFonts w:ascii="Arial Narrow" w:hAnsi="Arial Narrow"/>
                <w:noProof/>
                <w:color w:val="006100"/>
                <w:sz w:val="20"/>
                <w:szCs w:val="20"/>
                <w:lang w:val="en-IE"/>
              </w:rPr>
              <w:t>onformity</w:t>
            </w:r>
            <w:r>
              <w:rPr>
                <w:rFonts w:ascii="Arial Narrow" w:hAnsi="Arial Narrow"/>
                <w:noProof/>
                <w:color w:val="006100"/>
                <w:sz w:val="20"/>
                <w:szCs w:val="20"/>
                <w:lang w:val="en-IE"/>
              </w:rPr>
              <w:t xml:space="preserve"> for</w:t>
            </w:r>
            <w:r w:rsidRPr="00A36E36">
              <w:rPr>
                <w:rFonts w:ascii="Arial Narrow" w:hAnsi="Arial Narrow"/>
                <w:noProof/>
                <w:color w:val="006100"/>
                <w:sz w:val="20"/>
                <w:szCs w:val="20"/>
                <w:lang w:val="en-IE"/>
              </w:rPr>
              <w:t xml:space="preserve"> a least 311 units of zero-emission rolling stock</w:t>
            </w:r>
            <w:r>
              <w:rPr>
                <w:rFonts w:ascii="Arial Narrow" w:hAnsi="Arial Narrow"/>
                <w:noProof/>
                <w:color w:val="006100"/>
                <w:sz w:val="20"/>
                <w:szCs w:val="20"/>
                <w:lang w:val="en-IE"/>
              </w:rPr>
              <w:t xml:space="preserve"> (tramway, metro, trolleybus and bus)</w:t>
            </w:r>
            <w:r w:rsidRPr="00A36E36">
              <w:rPr>
                <w:rFonts w:ascii="Arial Narrow" w:hAnsi="Arial Narrow"/>
                <w:noProof/>
                <w:color w:val="006100"/>
                <w:sz w:val="20"/>
                <w:szCs w:val="20"/>
                <w:lang w:val="en-IE"/>
              </w:rPr>
              <w:t xml:space="preserve"> for mass rapid transport in functional urban areas.</w:t>
            </w:r>
          </w:p>
          <w:p w14:paraId="4CB5E93A" w14:textId="70143132" w:rsidR="0039681A" w:rsidRPr="00A36E36" w:rsidRDefault="0039681A" w:rsidP="0039681A">
            <w:pPr>
              <w:pStyle w:val="ListParagraph"/>
              <w:numPr>
                <w:ilvl w:val="0"/>
                <w:numId w:val="118"/>
              </w:numPr>
              <w:spacing w:before="120" w:after="120" w:line="240" w:lineRule="auto"/>
              <w:jc w:val="both"/>
              <w:rPr>
                <w:rFonts w:ascii="Arial Narrow" w:hAnsi="Arial Narrow"/>
                <w:noProof/>
                <w:sz w:val="20"/>
                <w:szCs w:val="20"/>
                <w:lang w:val="en-IE"/>
              </w:rPr>
            </w:pPr>
            <w:r>
              <w:rPr>
                <w:rFonts w:ascii="Arial Narrow" w:hAnsi="Arial Narrow"/>
                <w:noProof/>
                <w:color w:val="006100"/>
                <w:sz w:val="20"/>
                <w:szCs w:val="20"/>
                <w:lang w:val="en-IE"/>
              </w:rPr>
              <w:t>Administrative certificates</w:t>
            </w:r>
            <w:r w:rsidRPr="00A36E36">
              <w:rPr>
                <w:rFonts w:ascii="Arial Narrow" w:hAnsi="Arial Narrow"/>
                <w:noProof/>
                <w:color w:val="006100"/>
                <w:sz w:val="20"/>
                <w:szCs w:val="20"/>
                <w:lang w:val="en-IE"/>
              </w:rPr>
              <w:t xml:space="preserve"> issued for at least 10 upgrading interventions for the rapid mass transport infrastructure which may include their digitalisation. These interventions</w:t>
            </w:r>
            <w:r w:rsidR="00E53588">
              <w:rPr>
                <w:rFonts w:ascii="Arial Narrow" w:hAnsi="Arial Narrow"/>
                <w:noProof/>
                <w:color w:val="006100"/>
                <w:sz w:val="20"/>
                <w:szCs w:val="20"/>
                <w:lang w:val="en-IE"/>
              </w:rPr>
              <w:t xml:space="preserve"> may</w:t>
            </w:r>
            <w:r w:rsidRPr="00A36E36">
              <w:rPr>
                <w:rFonts w:ascii="Arial Narrow" w:hAnsi="Arial Narrow"/>
                <w:noProof/>
                <w:color w:val="006100"/>
                <w:sz w:val="20"/>
                <w:szCs w:val="20"/>
                <w:lang w:val="en-IE"/>
              </w:rPr>
              <w:t xml:space="preserve"> include the upgrade of metro stations and of metro track infrastructure, signalling systems for railway or tramway, and public transit depots.</w:t>
            </w:r>
          </w:p>
          <w:p w14:paraId="79C13766" w14:textId="77777777" w:rsidR="0039681A" w:rsidRPr="00A36E36" w:rsidRDefault="0039681A" w:rsidP="00351087">
            <w:pPr>
              <w:rPr>
                <w:rFonts w:ascii="Arial Narrow" w:hAnsi="Arial Narrow"/>
                <w:noProof/>
                <w:sz w:val="20"/>
                <w:lang w:val="en-IE"/>
              </w:rPr>
            </w:pPr>
            <w:r w:rsidRPr="00A36E36">
              <w:rPr>
                <w:rFonts w:ascii="Arial Narrow" w:hAnsi="Arial Narrow"/>
                <w:noProof/>
                <w:color w:val="006100"/>
                <w:sz w:val="20"/>
                <w:lang w:val="en-IE"/>
              </w:rPr>
              <w:t>The investment shall not involve the construction or upgrade of roads beyond the scope of the intervention, unless these are integral parts of the infrastructure enabling the operation of zero-emission rolling stock.</w:t>
            </w:r>
          </w:p>
        </w:tc>
      </w:tr>
      <w:tr w:rsidR="0039681A" w:rsidRPr="0070054C" w14:paraId="4FC0813E"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3A8D07"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M2C2-31</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41472B"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4.4.3: Renewal fleet for the National fire brigade command</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41FBF"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52EE80"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Award of all public contracts for the renewal fleet for the National fire brigade command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94981E"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Notification of the award of all the contracts for the renewal fleet for the National fire brigade command</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9C74DE"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3C2471"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4EDAF1"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322BDD"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C98EBC"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7586C7" w14:textId="77777777" w:rsidR="0039681A" w:rsidRPr="00A36E36" w:rsidRDefault="0039681A" w:rsidP="00351087">
            <w:pPr>
              <w:rPr>
                <w:rFonts w:ascii="Arial Narrow" w:hAnsi="Arial Narrow"/>
                <w:noProof/>
                <w:sz w:val="20"/>
                <w:lang w:val="en-IE"/>
              </w:rPr>
            </w:pPr>
            <w:r w:rsidRPr="00A36E36">
              <w:rPr>
                <w:rFonts w:ascii="Arial Narrow" w:hAnsi="Arial Narrow"/>
                <w:noProof/>
                <w:color w:val="006100"/>
                <w:sz w:val="20"/>
                <w:lang w:val="en-IE"/>
              </w:rPr>
              <w:t>Notification of the award of all public contracts for the acquisition of national fire brigade vehicles.</w:t>
            </w:r>
          </w:p>
        </w:tc>
      </w:tr>
      <w:tr w:rsidR="0039681A" w:rsidRPr="0070054C" w14:paraId="22107B57"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B1898"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M2C2-32</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5B365E"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4.4.1: Strengthening of the regional public transport bus fleet with zero-emission low-floor buses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418200"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250947"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Award of all public contracts for the strengthening of the regional public transport bus fleet with zero-emission low-floor buses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E1A304"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 xml:space="preserve">Notification of the award of all the contracts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37891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936A36"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5E6ECF"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CDE932"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77EF84"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2023</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2C7851" w14:textId="77777777" w:rsidR="0039681A" w:rsidRPr="00A36E36" w:rsidRDefault="0039681A" w:rsidP="00351087">
            <w:pPr>
              <w:rPr>
                <w:rFonts w:ascii="Arial Narrow" w:hAnsi="Arial Narrow"/>
                <w:noProof/>
                <w:sz w:val="20"/>
                <w:lang w:val="en-IE"/>
              </w:rPr>
            </w:pPr>
            <w:r w:rsidRPr="00A36E36">
              <w:rPr>
                <w:rFonts w:ascii="Arial Narrow" w:hAnsi="Arial Narrow"/>
                <w:noProof/>
                <w:color w:val="006100"/>
                <w:sz w:val="20"/>
                <w:lang w:val="en-IE"/>
              </w:rPr>
              <w:t>Notification of the award of public contracts for the acquisition of at least 3 000 zero-emission low-floor buses.</w:t>
            </w:r>
          </w:p>
        </w:tc>
      </w:tr>
      <w:tr w:rsidR="0039681A" w:rsidRPr="0070054C" w14:paraId="5D0B9220"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58901F"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M2C2-34</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9DE098"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4.4.1: Strengthening of the regional public transport bus fleet with zero-emission low-floor buses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E1C08"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463FA3"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Number of zero-emission low-floor buses registred T1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043D2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AB2BEF"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C121BA"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37B55D"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800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356DA0"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BB7FD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470E3" w14:textId="77777777" w:rsidR="0039681A" w:rsidRPr="00A36E36" w:rsidRDefault="0039681A" w:rsidP="00351087">
            <w:pPr>
              <w:rPr>
                <w:rFonts w:ascii="Arial Narrow" w:hAnsi="Arial Narrow"/>
                <w:noProof/>
                <w:sz w:val="20"/>
                <w:lang w:val="en-IE"/>
              </w:rPr>
            </w:pPr>
            <w:r w:rsidRPr="00A36E36">
              <w:rPr>
                <w:rFonts w:ascii="Arial Narrow" w:hAnsi="Arial Narrow"/>
                <w:noProof/>
                <w:color w:val="006100"/>
                <w:sz w:val="20"/>
                <w:lang w:val="en-IE"/>
              </w:rPr>
              <w:t>Registration of at least 800 zero-emission low-floor buses procured under M2C2-32 for the strengthening of the respective fleet.</w:t>
            </w:r>
          </w:p>
        </w:tc>
      </w:tr>
      <w:tr w:rsidR="0039681A" w:rsidRPr="0070054C" w14:paraId="39FCC0B1"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F1B16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M2C2-34bis</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2FF68B"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4.4.2: Strengthening of the regional public transport railway fleet with zero emission trains and universal service</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1ED77"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CFC632"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Number of Zero Emission trains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F34F71"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3B95BE"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EC5EE2"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00DB2A"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25</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4DD0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FF6E38"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421AE" w14:textId="77777777" w:rsidR="0039681A" w:rsidRPr="00A36E36" w:rsidRDefault="0039681A" w:rsidP="00351087">
            <w:pPr>
              <w:rPr>
                <w:rFonts w:ascii="Arial Narrow" w:hAnsi="Arial Narrow"/>
                <w:noProof/>
                <w:sz w:val="20"/>
                <w:szCs w:val="20"/>
                <w:lang w:val="en-IE"/>
              </w:rPr>
            </w:pPr>
            <w:r w:rsidRPr="00A36E36">
              <w:rPr>
                <w:rFonts w:ascii="Arial Narrow" w:hAnsi="Arial Narrow"/>
                <w:noProof/>
                <w:color w:val="006100"/>
                <w:sz w:val="20"/>
                <w:szCs w:val="20"/>
                <w:lang w:val="en-IE"/>
              </w:rPr>
              <w:t>Delivery of at least 25 Zero Emission trains.</w:t>
            </w:r>
          </w:p>
        </w:tc>
      </w:tr>
      <w:tr w:rsidR="0039681A" w:rsidRPr="0070054C" w14:paraId="037D3EE8" w14:textId="77777777" w:rsidTr="00F118A8">
        <w:trPr>
          <w:trHeight w:val="300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90DC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 xml:space="preserve">M2C2-35 bis </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129670"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4.4.2: Strengthening of the regional public transport railway fleet with zero emission trains and universal service</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2205ED"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4A3A9F" w14:textId="51B03902" w:rsidR="0039681A" w:rsidRPr="00647572" w:rsidRDefault="0039681A" w:rsidP="00351087">
            <w:pPr>
              <w:jc w:val="center"/>
              <w:rPr>
                <w:rFonts w:ascii="Arial Narrow" w:hAnsi="Arial Narrow"/>
                <w:noProof/>
                <w:color w:val="006100"/>
                <w:sz w:val="20"/>
                <w:szCs w:val="20"/>
              </w:rPr>
            </w:pPr>
            <w:r w:rsidRPr="04242385">
              <w:rPr>
                <w:rFonts w:ascii="Arial Narrow" w:hAnsi="Arial Narrow"/>
                <w:noProof/>
                <w:color w:val="006100"/>
                <w:sz w:val="20"/>
                <w:szCs w:val="20"/>
              </w:rPr>
              <w:t xml:space="preserve">Number of trains procured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7EAC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B5FE33"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5CFAE"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25</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5D284B" w14:textId="7087E6A7" w:rsidR="0039681A" w:rsidRPr="00647572" w:rsidRDefault="0039681A" w:rsidP="00351087">
            <w:pPr>
              <w:jc w:val="center"/>
              <w:rPr>
                <w:rFonts w:ascii="Arial Narrow" w:hAnsi="Arial Narrow"/>
                <w:noProof/>
                <w:color w:val="006100"/>
                <w:sz w:val="20"/>
                <w:szCs w:val="20"/>
              </w:rPr>
            </w:pPr>
            <w:r>
              <w:rPr>
                <w:rFonts w:ascii="Arial Narrow" w:hAnsi="Arial Narrow"/>
                <w:noProof/>
                <w:color w:val="006100"/>
                <w:sz w:val="20"/>
                <w:szCs w:val="20"/>
              </w:rPr>
              <w:t>118</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F962B"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90D00E"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8A7A28" w14:textId="647E36B0" w:rsidR="0039681A" w:rsidRPr="00A36E36" w:rsidRDefault="0039681A" w:rsidP="00351087">
            <w:pPr>
              <w:spacing w:after="120"/>
              <w:rPr>
                <w:rFonts w:ascii="Arial Narrow" w:hAnsi="Arial Narrow"/>
                <w:noProof/>
                <w:sz w:val="20"/>
                <w:szCs w:val="20"/>
                <w:lang w:val="en-IE"/>
              </w:rPr>
            </w:pPr>
            <w:r w:rsidRPr="04242385">
              <w:rPr>
                <w:rFonts w:ascii="Arial Narrow" w:hAnsi="Arial Narrow"/>
                <w:noProof/>
                <w:color w:val="006100"/>
                <w:sz w:val="20"/>
                <w:szCs w:val="20"/>
                <w:lang w:val="en-IE"/>
              </w:rPr>
              <w:t xml:space="preserve">Procurement or confirmation of acceptance accompanied by the Declaration of Conformity of at least </w:t>
            </w:r>
            <w:r>
              <w:rPr>
                <w:rFonts w:ascii="Arial Narrow" w:hAnsi="Arial Narrow"/>
                <w:noProof/>
                <w:color w:val="006100"/>
                <w:sz w:val="20"/>
                <w:szCs w:val="20"/>
                <w:lang w:val="en-IE"/>
              </w:rPr>
              <w:t>118</w:t>
            </w:r>
            <w:r w:rsidRPr="04242385">
              <w:rPr>
                <w:rFonts w:ascii="Arial Narrow" w:hAnsi="Arial Narrow"/>
                <w:noProof/>
                <w:color w:val="006100"/>
                <w:sz w:val="20"/>
                <w:szCs w:val="20"/>
                <w:lang w:val="en-IE"/>
              </w:rPr>
              <w:t xml:space="preserve"> zero emission trains. Eligible trains are electric, hydrogen fuel cell and up to 20 bi-modal trains.</w:t>
            </w:r>
          </w:p>
        </w:tc>
      </w:tr>
      <w:tr w:rsidR="0039681A" w:rsidRPr="0070054C" w14:paraId="77E79DA4"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E2ECBF"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M2C2-38bis</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14A81"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5.1. Support to the production system for the Ecological Transition, Net Zero Technologies, and competitiveness and resilience of strategic supply chains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B41F17"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19824E"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Implementing Agreement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A8D914"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9CBFF1"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7C34B4"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EA10D"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754A6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B3898F"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B12BBD" w14:textId="77777777" w:rsidR="0039681A" w:rsidRPr="00A36E36" w:rsidRDefault="0039681A" w:rsidP="00351087">
            <w:pPr>
              <w:rPr>
                <w:rFonts w:ascii="Arial Narrow" w:hAnsi="Arial Narrow"/>
                <w:noProof/>
                <w:sz w:val="20"/>
                <w:lang w:val="en-IE"/>
              </w:rPr>
            </w:pPr>
            <w:r w:rsidRPr="00A36E36">
              <w:rPr>
                <w:rFonts w:ascii="Arial Narrow" w:hAnsi="Arial Narrow"/>
                <w:noProof/>
                <w:color w:val="006100"/>
                <w:sz w:val="20"/>
                <w:lang w:val="en-IE"/>
              </w:rPr>
              <w:t>Entry into force of the Implementing Agreement.</w:t>
            </w:r>
          </w:p>
        </w:tc>
      </w:tr>
      <w:tr w:rsidR="0039681A" w:rsidRPr="0070054C" w14:paraId="71A6F809"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78E53" w14:textId="77777777" w:rsidR="0039681A" w:rsidRPr="00647572" w:rsidRDefault="0039681A" w:rsidP="00351087">
            <w:pPr>
              <w:jc w:val="center"/>
              <w:rPr>
                <w:rFonts w:ascii="Arial Narrow" w:hAnsi="Arial Narrow"/>
                <w:noProof/>
                <w:color w:val="006100"/>
                <w:sz w:val="20"/>
              </w:rPr>
            </w:pPr>
            <w:r w:rsidRPr="148610CB">
              <w:rPr>
                <w:rFonts w:ascii="Arial Narrow" w:hAnsi="Arial Narrow"/>
                <w:noProof/>
                <w:color w:val="006100"/>
                <w:sz w:val="20"/>
                <w:szCs w:val="20"/>
              </w:rPr>
              <w:t>M2C2-54</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3BAF70" w14:textId="77777777" w:rsidR="0039681A" w:rsidRPr="00A36E36" w:rsidRDefault="0039681A" w:rsidP="00351087">
            <w:pPr>
              <w:jc w:val="center"/>
              <w:rPr>
                <w:rFonts w:ascii="Arial Narrow" w:hAnsi="Arial Narrow"/>
                <w:noProof/>
                <w:color w:val="006100"/>
                <w:sz w:val="20"/>
                <w:lang w:val="en-IE"/>
              </w:rPr>
            </w:pPr>
            <w:r w:rsidRPr="148610CB">
              <w:rPr>
                <w:rFonts w:ascii="Arial Narrow" w:hAnsi="Arial Narrow"/>
                <w:noProof/>
                <w:color w:val="006100"/>
                <w:sz w:val="20"/>
                <w:szCs w:val="20"/>
                <w:lang w:val="en-IE"/>
              </w:rPr>
              <w:t>Investment 4.6 - Diagnostic trains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C638C0" w14:textId="77777777" w:rsidR="0039681A" w:rsidRPr="00647572" w:rsidRDefault="0039681A" w:rsidP="00351087">
            <w:pPr>
              <w:jc w:val="center"/>
              <w:rPr>
                <w:rFonts w:ascii="Arial Narrow" w:hAnsi="Arial Narrow"/>
                <w:noProof/>
                <w:color w:val="006100"/>
                <w:sz w:val="20"/>
              </w:rPr>
            </w:pPr>
            <w:r w:rsidRPr="148610CB">
              <w:rPr>
                <w:rFonts w:ascii="Arial Narrow" w:hAnsi="Arial Narrow"/>
                <w:noProof/>
                <w:color w:val="006100"/>
                <w:sz w:val="20"/>
                <w:szCs w:val="20"/>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7BE827" w14:textId="77777777" w:rsidR="0039681A" w:rsidRPr="00A36E36" w:rsidRDefault="0039681A" w:rsidP="00351087">
            <w:pPr>
              <w:jc w:val="center"/>
              <w:rPr>
                <w:rFonts w:ascii="Arial Narrow" w:hAnsi="Arial Narrow"/>
                <w:noProof/>
                <w:color w:val="006100"/>
                <w:sz w:val="20"/>
                <w:lang w:val="en-IE"/>
              </w:rPr>
            </w:pPr>
            <w:r w:rsidRPr="148610CB">
              <w:rPr>
                <w:rFonts w:ascii="Arial Narrow" w:hAnsi="Arial Narrow"/>
                <w:noProof/>
                <w:color w:val="006100"/>
                <w:sz w:val="20"/>
                <w:szCs w:val="20"/>
              </w:rPr>
              <w:t>Diagnostic trains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86082B" w14:textId="77777777" w:rsidR="0039681A" w:rsidRPr="00647572" w:rsidRDefault="0039681A" w:rsidP="00351087">
            <w:pPr>
              <w:jc w:val="center"/>
              <w:rPr>
                <w:rFonts w:ascii="Arial Narrow" w:hAnsi="Arial Narrow"/>
                <w:noProof/>
                <w:color w:val="006100"/>
                <w:sz w:val="20"/>
              </w:rPr>
            </w:pPr>
            <w:r w:rsidRPr="148610CB">
              <w:rPr>
                <w:rFonts w:ascii="Arial Narrow" w:hAnsi="Arial Narrow"/>
                <w:noProof/>
                <w:color w:val="006100"/>
                <w:sz w:val="20"/>
                <w:szCs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F437F5" w14:textId="77777777" w:rsidR="0039681A" w:rsidRPr="00647572" w:rsidRDefault="0039681A" w:rsidP="00351087">
            <w:pPr>
              <w:jc w:val="center"/>
              <w:rPr>
                <w:rFonts w:ascii="Arial Narrow" w:hAnsi="Arial Narrow"/>
                <w:noProof/>
                <w:color w:val="006100"/>
                <w:sz w:val="20"/>
              </w:rPr>
            </w:pPr>
            <w:r w:rsidRPr="148610CB">
              <w:rPr>
                <w:rFonts w:ascii="Arial Narrow" w:hAnsi="Arial Narrow"/>
                <w:noProof/>
                <w:color w:val="006100"/>
                <w:sz w:val="20"/>
                <w:szCs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137FC8" w14:textId="77777777" w:rsidR="0039681A" w:rsidRPr="00647572" w:rsidRDefault="0039681A" w:rsidP="00351087">
            <w:pPr>
              <w:jc w:val="center"/>
              <w:rPr>
                <w:rFonts w:ascii="Arial Narrow" w:hAnsi="Arial Narrow"/>
                <w:noProof/>
                <w:color w:val="006100"/>
                <w:sz w:val="20"/>
              </w:rPr>
            </w:pPr>
            <w:r w:rsidRPr="148610CB">
              <w:rPr>
                <w:rFonts w:ascii="Arial Narrow" w:hAnsi="Arial Narrow"/>
                <w:noProof/>
                <w:color w:val="006100"/>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19E3F6" w14:textId="77777777" w:rsidR="0039681A" w:rsidRPr="00647572" w:rsidRDefault="0039681A" w:rsidP="00351087">
            <w:pPr>
              <w:jc w:val="center"/>
              <w:rPr>
                <w:rFonts w:ascii="Arial Narrow" w:hAnsi="Arial Narrow"/>
                <w:noProof/>
                <w:color w:val="006100"/>
                <w:sz w:val="20"/>
              </w:rPr>
            </w:pPr>
            <w:r w:rsidRPr="148610CB">
              <w:rPr>
                <w:rFonts w:ascii="Arial Narrow" w:hAnsi="Arial Narrow"/>
                <w:noProof/>
                <w:color w:val="006100"/>
                <w:sz w:val="20"/>
                <w:szCs w:val="20"/>
              </w:rPr>
              <w:t>9</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4B3913" w14:textId="77777777" w:rsidR="0039681A" w:rsidRPr="00647572" w:rsidRDefault="0039681A" w:rsidP="00351087">
            <w:pPr>
              <w:jc w:val="center"/>
              <w:rPr>
                <w:rFonts w:ascii="Arial Narrow" w:hAnsi="Arial Narrow"/>
                <w:noProof/>
                <w:color w:val="006100"/>
                <w:sz w:val="20"/>
              </w:rPr>
            </w:pPr>
            <w:r w:rsidRPr="148610CB">
              <w:rPr>
                <w:rFonts w:ascii="Arial Narrow" w:hAnsi="Arial Narrow"/>
                <w:noProof/>
                <w:color w:val="006100"/>
                <w:sz w:val="20"/>
                <w:szCs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D9462C" w14:textId="77777777" w:rsidR="0039681A" w:rsidRPr="00647572" w:rsidRDefault="0039681A" w:rsidP="00351087">
            <w:pPr>
              <w:jc w:val="center"/>
              <w:rPr>
                <w:rFonts w:ascii="Arial Narrow" w:hAnsi="Arial Narrow"/>
                <w:noProof/>
                <w:color w:val="006100"/>
                <w:sz w:val="20"/>
              </w:rPr>
            </w:pPr>
            <w:r w:rsidRPr="148610CB">
              <w:rPr>
                <w:rFonts w:ascii="Arial Narrow" w:hAnsi="Arial Narrow"/>
                <w:noProof/>
                <w:color w:val="006100"/>
                <w:sz w:val="20"/>
                <w:szCs w:val="20"/>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65EFA2" w14:textId="77777777" w:rsidR="0039681A" w:rsidRPr="00A36E36" w:rsidRDefault="0039681A" w:rsidP="00351087">
            <w:pPr>
              <w:spacing w:before="120" w:after="120"/>
              <w:rPr>
                <w:rFonts w:ascii="Arial Narrow" w:hAnsi="Arial Narrow"/>
                <w:noProof/>
                <w:color w:val="006100"/>
                <w:sz w:val="20"/>
                <w:lang w:val="en-IE"/>
              </w:rPr>
            </w:pPr>
            <w:r w:rsidRPr="148610CB">
              <w:rPr>
                <w:rFonts w:ascii="Arial Narrow" w:hAnsi="Arial Narrow"/>
                <w:noProof/>
                <w:color w:val="006100"/>
                <w:sz w:val="20"/>
                <w:szCs w:val="20"/>
                <w:lang w:val="en-IE"/>
              </w:rPr>
              <w:t>Procurement of at least 7 diagnostic trains. Equipment of at least 2 diagnostic trains.</w:t>
            </w:r>
          </w:p>
        </w:tc>
      </w:tr>
      <w:tr w:rsidR="0039681A" w:rsidRPr="0070054C" w14:paraId="692DC5B6"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86577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M2C2-39</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68D82"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5.1 Support to the production system for the Ecological Transition, Net Zero Technologies, and competitiveness and resilience of strategic supply chains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FF71D1"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E449A"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The Ministry of Enterprises and Made in Italy has completed the transfer of funds to Invitalia S.p.A</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5AB471"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 xml:space="preserve">Certificate of transfer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92D7D"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E2F777"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3C6F2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817D6B"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B53FB8"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A2E44" w14:textId="2A0AFBB7" w:rsidR="0039681A" w:rsidRPr="00A36E36" w:rsidRDefault="0039681A" w:rsidP="00471FB7">
            <w:pPr>
              <w:spacing w:before="120" w:after="120"/>
              <w:rPr>
                <w:rFonts w:ascii="Arial Narrow" w:hAnsi="Arial Narrow"/>
                <w:noProof/>
                <w:sz w:val="20"/>
                <w:lang w:val="en-IE"/>
              </w:rPr>
            </w:pPr>
            <w:r w:rsidRPr="00A36E36">
              <w:rPr>
                <w:rFonts w:ascii="Arial Narrow" w:hAnsi="Arial Narrow"/>
                <w:noProof/>
                <w:color w:val="006100"/>
                <w:sz w:val="20"/>
                <w:lang w:val="en-IE"/>
              </w:rPr>
              <w:t>Italy shall transfer EUR 3</w:t>
            </w:r>
            <w:r w:rsidRPr="00A36E36">
              <w:rPr>
                <w:noProof/>
                <w:color w:val="006100"/>
                <w:sz w:val="20"/>
                <w:lang w:val="en-IE"/>
              </w:rPr>
              <w:t> </w:t>
            </w:r>
            <w:r w:rsidRPr="00A36E36">
              <w:rPr>
                <w:rFonts w:ascii="Arial Narrow" w:hAnsi="Arial Narrow"/>
                <w:noProof/>
                <w:color w:val="006100"/>
                <w:sz w:val="20"/>
                <w:lang w:val="en-IE"/>
              </w:rPr>
              <w:t>500</w:t>
            </w:r>
            <w:r w:rsidRPr="00A36E36">
              <w:rPr>
                <w:noProof/>
                <w:color w:val="006100"/>
                <w:sz w:val="20"/>
                <w:lang w:val="en-IE"/>
              </w:rPr>
              <w:t> </w:t>
            </w:r>
            <w:r w:rsidRPr="00A36E36">
              <w:rPr>
                <w:rFonts w:ascii="Arial Narrow" w:hAnsi="Arial Narrow"/>
                <w:noProof/>
                <w:color w:val="006100"/>
                <w:sz w:val="20"/>
                <w:lang w:val="en-IE"/>
              </w:rPr>
              <w:t>000</w:t>
            </w:r>
            <w:r w:rsidRPr="00A36E36">
              <w:rPr>
                <w:noProof/>
                <w:color w:val="006100"/>
                <w:sz w:val="20"/>
                <w:lang w:val="en-IE"/>
              </w:rPr>
              <w:t> </w:t>
            </w:r>
            <w:r w:rsidRPr="00A36E36">
              <w:rPr>
                <w:rFonts w:ascii="Arial Narrow" w:hAnsi="Arial Narrow"/>
                <w:noProof/>
                <w:color w:val="006100"/>
                <w:sz w:val="20"/>
                <w:lang w:val="en-IE"/>
              </w:rPr>
              <w:t>000 to Invitalia for the Facility.</w:t>
            </w:r>
          </w:p>
        </w:tc>
      </w:tr>
      <w:tr w:rsidR="0039681A" w:rsidRPr="0070054C" w14:paraId="46CE87A1" w14:textId="77777777" w:rsidTr="007C2ACC">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tcPr>
          <w:p w14:paraId="1C06BD3F" w14:textId="77777777" w:rsidR="0039681A" w:rsidRPr="00647572" w:rsidRDefault="0039681A" w:rsidP="007C2ACC">
            <w:pPr>
              <w:rPr>
                <w:rFonts w:ascii="Arial Narrow" w:hAnsi="Arial Narrow"/>
                <w:noProof/>
                <w:color w:val="006100"/>
                <w:sz w:val="20"/>
                <w:szCs w:val="20"/>
              </w:rPr>
            </w:pPr>
            <w:r w:rsidRPr="00647572">
              <w:rPr>
                <w:rFonts w:ascii="Arial Narrow" w:hAnsi="Arial Narrow"/>
                <w:noProof/>
                <w:color w:val="006100"/>
                <w:sz w:val="20"/>
              </w:rPr>
              <w:t>M2C2-40</w:t>
            </w:r>
          </w:p>
        </w:tc>
        <w:tc>
          <w:tcPr>
            <w:tcW w:w="1495" w:type="dxa"/>
            <w:tcBorders>
              <w:top w:val="single" w:sz="4" w:space="0" w:color="auto"/>
              <w:left w:val="single" w:sz="4" w:space="0" w:color="auto"/>
              <w:bottom w:val="single" w:sz="4" w:space="0" w:color="auto"/>
              <w:right w:val="single" w:sz="4" w:space="0" w:color="auto"/>
            </w:tcBorders>
            <w:shd w:val="clear" w:color="auto" w:fill="C6EFCE"/>
            <w:noWrap/>
          </w:tcPr>
          <w:p w14:paraId="4996E377" w14:textId="77777777" w:rsidR="0039681A" w:rsidRPr="00A36E36" w:rsidRDefault="0039681A" w:rsidP="007C2ACC">
            <w:pPr>
              <w:rPr>
                <w:rFonts w:ascii="Arial Narrow" w:hAnsi="Arial Narrow"/>
                <w:noProof/>
                <w:color w:val="006100"/>
                <w:sz w:val="20"/>
                <w:lang w:val="en-IE"/>
              </w:rPr>
            </w:pPr>
            <w:r w:rsidRPr="00A36E36">
              <w:rPr>
                <w:rFonts w:ascii="Arial Narrow" w:hAnsi="Arial Narrow"/>
                <w:noProof/>
                <w:color w:val="006100"/>
                <w:sz w:val="20"/>
                <w:lang w:val="en-IE"/>
              </w:rPr>
              <w:t>Investment 5.1. Support to the production system for the Ecological Transition, Net Zero Technologies, and competitiveness and resilience of strategic supply chains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tcPr>
          <w:p w14:paraId="3CA1344E" w14:textId="77777777" w:rsidR="0039681A" w:rsidRPr="00647572" w:rsidRDefault="0039681A" w:rsidP="007C2ACC">
            <w:pPr>
              <w:rPr>
                <w:rFonts w:ascii="Arial Narrow" w:hAnsi="Arial Narrow"/>
                <w:noProof/>
                <w:color w:val="006100"/>
                <w:sz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0F6079A4" w14:textId="5904EB2F" w:rsidR="0039681A" w:rsidRPr="00A36E36" w:rsidRDefault="0039681A" w:rsidP="007C2ACC">
            <w:pPr>
              <w:rPr>
                <w:rFonts w:ascii="Arial Narrow" w:hAnsi="Arial Narrow"/>
                <w:noProof/>
                <w:color w:val="006100"/>
                <w:sz w:val="20"/>
                <w:szCs w:val="20"/>
                <w:lang w:val="en-IE"/>
              </w:rPr>
            </w:pPr>
            <w:r w:rsidRPr="3EBBAD8F">
              <w:rPr>
                <w:rFonts w:ascii="Arial Narrow" w:hAnsi="Arial Narrow"/>
                <w:noProof/>
                <w:color w:val="006100"/>
                <w:sz w:val="20"/>
                <w:szCs w:val="20"/>
                <w:lang w:val="en-IE"/>
              </w:rPr>
              <w:t>Amendment implementing agreement, award decision for final beneficiaries and investment completion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327523D" w14:textId="2CBF3D79" w:rsidR="0039681A" w:rsidRPr="00A36E36" w:rsidRDefault="0039681A" w:rsidP="007C2ACC">
            <w:pPr>
              <w:rPr>
                <w:rFonts w:ascii="Arial Narrow" w:hAnsi="Arial Narrow"/>
                <w:noProof/>
                <w:color w:val="006100"/>
                <w:sz w:val="20"/>
                <w:szCs w:val="20"/>
                <w:lang w:val="en-IE"/>
              </w:rPr>
            </w:pPr>
            <w:r w:rsidRPr="6667E779">
              <w:rPr>
                <w:rFonts w:ascii="Arial Narrow" w:hAnsi="Arial Narrow"/>
                <w:noProof/>
                <w:color w:val="006100"/>
                <w:sz w:val="20"/>
                <w:szCs w:val="20"/>
                <w:lang w:val="en-IE"/>
              </w:rPr>
              <w:t>Entry into force of amended implementing agreement,award decision for final beneficiaries and certificate of transfer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68A907B" w14:textId="77777777" w:rsidR="0039681A" w:rsidRPr="00647572" w:rsidRDefault="0039681A" w:rsidP="007C2ACC">
            <w:pP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CD57981" w14:textId="77777777" w:rsidR="0039681A" w:rsidRPr="00647572" w:rsidRDefault="0039681A" w:rsidP="007C2ACC">
            <w:pPr>
              <w:rPr>
                <w:rFonts w:ascii="Arial Narrow" w:hAnsi="Arial Narrow"/>
                <w:noProof/>
                <w:color w:val="006100"/>
                <w:sz w:val="20"/>
              </w:rPr>
            </w:pPr>
            <w:r w:rsidRPr="00647572">
              <w:rPr>
                <w:rFonts w:ascii="Arial Narrow" w:hAnsi="Arial Narrow"/>
                <w:noProof/>
                <w:color w:val="006100"/>
                <w:sz w:val="20"/>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04A32AE6" w14:textId="77777777" w:rsidR="0039681A" w:rsidRPr="00647572" w:rsidRDefault="0039681A" w:rsidP="007C2ACC">
            <w:pPr>
              <w:rPr>
                <w:rFonts w:ascii="Arial Narrow" w:hAnsi="Arial Narrow"/>
                <w:noProof/>
                <w:color w:val="006100"/>
                <w:sz w:val="20"/>
              </w:rPr>
            </w:pPr>
            <w:r w:rsidRPr="00647572">
              <w:rPr>
                <w:rFonts w:ascii="Arial Narrow" w:hAnsi="Arial Narrow"/>
                <w:noProof/>
                <w:color w:val="006100"/>
                <w:sz w:val="20"/>
              </w:rPr>
              <w:t>100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2B175A7" w14:textId="77777777" w:rsidR="0039681A" w:rsidRPr="00647572" w:rsidRDefault="0039681A" w:rsidP="007C2ACC">
            <w:pPr>
              <w:rPr>
                <w:rFonts w:ascii="Arial Narrow" w:hAnsi="Arial Narrow"/>
                <w:noProof/>
                <w:color w:val="006100"/>
                <w:sz w:val="20"/>
              </w:rPr>
            </w:pPr>
            <w:r w:rsidRPr="00647572">
              <w:rPr>
                <w:rFonts w:ascii="Arial Narrow" w:hAnsi="Arial Narrow"/>
                <w:noProof/>
                <w:color w:val="006100"/>
                <w:sz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tcPr>
          <w:p w14:paraId="6CFB2EB4" w14:textId="77777777" w:rsidR="0039681A" w:rsidRPr="00647572" w:rsidRDefault="0039681A" w:rsidP="007C2ACC">
            <w:pPr>
              <w:rPr>
                <w:rFonts w:ascii="Arial Narrow" w:hAnsi="Arial Narrow"/>
                <w:noProof/>
                <w:color w:val="006100"/>
                <w:sz w:val="20"/>
              </w:rPr>
            </w:pPr>
            <w:r w:rsidRPr="00647572">
              <w:rPr>
                <w:rFonts w:ascii="Arial Narrow" w:hAnsi="Arial Narrow"/>
                <w:noProof/>
                <w:color w:val="006100"/>
                <w:sz w:val="20"/>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tcPr>
          <w:p w14:paraId="39B2BB27" w14:textId="41FADE84" w:rsidR="0039681A" w:rsidRPr="00A36E36" w:rsidRDefault="0039681A" w:rsidP="007C2ACC">
            <w:pPr>
              <w:spacing w:before="120" w:after="0"/>
              <w:rPr>
                <w:rFonts w:ascii="Arial Narrow" w:hAnsi="Arial Narrow"/>
                <w:noProof/>
                <w:color w:val="006100"/>
                <w:sz w:val="20"/>
                <w:lang w:val="en-IE"/>
              </w:rPr>
            </w:pPr>
            <w:r w:rsidRPr="0070054C">
              <w:rPr>
                <w:rFonts w:ascii="Arial Narrow" w:hAnsi="Arial Narrow"/>
                <w:noProof/>
                <w:color w:val="006100"/>
                <w:sz w:val="20"/>
                <w:lang w:val="en-IE"/>
              </w:rPr>
              <w:t>Amendment of the implementing</w:t>
            </w:r>
            <w:r w:rsidRPr="00A36E36">
              <w:rPr>
                <w:rFonts w:ascii="Arial Narrow" w:hAnsi="Arial Narrow"/>
                <w:noProof/>
                <w:color w:val="006100"/>
                <w:sz w:val="20"/>
                <w:lang w:val="en-IE"/>
              </w:rPr>
              <w:t xml:space="preserve"> agreement.Italy shall transfer EUR</w:t>
            </w:r>
            <w:r w:rsidR="002D3AB2" w:rsidRPr="00A36E36">
              <w:rPr>
                <w:rFonts w:ascii="Arial Narrow" w:hAnsi="Arial Narrow"/>
                <w:noProof/>
                <w:color w:val="006100"/>
                <w:sz w:val="20"/>
                <w:lang w:val="en-IE"/>
              </w:rPr>
              <w:t> </w:t>
            </w:r>
            <w:r>
              <w:rPr>
                <w:rFonts w:ascii="Arial Narrow" w:hAnsi="Arial Narrow"/>
                <w:noProof/>
                <w:color w:val="006100"/>
                <w:sz w:val="20"/>
                <w:lang w:val="en-IE"/>
              </w:rPr>
              <w:t>227</w:t>
            </w:r>
            <w:r w:rsidRPr="00A36E36">
              <w:rPr>
                <w:rFonts w:ascii="Arial Narrow" w:hAnsi="Arial Narrow"/>
                <w:noProof/>
                <w:color w:val="006100"/>
                <w:sz w:val="20"/>
                <w:lang w:val="en-IE"/>
              </w:rPr>
              <w:t> 000 000 to Invitalia for the Facility.</w:t>
            </w:r>
          </w:p>
          <w:p w14:paraId="18C2A1E9" w14:textId="45058D01" w:rsidR="0039681A" w:rsidRPr="00A36E36" w:rsidRDefault="0039681A" w:rsidP="007C2ACC">
            <w:pPr>
              <w:spacing w:before="120" w:after="0"/>
              <w:rPr>
                <w:rFonts w:ascii="Arial Narrow" w:hAnsi="Arial Narrow"/>
                <w:noProof/>
                <w:color w:val="006100"/>
                <w:sz w:val="20"/>
                <w:szCs w:val="20"/>
                <w:lang w:val="en-IE"/>
              </w:rPr>
            </w:pPr>
            <w:r w:rsidRPr="6667E779">
              <w:rPr>
                <w:rFonts w:ascii="Arial Narrow" w:hAnsi="Arial Narrow"/>
                <w:noProof/>
                <w:color w:val="006100"/>
                <w:sz w:val="20"/>
                <w:szCs w:val="20"/>
                <w:lang w:val="en-IE"/>
              </w:rPr>
              <w:t>Invitalia shall have issued the award decisions for an amount necessary to use 100% of the EUR 3 </w:t>
            </w:r>
            <w:r>
              <w:rPr>
                <w:rFonts w:ascii="Arial Narrow" w:hAnsi="Arial Narrow"/>
                <w:noProof/>
                <w:color w:val="006100"/>
                <w:sz w:val="20"/>
                <w:szCs w:val="20"/>
                <w:lang w:val="en-IE"/>
              </w:rPr>
              <w:t>727</w:t>
            </w:r>
            <w:r w:rsidRPr="6667E779">
              <w:rPr>
                <w:noProof/>
                <w:color w:val="006100"/>
                <w:sz w:val="20"/>
                <w:szCs w:val="20"/>
                <w:lang w:val="en-IE"/>
              </w:rPr>
              <w:t> </w:t>
            </w:r>
            <w:r w:rsidRPr="6667E779">
              <w:rPr>
                <w:rFonts w:ascii="Arial Narrow" w:hAnsi="Arial Narrow"/>
                <w:noProof/>
                <w:color w:val="006100"/>
                <w:sz w:val="20"/>
                <w:szCs w:val="20"/>
                <w:lang w:val="en-IE"/>
              </w:rPr>
              <w:t>000</w:t>
            </w:r>
            <w:r w:rsidRPr="6667E779">
              <w:rPr>
                <w:noProof/>
                <w:color w:val="006100"/>
                <w:sz w:val="20"/>
                <w:szCs w:val="20"/>
                <w:lang w:val="en-IE"/>
              </w:rPr>
              <w:t> </w:t>
            </w:r>
            <w:r w:rsidRPr="6667E779">
              <w:rPr>
                <w:rFonts w:ascii="Arial Narrow" w:hAnsi="Arial Narrow"/>
                <w:noProof/>
                <w:color w:val="006100"/>
                <w:sz w:val="20"/>
                <w:szCs w:val="20"/>
                <w:lang w:val="en-IE"/>
              </w:rPr>
              <w:t xml:space="preserve">000 of RRF investment (taking into account management fees). </w:t>
            </w:r>
            <w:bookmarkStart w:id="17" w:name="_Hlk212583418"/>
            <w:r w:rsidRPr="6667E779">
              <w:rPr>
                <w:rFonts w:ascii="Arial Narrow" w:hAnsi="Arial Narrow"/>
                <w:noProof/>
                <w:color w:val="006100"/>
                <w:sz w:val="20"/>
                <w:szCs w:val="20"/>
                <w:lang w:val="en-IE"/>
              </w:rPr>
              <w:t xml:space="preserve">At least </w:t>
            </w:r>
            <w:r>
              <w:rPr>
                <w:rFonts w:ascii="Arial Narrow" w:hAnsi="Arial Narrow"/>
                <w:noProof/>
                <w:color w:val="006100"/>
                <w:sz w:val="20"/>
                <w:szCs w:val="20"/>
                <w:lang w:val="en-IE"/>
              </w:rPr>
              <w:t>660</w:t>
            </w:r>
            <w:r w:rsidRPr="6667E779">
              <w:rPr>
                <w:rFonts w:ascii="Arial Narrow" w:hAnsi="Arial Narrow"/>
                <w:noProof/>
                <w:color w:val="006100"/>
                <w:sz w:val="20"/>
                <w:szCs w:val="20"/>
                <w:lang w:val="en-IE"/>
              </w:rPr>
              <w:t xml:space="preserve"> million EUR of this financing shall contribute to climate objectives using the methodology in Annex VI of the RRF Regulation.</w:t>
            </w:r>
            <w:bookmarkEnd w:id="17"/>
          </w:p>
          <w:p w14:paraId="7DCA19D8" w14:textId="1B3C5852" w:rsidR="0039681A" w:rsidRPr="00A36E36" w:rsidRDefault="0039681A" w:rsidP="007C2ACC">
            <w:pPr>
              <w:spacing w:before="120" w:after="0"/>
              <w:rPr>
                <w:rFonts w:ascii="Arial Narrow" w:hAnsi="Arial Narrow"/>
                <w:noProof/>
                <w:color w:val="006100"/>
                <w:sz w:val="20"/>
                <w:szCs w:val="20"/>
                <w:lang w:val="en-IE"/>
              </w:rPr>
            </w:pPr>
            <w:r w:rsidRPr="00A36E36">
              <w:rPr>
                <w:rFonts w:ascii="Arial Narrow" w:hAnsi="Arial Narrow"/>
                <w:noProof/>
                <w:color w:val="006100"/>
                <w:sz w:val="20"/>
                <w:szCs w:val="20"/>
                <w:lang w:val="en-IE"/>
              </w:rPr>
              <w:t>In particular:</w:t>
            </w:r>
          </w:p>
          <w:p w14:paraId="4D4E6822" w14:textId="77777777" w:rsidR="0039681A" w:rsidRPr="00A36E36" w:rsidRDefault="0039681A" w:rsidP="007C2ACC">
            <w:pPr>
              <w:spacing w:before="120" w:after="0"/>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EUR 700 000 000 shall be allocated to sub investment 1 Net Zero Technologies;</w:t>
            </w:r>
          </w:p>
          <w:p w14:paraId="53FDB325" w14:textId="77777777" w:rsidR="0039681A" w:rsidRPr="00A36E36" w:rsidRDefault="0039681A" w:rsidP="007C2ACC">
            <w:pPr>
              <w:spacing w:after="0"/>
              <w:rPr>
                <w:rFonts w:ascii="Arial Narrow" w:hAnsi="Arial Narrow"/>
                <w:noProof/>
                <w:sz w:val="20"/>
                <w:lang w:val="en-IE"/>
              </w:rPr>
            </w:pPr>
            <w:r w:rsidRPr="00A36E36">
              <w:rPr>
                <w:rFonts w:ascii="Arial Narrow" w:hAnsi="Arial Narrow"/>
                <w:noProof/>
                <w:color w:val="006100"/>
                <w:sz w:val="20"/>
                <w:lang w:val="en-IE"/>
              </w:rPr>
              <w:t>-The remaining RRF investment shall be allocated to sub investment 2 Competitiveness and resilience of strategic supply chains, including semi-conductor projects. A maximum of EUR 400 000 000 under sub-investment 2 shall be allocated to the agro-industrial and agri-food sectors.</w:t>
            </w:r>
          </w:p>
        </w:tc>
      </w:tr>
      <w:tr w:rsidR="0039681A" w:rsidRPr="0070054C" w14:paraId="53F0B31E"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36089F"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M2C2-42bis</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F5B37F" w14:textId="77777777" w:rsidR="0039681A" w:rsidRPr="00A36E36" w:rsidRDefault="0039681A" w:rsidP="00351087">
            <w:pPr>
              <w:jc w:val="both"/>
              <w:rPr>
                <w:rFonts w:ascii="Arial Narrow" w:hAnsi="Arial Narrow"/>
                <w:noProof/>
                <w:color w:val="006100"/>
                <w:sz w:val="20"/>
                <w:lang w:val="en-IE"/>
              </w:rPr>
            </w:pPr>
            <w:r w:rsidRPr="00A36E36">
              <w:rPr>
                <w:rFonts w:ascii="Arial Narrow" w:hAnsi="Arial Narrow"/>
                <w:noProof/>
                <w:color w:val="006100"/>
                <w:sz w:val="20"/>
                <w:lang w:val="en-IE"/>
              </w:rPr>
              <w:t>Investment 5.4 – Equity injection into the Green Transition Fund (“GTF”)</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F3F32A" w14:textId="77777777" w:rsidR="0039681A" w:rsidRPr="00647572" w:rsidRDefault="0039681A" w:rsidP="00351087">
            <w:pPr>
              <w:jc w:val="both"/>
              <w:rPr>
                <w:rFonts w:ascii="Arial Narrow" w:hAnsi="Arial Narrow"/>
                <w:noProof/>
                <w:color w:val="006100"/>
                <w:sz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C47EE7" w14:textId="77777777" w:rsidR="0039681A" w:rsidRPr="00A36E36" w:rsidRDefault="0039681A" w:rsidP="00F118A8">
            <w:pPr>
              <w:rPr>
                <w:rFonts w:ascii="Arial Narrow" w:hAnsi="Arial Narrow"/>
                <w:noProof/>
                <w:color w:val="006100"/>
                <w:sz w:val="20"/>
                <w:lang w:val="en-IE"/>
              </w:rPr>
            </w:pPr>
            <w:r w:rsidRPr="00A36E36">
              <w:rPr>
                <w:rFonts w:ascii="Arial Narrow" w:hAnsi="Arial Narrow"/>
                <w:noProof/>
                <w:color w:val="006100"/>
                <w:sz w:val="20"/>
                <w:lang w:val="en-IE"/>
              </w:rPr>
              <w:t>Equity injection into the Green Transition Fund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54C4A"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Certificate of transfer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8CB40E"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E482FC"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81C7CD"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DADD8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71B75A"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939E5C" w14:textId="77777777" w:rsidR="0039681A" w:rsidRPr="00A36E36" w:rsidRDefault="0039681A" w:rsidP="00351087">
            <w:pPr>
              <w:spacing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Italy shall transfer EUR 250</w:t>
            </w:r>
            <w:r w:rsidRPr="00A36E36">
              <w:rPr>
                <w:noProof/>
                <w:sz w:val="23"/>
                <w:szCs w:val="23"/>
                <w:lang w:val="en-IE"/>
              </w:rPr>
              <w:t> </w:t>
            </w:r>
            <w:r w:rsidRPr="00A36E36">
              <w:rPr>
                <w:rFonts w:ascii="Arial Narrow" w:hAnsi="Arial Narrow"/>
                <w:noProof/>
                <w:color w:val="006100"/>
                <w:sz w:val="20"/>
                <w:szCs w:val="20"/>
                <w:lang w:val="en-IE"/>
              </w:rPr>
              <w:t>000</w:t>
            </w:r>
            <w:r w:rsidRPr="00A36E36">
              <w:rPr>
                <w:noProof/>
                <w:sz w:val="23"/>
                <w:szCs w:val="23"/>
                <w:lang w:val="en-IE"/>
              </w:rPr>
              <w:t> </w:t>
            </w:r>
            <w:r w:rsidRPr="00A36E36">
              <w:rPr>
                <w:rFonts w:ascii="Arial Narrow" w:hAnsi="Arial Narrow"/>
                <w:noProof/>
                <w:color w:val="006100"/>
                <w:sz w:val="20"/>
                <w:szCs w:val="20"/>
                <w:lang w:val="en-IE"/>
              </w:rPr>
              <w:t>000 to the GTF</w:t>
            </w:r>
            <w:r w:rsidRPr="00A36E36" w:rsidDel="00E24129">
              <w:rPr>
                <w:rFonts w:ascii="Arial Narrow" w:hAnsi="Arial Narrow"/>
                <w:noProof/>
                <w:color w:val="006100"/>
                <w:sz w:val="20"/>
                <w:szCs w:val="20"/>
                <w:lang w:val="en-IE"/>
              </w:rPr>
              <w:t>.</w:t>
            </w:r>
          </w:p>
          <w:p w14:paraId="062EFEC6" w14:textId="77777777" w:rsidR="0039681A" w:rsidRPr="00A36E36" w:rsidRDefault="0039681A" w:rsidP="00351087">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Moreover, the investment policy (“Accordo Finanziario”) shall be in line with the measure description.</w:t>
            </w:r>
          </w:p>
        </w:tc>
      </w:tr>
      <w:tr w:rsidR="0039681A" w:rsidRPr="0070054C" w14:paraId="1BE84BE9"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1460C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M2C2-43</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D1E586" w14:textId="77777777" w:rsidR="0039681A" w:rsidRPr="00A36E36" w:rsidRDefault="0039681A" w:rsidP="00351087">
            <w:pPr>
              <w:jc w:val="both"/>
              <w:rPr>
                <w:rFonts w:ascii="Arial Narrow" w:hAnsi="Arial Narrow"/>
                <w:noProof/>
                <w:color w:val="006100"/>
                <w:sz w:val="20"/>
                <w:lang w:val="en-IE"/>
              </w:rPr>
            </w:pPr>
            <w:r w:rsidRPr="00A36E36">
              <w:rPr>
                <w:rFonts w:ascii="Arial Narrow" w:hAnsi="Arial Narrow"/>
                <w:noProof/>
                <w:color w:val="006100"/>
                <w:sz w:val="20"/>
                <w:lang w:val="en-IE"/>
              </w:rPr>
              <w:t>Investment 5.4: Equity injection into the Green Transition Fund (“GTF”)</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5F0BBE" w14:textId="77777777" w:rsidR="0039681A" w:rsidRPr="00647572" w:rsidRDefault="0039681A" w:rsidP="00351087">
            <w:pPr>
              <w:jc w:val="both"/>
              <w:rPr>
                <w:rFonts w:ascii="Arial Narrow" w:hAnsi="Arial Narrow"/>
                <w:noProof/>
                <w:color w:val="006100"/>
                <w:sz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522521" w14:textId="77777777" w:rsidR="0039681A" w:rsidRPr="00647572" w:rsidRDefault="0039681A" w:rsidP="00351087">
            <w:pPr>
              <w:jc w:val="both"/>
              <w:rPr>
                <w:rFonts w:ascii="Arial Narrow" w:hAnsi="Arial Narrow"/>
                <w:noProof/>
                <w:color w:val="006100"/>
                <w:sz w:val="20"/>
              </w:rPr>
            </w:pPr>
            <w:r w:rsidRPr="00647572">
              <w:rPr>
                <w:rFonts w:ascii="Arial Narrow" w:hAnsi="Arial Narrow"/>
                <w:noProof/>
                <w:color w:val="006100"/>
                <w:sz w:val="20"/>
              </w:rPr>
              <w:t>Adoption of a report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674A2A"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Adoption of a report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950BAB"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ED73DE"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82CFD5"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6C0376"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CD7A9E" w14:textId="77777777" w:rsidR="0039681A" w:rsidRPr="00F118A8" w:rsidRDefault="0039681A" w:rsidP="00351087">
            <w:pPr>
              <w:jc w:val="center"/>
              <w:rPr>
                <w:rFonts w:ascii="Arial Narrow" w:hAnsi="Arial Narrow"/>
                <w:noProof/>
                <w:color w:val="006100"/>
                <w:sz w:val="20"/>
                <w:szCs w:val="20"/>
                <w:lang w:val="en-IE"/>
              </w:rPr>
            </w:pPr>
            <w:r w:rsidRPr="00F118A8">
              <w:rPr>
                <w:rFonts w:ascii="Arial Narrow" w:hAnsi="Arial Narrow"/>
                <w:noProof/>
                <w:color w:val="006100"/>
                <w:sz w:val="20"/>
                <w:szCs w:val="20"/>
                <w:lang w:val="en-IE"/>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E5D471" w14:textId="77777777" w:rsidR="0039681A" w:rsidRPr="00F118A8" w:rsidRDefault="0039681A" w:rsidP="00351087">
            <w:pPr>
              <w:spacing w:after="120"/>
              <w:rPr>
                <w:rFonts w:ascii="Arial Narrow" w:hAnsi="Arial Narrow"/>
                <w:noProof/>
                <w:color w:val="006100"/>
                <w:sz w:val="20"/>
                <w:szCs w:val="20"/>
                <w:lang w:val="en-IE"/>
              </w:rPr>
            </w:pPr>
            <w:r w:rsidRPr="3EBBAD8F">
              <w:rPr>
                <w:rFonts w:ascii="Arial Narrow" w:hAnsi="Arial Narrow"/>
                <w:noProof/>
                <w:color w:val="006100"/>
                <w:sz w:val="20"/>
                <w:szCs w:val="20"/>
                <w:lang w:val="en-IE"/>
              </w:rPr>
              <w:t xml:space="preserve">Italy shall transmit a report outlining the actions taken by GTF to implement the investment policy, including the steps taken for the implementation of the financial products that the equity is expected to support, as well as the expected steps to be taken for further implementing those </w:t>
            </w:r>
            <w:r w:rsidRPr="00F118A8">
              <w:rPr>
                <w:rFonts w:ascii="Arial Narrow" w:hAnsi="Arial Narrow"/>
                <w:noProof/>
                <w:color w:val="006100"/>
                <w:sz w:val="20"/>
                <w:szCs w:val="20"/>
                <w:lang w:val="en-IE"/>
              </w:rPr>
              <w:t>products.</w:t>
            </w:r>
          </w:p>
          <w:p w14:paraId="5713DE92" w14:textId="77777777" w:rsidR="0039681A" w:rsidRPr="00F118A8" w:rsidRDefault="0039681A" w:rsidP="00351087">
            <w:pPr>
              <w:spacing w:after="120"/>
              <w:jc w:val="both"/>
              <w:rPr>
                <w:rFonts w:ascii="Arial Narrow" w:hAnsi="Arial Narrow"/>
                <w:noProof/>
                <w:color w:val="006100"/>
                <w:sz w:val="20"/>
                <w:szCs w:val="20"/>
                <w:lang w:val="en-IE"/>
              </w:rPr>
            </w:pPr>
            <w:r w:rsidRPr="00F118A8">
              <w:rPr>
                <w:rFonts w:ascii="Arial Narrow" w:hAnsi="Arial Narrow"/>
                <w:noProof/>
                <w:color w:val="006100"/>
                <w:sz w:val="20"/>
                <w:szCs w:val="20"/>
                <w:lang w:val="en-IE"/>
              </w:rPr>
              <w:t>The report shall also indicate the amounts invested in direct/indirect manner and in each financial product.</w:t>
            </w:r>
          </w:p>
          <w:p w14:paraId="4DAA5E16" w14:textId="3B65DF2A" w:rsidR="0039681A" w:rsidRPr="00293427" w:rsidRDefault="0039681A" w:rsidP="00F118A8">
            <w:pPr>
              <w:spacing w:after="0"/>
              <w:jc w:val="both"/>
              <w:rPr>
                <w:rFonts w:ascii="Arial Narrow" w:hAnsi="Arial Narrow"/>
                <w:noProof/>
                <w:color w:val="006100"/>
                <w:sz w:val="20"/>
                <w:szCs w:val="20"/>
                <w:lang w:val="en-IE"/>
              </w:rPr>
            </w:pPr>
            <w:r w:rsidRPr="00F118A8">
              <w:rPr>
                <w:rFonts w:ascii="Arial Narrow" w:hAnsi="Arial Narrow"/>
                <w:noProof/>
                <w:color w:val="006100"/>
                <w:sz w:val="20"/>
                <w:szCs w:val="20"/>
                <w:lang w:val="en-IE"/>
              </w:rPr>
              <w:t>The Fund’s regulation shall be modified to ensure that the investments of the Fund shall be dedicated to green investments, aligned with the intervention fields assigned a 100% climate coefficient under Annex VI of Regulation (EU) 2021/241.</w:t>
            </w:r>
          </w:p>
        </w:tc>
      </w:tr>
      <w:tr w:rsidR="0039681A" w:rsidRPr="0070054C" w14:paraId="40F0D07F"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B4DBE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M2C2-44</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65C200"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Development of agri-voltaic systems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D06EF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3DC1F6"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the installation of photovoltaic solar panels in agri-voltaic systems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46D81B" w14:textId="77777777" w:rsidR="0039681A" w:rsidRPr="00A36E36" w:rsidRDefault="0039681A" w:rsidP="00351087">
            <w:pPr>
              <w:jc w:val="center"/>
              <w:rPr>
                <w:rFonts w:ascii="Arial Narrow" w:eastAsia="Arial Narrow" w:hAnsi="Arial Narrow"/>
                <w:noProof/>
                <w:color w:val="006100"/>
                <w:sz w:val="20"/>
                <w:szCs w:val="20"/>
                <w:lang w:val="en-IE"/>
              </w:rPr>
            </w:pPr>
            <w:r w:rsidRPr="00A36E36">
              <w:rPr>
                <w:rFonts w:ascii="Arial Narrow" w:eastAsia="Calibri" w:hAnsi="Arial Narrow"/>
                <w:noProof/>
                <w:color w:val="006100"/>
                <w:sz w:val="20"/>
                <w:szCs w:val="20"/>
                <w:lang w:val="en-IE"/>
              </w:rPr>
              <w:t>Publication of the admission decrees with the awarding (assignment) of all public contracts for the installation of photovoltaic solar panels in agri-voltaic systems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DD403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F4CDC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88132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54A02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F90ED3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E8D99B" w14:textId="77777777" w:rsidR="0039681A" w:rsidRPr="00A36E36" w:rsidRDefault="0039681A" w:rsidP="00351087">
            <w:pPr>
              <w:rPr>
                <w:rFonts w:ascii="Arial Narrow" w:hAnsi="Arial Narrow"/>
                <w:noProof/>
                <w:sz w:val="20"/>
                <w:szCs w:val="20"/>
                <w:lang w:val="en-IE"/>
              </w:rPr>
            </w:pPr>
            <w:r w:rsidRPr="00A36E36">
              <w:rPr>
                <w:rFonts w:ascii="Arial Narrow" w:hAnsi="Arial Narrow"/>
                <w:noProof/>
                <w:color w:val="006100"/>
                <w:sz w:val="20"/>
                <w:szCs w:val="20"/>
                <w:lang w:val="en-IE"/>
              </w:rPr>
              <w:t xml:space="preserve">Publication of the admission decrees with the awarding (assingment) of all public contracts for the installation of photovoltaic solar panels and measuring instruments in agri-voltaic systems. </w:t>
            </w:r>
          </w:p>
        </w:tc>
      </w:tr>
      <w:tr w:rsidR="0039681A" w:rsidRPr="0070054C" w14:paraId="4B64A711"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7B7306" w14:textId="77777777" w:rsidR="0039681A" w:rsidRPr="00647572" w:rsidRDefault="0039681A" w:rsidP="00351087">
            <w:pPr>
              <w:jc w:val="center"/>
              <w:rPr>
                <w:rFonts w:ascii="Arial Narrow" w:hAnsi="Arial Narrow"/>
                <w:noProof/>
                <w:color w:val="006100"/>
                <w:sz w:val="20"/>
                <w:szCs w:val="20"/>
              </w:rPr>
            </w:pPr>
            <w:r w:rsidRPr="536BDC9B">
              <w:rPr>
                <w:rFonts w:ascii="Arial Narrow" w:hAnsi="Arial Narrow"/>
                <w:noProof/>
                <w:color w:val="006100"/>
                <w:sz w:val="20"/>
                <w:szCs w:val="20"/>
              </w:rPr>
              <w:t>M2C2-45</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F893AF" w14:textId="77777777" w:rsidR="0039681A" w:rsidRPr="00A36E36" w:rsidRDefault="0039681A" w:rsidP="00351087">
            <w:pPr>
              <w:jc w:val="center"/>
              <w:rPr>
                <w:rFonts w:ascii="Arial Narrow" w:hAnsi="Arial Narrow"/>
                <w:noProof/>
                <w:color w:val="006100"/>
                <w:sz w:val="20"/>
                <w:szCs w:val="20"/>
                <w:lang w:val="en-IE"/>
              </w:rPr>
            </w:pPr>
            <w:r w:rsidRPr="536BDC9B">
              <w:rPr>
                <w:rFonts w:ascii="Arial Narrow" w:hAnsi="Arial Narrow"/>
                <w:noProof/>
                <w:color w:val="006100"/>
                <w:sz w:val="20"/>
                <w:szCs w:val="20"/>
                <w:lang w:val="en-IE"/>
              </w:rPr>
              <w:t>Investment 1.1 Development of agri-voltaic systems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4666A3"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DC2852"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Implementing agreement, legal agreements signed with final beneficiaries and investment completion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03B8F6" w14:textId="77777777" w:rsidR="0039681A" w:rsidRPr="00A36E36" w:rsidDel="007060E8"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implementing agreement, legal agreements signed, certificate of transfer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DBBA23" w14:textId="77777777" w:rsidR="0039681A" w:rsidRPr="00A36E36" w:rsidDel="007060E8" w:rsidRDefault="0039681A" w:rsidP="00351087">
            <w:pPr>
              <w:jc w:val="center"/>
              <w:rPr>
                <w:rFonts w:ascii="Arial Narrow" w:hAnsi="Arial Narrow"/>
                <w:noProof/>
                <w:color w:val="006100"/>
                <w:sz w:val="20"/>
                <w:szCs w:val="20"/>
                <w:lang w:val="en-IE"/>
              </w:rPr>
            </w:pPr>
            <w:r w:rsidRPr="536BDC9B">
              <w:rPr>
                <w:rFonts w:ascii="Arial Narrow" w:hAnsi="Arial Narrow"/>
                <w:noProof/>
                <w:color w:val="006100"/>
                <w:sz w:val="20"/>
                <w:szCs w:val="20"/>
                <w:lang w:val="en-I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80CBD3" w14:textId="77777777" w:rsidR="0039681A" w:rsidRPr="00A36E36" w:rsidDel="007060E8" w:rsidRDefault="0039681A" w:rsidP="00351087">
            <w:pPr>
              <w:jc w:val="center"/>
              <w:rPr>
                <w:rFonts w:ascii="Arial Narrow" w:hAnsi="Arial Narrow"/>
                <w:noProof/>
                <w:color w:val="006100"/>
                <w:sz w:val="20"/>
                <w:szCs w:val="20"/>
                <w:lang w:val="en-IE"/>
              </w:rPr>
            </w:pPr>
            <w:r w:rsidRPr="536BDC9B">
              <w:rPr>
                <w:rFonts w:ascii="Arial Narrow" w:hAnsi="Arial Narrow"/>
                <w:noProof/>
                <w:color w:val="006100"/>
                <w:sz w:val="20"/>
                <w:szCs w:val="20"/>
                <w:lang w:val="en-IE"/>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1821E9" w14:textId="77777777" w:rsidR="0039681A" w:rsidRPr="00A36E36" w:rsidDel="007060E8" w:rsidRDefault="0039681A" w:rsidP="00351087">
            <w:pPr>
              <w:jc w:val="center"/>
              <w:rPr>
                <w:rFonts w:ascii="Arial Narrow" w:hAnsi="Arial Narrow"/>
                <w:noProof/>
                <w:color w:val="006100"/>
                <w:sz w:val="20"/>
                <w:szCs w:val="20"/>
                <w:lang w:val="en-IE"/>
              </w:rPr>
            </w:pPr>
            <w:r w:rsidRPr="536BDC9B">
              <w:rPr>
                <w:rFonts w:ascii="Arial Narrow" w:hAnsi="Arial Narrow"/>
                <w:noProof/>
                <w:color w:val="006100"/>
                <w:sz w:val="20"/>
                <w:szCs w:val="20"/>
                <w:lang w:val="en-I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D9D3B1"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9B044B"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0086AB"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implementing agreement.</w:t>
            </w:r>
          </w:p>
          <w:p w14:paraId="4F3B044B" w14:textId="7511B9AC"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Italy shall transfer EUR</w:t>
            </w:r>
            <w:r w:rsidR="002D3AB2" w:rsidRPr="00A36E36">
              <w:rPr>
                <w:rFonts w:ascii="Arial Narrow" w:hAnsi="Arial Narrow"/>
                <w:noProof/>
                <w:color w:val="006100"/>
                <w:sz w:val="20"/>
                <w:lang w:val="en-IE"/>
              </w:rPr>
              <w:t> </w:t>
            </w:r>
            <w:r>
              <w:rPr>
                <w:rFonts w:ascii="Arial Narrow" w:hAnsi="Arial Narrow"/>
                <w:noProof/>
                <w:color w:val="006100"/>
                <w:sz w:val="20"/>
                <w:szCs w:val="20"/>
                <w:lang w:val="en-IE"/>
              </w:rPr>
              <w:t>999</w:t>
            </w:r>
            <w:r w:rsidRPr="00A36E36">
              <w:rPr>
                <w:rFonts w:ascii="Arial Narrow" w:hAnsi="Arial Narrow"/>
                <w:noProof/>
                <w:color w:val="006100"/>
                <w:sz w:val="20"/>
                <w:szCs w:val="20"/>
                <w:lang w:val="en-IE"/>
              </w:rPr>
              <w:t> 000 000 to the GSE for the Facility.</w:t>
            </w:r>
          </w:p>
          <w:p w14:paraId="2620979A" w14:textId="77777777" w:rsidR="0039681A" w:rsidRPr="00A36E36" w:rsidDel="00245275" w:rsidRDefault="0039681A" w:rsidP="00351087">
            <w:pPr>
              <w:rPr>
                <w:rFonts w:ascii="Arial Narrow" w:hAnsi="Arial Narrow"/>
                <w:noProof/>
                <w:color w:val="006100"/>
                <w:sz w:val="20"/>
                <w:szCs w:val="20"/>
                <w:lang w:val="en-IE"/>
              </w:rPr>
            </w:pPr>
            <w:r w:rsidRPr="536BDC9B">
              <w:rPr>
                <w:rFonts w:ascii="Arial Narrow" w:hAnsi="Arial Narrow"/>
                <w:noProof/>
                <w:color w:val="006100"/>
                <w:sz w:val="20"/>
                <w:szCs w:val="20"/>
                <w:lang w:val="en-IE"/>
              </w:rPr>
              <w:t xml:space="preserve">The GSE shall have entered into legal grant agreements with final beneficiaries for an amount necessary to use 100% of the RRF investment into the Scheme (taking into account management fees). </w:t>
            </w:r>
          </w:p>
        </w:tc>
      </w:tr>
      <w:tr w:rsidR="0039681A" w:rsidRPr="0070054C" w14:paraId="1F2E19EE"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6A12E3"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szCs w:val="20"/>
              </w:rPr>
              <w:t>M2C2-47</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6374E4"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1.2 Promotion of RES for energy communities and jointly acting renewables self-consumers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8345C"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D659E"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Implementing agreement, legal agreements signed with final beneficiaries and investment completion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404114"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implementing agreement, legal agreements signed and certificate of transfer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D7E9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BD8CD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D1F4B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A6090A"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B5A883"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0E884D" w14:textId="77777777" w:rsidR="0039681A" w:rsidRPr="00A36E36" w:rsidRDefault="0039681A" w:rsidP="00351087">
            <w:pPr>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p w14:paraId="688FBC39" w14:textId="22A3112E" w:rsidR="0039681A" w:rsidRPr="00A36E36" w:rsidRDefault="0039681A" w:rsidP="00351087">
            <w:pPr>
              <w:rPr>
                <w:rFonts w:ascii="Arial Narrow" w:hAnsi="Arial Narrow"/>
                <w:noProof/>
                <w:color w:val="006100"/>
                <w:sz w:val="20"/>
                <w:szCs w:val="20"/>
                <w:lang w:val="en-IE"/>
              </w:rPr>
            </w:pPr>
            <w:r w:rsidRPr="0C13A284">
              <w:rPr>
                <w:rFonts w:ascii="Arial Narrow" w:hAnsi="Arial Narrow"/>
                <w:noProof/>
                <w:color w:val="006100"/>
                <w:sz w:val="20"/>
                <w:szCs w:val="20"/>
                <w:lang w:val="en-IE"/>
              </w:rPr>
              <w:t>Italy shall transfer EUR</w:t>
            </w:r>
            <w:r w:rsidR="007C2ACC">
              <w:rPr>
                <w:rFonts w:ascii="Arial Narrow" w:hAnsi="Arial Narrow"/>
                <w:noProof/>
                <w:color w:val="006100"/>
                <w:sz w:val="20"/>
                <w:szCs w:val="20"/>
                <w:lang w:val="en-IE"/>
              </w:rPr>
              <w:t> </w:t>
            </w:r>
            <w:r>
              <w:rPr>
                <w:rFonts w:ascii="Arial Narrow" w:hAnsi="Arial Narrow"/>
                <w:noProof/>
                <w:color w:val="006100"/>
                <w:sz w:val="20"/>
                <w:szCs w:val="20"/>
                <w:lang w:val="en-IE"/>
              </w:rPr>
              <w:t>1</w:t>
            </w:r>
            <w:r w:rsidR="007C2ACC">
              <w:rPr>
                <w:rFonts w:ascii="Arial Narrow" w:hAnsi="Arial Narrow"/>
                <w:noProof/>
                <w:color w:val="006100"/>
                <w:sz w:val="20"/>
                <w:szCs w:val="20"/>
                <w:lang w:val="en-IE"/>
              </w:rPr>
              <w:t> </w:t>
            </w:r>
            <w:r>
              <w:rPr>
                <w:rFonts w:ascii="Arial Narrow" w:hAnsi="Arial Narrow"/>
                <w:noProof/>
                <w:color w:val="006100"/>
                <w:sz w:val="20"/>
                <w:szCs w:val="20"/>
                <w:lang w:val="en-IE"/>
              </w:rPr>
              <w:t>041</w:t>
            </w:r>
            <w:r w:rsidRPr="0C13A284">
              <w:rPr>
                <w:rFonts w:ascii="Arial Narrow" w:hAnsi="Arial Narrow"/>
                <w:noProof/>
                <w:color w:val="006100"/>
                <w:sz w:val="20"/>
                <w:szCs w:val="20"/>
                <w:lang w:val="en-IE"/>
              </w:rPr>
              <w:t> 500 000 to the GSE for the facility.</w:t>
            </w:r>
          </w:p>
          <w:p w14:paraId="6D34D722"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GSE shall have entered into legal grants agreements with the final beneficiaries for an amount necessary to use at least 100% of the RRF investment into the scheme (taking in account management fees). </w:t>
            </w:r>
          </w:p>
        </w:tc>
      </w:tr>
      <w:tr w:rsidR="0039681A" w:rsidRPr="0070054C" w14:paraId="409D628B"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A58C9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M2C2-48</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E46A1"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3.1 Production of Hydrogen in brownfield sites (Hydrogen Valleys)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B871E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71FA2"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 for the projects the production of hydrogen in abandoned industrial areas centres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856CD6"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the public contracts for the production of hydrogen in abandoned industrial areas centres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ACFF3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C6F68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EBAEC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9D8C3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91E7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B22761"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Award of the projects for the production of hydrogen in abandoned industrial areas centres. Funding shall be given to the production of green hydrogen with less than 3 tCO2eq/tH2 to get the best result in terms of decarbonisation</w:t>
            </w:r>
            <w:r w:rsidRPr="00A36E36">
              <w:rPr>
                <w:rFonts w:ascii="Arial Narrow" w:hAnsi="Arial Narrow"/>
                <w:noProof/>
                <w:sz w:val="20"/>
                <w:lang w:val="en-IE"/>
              </w:rPr>
              <w:t xml:space="preserve"> </w:t>
            </w:r>
            <w:r w:rsidRPr="00A36E36">
              <w:rPr>
                <w:rFonts w:ascii="Arial Narrow" w:hAnsi="Arial Narrow"/>
                <w:noProof/>
                <w:color w:val="006100"/>
                <w:sz w:val="20"/>
                <w:lang w:val="en-IE"/>
              </w:rPr>
              <w:t>This measure shall support hydrogen production based on electrolysis using renewable energy sources as defined in the Directive (EU) 2018/2001 (renewable Directive) or grid electricity</w:t>
            </w:r>
          </w:p>
        </w:tc>
      </w:tr>
      <w:tr w:rsidR="0039681A" w:rsidRPr="0070054C" w14:paraId="0AB696E6"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A521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M2C2-49</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8B8C1B"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3.1 Production of Hydrogen in brownfield sites (Hydrogen Valleys)</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8A9C2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968FA4" w14:textId="08E560A2" w:rsidR="0039681A" w:rsidRPr="00647572" w:rsidRDefault="0039681A" w:rsidP="00351087">
            <w:pPr>
              <w:jc w:val="center"/>
              <w:rPr>
                <w:rFonts w:ascii="Arial Narrow" w:hAnsi="Arial Narrow"/>
                <w:noProof/>
                <w:color w:val="006100"/>
                <w:sz w:val="20"/>
                <w:szCs w:val="20"/>
              </w:rPr>
            </w:pPr>
            <w:r>
              <w:rPr>
                <w:rFonts w:ascii="Arial Narrow" w:hAnsi="Arial Narrow"/>
                <w:noProof/>
                <w:color w:val="006100"/>
                <w:sz w:val="20"/>
              </w:rPr>
              <w:t>Electrolysers installed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116BE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6486C1" w14:textId="77777777" w:rsidR="0039681A" w:rsidRPr="00647572" w:rsidRDefault="0039681A" w:rsidP="00351087">
            <w:pPr>
              <w:jc w:val="center"/>
              <w:rPr>
                <w:rFonts w:ascii="Arial Narrow" w:hAnsi="Arial Narrow"/>
                <w:noProof/>
                <w:color w:val="006100"/>
                <w:sz w:val="20"/>
                <w:szCs w:val="20"/>
              </w:rPr>
            </w:pPr>
            <w:r w:rsidRPr="00647572" w:rsidDel="00A30EA5">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928928" w14:textId="77777777" w:rsidR="0039681A" w:rsidRPr="00647572" w:rsidRDefault="0039681A" w:rsidP="00351087">
            <w:pPr>
              <w:jc w:val="center"/>
              <w:rPr>
                <w:rFonts w:ascii="Arial Narrow" w:hAnsi="Arial Narrow"/>
                <w:noProof/>
                <w:color w:val="006100"/>
                <w:sz w:val="20"/>
                <w:szCs w:val="20"/>
              </w:rPr>
            </w:pPr>
            <w:r w:rsidRPr="00647572" w:rsidDel="00A30EA5">
              <w:rPr>
                <w:rFonts w:ascii="Arial Narrow" w:hAnsi="Arial Narrow"/>
                <w:noProof/>
                <w:color w:val="006100"/>
                <w:sz w:val="20"/>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A4A4DC" w14:textId="77777777" w:rsidR="0039681A" w:rsidRPr="00647572" w:rsidRDefault="0039681A" w:rsidP="00351087">
            <w:pPr>
              <w:jc w:val="center"/>
              <w:rPr>
                <w:rFonts w:ascii="Arial Narrow" w:hAnsi="Arial Narrow"/>
                <w:noProof/>
                <w:color w:val="006100"/>
                <w:sz w:val="20"/>
                <w:szCs w:val="20"/>
              </w:rPr>
            </w:pPr>
            <w:r w:rsidRPr="00647572" w:rsidDel="00A30EA5">
              <w:rPr>
                <w:rFonts w:ascii="Arial Narrow" w:hAnsi="Arial Narrow"/>
                <w:noProof/>
                <w:color w:val="006100"/>
                <w:sz w:val="20"/>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558A3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59CA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789A8C" w14:textId="6AE14010" w:rsidR="0039681A" w:rsidRPr="00A36E36" w:rsidRDefault="0039681A" w:rsidP="00351087">
            <w:pPr>
              <w:spacing w:after="120"/>
              <w:rPr>
                <w:rFonts w:ascii="Arial Narrow" w:hAnsi="Arial Narrow"/>
                <w:noProof/>
                <w:color w:val="006100"/>
                <w:sz w:val="20"/>
                <w:lang w:val="en-IE"/>
              </w:rPr>
            </w:pPr>
            <w:r>
              <w:rPr>
                <w:rFonts w:ascii="Arial Narrow" w:hAnsi="Arial Narrow"/>
                <w:noProof/>
                <w:color w:val="006100"/>
                <w:sz w:val="20"/>
                <w:lang w:val="en-IE"/>
              </w:rPr>
              <w:t xml:space="preserve">Installation of 10 electrolysers of a capacity of at least 1 MW each, within </w:t>
            </w:r>
            <w:r w:rsidRPr="00A36E36">
              <w:rPr>
                <w:rFonts w:ascii="Arial Narrow" w:hAnsi="Arial Narrow"/>
                <w:noProof/>
                <w:color w:val="006100"/>
                <w:sz w:val="20"/>
                <w:lang w:val="en-IE"/>
              </w:rPr>
              <w:t>10 hydrogen valley projects</w:t>
            </w:r>
            <w:r>
              <w:rPr>
                <w:rFonts w:ascii="Arial Narrow" w:hAnsi="Arial Narrow"/>
                <w:noProof/>
                <w:color w:val="006100"/>
                <w:sz w:val="20"/>
                <w:lang w:val="en-IE"/>
              </w:rPr>
              <w:t>.</w:t>
            </w:r>
          </w:p>
          <w:p w14:paraId="03CDD6D0"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 xml:space="preserve">Connection cost estimates accepted </w:t>
            </w:r>
            <w:r>
              <w:rPr>
                <w:rFonts w:ascii="Arial Narrow" w:hAnsi="Arial Narrow"/>
                <w:noProof/>
                <w:color w:val="006100"/>
                <w:sz w:val="20"/>
                <w:lang w:val="en-IE"/>
              </w:rPr>
              <w:t xml:space="preserve">or paid </w:t>
            </w:r>
            <w:r w:rsidRPr="00A36E36">
              <w:rPr>
                <w:rFonts w:ascii="Arial Narrow" w:hAnsi="Arial Narrow"/>
                <w:noProof/>
                <w:color w:val="006100"/>
                <w:sz w:val="20"/>
                <w:lang w:val="en-IE"/>
              </w:rPr>
              <w:t>by the developer are issued for the electrolysers requiring grid connection.</w:t>
            </w:r>
          </w:p>
        </w:tc>
      </w:tr>
      <w:tr w:rsidR="0039681A" w:rsidRPr="0070054C" w14:paraId="1CAD640B"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C7A4E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M2C2-50</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0E50B2"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3.2 Hydrogen Use in hard-to-abate industry</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3A6C2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548D9B"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Agreement to promote the transition from methane to green hydrogen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940E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Signature of the agreement</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CF18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5BC19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1F3C2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53DD78"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63FFA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52EF27"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Signature of the agreement with the selected project owners to promote the transition from methane to green hydrogen. The projects shall be in part dedicated to the R&amp;D&amp;I process to develop and in part shall be dedicated to the realisation and testing of an industrial prototype, using hydrogen.</w:t>
            </w:r>
            <w:r w:rsidRPr="00A36E36">
              <w:rPr>
                <w:rFonts w:ascii="Arial Narrow" w:hAnsi="Arial Narrow"/>
                <w:noProof/>
                <w:sz w:val="20"/>
                <w:lang w:val="en-IE"/>
              </w:rPr>
              <w:t xml:space="preserve"> </w:t>
            </w:r>
            <w:r w:rsidRPr="00A36E36">
              <w:rPr>
                <w:rFonts w:ascii="Arial Narrow" w:hAnsi="Arial Narrow"/>
                <w:noProof/>
                <w:color w:val="006100"/>
                <w:sz w:val="20"/>
                <w:lang w:val="en-IE"/>
              </w:rPr>
              <w:t>This measure shall support hydrogen production based on electrolysis using renewable energy sources as defined in the Directive (EU) 2018/2001 (renewable Directive) or grid electricity</w:t>
            </w:r>
          </w:p>
        </w:tc>
      </w:tr>
      <w:tr w:rsidR="0039681A" w:rsidRPr="0070054C" w14:paraId="3BB7955E"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E3A84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M2C2-52</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C758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Investment 5.2 Hydrogen</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68B6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4F88F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Production of electrolysers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469106"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publication of all public contracts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36787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B8F6B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D201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433B8"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E10A3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528B52" w14:textId="77777777" w:rsidR="0039681A" w:rsidRPr="00A36E36" w:rsidRDefault="0039681A" w:rsidP="00351087">
            <w:pPr>
              <w:rPr>
                <w:rFonts w:ascii="Arial Narrow" w:hAnsi="Arial Narrow"/>
                <w:noProof/>
                <w:sz w:val="20"/>
                <w:szCs w:val="20"/>
                <w:lang w:val="en-IE"/>
              </w:rPr>
            </w:pPr>
            <w:r w:rsidRPr="00A36E36">
              <w:rPr>
                <w:rFonts w:ascii="Arial Narrow" w:hAnsi="Arial Narrow"/>
                <w:noProof/>
                <w:color w:val="006100"/>
                <w:sz w:val="20"/>
                <w:lang w:val="en-IE"/>
              </w:rPr>
              <w:t xml:space="preserve">Award of the contract to build an industrial plant for the production of electrolysers. </w:t>
            </w:r>
          </w:p>
        </w:tc>
      </w:tr>
      <w:tr w:rsidR="0039681A" w:rsidRPr="0070054C" w14:paraId="3B856A0F" w14:textId="77777777" w:rsidTr="00F118A8">
        <w:trPr>
          <w:trHeight w:val="309"/>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EA030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M2C2-53</w:t>
            </w:r>
          </w:p>
        </w:tc>
        <w:tc>
          <w:tcPr>
            <w:tcW w:w="149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3E3A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Investment 5.2 Hydrogen</w:t>
            </w:r>
          </w:p>
        </w:tc>
        <w:tc>
          <w:tcPr>
            <w:tcW w:w="10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0BCD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19F2D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 xml:space="preserve">Industrial plant(s) built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857D9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30DEB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DC841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46B5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74558"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1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C1F2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140160" w14:textId="67E54EFA" w:rsidR="0039681A" w:rsidRPr="00A36E36" w:rsidRDefault="0039681A" w:rsidP="00351087">
            <w:pPr>
              <w:rPr>
                <w:rFonts w:ascii="Arial Narrow" w:hAnsi="Arial Narrow"/>
                <w:noProof/>
                <w:sz w:val="20"/>
                <w:szCs w:val="20"/>
                <w:lang w:val="en-IE"/>
              </w:rPr>
            </w:pPr>
            <w:r w:rsidRPr="13B300E0">
              <w:rPr>
                <w:rFonts w:ascii="Arial Narrow" w:hAnsi="Arial Narrow"/>
                <w:noProof/>
                <w:color w:val="006100"/>
                <w:sz w:val="20"/>
                <w:szCs w:val="20"/>
                <w:lang w:val="en-IE"/>
              </w:rPr>
              <w:t>Works for the construction of at least one industrial plant for the production of electrolysers or modular stack have been carried out. The total aggregated manufacturing capacity of the plant(s) shall reach at least 890 MW/year.</w:t>
            </w:r>
          </w:p>
        </w:tc>
      </w:tr>
    </w:tbl>
    <w:p w14:paraId="0842A568" w14:textId="77777777" w:rsidR="0039681A" w:rsidRPr="00A36E36" w:rsidRDefault="0039681A" w:rsidP="00351087">
      <w:pPr>
        <w:rPr>
          <w:noProof/>
          <w:lang w:val="en-IE"/>
        </w:rPr>
        <w:sectPr w:rsidR="0039681A" w:rsidRPr="00A36E36" w:rsidSect="0039681A">
          <w:headerReference w:type="even" r:id="rId87"/>
          <w:headerReference w:type="default" r:id="rId88"/>
          <w:footerReference w:type="default" r:id="rId89"/>
          <w:headerReference w:type="first" r:id="rId90"/>
          <w:pgSz w:w="16838" w:h="11906" w:orient="landscape"/>
          <w:pgMar w:top="1134" w:right="1134" w:bottom="1134" w:left="1134" w:header="567" w:footer="567" w:gutter="0"/>
          <w:cols w:space="708"/>
          <w:docGrid w:linePitch="360"/>
        </w:sectPr>
      </w:pPr>
    </w:p>
    <w:p w14:paraId="516C3F68" w14:textId="77777777" w:rsidR="0039681A" w:rsidRPr="00A36E36" w:rsidRDefault="0039681A" w:rsidP="00F118A8">
      <w:pPr>
        <w:pStyle w:val="Heading2"/>
        <w:rPr>
          <w:rFonts w:ascii="Times New Roman" w:hAnsi="Times New Roman" w:cs="Times New Roman"/>
          <w:noProof/>
          <w:sz w:val="24"/>
          <w:szCs w:val="24"/>
          <w:lang w:val="en-IE"/>
        </w:rPr>
      </w:pPr>
      <w:r w:rsidRPr="6FB48115">
        <w:rPr>
          <w:rFonts w:ascii="Times New Roman" w:eastAsia="Times New Roman" w:hAnsi="Times New Roman" w:cs="Times New Roman"/>
          <w:b/>
          <w:bCs/>
          <w:noProof/>
          <w:color w:val="auto"/>
          <w:sz w:val="24"/>
          <w:szCs w:val="24"/>
          <w:lang w:val="en-IE"/>
        </w:rPr>
        <w:t>F. MISSION 2 COMPONENT 3- Energy efficiency and requalification of buildings</w:t>
      </w:r>
    </w:p>
    <w:p w14:paraId="40C96C19"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Energy efficiency is the cornerstone of this component, which is organised across three main pillars. </w:t>
      </w:r>
    </w:p>
    <w:p w14:paraId="0A44C377" w14:textId="77777777" w:rsidR="0039681A" w:rsidRPr="00A36E36" w:rsidRDefault="0039681A" w:rsidP="0039681A">
      <w:pPr>
        <w:numPr>
          <w:ilvl w:val="0"/>
          <w:numId w:val="119"/>
        </w:numPr>
        <w:spacing w:before="120" w:after="120" w:line="240" w:lineRule="auto"/>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The first pillar is the introduction of a temporary incentive for energy and anti-seismic renovation of private real estate, through a tax deduction of the costs incurred for the interventions. The eligible interventions are those which increase the energy performance of the dwelling by at least by two categories of the Energy Certificate, achieving on average an improvement in energy consumption above 30%. </w:t>
      </w:r>
    </w:p>
    <w:p w14:paraId="0B0B718B" w14:textId="77777777" w:rsidR="0039681A" w:rsidRPr="00A36E36" w:rsidRDefault="0039681A" w:rsidP="0039681A">
      <w:pPr>
        <w:numPr>
          <w:ilvl w:val="0"/>
          <w:numId w:val="119"/>
        </w:numPr>
        <w:spacing w:before="120" w:after="120" w:line="240" w:lineRule="auto"/>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The second pillar of this component is the improvement of the efficiency and safety of public schools and judicial citadels.</w:t>
      </w:r>
    </w:p>
    <w:p w14:paraId="510F95A5" w14:textId="77777777" w:rsidR="0039681A" w:rsidRPr="00A36E36" w:rsidRDefault="0039681A" w:rsidP="0039681A">
      <w:pPr>
        <w:numPr>
          <w:ilvl w:val="0"/>
          <w:numId w:val="119"/>
        </w:numPr>
        <w:spacing w:before="120" w:after="120" w:line="240" w:lineRule="auto"/>
        <w:ind w:left="360"/>
        <w:contextualSpacing/>
        <w:jc w:val="both"/>
        <w:rPr>
          <w:rFonts w:ascii="Times New Roman" w:hAnsi="Times New Roman" w:cs="Times New Roman"/>
          <w:noProof/>
          <w:lang w:val="en-IE"/>
        </w:rPr>
      </w:pPr>
      <w:r w:rsidRPr="00A36E36">
        <w:rPr>
          <w:rFonts w:ascii="Times New Roman" w:hAnsi="Times New Roman" w:cs="Times New Roman"/>
          <w:noProof/>
          <w:lang w:val="en-IE"/>
        </w:rPr>
        <w:t xml:space="preserve">The third pillar is aimed at stimulating construction and expansion of efficient district heating networks in urban areas. </w:t>
      </w:r>
    </w:p>
    <w:p w14:paraId="5DECC4F7"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In addition, there are a number of reforms to simplify and accelerate the implementation of projects aimed at improving the energy efficiency of buildings. </w:t>
      </w:r>
    </w:p>
    <w:p w14:paraId="5F4D1264"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component is expected to strongly contribute to the achievement of Italy’s climate and energy targets for 2030 as the civil sector is responsible for almost a half of total energy consumption in Italy. Most buildings were built before the adoption of the criteria for energy saving and the entry into force of the corresponding legislation, and so the needs in terms in terms of energy efficiency and adaptation to seismic risks are significant. </w:t>
      </w:r>
    </w:p>
    <w:p w14:paraId="2AC77E4A"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component addresses part of the 2020 country-specific recommendation 3 by which the Council recommended Italy to take action to ‘Focus investment on the green and digital transition, in particular on […] water management as well as reinforced digital infrastructure to ensure the provision of essential services’. It also addresses parts the 2019 country-specific recommendations 3 (‘Focus investment-related economic policy on the quality of infrastructure, taking into account regional disparities. […] and improve the effectiveness of public administration […] by accelerating digitalisation, and by increasing the efficiency and quality of local public services’).</w:t>
      </w:r>
    </w:p>
    <w:p w14:paraId="4244AF4E"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600615AE" w14:textId="77777777" w:rsidR="0039681A" w:rsidRPr="00A36E36" w:rsidRDefault="0039681A" w:rsidP="0035108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F.1.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647AA5F3" w14:textId="77777777"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2.1: Strengthening of the Ecobonus for energy efficiency</w:t>
      </w:r>
    </w:p>
    <w:p w14:paraId="503D5124"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support the energy renovation of residential buildings. The measure consists in providing support in the form of a tax deduction or, as an alternative to the instrument of tax deduction, in the form of financial instruments (so-called “credit transfer” and “invoice discount”), to specific categories of organisations and households.</w:t>
      </w:r>
    </w:p>
    <w:p w14:paraId="5B5EA133"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Reform 1.1- Simplification and acceleration of procedures for energy efficiency interventions</w:t>
      </w:r>
    </w:p>
    <w:p w14:paraId="585B1A89" w14:textId="77777777" w:rsidR="0039681A" w:rsidRPr="00647572" w:rsidRDefault="0039681A" w:rsidP="00351087">
      <w:pPr>
        <w:spacing w:before="120" w:after="120"/>
        <w:jc w:val="both"/>
        <w:rPr>
          <w:rFonts w:ascii="Times New Roman" w:hAnsi="Times New Roman" w:cs="Times New Roman"/>
          <w:noProof/>
        </w:rPr>
      </w:pPr>
      <w:r w:rsidRPr="00A36E36">
        <w:rPr>
          <w:rFonts w:ascii="Times New Roman" w:hAnsi="Times New Roman" w:cs="Times New Roman"/>
          <w:noProof/>
          <w:lang w:val="en-IE"/>
        </w:rPr>
        <w:t xml:space="preserve">This reform aims to simplify and accelerate the procedures for the implementation of interventions related to energy efficiency. </w:t>
      </w:r>
      <w:r w:rsidRPr="00647572">
        <w:rPr>
          <w:rFonts w:ascii="Times New Roman" w:hAnsi="Times New Roman" w:cs="Times New Roman"/>
          <w:noProof/>
        </w:rPr>
        <w:t>It consists of four major actions:</w:t>
      </w:r>
    </w:p>
    <w:p w14:paraId="3A15E105" w14:textId="77777777" w:rsidR="0039681A" w:rsidRPr="00A36E36" w:rsidRDefault="0039681A" w:rsidP="0039681A">
      <w:pPr>
        <w:numPr>
          <w:ilvl w:val="0"/>
          <w:numId w:val="120"/>
        </w:numPr>
        <w:spacing w:before="120" w:after="120" w:line="240" w:lineRule="auto"/>
        <w:ind w:left="357" w:hanging="357"/>
        <w:contextualSpacing/>
        <w:jc w:val="both"/>
        <w:rPr>
          <w:rFonts w:ascii="Times New Roman" w:hAnsi="Times New Roman" w:cs="Times New Roman"/>
          <w:noProof/>
          <w:lang w:val="en-IE"/>
        </w:rPr>
      </w:pPr>
      <w:r w:rsidRPr="00A36E36">
        <w:rPr>
          <w:rFonts w:ascii="Times New Roman" w:hAnsi="Times New Roman" w:cs="Times New Roman"/>
          <w:b/>
          <w:bCs/>
          <w:noProof/>
          <w:lang w:val="en-IE"/>
        </w:rPr>
        <w:t xml:space="preserve">Launching of the national portal for the energy efficiency of buildings: </w:t>
      </w:r>
      <w:r w:rsidRPr="00A36E36">
        <w:rPr>
          <w:rFonts w:ascii="Times New Roman" w:hAnsi="Times New Roman" w:cs="Times New Roman"/>
          <w:noProof/>
          <w:lang w:val="en-IE"/>
        </w:rPr>
        <w:t xml:space="preserve">The Portal shall support citizens and operators in managing energy efficiency projects and shall be an easy source for accessing information for decision-makers. It shall contain information on the energy performance of the national building stock, which is expected to help firms and citizens in their decisions of improving the energy performance of their property. A one-stop shop shall be set-up to provide assistance and all useful information to citizens and businesses relating to energy mapping of buildings, compliance with sector regulations, evaluation of the potential for efficiency and selection of priorities for action, including redevelopment plans in stages, the selection of the most appropriate promotional tools for the purpose, and the training of professional skills. </w:t>
      </w:r>
    </w:p>
    <w:p w14:paraId="74666231" w14:textId="77777777" w:rsidR="0039681A" w:rsidRPr="00A36E36" w:rsidRDefault="0039681A" w:rsidP="0039681A">
      <w:pPr>
        <w:numPr>
          <w:ilvl w:val="0"/>
          <w:numId w:val="120"/>
        </w:numPr>
        <w:spacing w:before="120" w:after="120" w:line="240" w:lineRule="auto"/>
        <w:ind w:left="357" w:hanging="357"/>
        <w:contextualSpacing/>
        <w:jc w:val="both"/>
        <w:rPr>
          <w:rFonts w:ascii="Times New Roman" w:hAnsi="Times New Roman" w:cs="Times New Roman"/>
          <w:b/>
          <w:noProof/>
          <w:lang w:val="en-IE"/>
        </w:rPr>
      </w:pPr>
      <w:r w:rsidRPr="00A36E36">
        <w:rPr>
          <w:rFonts w:ascii="Times New Roman" w:hAnsi="Times New Roman" w:cs="Times New Roman"/>
          <w:b/>
          <w:noProof/>
          <w:lang w:val="en-IE"/>
        </w:rPr>
        <w:t xml:space="preserve">Strengthening of the activities of the information and training plan aimed at the civil sector - </w:t>
      </w:r>
      <w:r w:rsidRPr="00A36E36">
        <w:rPr>
          <w:rFonts w:ascii="Times New Roman" w:hAnsi="Times New Roman" w:cs="Times New Roman"/>
          <w:noProof/>
          <w:lang w:val="en-IE"/>
        </w:rPr>
        <w:t>The Information and Training Plan shall take into account the need to develop both specific initiatives aimed at filling the information gap of end users in the residential sector, and appropriate training activities on incentives and on the most effective interventions for companies that offer energy services, that carry out interventions and for condominium administrators. The Plan shall be developed taking into account the needs resulting from the Superbonus measure, in order to maximize its effectiveness and lay the foundations for a lasting culture of efficiency in construction.</w:t>
      </w:r>
      <w:r w:rsidRPr="00A36E36">
        <w:rPr>
          <w:rFonts w:ascii="Times New Roman" w:hAnsi="Times New Roman" w:cs="Times New Roman"/>
          <w:b/>
          <w:noProof/>
          <w:lang w:val="en-IE"/>
        </w:rPr>
        <w:t xml:space="preserve"> </w:t>
      </w:r>
    </w:p>
    <w:p w14:paraId="16D1E8CA" w14:textId="77777777" w:rsidR="0039681A" w:rsidRPr="00A36E36" w:rsidRDefault="0039681A" w:rsidP="0039681A">
      <w:pPr>
        <w:numPr>
          <w:ilvl w:val="0"/>
          <w:numId w:val="120"/>
        </w:numPr>
        <w:spacing w:before="120" w:after="120" w:line="240" w:lineRule="auto"/>
        <w:ind w:left="357" w:hanging="357"/>
        <w:contextualSpacing/>
        <w:jc w:val="both"/>
        <w:rPr>
          <w:rFonts w:ascii="Times New Roman" w:hAnsi="Times New Roman" w:cs="Times New Roman"/>
          <w:noProof/>
          <w:lang w:val="en-IE"/>
        </w:rPr>
      </w:pPr>
      <w:r w:rsidRPr="00A36E36">
        <w:rPr>
          <w:rFonts w:ascii="Times New Roman" w:hAnsi="Times New Roman" w:cs="Times New Roman"/>
          <w:b/>
          <w:noProof/>
          <w:lang w:val="en-IE"/>
        </w:rPr>
        <w:t xml:space="preserve">Updating and strengthening of the National Fund for energy efficiency: </w:t>
      </w:r>
      <w:r w:rsidRPr="00A36E36">
        <w:rPr>
          <w:rFonts w:ascii="Times New Roman" w:hAnsi="Times New Roman" w:cs="Times New Roman"/>
          <w:noProof/>
          <w:lang w:val="en-IE"/>
        </w:rPr>
        <w:t xml:space="preserve">With the revision of the regulations for the establishment and management of the National Energy Efficiency Fund (Article 15 of Legislative Decree 102/2014, and Interministerial Decree of December 22, 2017) amendments shall enter into force to foster the enhancement and greater use of available resources. </w:t>
      </w:r>
    </w:p>
    <w:p w14:paraId="0DDC51F2" w14:textId="77777777" w:rsidR="0039681A" w:rsidRPr="00A36E36" w:rsidRDefault="0039681A" w:rsidP="0039681A">
      <w:pPr>
        <w:numPr>
          <w:ilvl w:val="0"/>
          <w:numId w:val="120"/>
        </w:numPr>
        <w:spacing w:before="120" w:after="120" w:line="240" w:lineRule="auto"/>
        <w:ind w:left="357" w:hanging="357"/>
        <w:contextualSpacing/>
        <w:jc w:val="both"/>
        <w:rPr>
          <w:rFonts w:ascii="Times New Roman" w:hAnsi="Times New Roman" w:cs="Times New Roman"/>
          <w:noProof/>
          <w:lang w:val="en-IE"/>
        </w:rPr>
      </w:pPr>
      <w:r w:rsidRPr="00A36E36">
        <w:rPr>
          <w:rFonts w:ascii="Times New Roman" w:hAnsi="Times New Roman" w:cs="Times New Roman"/>
          <w:b/>
          <w:noProof/>
          <w:lang w:val="en-IE"/>
        </w:rPr>
        <w:t xml:space="preserve">Accelerating the implementation phase of projects financed by the Central Public Redevelopment Programme EPAC program: </w:t>
      </w:r>
      <w:r w:rsidRPr="00A36E36">
        <w:rPr>
          <w:rFonts w:ascii="Times New Roman" w:hAnsi="Times New Roman" w:cs="Times New Roman"/>
          <w:noProof/>
          <w:lang w:val="en-IE"/>
        </w:rPr>
        <w:t>A regulatory review shall be carried out aimed at promoting a more efficient management of resources specifically allocated to the Building Requalification Programme of the Central Public Administration (PREPAC).</w:t>
      </w:r>
    </w:p>
    <w:p w14:paraId="58406C1B" w14:textId="77777777" w:rsidR="0039681A" w:rsidRPr="00A36E36" w:rsidRDefault="0039681A" w:rsidP="0039681A">
      <w:pPr>
        <w:numPr>
          <w:ilvl w:val="0"/>
          <w:numId w:val="120"/>
        </w:numPr>
        <w:spacing w:before="120" w:after="120" w:line="240" w:lineRule="auto"/>
        <w:ind w:left="357" w:hanging="357"/>
        <w:contextualSpacing/>
        <w:jc w:val="both"/>
        <w:rPr>
          <w:rFonts w:ascii="Times New Roman" w:hAnsi="Times New Roman" w:cs="Times New Roman"/>
          <w:noProof/>
          <w:lang w:val="en-IE"/>
        </w:rPr>
        <w:sectPr w:rsidR="0039681A" w:rsidRPr="00A36E36" w:rsidSect="00AF5341">
          <w:headerReference w:type="even" r:id="rId91"/>
          <w:headerReference w:type="default" r:id="rId92"/>
          <w:footerReference w:type="default" r:id="rId93"/>
          <w:headerReference w:type="first" r:id="rId94"/>
          <w:pgSz w:w="11906" w:h="16838"/>
          <w:pgMar w:top="1440" w:right="1440" w:bottom="1440" w:left="1440" w:header="708" w:footer="708" w:gutter="0"/>
          <w:cols w:space="708"/>
          <w:docGrid w:linePitch="360"/>
        </w:sectPr>
      </w:pPr>
    </w:p>
    <w:p w14:paraId="3A8034AE" w14:textId="77777777" w:rsidR="0039681A" w:rsidRPr="00A36E36" w:rsidRDefault="0039681A" w:rsidP="0035108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F.2. </w:t>
      </w:r>
      <w:r w:rsidRPr="00A36E36">
        <w:rPr>
          <w:rFonts w:ascii="Times New Roman" w:hAnsi="Times New Roman" w:cs="Times New Roman"/>
          <w:b/>
          <w:noProof/>
          <w:sz w:val="24"/>
          <w:szCs w:val="24"/>
          <w:u w:val="single"/>
          <w:lang w:val="en-IE"/>
        </w:rPr>
        <w:tab/>
        <w:t>Milestones, targets, indicators, and timetable for monitoring and implementation for non-repayable financial support</w:t>
      </w: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3"/>
        <w:gridCol w:w="1574"/>
        <w:gridCol w:w="1133"/>
        <w:gridCol w:w="1843"/>
        <w:gridCol w:w="1560"/>
        <w:gridCol w:w="1256"/>
        <w:gridCol w:w="871"/>
        <w:gridCol w:w="989"/>
        <w:gridCol w:w="994"/>
        <w:gridCol w:w="710"/>
        <w:gridCol w:w="3902"/>
      </w:tblGrid>
      <w:tr w:rsidR="0039681A" w:rsidRPr="0070054C" w14:paraId="2847A84D" w14:textId="77777777" w:rsidTr="00351087">
        <w:trPr>
          <w:cantSplit/>
          <w:trHeight w:val="300"/>
          <w:tblHeader/>
          <w:jc w:val="center"/>
        </w:trPr>
        <w:tc>
          <w:tcPr>
            <w:tcW w:w="1123" w:type="dxa"/>
            <w:vMerge w:val="restart"/>
            <w:shd w:val="clear" w:color="auto" w:fill="BBD2EA"/>
            <w:vAlign w:val="center"/>
          </w:tcPr>
          <w:p w14:paraId="1FFD9671" w14:textId="77777777" w:rsidR="0039681A" w:rsidRPr="00647572" w:rsidRDefault="0039681A" w:rsidP="00351087">
            <w:pPr>
              <w:pStyle w:val="Other10"/>
              <w:jc w:val="center"/>
              <w:rPr>
                <w:rFonts w:ascii="Arial Narrow" w:hAnsi="Arial Narrow" w:cs="Arial"/>
                <w:noProof/>
                <w:sz w:val="20"/>
                <w:szCs w:val="20"/>
              </w:rPr>
            </w:pPr>
            <w:bookmarkStart w:id="18" w:name="_Hlk132960760"/>
            <w:r w:rsidRPr="00647572">
              <w:rPr>
                <w:rStyle w:val="Other1"/>
                <w:rFonts w:ascii="Arial Narrow" w:hAnsi="Arial Narrow" w:cs="Arial"/>
                <w:b/>
                <w:bCs/>
                <w:noProof/>
                <w:color w:val="000000" w:themeColor="text1"/>
                <w:sz w:val="20"/>
                <w:szCs w:val="20"/>
              </w:rPr>
              <w:t>Sequential Number</w:t>
            </w:r>
          </w:p>
        </w:tc>
        <w:tc>
          <w:tcPr>
            <w:tcW w:w="1574" w:type="dxa"/>
            <w:vMerge w:val="restart"/>
            <w:shd w:val="clear" w:color="auto" w:fill="BBD2EA"/>
            <w:vAlign w:val="center"/>
          </w:tcPr>
          <w:p w14:paraId="5E812758" w14:textId="77777777" w:rsidR="0039681A" w:rsidRPr="007473DA" w:rsidRDefault="0039681A" w:rsidP="00351087">
            <w:pPr>
              <w:pStyle w:val="Other10"/>
              <w:jc w:val="center"/>
              <w:rPr>
                <w:rFonts w:ascii="Arial Narrow" w:hAnsi="Arial Narrow" w:cs="Arial"/>
                <w:noProof/>
                <w:sz w:val="20"/>
                <w:szCs w:val="20"/>
                <w:lang w:val="en-IE"/>
              </w:rPr>
            </w:pPr>
            <w:r w:rsidRPr="007473DA">
              <w:rPr>
                <w:rStyle w:val="Other1"/>
                <w:rFonts w:ascii="Arial Narrow" w:hAnsi="Arial Narrow" w:cs="Arial"/>
                <w:b/>
                <w:bCs/>
                <w:noProof/>
                <w:color w:val="000000" w:themeColor="text1"/>
                <w:sz w:val="20"/>
                <w:szCs w:val="20"/>
                <w:lang w:val="en-IE"/>
              </w:rPr>
              <w:t>Related</w:t>
            </w:r>
          </w:p>
          <w:p w14:paraId="1BCF40F3" w14:textId="77777777" w:rsidR="0039681A" w:rsidRPr="007473DA" w:rsidRDefault="0039681A" w:rsidP="00351087">
            <w:pPr>
              <w:pStyle w:val="Other10"/>
              <w:jc w:val="center"/>
              <w:rPr>
                <w:rFonts w:ascii="Arial Narrow" w:hAnsi="Arial Narrow" w:cs="Arial"/>
                <w:noProof/>
                <w:sz w:val="20"/>
                <w:szCs w:val="20"/>
                <w:lang w:val="en-IE"/>
              </w:rPr>
            </w:pPr>
            <w:r w:rsidRPr="007473DA">
              <w:rPr>
                <w:rStyle w:val="Other1"/>
                <w:rFonts w:ascii="Arial Narrow" w:hAnsi="Arial Narrow" w:cs="Arial"/>
                <w:b/>
                <w:bCs/>
                <w:noProof/>
                <w:color w:val="000000" w:themeColor="text1"/>
                <w:sz w:val="20"/>
                <w:szCs w:val="20"/>
                <w:lang w:val="en-IE"/>
              </w:rPr>
              <w:t>Measure (Reform or Investment)</w:t>
            </w:r>
          </w:p>
        </w:tc>
        <w:tc>
          <w:tcPr>
            <w:tcW w:w="1133" w:type="dxa"/>
            <w:vMerge w:val="restart"/>
            <w:shd w:val="clear" w:color="auto" w:fill="BBD2EA"/>
            <w:vAlign w:val="center"/>
          </w:tcPr>
          <w:p w14:paraId="78FB65EB"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Milestone / Target</w:t>
            </w:r>
          </w:p>
        </w:tc>
        <w:tc>
          <w:tcPr>
            <w:tcW w:w="1843" w:type="dxa"/>
            <w:vMerge w:val="restart"/>
            <w:shd w:val="clear" w:color="auto" w:fill="BBD2EA"/>
            <w:vAlign w:val="center"/>
          </w:tcPr>
          <w:p w14:paraId="5F81D8B0"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Name</w:t>
            </w:r>
          </w:p>
        </w:tc>
        <w:tc>
          <w:tcPr>
            <w:tcW w:w="1560" w:type="dxa"/>
            <w:vMerge w:val="restart"/>
            <w:shd w:val="clear" w:color="auto" w:fill="BBD2EA"/>
            <w:vAlign w:val="center"/>
          </w:tcPr>
          <w:p w14:paraId="1362BC92"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Qualitative indicators (for milestones)</w:t>
            </w:r>
          </w:p>
        </w:tc>
        <w:tc>
          <w:tcPr>
            <w:tcW w:w="3116" w:type="dxa"/>
            <w:gridSpan w:val="3"/>
            <w:shd w:val="clear" w:color="auto" w:fill="BBD2EA"/>
            <w:vAlign w:val="center"/>
          </w:tcPr>
          <w:p w14:paraId="4DE8DE57"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Quantitative indicators (for targets)</w:t>
            </w:r>
          </w:p>
        </w:tc>
        <w:tc>
          <w:tcPr>
            <w:tcW w:w="1704" w:type="dxa"/>
            <w:gridSpan w:val="2"/>
            <w:shd w:val="clear" w:color="auto" w:fill="BBD2EA"/>
            <w:vAlign w:val="center"/>
          </w:tcPr>
          <w:p w14:paraId="79A69D5F"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Indicative timeline for completion</w:t>
            </w:r>
          </w:p>
        </w:tc>
        <w:tc>
          <w:tcPr>
            <w:tcW w:w="3902" w:type="dxa"/>
            <w:vMerge w:val="restart"/>
            <w:shd w:val="clear" w:color="auto" w:fill="BBD2EA"/>
            <w:vAlign w:val="center"/>
          </w:tcPr>
          <w:p w14:paraId="07F049B0" w14:textId="77777777" w:rsidR="0039681A" w:rsidRPr="007473DA" w:rsidRDefault="0039681A" w:rsidP="00351087">
            <w:pPr>
              <w:pStyle w:val="Other10"/>
              <w:ind w:firstLine="220"/>
              <w:jc w:val="center"/>
              <w:rPr>
                <w:rFonts w:ascii="Arial Narrow" w:hAnsi="Arial Narrow" w:cs="Arial"/>
                <w:noProof/>
                <w:sz w:val="20"/>
                <w:szCs w:val="20"/>
                <w:lang w:val="en-IE"/>
              </w:rPr>
            </w:pPr>
            <w:r w:rsidRPr="007473DA">
              <w:rPr>
                <w:rStyle w:val="Other1"/>
                <w:rFonts w:ascii="Arial Narrow" w:hAnsi="Arial Narrow" w:cs="Arial"/>
                <w:b/>
                <w:bCs/>
                <w:noProof/>
                <w:color w:val="000000" w:themeColor="text1"/>
                <w:sz w:val="20"/>
                <w:szCs w:val="20"/>
                <w:lang w:val="en-IE"/>
              </w:rPr>
              <w:t>Description of each milestone and target</w:t>
            </w:r>
          </w:p>
        </w:tc>
      </w:tr>
      <w:tr w:rsidR="0039681A" w:rsidRPr="00647572" w14:paraId="5B4C9F55" w14:textId="77777777" w:rsidTr="00351087">
        <w:trPr>
          <w:cantSplit/>
          <w:trHeight w:val="300"/>
          <w:tblHeader/>
          <w:jc w:val="center"/>
        </w:trPr>
        <w:tc>
          <w:tcPr>
            <w:tcW w:w="1123" w:type="dxa"/>
            <w:vMerge/>
            <w:vAlign w:val="center"/>
          </w:tcPr>
          <w:p w14:paraId="601050C3" w14:textId="77777777" w:rsidR="0039681A" w:rsidRPr="00A36E36" w:rsidRDefault="0039681A" w:rsidP="00351087">
            <w:pPr>
              <w:jc w:val="center"/>
              <w:rPr>
                <w:rFonts w:ascii="Arial Narrow" w:hAnsi="Arial Narrow" w:cs="Arial"/>
                <w:noProof/>
                <w:sz w:val="20"/>
                <w:szCs w:val="20"/>
                <w:lang w:val="en-IE"/>
              </w:rPr>
            </w:pPr>
          </w:p>
        </w:tc>
        <w:tc>
          <w:tcPr>
            <w:tcW w:w="1574" w:type="dxa"/>
            <w:vMerge/>
            <w:vAlign w:val="center"/>
          </w:tcPr>
          <w:p w14:paraId="6CF72AEB" w14:textId="77777777" w:rsidR="0039681A" w:rsidRPr="00A36E36" w:rsidRDefault="0039681A" w:rsidP="00351087">
            <w:pPr>
              <w:jc w:val="center"/>
              <w:rPr>
                <w:rFonts w:ascii="Arial Narrow" w:hAnsi="Arial Narrow" w:cs="Arial"/>
                <w:noProof/>
                <w:sz w:val="20"/>
                <w:szCs w:val="20"/>
                <w:lang w:val="en-IE"/>
              </w:rPr>
            </w:pPr>
          </w:p>
        </w:tc>
        <w:tc>
          <w:tcPr>
            <w:tcW w:w="1133" w:type="dxa"/>
            <w:vMerge/>
            <w:vAlign w:val="center"/>
          </w:tcPr>
          <w:p w14:paraId="613670A8" w14:textId="77777777" w:rsidR="0039681A" w:rsidRPr="00A36E36" w:rsidRDefault="0039681A" w:rsidP="00351087">
            <w:pPr>
              <w:jc w:val="center"/>
              <w:rPr>
                <w:rFonts w:ascii="Arial Narrow" w:hAnsi="Arial Narrow" w:cs="Arial"/>
                <w:noProof/>
                <w:sz w:val="20"/>
                <w:szCs w:val="20"/>
                <w:lang w:val="en-IE"/>
              </w:rPr>
            </w:pPr>
          </w:p>
        </w:tc>
        <w:tc>
          <w:tcPr>
            <w:tcW w:w="1843" w:type="dxa"/>
            <w:vMerge/>
            <w:vAlign w:val="center"/>
          </w:tcPr>
          <w:p w14:paraId="008CBD78" w14:textId="77777777" w:rsidR="0039681A" w:rsidRPr="00A36E36" w:rsidRDefault="0039681A" w:rsidP="00351087">
            <w:pPr>
              <w:jc w:val="center"/>
              <w:rPr>
                <w:rFonts w:ascii="Arial Narrow" w:hAnsi="Arial Narrow" w:cs="Arial"/>
                <w:noProof/>
                <w:sz w:val="20"/>
                <w:szCs w:val="20"/>
                <w:lang w:val="en-IE"/>
              </w:rPr>
            </w:pPr>
          </w:p>
        </w:tc>
        <w:tc>
          <w:tcPr>
            <w:tcW w:w="1560" w:type="dxa"/>
            <w:vMerge/>
            <w:vAlign w:val="center"/>
          </w:tcPr>
          <w:p w14:paraId="324D4F4E" w14:textId="77777777" w:rsidR="0039681A" w:rsidRPr="00A36E36" w:rsidRDefault="0039681A" w:rsidP="00351087">
            <w:pPr>
              <w:jc w:val="center"/>
              <w:rPr>
                <w:rFonts w:ascii="Arial Narrow" w:hAnsi="Arial Narrow" w:cs="Arial"/>
                <w:noProof/>
                <w:sz w:val="20"/>
                <w:szCs w:val="20"/>
                <w:lang w:val="en-IE"/>
              </w:rPr>
            </w:pPr>
          </w:p>
        </w:tc>
        <w:tc>
          <w:tcPr>
            <w:tcW w:w="1256" w:type="dxa"/>
            <w:shd w:val="clear" w:color="auto" w:fill="BBD2EA"/>
            <w:vAlign w:val="center"/>
          </w:tcPr>
          <w:p w14:paraId="5AE82B58"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Unit of measure</w:t>
            </w:r>
          </w:p>
        </w:tc>
        <w:tc>
          <w:tcPr>
            <w:tcW w:w="871" w:type="dxa"/>
            <w:shd w:val="clear" w:color="auto" w:fill="BBD2EA"/>
            <w:vAlign w:val="center"/>
          </w:tcPr>
          <w:p w14:paraId="17D3A34E"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Baseline</w:t>
            </w:r>
          </w:p>
        </w:tc>
        <w:tc>
          <w:tcPr>
            <w:tcW w:w="989" w:type="dxa"/>
            <w:shd w:val="clear" w:color="auto" w:fill="BBD2EA"/>
            <w:vAlign w:val="center"/>
          </w:tcPr>
          <w:p w14:paraId="2D2C9857" w14:textId="77777777" w:rsidR="0039681A" w:rsidRPr="00647572" w:rsidRDefault="0039681A" w:rsidP="00351087">
            <w:pPr>
              <w:pStyle w:val="Other10"/>
              <w:ind w:firstLine="28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Goal</w:t>
            </w:r>
          </w:p>
        </w:tc>
        <w:tc>
          <w:tcPr>
            <w:tcW w:w="994" w:type="dxa"/>
            <w:shd w:val="clear" w:color="auto" w:fill="BBD2EA"/>
            <w:vAlign w:val="center"/>
          </w:tcPr>
          <w:p w14:paraId="22DD1381"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Quarter</w:t>
            </w:r>
          </w:p>
        </w:tc>
        <w:tc>
          <w:tcPr>
            <w:tcW w:w="710" w:type="dxa"/>
            <w:shd w:val="clear" w:color="auto" w:fill="BBD2EA"/>
            <w:vAlign w:val="center"/>
          </w:tcPr>
          <w:p w14:paraId="164203CC"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Year</w:t>
            </w:r>
          </w:p>
        </w:tc>
        <w:tc>
          <w:tcPr>
            <w:tcW w:w="3902" w:type="dxa"/>
            <w:vMerge/>
            <w:vAlign w:val="center"/>
          </w:tcPr>
          <w:p w14:paraId="7D986AF8" w14:textId="77777777" w:rsidR="0039681A" w:rsidRPr="00647572" w:rsidRDefault="0039681A" w:rsidP="00351087">
            <w:pPr>
              <w:jc w:val="center"/>
              <w:rPr>
                <w:rFonts w:ascii="Arial Narrow" w:hAnsi="Arial Narrow" w:cs="Arial"/>
                <w:noProof/>
                <w:sz w:val="20"/>
                <w:szCs w:val="20"/>
              </w:rPr>
            </w:pPr>
          </w:p>
        </w:tc>
      </w:tr>
      <w:tr w:rsidR="0039681A" w:rsidRPr="0070054C" w14:paraId="6D08AA97" w14:textId="77777777" w:rsidTr="00351087">
        <w:trPr>
          <w:cantSplit/>
          <w:trHeight w:val="300"/>
          <w:jc w:val="center"/>
        </w:trPr>
        <w:tc>
          <w:tcPr>
            <w:tcW w:w="1123" w:type="dxa"/>
            <w:shd w:val="clear" w:color="auto" w:fill="C6EFCD"/>
            <w:vAlign w:val="center"/>
          </w:tcPr>
          <w:p w14:paraId="258967CE"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M2C3-1</w:t>
            </w:r>
          </w:p>
        </w:tc>
        <w:tc>
          <w:tcPr>
            <w:tcW w:w="1574" w:type="dxa"/>
            <w:shd w:val="clear" w:color="auto" w:fill="C6EFCD"/>
            <w:vAlign w:val="center"/>
          </w:tcPr>
          <w:p w14:paraId="23602134"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Investment 2.1- Strengthening of the Ecobonus for energy efficiency</w:t>
            </w:r>
          </w:p>
        </w:tc>
        <w:tc>
          <w:tcPr>
            <w:tcW w:w="1133" w:type="dxa"/>
            <w:shd w:val="clear" w:color="auto" w:fill="C6EFCD"/>
            <w:vAlign w:val="center"/>
          </w:tcPr>
          <w:p w14:paraId="39E699CA" w14:textId="77777777" w:rsidR="0039681A" w:rsidRPr="00647572" w:rsidRDefault="0039681A" w:rsidP="00351087">
            <w:pPr>
              <w:pStyle w:val="Other10"/>
              <w:jc w:val="center"/>
              <w:rPr>
                <w:rStyle w:val="Other1"/>
                <w:rFonts w:ascii="Arial Narrow" w:hAnsi="Arial Narrow" w:cs="Arial"/>
                <w:noProof/>
                <w:sz w:val="20"/>
                <w:szCs w:val="20"/>
              </w:rPr>
            </w:pPr>
            <w:r w:rsidRPr="00647572">
              <w:rPr>
                <w:rFonts w:ascii="Arial Narrow" w:hAnsi="Arial Narrow"/>
                <w:noProof/>
                <w:sz w:val="20"/>
                <w:szCs w:val="20"/>
              </w:rPr>
              <w:t>Milestone</w:t>
            </w:r>
          </w:p>
        </w:tc>
        <w:tc>
          <w:tcPr>
            <w:tcW w:w="1843" w:type="dxa"/>
            <w:shd w:val="clear" w:color="auto" w:fill="C6EFCD"/>
            <w:vAlign w:val="center"/>
          </w:tcPr>
          <w:p w14:paraId="5EA6A250"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Entry into force of the extension of the Superbonus</w:t>
            </w:r>
          </w:p>
        </w:tc>
        <w:tc>
          <w:tcPr>
            <w:tcW w:w="1560" w:type="dxa"/>
            <w:shd w:val="clear" w:color="auto" w:fill="C6EFCD"/>
            <w:vAlign w:val="center"/>
          </w:tcPr>
          <w:p w14:paraId="39ADBF4A"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Provision in the legal act(s) indicating the entry into force</w:t>
            </w:r>
          </w:p>
        </w:tc>
        <w:tc>
          <w:tcPr>
            <w:tcW w:w="1256" w:type="dxa"/>
            <w:shd w:val="clear" w:color="auto" w:fill="C6EFCD"/>
            <w:vAlign w:val="center"/>
          </w:tcPr>
          <w:p w14:paraId="599046C2"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N/A</w:t>
            </w:r>
          </w:p>
        </w:tc>
        <w:tc>
          <w:tcPr>
            <w:tcW w:w="871" w:type="dxa"/>
            <w:shd w:val="clear" w:color="auto" w:fill="C6EFCD"/>
            <w:vAlign w:val="center"/>
          </w:tcPr>
          <w:p w14:paraId="0EF76841"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89" w:type="dxa"/>
            <w:shd w:val="clear" w:color="auto" w:fill="C6EFCD"/>
            <w:vAlign w:val="center"/>
          </w:tcPr>
          <w:p w14:paraId="44674F0B"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94" w:type="dxa"/>
            <w:shd w:val="clear" w:color="auto" w:fill="C6EFCD"/>
            <w:vAlign w:val="center"/>
          </w:tcPr>
          <w:p w14:paraId="4A503322"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Q4</w:t>
            </w:r>
          </w:p>
        </w:tc>
        <w:tc>
          <w:tcPr>
            <w:tcW w:w="710" w:type="dxa"/>
            <w:shd w:val="clear" w:color="auto" w:fill="C6EFCD"/>
            <w:vAlign w:val="center"/>
          </w:tcPr>
          <w:p w14:paraId="01C68CE7"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2021</w:t>
            </w:r>
          </w:p>
        </w:tc>
        <w:tc>
          <w:tcPr>
            <w:tcW w:w="3902" w:type="dxa"/>
            <w:shd w:val="clear" w:color="auto" w:fill="C6EFCD"/>
          </w:tcPr>
          <w:p w14:paraId="39181C76" w14:textId="77777777" w:rsidR="0039681A" w:rsidRPr="007473DA" w:rsidRDefault="0039681A" w:rsidP="00351087">
            <w:pPr>
              <w:pStyle w:val="Other10"/>
              <w:rPr>
                <w:rFonts w:ascii="Arial Narrow" w:hAnsi="Arial Narrow" w:cs="Arial"/>
                <w:noProof/>
                <w:sz w:val="20"/>
                <w:szCs w:val="20"/>
                <w:lang w:val="en-IE"/>
              </w:rPr>
            </w:pPr>
            <w:r w:rsidRPr="007473DA">
              <w:rPr>
                <w:rFonts w:ascii="Arial Narrow" w:hAnsi="Arial Narrow"/>
                <w:noProof/>
                <w:sz w:val="20"/>
                <w:szCs w:val="20"/>
                <w:lang w:val="en-IE"/>
              </w:rPr>
              <w:t>The legal act(s) shall extend the Ecobonus and ismabonus benefits until 31 December 2022 for condominiums and 30 June 2023 for social housing (IACP).</w:t>
            </w:r>
          </w:p>
        </w:tc>
      </w:tr>
      <w:tr w:rsidR="0039681A" w:rsidRPr="0070054C" w14:paraId="1077AC6C" w14:textId="77777777" w:rsidTr="00351087">
        <w:trPr>
          <w:cantSplit/>
          <w:trHeight w:val="300"/>
          <w:jc w:val="center"/>
        </w:trPr>
        <w:tc>
          <w:tcPr>
            <w:tcW w:w="1123" w:type="dxa"/>
            <w:shd w:val="clear" w:color="auto" w:fill="C6EFCD"/>
            <w:vAlign w:val="center"/>
          </w:tcPr>
          <w:p w14:paraId="00855DE4"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M2C3-2</w:t>
            </w:r>
          </w:p>
        </w:tc>
        <w:tc>
          <w:tcPr>
            <w:tcW w:w="1574" w:type="dxa"/>
            <w:shd w:val="clear" w:color="auto" w:fill="C6EFCD"/>
            <w:vAlign w:val="center"/>
          </w:tcPr>
          <w:p w14:paraId="176FB132"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Investment 2.1- Strengthening of the Ecobonus for energy efficiency</w:t>
            </w:r>
          </w:p>
        </w:tc>
        <w:tc>
          <w:tcPr>
            <w:tcW w:w="1133" w:type="dxa"/>
            <w:shd w:val="clear" w:color="auto" w:fill="C6EFCD"/>
            <w:vAlign w:val="center"/>
          </w:tcPr>
          <w:p w14:paraId="32ED9BF0"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Target</w:t>
            </w:r>
          </w:p>
        </w:tc>
        <w:tc>
          <w:tcPr>
            <w:tcW w:w="1843" w:type="dxa"/>
            <w:shd w:val="clear" w:color="auto" w:fill="C6EFCD"/>
            <w:vAlign w:val="center"/>
          </w:tcPr>
          <w:p w14:paraId="6084242F" w14:textId="77777777" w:rsidR="0039681A" w:rsidRPr="00647572" w:rsidRDefault="0039681A" w:rsidP="00351087">
            <w:pPr>
              <w:pStyle w:val="Other10"/>
              <w:jc w:val="center"/>
              <w:rPr>
                <w:rStyle w:val="Other1"/>
                <w:rFonts w:ascii="Arial Narrow" w:hAnsi="Arial Narrow" w:cs="Arial"/>
                <w:noProof/>
                <w:sz w:val="20"/>
                <w:szCs w:val="20"/>
              </w:rPr>
            </w:pPr>
            <w:r w:rsidRPr="00647572">
              <w:rPr>
                <w:rFonts w:ascii="Arial Narrow" w:hAnsi="Arial Narrow"/>
                <w:noProof/>
                <w:sz w:val="20"/>
                <w:szCs w:val="20"/>
              </w:rPr>
              <w:t>Building renovation Superbonus T1</w:t>
            </w:r>
          </w:p>
        </w:tc>
        <w:tc>
          <w:tcPr>
            <w:tcW w:w="1560" w:type="dxa"/>
            <w:shd w:val="clear" w:color="auto" w:fill="C6EFCD"/>
            <w:vAlign w:val="center"/>
          </w:tcPr>
          <w:p w14:paraId="486D0709"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N/A</w:t>
            </w:r>
          </w:p>
        </w:tc>
        <w:tc>
          <w:tcPr>
            <w:tcW w:w="1256" w:type="dxa"/>
            <w:shd w:val="clear" w:color="auto" w:fill="C6EFCD"/>
            <w:vAlign w:val="center"/>
          </w:tcPr>
          <w:p w14:paraId="19B3D244"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Number</w:t>
            </w:r>
          </w:p>
        </w:tc>
        <w:tc>
          <w:tcPr>
            <w:tcW w:w="871" w:type="dxa"/>
            <w:shd w:val="clear" w:color="auto" w:fill="C6EFCD"/>
            <w:vAlign w:val="center"/>
          </w:tcPr>
          <w:p w14:paraId="2296470F"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0</w:t>
            </w:r>
          </w:p>
        </w:tc>
        <w:tc>
          <w:tcPr>
            <w:tcW w:w="989" w:type="dxa"/>
            <w:shd w:val="clear" w:color="auto" w:fill="C6EFCD"/>
            <w:vAlign w:val="center"/>
          </w:tcPr>
          <w:p w14:paraId="7A30C172"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17 000 000</w:t>
            </w:r>
          </w:p>
        </w:tc>
        <w:tc>
          <w:tcPr>
            <w:tcW w:w="994" w:type="dxa"/>
            <w:shd w:val="clear" w:color="auto" w:fill="C6EFCD"/>
            <w:vAlign w:val="center"/>
          </w:tcPr>
          <w:p w14:paraId="3B7A18B1"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Q2</w:t>
            </w:r>
          </w:p>
        </w:tc>
        <w:tc>
          <w:tcPr>
            <w:tcW w:w="710" w:type="dxa"/>
            <w:shd w:val="clear" w:color="auto" w:fill="C6EFCD"/>
            <w:vAlign w:val="center"/>
          </w:tcPr>
          <w:p w14:paraId="561215E4"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2023</w:t>
            </w:r>
          </w:p>
        </w:tc>
        <w:tc>
          <w:tcPr>
            <w:tcW w:w="3902" w:type="dxa"/>
            <w:shd w:val="clear" w:color="auto" w:fill="C6EFCD"/>
          </w:tcPr>
          <w:p w14:paraId="0EDEB2A2" w14:textId="77777777" w:rsidR="0039681A" w:rsidRPr="007473DA" w:rsidRDefault="0039681A" w:rsidP="00351087">
            <w:pPr>
              <w:pStyle w:val="Other10"/>
              <w:rPr>
                <w:rFonts w:ascii="Arial Narrow" w:hAnsi="Arial Narrow" w:cs="Arial"/>
                <w:noProof/>
                <w:sz w:val="20"/>
                <w:szCs w:val="20"/>
                <w:lang w:val="en-IE"/>
              </w:rPr>
            </w:pPr>
            <w:r w:rsidRPr="007473DA">
              <w:rPr>
                <w:rFonts w:ascii="Arial Narrow" w:hAnsi="Arial Narrow"/>
                <w:noProof/>
                <w:sz w:val="20"/>
                <w:szCs w:val="20"/>
                <w:lang w:val="en-IE"/>
              </w:rPr>
              <w:t>Complete building renovation for, (at least 17 000 000 square meters which result in primary energy savings of at least 40% and increasing at least two categories in the energy efficiency certificate.</w:t>
            </w:r>
          </w:p>
        </w:tc>
      </w:tr>
      <w:tr w:rsidR="0039681A" w:rsidRPr="0070054C" w14:paraId="20CA2B08" w14:textId="77777777" w:rsidTr="00351087">
        <w:trPr>
          <w:cantSplit/>
          <w:trHeight w:val="300"/>
          <w:jc w:val="center"/>
        </w:trPr>
        <w:tc>
          <w:tcPr>
            <w:tcW w:w="1123" w:type="dxa"/>
            <w:shd w:val="clear" w:color="auto" w:fill="C6EFCD"/>
            <w:vAlign w:val="center"/>
          </w:tcPr>
          <w:p w14:paraId="5A1E6E38"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M2C3-3</w:t>
            </w:r>
          </w:p>
        </w:tc>
        <w:tc>
          <w:tcPr>
            <w:tcW w:w="1574" w:type="dxa"/>
            <w:shd w:val="clear" w:color="auto" w:fill="C6EFCD"/>
            <w:vAlign w:val="center"/>
          </w:tcPr>
          <w:p w14:paraId="5C774304"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Investment 2.1- Strengthening of the Ecobonus for energy efficiency</w:t>
            </w:r>
          </w:p>
        </w:tc>
        <w:tc>
          <w:tcPr>
            <w:tcW w:w="1133" w:type="dxa"/>
            <w:shd w:val="clear" w:color="auto" w:fill="C6EFCD"/>
            <w:vAlign w:val="center"/>
          </w:tcPr>
          <w:p w14:paraId="6652E723"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Target</w:t>
            </w:r>
          </w:p>
        </w:tc>
        <w:tc>
          <w:tcPr>
            <w:tcW w:w="1843" w:type="dxa"/>
            <w:shd w:val="clear" w:color="auto" w:fill="C6EFCD"/>
            <w:vAlign w:val="center"/>
          </w:tcPr>
          <w:p w14:paraId="157A1F21" w14:textId="77777777" w:rsidR="0039681A" w:rsidRPr="00647572" w:rsidRDefault="0039681A" w:rsidP="00351087">
            <w:pPr>
              <w:pStyle w:val="Other10"/>
              <w:jc w:val="center"/>
              <w:rPr>
                <w:rStyle w:val="Other1"/>
                <w:rFonts w:ascii="Arial Narrow" w:hAnsi="Arial Narrow" w:cs="Arial"/>
                <w:noProof/>
                <w:sz w:val="20"/>
                <w:szCs w:val="20"/>
              </w:rPr>
            </w:pPr>
            <w:r w:rsidRPr="00647572">
              <w:rPr>
                <w:rFonts w:ascii="Arial Narrow" w:hAnsi="Arial Narrow"/>
                <w:noProof/>
                <w:sz w:val="20"/>
                <w:szCs w:val="20"/>
              </w:rPr>
              <w:t>Building renovation Superbonus T2</w:t>
            </w:r>
          </w:p>
        </w:tc>
        <w:tc>
          <w:tcPr>
            <w:tcW w:w="1560" w:type="dxa"/>
            <w:shd w:val="clear" w:color="auto" w:fill="C6EFCD"/>
            <w:vAlign w:val="center"/>
          </w:tcPr>
          <w:p w14:paraId="090900AB"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N/A</w:t>
            </w:r>
          </w:p>
        </w:tc>
        <w:tc>
          <w:tcPr>
            <w:tcW w:w="1256" w:type="dxa"/>
            <w:shd w:val="clear" w:color="auto" w:fill="C6EFCD"/>
            <w:vAlign w:val="center"/>
          </w:tcPr>
          <w:p w14:paraId="396B6521"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Number</w:t>
            </w:r>
          </w:p>
        </w:tc>
        <w:tc>
          <w:tcPr>
            <w:tcW w:w="871" w:type="dxa"/>
            <w:shd w:val="clear" w:color="auto" w:fill="C6EFCD"/>
            <w:vAlign w:val="center"/>
          </w:tcPr>
          <w:p w14:paraId="681387FD"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17 000 000</w:t>
            </w:r>
          </w:p>
        </w:tc>
        <w:tc>
          <w:tcPr>
            <w:tcW w:w="989" w:type="dxa"/>
            <w:shd w:val="clear" w:color="auto" w:fill="C6EFCD"/>
            <w:vAlign w:val="center"/>
          </w:tcPr>
          <w:p w14:paraId="5054EF6B"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35 800 000</w:t>
            </w:r>
          </w:p>
        </w:tc>
        <w:tc>
          <w:tcPr>
            <w:tcW w:w="994" w:type="dxa"/>
            <w:shd w:val="clear" w:color="auto" w:fill="C6EFCD"/>
            <w:vAlign w:val="center"/>
          </w:tcPr>
          <w:p w14:paraId="6571B509"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Q4</w:t>
            </w:r>
          </w:p>
        </w:tc>
        <w:tc>
          <w:tcPr>
            <w:tcW w:w="710" w:type="dxa"/>
            <w:shd w:val="clear" w:color="auto" w:fill="C6EFCD"/>
            <w:vAlign w:val="center"/>
          </w:tcPr>
          <w:p w14:paraId="563AF9F4"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2025</w:t>
            </w:r>
          </w:p>
        </w:tc>
        <w:tc>
          <w:tcPr>
            <w:tcW w:w="3902" w:type="dxa"/>
            <w:shd w:val="clear" w:color="auto" w:fill="C6EFCD"/>
          </w:tcPr>
          <w:p w14:paraId="2F93DDC2" w14:textId="77777777" w:rsidR="0039681A" w:rsidRPr="007473DA" w:rsidRDefault="0039681A" w:rsidP="00351087">
            <w:pPr>
              <w:pStyle w:val="Other10"/>
              <w:rPr>
                <w:rFonts w:ascii="Arial Narrow" w:hAnsi="Arial Narrow"/>
                <w:noProof/>
                <w:sz w:val="20"/>
                <w:szCs w:val="20"/>
                <w:lang w:val="en-IE"/>
              </w:rPr>
            </w:pPr>
            <w:r w:rsidRPr="007473DA">
              <w:rPr>
                <w:rFonts w:ascii="Arial Narrow" w:hAnsi="Arial Narrow"/>
                <w:noProof/>
                <w:sz w:val="20"/>
                <w:szCs w:val="20"/>
                <w:lang w:val="en-IE"/>
              </w:rPr>
              <w:t xml:space="preserve">Certifications (‘’asseverazioni’’) attesting building renovation for at least 35 800 000 square meters which result in primary energy savings of at least 40% increasing at least two categories in the energy efficiency certificate (Energy Performance Certification as defined by Decree 63/2013) shall be issued. </w:t>
            </w:r>
          </w:p>
          <w:p w14:paraId="56AF2654" w14:textId="77777777" w:rsidR="0039681A" w:rsidRPr="007473DA" w:rsidRDefault="0039681A" w:rsidP="00351087">
            <w:pPr>
              <w:pStyle w:val="Other10"/>
              <w:rPr>
                <w:rFonts w:ascii="Arial Narrow" w:hAnsi="Arial Narrow"/>
                <w:noProof/>
                <w:sz w:val="20"/>
                <w:szCs w:val="20"/>
                <w:lang w:val="en-IE"/>
              </w:rPr>
            </w:pPr>
          </w:p>
          <w:p w14:paraId="185E4FF7" w14:textId="77777777" w:rsidR="0039681A" w:rsidRPr="007473DA" w:rsidRDefault="0039681A" w:rsidP="00351087">
            <w:pPr>
              <w:pStyle w:val="Other10"/>
              <w:rPr>
                <w:rFonts w:ascii="Arial Narrow" w:hAnsi="Arial Narrow"/>
                <w:noProof/>
                <w:sz w:val="20"/>
                <w:szCs w:val="20"/>
                <w:lang w:val="en-IE"/>
              </w:rPr>
            </w:pPr>
            <w:r w:rsidRPr="007473DA">
              <w:rPr>
                <w:rFonts w:ascii="Arial Narrow" w:hAnsi="Arial Narrow"/>
                <w:noProof/>
                <w:sz w:val="20"/>
                <w:szCs w:val="20"/>
                <w:lang w:val="en-IE"/>
              </w:rPr>
              <w:t>In cases where gas-condensing boilers are installed as the chosen replacement of existing inefficient gas, coal and oil-based boilers, they shall have an A performance. The cost of installing gas-condensing boilers shall represent at most 20% of the overall renovation programme cost.</w:t>
            </w:r>
          </w:p>
          <w:p w14:paraId="752E7C56" w14:textId="77777777" w:rsidR="0039681A" w:rsidRPr="007473DA" w:rsidRDefault="0039681A" w:rsidP="00351087">
            <w:pPr>
              <w:pStyle w:val="Other10"/>
              <w:rPr>
                <w:rFonts w:ascii="Arial Narrow" w:hAnsi="Arial Narrow"/>
                <w:noProof/>
                <w:sz w:val="20"/>
                <w:szCs w:val="20"/>
                <w:lang w:val="en-IE"/>
              </w:rPr>
            </w:pPr>
          </w:p>
          <w:p w14:paraId="1364E5A2" w14:textId="77777777" w:rsidR="0039681A" w:rsidRPr="007473DA" w:rsidRDefault="0039681A" w:rsidP="00351087">
            <w:pPr>
              <w:pStyle w:val="Other10"/>
              <w:rPr>
                <w:rStyle w:val="Other1"/>
                <w:rFonts w:ascii="Arial Narrow" w:hAnsi="Arial Narrow" w:cs="Arial"/>
                <w:noProof/>
                <w:sz w:val="20"/>
                <w:szCs w:val="20"/>
                <w:lang w:val="en-IE"/>
              </w:rPr>
            </w:pPr>
            <w:r w:rsidRPr="007473DA">
              <w:rPr>
                <w:rFonts w:ascii="Arial Narrow" w:hAnsi="Arial Narrow"/>
                <w:noProof/>
                <w:sz w:val="20"/>
                <w:szCs w:val="20"/>
                <w:lang w:val="en-IE"/>
              </w:rPr>
              <w:t>The overall estimated energy saving generated by interventions amount to at least 191 Ktoe.</w:t>
            </w:r>
          </w:p>
        </w:tc>
      </w:tr>
      <w:tr w:rsidR="0039681A" w:rsidRPr="0070054C" w14:paraId="144396C7" w14:textId="77777777" w:rsidTr="00351087">
        <w:trPr>
          <w:cantSplit/>
          <w:trHeight w:val="300"/>
          <w:jc w:val="center"/>
        </w:trPr>
        <w:tc>
          <w:tcPr>
            <w:tcW w:w="1123" w:type="dxa"/>
            <w:shd w:val="clear" w:color="auto" w:fill="C6EFCD"/>
            <w:vAlign w:val="center"/>
          </w:tcPr>
          <w:p w14:paraId="06E187B5"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M2C3-4</w:t>
            </w:r>
          </w:p>
        </w:tc>
        <w:tc>
          <w:tcPr>
            <w:tcW w:w="1574" w:type="dxa"/>
            <w:shd w:val="clear" w:color="auto" w:fill="C6EFCD"/>
            <w:vAlign w:val="center"/>
          </w:tcPr>
          <w:p w14:paraId="151FEE44"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Reform 1.1: Simplification and acceleration of procedures for energy efficiency interventions</w:t>
            </w:r>
          </w:p>
        </w:tc>
        <w:tc>
          <w:tcPr>
            <w:tcW w:w="1133" w:type="dxa"/>
            <w:shd w:val="clear" w:color="auto" w:fill="C6EFCD"/>
            <w:vAlign w:val="center"/>
          </w:tcPr>
          <w:p w14:paraId="0504736F" w14:textId="77777777" w:rsidR="0039681A" w:rsidRPr="00647572" w:rsidRDefault="0039681A" w:rsidP="00351087">
            <w:pPr>
              <w:pStyle w:val="Other10"/>
              <w:jc w:val="center"/>
              <w:rPr>
                <w:rStyle w:val="Other1"/>
                <w:rFonts w:ascii="Arial Narrow" w:hAnsi="Arial Narrow" w:cs="Arial"/>
                <w:noProof/>
                <w:sz w:val="20"/>
                <w:szCs w:val="20"/>
              </w:rPr>
            </w:pPr>
            <w:r w:rsidRPr="00647572">
              <w:rPr>
                <w:rFonts w:ascii="Arial Narrow" w:hAnsi="Arial Narrow"/>
                <w:noProof/>
                <w:sz w:val="20"/>
                <w:szCs w:val="20"/>
              </w:rPr>
              <w:t>Milestone</w:t>
            </w:r>
          </w:p>
        </w:tc>
        <w:tc>
          <w:tcPr>
            <w:tcW w:w="1843" w:type="dxa"/>
            <w:shd w:val="clear" w:color="auto" w:fill="C6EFCD"/>
            <w:vAlign w:val="center"/>
          </w:tcPr>
          <w:p w14:paraId="16CD1CCE"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Simplification and acceleration of procedures for energy efficiency interventions</w:t>
            </w:r>
          </w:p>
        </w:tc>
        <w:tc>
          <w:tcPr>
            <w:tcW w:w="1560" w:type="dxa"/>
            <w:shd w:val="clear" w:color="auto" w:fill="C6EFCD"/>
            <w:vAlign w:val="center"/>
          </w:tcPr>
          <w:p w14:paraId="55D6B625"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Provision in the legal act(s) indicating the entry into force</w:t>
            </w:r>
          </w:p>
        </w:tc>
        <w:tc>
          <w:tcPr>
            <w:tcW w:w="1256" w:type="dxa"/>
            <w:shd w:val="clear" w:color="auto" w:fill="C6EFCD"/>
            <w:vAlign w:val="center"/>
          </w:tcPr>
          <w:p w14:paraId="291682D5"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N/A</w:t>
            </w:r>
          </w:p>
        </w:tc>
        <w:tc>
          <w:tcPr>
            <w:tcW w:w="871" w:type="dxa"/>
            <w:shd w:val="clear" w:color="auto" w:fill="C6EFCD"/>
            <w:vAlign w:val="center"/>
          </w:tcPr>
          <w:p w14:paraId="5FA5F39A"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89" w:type="dxa"/>
            <w:shd w:val="clear" w:color="auto" w:fill="C6EFCD"/>
            <w:vAlign w:val="center"/>
          </w:tcPr>
          <w:p w14:paraId="7C7F4D0F"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94" w:type="dxa"/>
            <w:shd w:val="clear" w:color="auto" w:fill="C6EFCD"/>
            <w:vAlign w:val="center"/>
          </w:tcPr>
          <w:p w14:paraId="3ABC2ACA"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Q2</w:t>
            </w:r>
          </w:p>
        </w:tc>
        <w:tc>
          <w:tcPr>
            <w:tcW w:w="710" w:type="dxa"/>
            <w:shd w:val="clear" w:color="auto" w:fill="C6EFCD"/>
            <w:vAlign w:val="center"/>
          </w:tcPr>
          <w:p w14:paraId="5FC2686A"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2022</w:t>
            </w:r>
          </w:p>
        </w:tc>
        <w:tc>
          <w:tcPr>
            <w:tcW w:w="3902" w:type="dxa"/>
            <w:shd w:val="clear" w:color="auto" w:fill="C6EFCD"/>
          </w:tcPr>
          <w:p w14:paraId="402C8CF7" w14:textId="77777777" w:rsidR="0039681A" w:rsidRPr="007473DA" w:rsidRDefault="0039681A" w:rsidP="00351087">
            <w:pPr>
              <w:pStyle w:val="Other10"/>
              <w:rPr>
                <w:rFonts w:ascii="Arial Narrow" w:hAnsi="Arial Narrow"/>
                <w:noProof/>
                <w:sz w:val="20"/>
                <w:szCs w:val="20"/>
                <w:lang w:val="en-IE"/>
              </w:rPr>
            </w:pPr>
            <w:r w:rsidRPr="007473DA">
              <w:rPr>
                <w:rFonts w:ascii="Arial Narrow" w:hAnsi="Arial Narrow"/>
                <w:noProof/>
                <w:sz w:val="20"/>
                <w:szCs w:val="20"/>
                <w:lang w:val="en-IE"/>
              </w:rPr>
              <w:t>The legal act(s) shall simplify and accelerate procedures for energy efficiency interventions by,</w:t>
            </w:r>
          </w:p>
          <w:p w14:paraId="0828AD23" w14:textId="77777777" w:rsidR="0039681A" w:rsidRPr="007473DA" w:rsidRDefault="0039681A" w:rsidP="00351087">
            <w:pPr>
              <w:pStyle w:val="Other10"/>
              <w:rPr>
                <w:rFonts w:ascii="Arial Narrow" w:hAnsi="Arial Narrow"/>
                <w:noProof/>
                <w:sz w:val="20"/>
                <w:szCs w:val="20"/>
                <w:lang w:val="en-IE"/>
              </w:rPr>
            </w:pPr>
          </w:p>
          <w:p w14:paraId="1B86BD2E" w14:textId="77777777" w:rsidR="0039681A" w:rsidRPr="00A36E36" w:rsidRDefault="0039681A" w:rsidP="0039681A">
            <w:pPr>
              <w:pStyle w:val="ListParagraph"/>
              <w:numPr>
                <w:ilvl w:val="0"/>
                <w:numId w:val="121"/>
              </w:numPr>
              <w:spacing w:before="120" w:after="120"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Launching a national portal for the energy efficiency of buildings</w:t>
            </w:r>
          </w:p>
          <w:p w14:paraId="1B1460A9" w14:textId="77777777" w:rsidR="0039681A" w:rsidRPr="00A36E36" w:rsidRDefault="0039681A" w:rsidP="0039681A">
            <w:pPr>
              <w:pStyle w:val="ListParagraph"/>
              <w:numPr>
                <w:ilvl w:val="0"/>
                <w:numId w:val="121"/>
              </w:numPr>
              <w:spacing w:before="120" w:after="120"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Strengthening the activities of the information and training plan aimed at the civil sector</w:t>
            </w:r>
          </w:p>
          <w:p w14:paraId="77CCE9CA" w14:textId="77777777" w:rsidR="0039681A" w:rsidRPr="00A36E36" w:rsidRDefault="0039681A" w:rsidP="0039681A">
            <w:pPr>
              <w:pStyle w:val="ListParagraph"/>
              <w:numPr>
                <w:ilvl w:val="0"/>
                <w:numId w:val="121"/>
              </w:numPr>
              <w:spacing w:before="120" w:after="120" w:line="276"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Updating and strengthening the National Fund for energy efficiency</w:t>
            </w:r>
          </w:p>
          <w:p w14:paraId="0B31E5A5" w14:textId="77777777" w:rsidR="0039681A" w:rsidRPr="00A36E36" w:rsidRDefault="0039681A" w:rsidP="0039681A">
            <w:pPr>
              <w:pStyle w:val="ListParagraph"/>
              <w:numPr>
                <w:ilvl w:val="0"/>
                <w:numId w:val="121"/>
              </w:numPr>
              <w:spacing w:before="120" w:after="120" w:line="276" w:lineRule="auto"/>
              <w:rPr>
                <w:rFonts w:ascii="Arial Narrow" w:hAnsi="Arial Narrow" w:cs="Arial"/>
                <w:noProof/>
                <w:color w:val="006100"/>
                <w:sz w:val="20"/>
                <w:szCs w:val="20"/>
                <w:lang w:val="en-IE"/>
              </w:rPr>
            </w:pPr>
            <w:r w:rsidRPr="00A36E36">
              <w:rPr>
                <w:rFonts w:ascii="Arial Narrow" w:hAnsi="Arial Narrow"/>
                <w:noProof/>
                <w:color w:val="006100"/>
                <w:sz w:val="20"/>
                <w:szCs w:val="20"/>
                <w:lang w:val="en-IE"/>
              </w:rPr>
              <w:t>Accelerating the implementation phase of projects financed by the PREPAC program</w:t>
            </w:r>
          </w:p>
        </w:tc>
      </w:tr>
      <w:bookmarkEnd w:id="18"/>
    </w:tbl>
    <w:p w14:paraId="7FFC0DBB" w14:textId="77777777" w:rsidR="0039681A" w:rsidRPr="00A36E36" w:rsidRDefault="0039681A" w:rsidP="00351087">
      <w:pPr>
        <w:spacing w:before="120" w:after="120"/>
        <w:ind w:left="709"/>
        <w:jc w:val="both"/>
        <w:rPr>
          <w:noProof/>
          <w:lang w:val="en-IE"/>
        </w:rPr>
      </w:pPr>
    </w:p>
    <w:p w14:paraId="03A7BD0B" w14:textId="77777777" w:rsidR="0039681A" w:rsidRPr="00A36E36" w:rsidRDefault="0039681A" w:rsidP="00351087">
      <w:pPr>
        <w:spacing w:before="120" w:after="120"/>
        <w:ind w:left="709"/>
        <w:jc w:val="both"/>
        <w:rPr>
          <w:noProof/>
          <w:lang w:val="en-IE"/>
        </w:rPr>
        <w:sectPr w:rsidR="0039681A" w:rsidRPr="00A36E36" w:rsidSect="0039681A">
          <w:headerReference w:type="even" r:id="rId95"/>
          <w:headerReference w:type="default" r:id="rId96"/>
          <w:footerReference w:type="default" r:id="rId97"/>
          <w:headerReference w:type="first" r:id="rId98"/>
          <w:pgSz w:w="16839" w:h="11907" w:orient="landscape"/>
          <w:pgMar w:top="1134" w:right="1134" w:bottom="1134" w:left="1134" w:header="567" w:footer="567" w:gutter="0"/>
          <w:cols w:space="720"/>
          <w:docGrid w:linePitch="360"/>
        </w:sectPr>
      </w:pPr>
    </w:p>
    <w:p w14:paraId="550BF715" w14:textId="77777777" w:rsidR="0039681A" w:rsidRPr="00A36E36" w:rsidRDefault="0039681A" w:rsidP="0035108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F.3.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4712C149" w14:textId="77777777" w:rsidR="0039681A" w:rsidRPr="00A36E36" w:rsidRDefault="0039681A" w:rsidP="00351087">
      <w:pPr>
        <w:spacing w:before="120" w:after="120"/>
        <w:jc w:val="both"/>
        <w:rPr>
          <w:rFonts w:ascii="Times New Roman" w:eastAsia="Calibri" w:hAnsi="Times New Roman" w:cs="Times New Roman"/>
          <w:noProof/>
          <w:color w:val="156082" w:themeColor="accent1"/>
          <w:lang w:val="en-IE"/>
        </w:rPr>
      </w:pPr>
      <w:r w:rsidRPr="00A36E36">
        <w:rPr>
          <w:rFonts w:ascii="Times New Roman" w:hAnsi="Times New Roman" w:cs="Times New Roman"/>
          <w:b/>
          <w:bCs/>
          <w:noProof/>
          <w:color w:val="000000"/>
          <w:shd w:val="clear" w:color="auto" w:fill="FFFFFF"/>
          <w:lang w:val="en-IE"/>
        </w:rPr>
        <w:t xml:space="preserve">Investment 1.1: Construction of new schools through building replacement </w:t>
      </w:r>
    </w:p>
    <w:p w14:paraId="358DF37F" w14:textId="6313CD9F" w:rsidR="0039681A" w:rsidRPr="00A36E36" w:rsidRDefault="0039681A" w:rsidP="00351087">
      <w:pPr>
        <w:spacing w:before="120" w:after="120"/>
        <w:jc w:val="both"/>
        <w:rPr>
          <w:rFonts w:ascii="Times New Roman" w:hAnsi="Times New Roman" w:cs="Times New Roman"/>
          <w:noProof/>
          <w:lang w:val="en-IE"/>
        </w:rPr>
      </w:pPr>
      <w:r w:rsidRPr="6FB48115">
        <w:rPr>
          <w:rFonts w:ascii="Times New Roman" w:hAnsi="Times New Roman" w:cs="Times New Roman"/>
          <w:noProof/>
          <w:lang w:val="en-IE"/>
        </w:rPr>
        <w:t>The objective of the measure is to create modern and sustainable school structures, in particular by reducing energy consumption and increasing seismic safety. This measure consists in the construction of new schools.</w:t>
      </w:r>
    </w:p>
    <w:p w14:paraId="21C33125" w14:textId="77777777" w:rsidR="0039681A" w:rsidRPr="00A36E36" w:rsidRDefault="0039681A" w:rsidP="00351087">
      <w:pPr>
        <w:spacing w:before="120" w:after="120"/>
        <w:jc w:val="both"/>
        <w:rPr>
          <w:rFonts w:ascii="Times New Roman" w:eastAsia="Calibri" w:hAnsi="Times New Roman" w:cs="Times New Roman"/>
          <w:b/>
          <w:bCs/>
          <w:noProof/>
          <w:lang w:val="en-IE"/>
        </w:rPr>
      </w:pPr>
      <w:r w:rsidRPr="00A36E36">
        <w:rPr>
          <w:rFonts w:ascii="Times New Roman" w:hAnsi="Times New Roman" w:cs="Times New Roman"/>
          <w:b/>
          <w:bCs/>
          <w:noProof/>
          <w:lang w:val="en-IE"/>
        </w:rPr>
        <w:t>Investment 1.2- Requalification of public real estate assets partly or wholly used by the administration of justice</w:t>
      </w:r>
    </w:p>
    <w:p w14:paraId="58412265" w14:textId="77777777" w:rsidR="0039681A" w:rsidRPr="00A36E36" w:rsidRDefault="0039681A" w:rsidP="00351087">
      <w:pPr>
        <w:spacing w:before="120" w:after="120"/>
        <w:jc w:val="both"/>
        <w:rPr>
          <w:rFonts w:ascii="Times New Roman" w:hAnsi="Times New Roman" w:cs="Times New Roman"/>
          <w:b/>
          <w:bCs/>
          <w:noProof/>
          <w:u w:val="single"/>
          <w:lang w:val="en-IE"/>
        </w:rPr>
      </w:pPr>
      <w:r w:rsidRPr="00A36E36">
        <w:rPr>
          <w:rFonts w:ascii="Times New Roman" w:hAnsi="Times New Roman" w:cs="Times New Roman"/>
          <w:noProof/>
          <w:lang w:val="en-IE"/>
        </w:rPr>
        <w:t>The objective of the measure is to requalify and modernise buildings partly or wholly used by the administration of justice. The measure consists in the execution of renovation and requalifaction works in real estate assets located in several Italian municipalities, including but not limited to energy efficiency interventions.</w:t>
      </w:r>
    </w:p>
    <w:p w14:paraId="55D1613F" w14:textId="77777777" w:rsidR="0039681A" w:rsidRPr="00A36E36" w:rsidRDefault="0039681A" w:rsidP="00351087">
      <w:pPr>
        <w:spacing w:before="120" w:after="120"/>
        <w:jc w:val="both"/>
        <w:rPr>
          <w:rFonts w:ascii="Times New Roman" w:eastAsia="Calibri" w:hAnsi="Times New Roman" w:cs="Times New Roman"/>
          <w:b/>
          <w:bCs/>
          <w:noProof/>
          <w:lang w:val="en-IE"/>
        </w:rPr>
      </w:pPr>
      <w:r w:rsidRPr="00A36E36">
        <w:rPr>
          <w:rFonts w:ascii="Times New Roman" w:hAnsi="Times New Roman" w:cs="Times New Roman"/>
          <w:b/>
          <w:bCs/>
          <w:noProof/>
          <w:lang w:val="en-IE"/>
        </w:rPr>
        <w:t>Investment 3.1: Promotion of efficient district heating</w:t>
      </w:r>
    </w:p>
    <w:p w14:paraId="5C8C7E95" w14:textId="09C42FD2" w:rsidR="0039681A" w:rsidRPr="00A36E36" w:rsidRDefault="0039681A" w:rsidP="007C2ACC">
      <w:pPr>
        <w:spacing w:before="120" w:after="120"/>
        <w:rPr>
          <w:rFonts w:ascii="Times New Roman" w:hAnsi="Times New Roman" w:cs="Times New Roman"/>
          <w:b/>
          <w:bCs/>
          <w:noProof/>
          <w:sz w:val="24"/>
          <w:szCs w:val="24"/>
          <w:u w:val="single"/>
          <w:lang w:val="en-IE"/>
        </w:rPr>
        <w:sectPr w:rsidR="0039681A" w:rsidRPr="00A36E36" w:rsidSect="0039681A">
          <w:headerReference w:type="even" r:id="rId99"/>
          <w:headerReference w:type="default" r:id="rId100"/>
          <w:footerReference w:type="default" r:id="rId101"/>
          <w:headerReference w:type="first" r:id="rId102"/>
          <w:pgSz w:w="11907" w:h="16839"/>
          <w:pgMar w:top="1134" w:right="1134" w:bottom="1134" w:left="1134" w:header="567" w:footer="567" w:gutter="0"/>
          <w:cols w:space="720"/>
          <w:docGrid w:linePitch="360"/>
        </w:sectPr>
      </w:pPr>
      <w:r w:rsidRPr="202FF054">
        <w:rPr>
          <w:rFonts w:ascii="Times New Roman" w:hAnsi="Times New Roman" w:cs="Times New Roman"/>
          <w:noProof/>
          <w:lang w:val="en-IE"/>
        </w:rPr>
        <w:t>The objective of the measure is to expand the use of efficient district heating, based on the distribution of heat generated from renewable sources, from waste heat or cogenerated in high-performance plants. The measure consists in financing projects relating to the construction of new, or the extension of existing, district heating networks.</w:t>
      </w:r>
      <w:r w:rsidRPr="202FF054">
        <w:rPr>
          <w:rFonts w:ascii="Times New Roman" w:hAnsi="Times New Roman" w:cs="Times New Roman"/>
          <w:b/>
          <w:bCs/>
          <w:noProof/>
          <w:sz w:val="24"/>
          <w:szCs w:val="24"/>
          <w:u w:val="single"/>
          <w:lang w:val="en-IE"/>
        </w:rPr>
        <w:t xml:space="preserve"> </w:t>
      </w:r>
    </w:p>
    <w:p w14:paraId="14E10C06" w14:textId="77777777" w:rsidR="0039681A" w:rsidRPr="00A36E36" w:rsidRDefault="0039681A" w:rsidP="0035108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F.4. </w:t>
      </w:r>
      <w:r w:rsidRPr="00A36E36">
        <w:rPr>
          <w:rFonts w:ascii="Times New Roman" w:hAnsi="Times New Roman" w:cs="Times New Roman"/>
          <w:b/>
          <w:noProof/>
          <w:sz w:val="24"/>
          <w:szCs w:val="24"/>
          <w:u w:val="single"/>
          <w:lang w:val="en-IE"/>
        </w:rPr>
        <w:tab/>
        <w:t>Milestones, targets, indicators, and timetable for monitoring and implementation for the loan</w:t>
      </w:r>
    </w:p>
    <w:tbl>
      <w:tblPr>
        <w:tblOverlap w:val="never"/>
        <w:tblW w:w="15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23"/>
        <w:gridCol w:w="1574"/>
        <w:gridCol w:w="1133"/>
        <w:gridCol w:w="1843"/>
        <w:gridCol w:w="1560"/>
        <w:gridCol w:w="1256"/>
        <w:gridCol w:w="871"/>
        <w:gridCol w:w="989"/>
        <w:gridCol w:w="994"/>
        <w:gridCol w:w="705"/>
        <w:gridCol w:w="3907"/>
      </w:tblGrid>
      <w:tr w:rsidR="0039681A" w:rsidRPr="0070054C" w14:paraId="5CCDB954" w14:textId="77777777" w:rsidTr="00AF5341">
        <w:trPr>
          <w:cantSplit/>
          <w:trHeight w:val="300"/>
          <w:tblHeader/>
          <w:jc w:val="center"/>
        </w:trPr>
        <w:tc>
          <w:tcPr>
            <w:tcW w:w="1123" w:type="dxa"/>
            <w:vMerge w:val="restart"/>
            <w:shd w:val="clear" w:color="auto" w:fill="BBD2EA"/>
            <w:vAlign w:val="center"/>
          </w:tcPr>
          <w:p w14:paraId="72E4F97E"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Sequential Number</w:t>
            </w:r>
          </w:p>
        </w:tc>
        <w:tc>
          <w:tcPr>
            <w:tcW w:w="1574" w:type="dxa"/>
            <w:vMerge w:val="restart"/>
            <w:shd w:val="clear" w:color="auto" w:fill="BBD2EA"/>
            <w:vAlign w:val="center"/>
          </w:tcPr>
          <w:p w14:paraId="55445088" w14:textId="77777777" w:rsidR="0039681A" w:rsidRPr="007473DA" w:rsidRDefault="0039681A" w:rsidP="00351087">
            <w:pPr>
              <w:pStyle w:val="Other10"/>
              <w:jc w:val="center"/>
              <w:rPr>
                <w:rFonts w:ascii="Arial Narrow" w:hAnsi="Arial Narrow" w:cs="Arial"/>
                <w:noProof/>
                <w:sz w:val="20"/>
                <w:szCs w:val="20"/>
                <w:lang w:val="en-IE"/>
              </w:rPr>
            </w:pPr>
            <w:r w:rsidRPr="007473DA">
              <w:rPr>
                <w:rStyle w:val="Other1"/>
                <w:rFonts w:ascii="Arial Narrow" w:hAnsi="Arial Narrow" w:cs="Arial"/>
                <w:b/>
                <w:bCs/>
                <w:noProof/>
                <w:color w:val="000000" w:themeColor="text1"/>
                <w:sz w:val="20"/>
                <w:szCs w:val="20"/>
                <w:lang w:val="en-IE"/>
              </w:rPr>
              <w:t>Related</w:t>
            </w:r>
          </w:p>
          <w:p w14:paraId="38D251B1" w14:textId="77777777" w:rsidR="0039681A" w:rsidRPr="007473DA" w:rsidRDefault="0039681A" w:rsidP="00351087">
            <w:pPr>
              <w:pStyle w:val="Other10"/>
              <w:jc w:val="center"/>
              <w:rPr>
                <w:rFonts w:ascii="Arial Narrow" w:hAnsi="Arial Narrow" w:cs="Arial"/>
                <w:noProof/>
                <w:sz w:val="20"/>
                <w:szCs w:val="20"/>
                <w:lang w:val="en-IE"/>
              </w:rPr>
            </w:pPr>
            <w:r w:rsidRPr="007473DA">
              <w:rPr>
                <w:rStyle w:val="Other1"/>
                <w:rFonts w:ascii="Arial Narrow" w:hAnsi="Arial Narrow" w:cs="Arial"/>
                <w:b/>
                <w:bCs/>
                <w:noProof/>
                <w:color w:val="000000" w:themeColor="text1"/>
                <w:sz w:val="20"/>
                <w:szCs w:val="20"/>
                <w:lang w:val="en-IE"/>
              </w:rPr>
              <w:t>Measure (Reform or Investment)</w:t>
            </w:r>
          </w:p>
        </w:tc>
        <w:tc>
          <w:tcPr>
            <w:tcW w:w="1133" w:type="dxa"/>
            <w:vMerge w:val="restart"/>
            <w:shd w:val="clear" w:color="auto" w:fill="BBD2EA"/>
            <w:vAlign w:val="center"/>
          </w:tcPr>
          <w:p w14:paraId="7794B66F"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Milestone / Target</w:t>
            </w:r>
          </w:p>
        </w:tc>
        <w:tc>
          <w:tcPr>
            <w:tcW w:w="1843" w:type="dxa"/>
            <w:vMerge w:val="restart"/>
            <w:shd w:val="clear" w:color="auto" w:fill="BBD2EA"/>
            <w:vAlign w:val="center"/>
          </w:tcPr>
          <w:p w14:paraId="1F27B6F0"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Name</w:t>
            </w:r>
          </w:p>
        </w:tc>
        <w:tc>
          <w:tcPr>
            <w:tcW w:w="1560" w:type="dxa"/>
            <w:vMerge w:val="restart"/>
            <w:shd w:val="clear" w:color="auto" w:fill="BBD2EA"/>
            <w:vAlign w:val="center"/>
          </w:tcPr>
          <w:p w14:paraId="51A1DD58"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Qualitative indicators (for milestones)</w:t>
            </w:r>
          </w:p>
        </w:tc>
        <w:tc>
          <w:tcPr>
            <w:tcW w:w="3116" w:type="dxa"/>
            <w:gridSpan w:val="3"/>
            <w:shd w:val="clear" w:color="auto" w:fill="BBD2EA"/>
            <w:vAlign w:val="center"/>
          </w:tcPr>
          <w:p w14:paraId="49B54FBC"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Quantitative indicators (for targets)</w:t>
            </w:r>
          </w:p>
        </w:tc>
        <w:tc>
          <w:tcPr>
            <w:tcW w:w="1699" w:type="dxa"/>
            <w:gridSpan w:val="2"/>
            <w:shd w:val="clear" w:color="auto" w:fill="BBD2EA"/>
            <w:vAlign w:val="center"/>
          </w:tcPr>
          <w:p w14:paraId="4BC0C62C"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Indicative timeline for completion</w:t>
            </w:r>
          </w:p>
        </w:tc>
        <w:tc>
          <w:tcPr>
            <w:tcW w:w="3907" w:type="dxa"/>
            <w:vMerge w:val="restart"/>
            <w:shd w:val="clear" w:color="auto" w:fill="BBD2EA"/>
            <w:vAlign w:val="center"/>
          </w:tcPr>
          <w:p w14:paraId="3D7F6EE2" w14:textId="77777777" w:rsidR="0039681A" w:rsidRPr="007473DA" w:rsidRDefault="0039681A" w:rsidP="00351087">
            <w:pPr>
              <w:pStyle w:val="Other10"/>
              <w:ind w:firstLine="220"/>
              <w:jc w:val="center"/>
              <w:rPr>
                <w:rFonts w:ascii="Arial Narrow" w:hAnsi="Arial Narrow" w:cs="Arial"/>
                <w:noProof/>
                <w:sz w:val="20"/>
                <w:szCs w:val="20"/>
                <w:lang w:val="en-IE"/>
              </w:rPr>
            </w:pPr>
            <w:r w:rsidRPr="007473DA">
              <w:rPr>
                <w:rStyle w:val="Other1"/>
                <w:rFonts w:ascii="Arial Narrow" w:hAnsi="Arial Narrow" w:cs="Arial"/>
                <w:b/>
                <w:bCs/>
                <w:noProof/>
                <w:color w:val="000000" w:themeColor="text1"/>
                <w:sz w:val="20"/>
                <w:szCs w:val="20"/>
                <w:lang w:val="en-IE"/>
              </w:rPr>
              <w:t>Description of each milestone and target</w:t>
            </w:r>
          </w:p>
        </w:tc>
      </w:tr>
      <w:tr w:rsidR="0039681A" w:rsidRPr="00647572" w14:paraId="771E654C" w14:textId="77777777" w:rsidTr="00AF5341">
        <w:trPr>
          <w:cantSplit/>
          <w:trHeight w:val="300"/>
          <w:tblHeader/>
          <w:jc w:val="center"/>
        </w:trPr>
        <w:tc>
          <w:tcPr>
            <w:tcW w:w="1123" w:type="dxa"/>
            <w:vMerge/>
            <w:vAlign w:val="center"/>
          </w:tcPr>
          <w:p w14:paraId="5B4BB490" w14:textId="77777777" w:rsidR="0039681A" w:rsidRPr="00A36E36" w:rsidRDefault="0039681A" w:rsidP="00351087">
            <w:pPr>
              <w:jc w:val="center"/>
              <w:rPr>
                <w:rFonts w:ascii="Arial Narrow" w:hAnsi="Arial Narrow" w:cs="Arial"/>
                <w:noProof/>
                <w:sz w:val="20"/>
                <w:szCs w:val="20"/>
                <w:lang w:val="en-IE"/>
              </w:rPr>
            </w:pPr>
          </w:p>
        </w:tc>
        <w:tc>
          <w:tcPr>
            <w:tcW w:w="1574" w:type="dxa"/>
            <w:vMerge/>
            <w:vAlign w:val="center"/>
          </w:tcPr>
          <w:p w14:paraId="025AEB7B" w14:textId="77777777" w:rsidR="0039681A" w:rsidRPr="00A36E36" w:rsidRDefault="0039681A" w:rsidP="00351087">
            <w:pPr>
              <w:jc w:val="center"/>
              <w:rPr>
                <w:rFonts w:ascii="Arial Narrow" w:hAnsi="Arial Narrow" w:cs="Arial"/>
                <w:noProof/>
                <w:sz w:val="20"/>
                <w:szCs w:val="20"/>
                <w:lang w:val="en-IE"/>
              </w:rPr>
            </w:pPr>
          </w:p>
        </w:tc>
        <w:tc>
          <w:tcPr>
            <w:tcW w:w="1133" w:type="dxa"/>
            <w:vMerge/>
            <w:vAlign w:val="center"/>
          </w:tcPr>
          <w:p w14:paraId="75088820" w14:textId="77777777" w:rsidR="0039681A" w:rsidRPr="00A36E36" w:rsidRDefault="0039681A" w:rsidP="00351087">
            <w:pPr>
              <w:jc w:val="center"/>
              <w:rPr>
                <w:rFonts w:ascii="Arial Narrow" w:hAnsi="Arial Narrow" w:cs="Arial"/>
                <w:noProof/>
                <w:sz w:val="20"/>
                <w:szCs w:val="20"/>
                <w:lang w:val="en-IE"/>
              </w:rPr>
            </w:pPr>
          </w:p>
        </w:tc>
        <w:tc>
          <w:tcPr>
            <w:tcW w:w="1843" w:type="dxa"/>
            <w:vMerge/>
            <w:vAlign w:val="center"/>
          </w:tcPr>
          <w:p w14:paraId="635B278A" w14:textId="77777777" w:rsidR="0039681A" w:rsidRPr="00A36E36" w:rsidRDefault="0039681A" w:rsidP="00351087">
            <w:pPr>
              <w:jc w:val="center"/>
              <w:rPr>
                <w:rFonts w:ascii="Arial Narrow" w:hAnsi="Arial Narrow" w:cs="Arial"/>
                <w:noProof/>
                <w:sz w:val="20"/>
                <w:szCs w:val="20"/>
                <w:lang w:val="en-IE"/>
              </w:rPr>
            </w:pPr>
          </w:p>
        </w:tc>
        <w:tc>
          <w:tcPr>
            <w:tcW w:w="1560" w:type="dxa"/>
            <w:vMerge/>
            <w:vAlign w:val="center"/>
          </w:tcPr>
          <w:p w14:paraId="3B08C9E7" w14:textId="77777777" w:rsidR="0039681A" w:rsidRPr="00A36E36" w:rsidRDefault="0039681A" w:rsidP="00351087">
            <w:pPr>
              <w:jc w:val="center"/>
              <w:rPr>
                <w:rFonts w:ascii="Arial Narrow" w:hAnsi="Arial Narrow" w:cs="Arial"/>
                <w:noProof/>
                <w:sz w:val="20"/>
                <w:szCs w:val="20"/>
                <w:lang w:val="en-IE"/>
              </w:rPr>
            </w:pPr>
          </w:p>
        </w:tc>
        <w:tc>
          <w:tcPr>
            <w:tcW w:w="1256" w:type="dxa"/>
            <w:shd w:val="clear" w:color="auto" w:fill="BBD2EA"/>
            <w:vAlign w:val="center"/>
          </w:tcPr>
          <w:p w14:paraId="5B36648E"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Unit of measure</w:t>
            </w:r>
          </w:p>
        </w:tc>
        <w:tc>
          <w:tcPr>
            <w:tcW w:w="871" w:type="dxa"/>
            <w:shd w:val="clear" w:color="auto" w:fill="BBD2EA"/>
            <w:vAlign w:val="center"/>
          </w:tcPr>
          <w:p w14:paraId="50BC79EC"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Baseline</w:t>
            </w:r>
          </w:p>
        </w:tc>
        <w:tc>
          <w:tcPr>
            <w:tcW w:w="989" w:type="dxa"/>
            <w:shd w:val="clear" w:color="auto" w:fill="BBD2EA"/>
            <w:vAlign w:val="center"/>
          </w:tcPr>
          <w:p w14:paraId="699E2082" w14:textId="77777777" w:rsidR="0039681A" w:rsidRPr="00647572" w:rsidRDefault="0039681A" w:rsidP="00351087">
            <w:pPr>
              <w:pStyle w:val="Other10"/>
              <w:ind w:firstLine="28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Goal</w:t>
            </w:r>
          </w:p>
        </w:tc>
        <w:tc>
          <w:tcPr>
            <w:tcW w:w="994" w:type="dxa"/>
            <w:shd w:val="clear" w:color="auto" w:fill="BBD2EA"/>
            <w:vAlign w:val="center"/>
          </w:tcPr>
          <w:p w14:paraId="725209E5"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Quarter</w:t>
            </w:r>
          </w:p>
        </w:tc>
        <w:tc>
          <w:tcPr>
            <w:tcW w:w="705" w:type="dxa"/>
            <w:shd w:val="clear" w:color="auto" w:fill="BBD2EA"/>
            <w:vAlign w:val="center"/>
          </w:tcPr>
          <w:p w14:paraId="50527AE5" w14:textId="77777777" w:rsidR="0039681A" w:rsidRPr="00647572" w:rsidRDefault="0039681A" w:rsidP="00351087">
            <w:pPr>
              <w:pStyle w:val="Other10"/>
              <w:jc w:val="center"/>
              <w:rPr>
                <w:rFonts w:ascii="Arial Narrow" w:hAnsi="Arial Narrow" w:cs="Arial"/>
                <w:noProof/>
                <w:sz w:val="20"/>
                <w:szCs w:val="20"/>
              </w:rPr>
            </w:pPr>
            <w:r w:rsidRPr="00647572">
              <w:rPr>
                <w:rStyle w:val="Other1"/>
                <w:rFonts w:ascii="Arial Narrow" w:hAnsi="Arial Narrow" w:cs="Arial"/>
                <w:b/>
                <w:bCs/>
                <w:noProof/>
                <w:color w:val="000000" w:themeColor="text1"/>
                <w:sz w:val="20"/>
                <w:szCs w:val="20"/>
              </w:rPr>
              <w:t>Year</w:t>
            </w:r>
          </w:p>
        </w:tc>
        <w:tc>
          <w:tcPr>
            <w:tcW w:w="3907" w:type="dxa"/>
            <w:vMerge/>
            <w:vAlign w:val="center"/>
          </w:tcPr>
          <w:p w14:paraId="074181D4" w14:textId="77777777" w:rsidR="0039681A" w:rsidRPr="00647572" w:rsidRDefault="0039681A" w:rsidP="00351087">
            <w:pPr>
              <w:jc w:val="center"/>
              <w:rPr>
                <w:rFonts w:ascii="Arial Narrow" w:hAnsi="Arial Narrow" w:cs="Arial"/>
                <w:noProof/>
                <w:sz w:val="20"/>
                <w:szCs w:val="20"/>
              </w:rPr>
            </w:pPr>
          </w:p>
        </w:tc>
      </w:tr>
      <w:tr w:rsidR="0039681A" w:rsidRPr="0070054C" w14:paraId="1EDDA1A3" w14:textId="77777777" w:rsidTr="00AF5341">
        <w:trPr>
          <w:cantSplit/>
          <w:trHeight w:val="300"/>
          <w:jc w:val="center"/>
        </w:trPr>
        <w:tc>
          <w:tcPr>
            <w:tcW w:w="1123" w:type="dxa"/>
            <w:shd w:val="clear" w:color="auto" w:fill="C6EFCD"/>
            <w:vAlign w:val="center"/>
          </w:tcPr>
          <w:p w14:paraId="64211928"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M2C3-5</w:t>
            </w:r>
          </w:p>
        </w:tc>
        <w:tc>
          <w:tcPr>
            <w:tcW w:w="1574" w:type="dxa"/>
            <w:shd w:val="clear" w:color="auto" w:fill="C6EFCD"/>
            <w:vAlign w:val="center"/>
          </w:tcPr>
          <w:p w14:paraId="64CEF9CE"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Investment 1.1: Construction of new schools through building replacement</w:t>
            </w:r>
          </w:p>
        </w:tc>
        <w:tc>
          <w:tcPr>
            <w:tcW w:w="1133" w:type="dxa"/>
            <w:shd w:val="clear" w:color="auto" w:fill="C6EFCD"/>
            <w:vAlign w:val="center"/>
          </w:tcPr>
          <w:p w14:paraId="735251B6" w14:textId="77777777" w:rsidR="0039681A" w:rsidRPr="00647572" w:rsidRDefault="0039681A" w:rsidP="00351087">
            <w:pPr>
              <w:pStyle w:val="Other10"/>
              <w:jc w:val="center"/>
              <w:rPr>
                <w:rStyle w:val="Other1"/>
                <w:rFonts w:ascii="Arial Narrow" w:hAnsi="Arial Narrow" w:cs="Arial"/>
                <w:noProof/>
                <w:sz w:val="20"/>
                <w:szCs w:val="20"/>
              </w:rPr>
            </w:pPr>
            <w:r w:rsidRPr="00647572">
              <w:rPr>
                <w:rFonts w:ascii="Arial Narrow" w:hAnsi="Arial Narrow"/>
                <w:noProof/>
                <w:sz w:val="20"/>
                <w:szCs w:val="20"/>
              </w:rPr>
              <w:t>Milestone</w:t>
            </w:r>
          </w:p>
        </w:tc>
        <w:tc>
          <w:tcPr>
            <w:tcW w:w="1843" w:type="dxa"/>
            <w:shd w:val="clear" w:color="auto" w:fill="C6EFCD"/>
            <w:vAlign w:val="center"/>
          </w:tcPr>
          <w:p w14:paraId="3815B951"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Award of all public contracts for the construction of new schools through building replacement to upgrade energy in school buildings, following a public tendering procedure</w:t>
            </w:r>
          </w:p>
        </w:tc>
        <w:tc>
          <w:tcPr>
            <w:tcW w:w="1560" w:type="dxa"/>
            <w:shd w:val="clear" w:color="auto" w:fill="C6EFCD"/>
            <w:vAlign w:val="center"/>
          </w:tcPr>
          <w:p w14:paraId="34731831"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Notification of the award of all public contracts following a public tendering procedure</w:t>
            </w:r>
          </w:p>
        </w:tc>
        <w:tc>
          <w:tcPr>
            <w:tcW w:w="1256" w:type="dxa"/>
            <w:shd w:val="clear" w:color="auto" w:fill="C6EFCD"/>
            <w:vAlign w:val="center"/>
          </w:tcPr>
          <w:p w14:paraId="3E73D961"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N/A</w:t>
            </w:r>
          </w:p>
        </w:tc>
        <w:tc>
          <w:tcPr>
            <w:tcW w:w="871" w:type="dxa"/>
            <w:shd w:val="clear" w:color="auto" w:fill="C6EFCD"/>
            <w:vAlign w:val="center"/>
          </w:tcPr>
          <w:p w14:paraId="7D67464F"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89" w:type="dxa"/>
            <w:shd w:val="clear" w:color="auto" w:fill="C6EFCD"/>
            <w:vAlign w:val="center"/>
          </w:tcPr>
          <w:p w14:paraId="7E01505D"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94" w:type="dxa"/>
            <w:shd w:val="clear" w:color="auto" w:fill="C6EFCD"/>
            <w:vAlign w:val="center"/>
          </w:tcPr>
          <w:p w14:paraId="1374EFCE"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Q3</w:t>
            </w:r>
          </w:p>
        </w:tc>
        <w:tc>
          <w:tcPr>
            <w:tcW w:w="705" w:type="dxa"/>
            <w:shd w:val="clear" w:color="auto" w:fill="C6EFCD"/>
            <w:vAlign w:val="center"/>
          </w:tcPr>
          <w:p w14:paraId="08207A98"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2023</w:t>
            </w:r>
          </w:p>
        </w:tc>
        <w:tc>
          <w:tcPr>
            <w:tcW w:w="3907" w:type="dxa"/>
            <w:shd w:val="clear" w:color="auto" w:fill="C6EFCD"/>
          </w:tcPr>
          <w:p w14:paraId="610BDB01" w14:textId="77777777" w:rsidR="0039681A" w:rsidRPr="007473DA" w:rsidRDefault="0039681A" w:rsidP="00351087">
            <w:pPr>
              <w:pStyle w:val="Other10"/>
              <w:rPr>
                <w:rFonts w:ascii="Arial Narrow" w:hAnsi="Arial Narrow" w:cs="Arial"/>
                <w:noProof/>
                <w:sz w:val="20"/>
                <w:szCs w:val="20"/>
                <w:lang w:val="en-IE"/>
              </w:rPr>
            </w:pPr>
            <w:r w:rsidRPr="007473DA">
              <w:rPr>
                <w:rFonts w:ascii="Arial Narrow" w:hAnsi="Arial Narrow"/>
                <w:noProof/>
                <w:sz w:val="20"/>
                <w:szCs w:val="20"/>
                <w:lang w:val="en-IE"/>
              </w:rPr>
              <w:t>Notification of the award of all public contracts on new schools building replacement eligible for funding formalised by local authorities equivalent to a total surface of at least 400 000 square meters</w:t>
            </w:r>
          </w:p>
        </w:tc>
      </w:tr>
      <w:tr w:rsidR="0039681A" w:rsidRPr="0070054C" w14:paraId="15F111D4" w14:textId="77777777" w:rsidTr="00AF5341">
        <w:trPr>
          <w:cantSplit/>
          <w:trHeight w:val="300"/>
          <w:jc w:val="center"/>
        </w:trPr>
        <w:tc>
          <w:tcPr>
            <w:tcW w:w="1123" w:type="dxa"/>
            <w:shd w:val="clear" w:color="auto" w:fill="C6EFCD"/>
            <w:vAlign w:val="center"/>
          </w:tcPr>
          <w:p w14:paraId="378EAFC0" w14:textId="77777777" w:rsidR="0039681A" w:rsidRPr="00647572" w:rsidRDefault="0039681A" w:rsidP="00351087">
            <w:pPr>
              <w:pStyle w:val="Other10"/>
              <w:jc w:val="center"/>
              <w:rPr>
                <w:rFonts w:ascii="Arial Narrow" w:hAnsi="Arial Narrow" w:cs="Arial"/>
                <w:noProof/>
                <w:sz w:val="20"/>
                <w:szCs w:val="20"/>
              </w:rPr>
            </w:pPr>
            <w:r w:rsidRPr="4947C389">
              <w:rPr>
                <w:rFonts w:ascii="Arial Narrow" w:hAnsi="Arial Narrow"/>
                <w:noProof/>
                <w:sz w:val="20"/>
                <w:szCs w:val="20"/>
              </w:rPr>
              <w:t>M2C3-6</w:t>
            </w:r>
          </w:p>
        </w:tc>
        <w:tc>
          <w:tcPr>
            <w:tcW w:w="1574" w:type="dxa"/>
            <w:shd w:val="clear" w:color="auto" w:fill="C6EFCD"/>
            <w:vAlign w:val="center"/>
          </w:tcPr>
          <w:p w14:paraId="77F921CD"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Investment 1.1: Construction of new schools through building replacement</w:t>
            </w:r>
          </w:p>
        </w:tc>
        <w:tc>
          <w:tcPr>
            <w:tcW w:w="1133" w:type="dxa"/>
            <w:shd w:val="clear" w:color="auto" w:fill="C6EFCD"/>
            <w:vAlign w:val="center"/>
          </w:tcPr>
          <w:p w14:paraId="2B92B97F"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Target</w:t>
            </w:r>
          </w:p>
        </w:tc>
        <w:tc>
          <w:tcPr>
            <w:tcW w:w="1843" w:type="dxa"/>
            <w:shd w:val="clear" w:color="auto" w:fill="C6EFCD"/>
            <w:vAlign w:val="center"/>
          </w:tcPr>
          <w:p w14:paraId="36E31913" w14:textId="4D22ADD9" w:rsidR="0039681A" w:rsidRPr="00A36E36" w:rsidRDefault="0039681A" w:rsidP="00351087">
            <w:pPr>
              <w:pStyle w:val="Other10"/>
              <w:jc w:val="center"/>
              <w:rPr>
                <w:rFonts w:ascii="Arial Narrow" w:hAnsi="Arial Narrow"/>
                <w:noProof/>
                <w:sz w:val="20"/>
                <w:szCs w:val="20"/>
              </w:rPr>
            </w:pPr>
            <w:r w:rsidRPr="5D40ADCC">
              <w:rPr>
                <w:rFonts w:ascii="Arial Narrow" w:hAnsi="Arial Narrow"/>
                <w:noProof/>
                <w:sz w:val="20"/>
                <w:szCs w:val="20"/>
              </w:rPr>
              <w:t>Construction of new schools</w:t>
            </w:r>
          </w:p>
        </w:tc>
        <w:tc>
          <w:tcPr>
            <w:tcW w:w="1560" w:type="dxa"/>
            <w:shd w:val="clear" w:color="auto" w:fill="C6EFCD"/>
            <w:vAlign w:val="center"/>
          </w:tcPr>
          <w:p w14:paraId="4145C2DF"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N/A</w:t>
            </w:r>
          </w:p>
        </w:tc>
        <w:tc>
          <w:tcPr>
            <w:tcW w:w="1256" w:type="dxa"/>
            <w:shd w:val="clear" w:color="auto" w:fill="C6EFCD"/>
            <w:vAlign w:val="center"/>
          </w:tcPr>
          <w:p w14:paraId="2C51BE1A"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Number</w:t>
            </w:r>
          </w:p>
        </w:tc>
        <w:tc>
          <w:tcPr>
            <w:tcW w:w="871" w:type="dxa"/>
            <w:shd w:val="clear" w:color="auto" w:fill="C6EFCD"/>
            <w:vAlign w:val="center"/>
          </w:tcPr>
          <w:p w14:paraId="56F6C429"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0</w:t>
            </w:r>
          </w:p>
        </w:tc>
        <w:tc>
          <w:tcPr>
            <w:tcW w:w="989" w:type="dxa"/>
            <w:shd w:val="clear" w:color="auto" w:fill="C6EFCD"/>
            <w:vAlign w:val="center"/>
          </w:tcPr>
          <w:p w14:paraId="53D03521"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166</w:t>
            </w:r>
          </w:p>
        </w:tc>
        <w:tc>
          <w:tcPr>
            <w:tcW w:w="994" w:type="dxa"/>
            <w:shd w:val="clear" w:color="auto" w:fill="C6EFCD"/>
            <w:vAlign w:val="center"/>
          </w:tcPr>
          <w:p w14:paraId="759323D4" w14:textId="77777777" w:rsidR="0039681A" w:rsidRPr="00647572" w:rsidRDefault="0039681A" w:rsidP="00351087">
            <w:pPr>
              <w:pStyle w:val="Other10"/>
              <w:jc w:val="center"/>
              <w:rPr>
                <w:rFonts w:ascii="Arial Narrow" w:hAnsi="Arial Narrow" w:cs="Arial"/>
                <w:noProof/>
                <w:sz w:val="20"/>
                <w:szCs w:val="20"/>
              </w:rPr>
            </w:pPr>
            <w:r w:rsidRPr="48DFA516">
              <w:rPr>
                <w:rFonts w:ascii="Arial Narrow" w:hAnsi="Arial Narrow"/>
                <w:noProof/>
                <w:sz w:val="20"/>
                <w:szCs w:val="20"/>
              </w:rPr>
              <w:t>Q2</w:t>
            </w:r>
          </w:p>
        </w:tc>
        <w:tc>
          <w:tcPr>
            <w:tcW w:w="705" w:type="dxa"/>
            <w:shd w:val="clear" w:color="auto" w:fill="C6EFCD"/>
            <w:vAlign w:val="center"/>
          </w:tcPr>
          <w:p w14:paraId="28D26AFC"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2026</w:t>
            </w:r>
          </w:p>
        </w:tc>
        <w:tc>
          <w:tcPr>
            <w:tcW w:w="3907" w:type="dxa"/>
            <w:shd w:val="clear" w:color="auto" w:fill="C6EFCD"/>
          </w:tcPr>
          <w:p w14:paraId="7B5529DC" w14:textId="59256468" w:rsidR="0039681A" w:rsidRPr="007473DA" w:rsidRDefault="0039681A" w:rsidP="00351087">
            <w:pPr>
              <w:pStyle w:val="Other10"/>
              <w:rPr>
                <w:rFonts w:ascii="Arial Narrow" w:hAnsi="Arial Narrow"/>
                <w:noProof/>
                <w:sz w:val="20"/>
                <w:szCs w:val="20"/>
                <w:lang w:val="en-IE"/>
              </w:rPr>
            </w:pPr>
            <w:r w:rsidRPr="007473DA">
              <w:rPr>
                <w:rFonts w:ascii="Arial Narrow" w:hAnsi="Arial Narrow"/>
                <w:noProof/>
                <w:sz w:val="20"/>
                <w:szCs w:val="20"/>
                <w:lang w:val="en-IE"/>
              </w:rPr>
              <w:t xml:space="preserve">At least 166 new schools are built. </w:t>
            </w:r>
          </w:p>
          <w:p w14:paraId="0D33C3F4" w14:textId="0A89DC5A" w:rsidR="0039681A" w:rsidRPr="007473DA" w:rsidRDefault="0039681A" w:rsidP="00351087">
            <w:pPr>
              <w:pStyle w:val="Other10"/>
              <w:rPr>
                <w:rFonts w:ascii="Arial Narrow" w:hAnsi="Arial Narrow" w:cs="Arial"/>
                <w:noProof/>
                <w:sz w:val="20"/>
                <w:szCs w:val="20"/>
                <w:lang w:val="en-IE"/>
              </w:rPr>
            </w:pPr>
            <w:r w:rsidRPr="007473DA">
              <w:rPr>
                <w:rFonts w:ascii="Arial Narrow" w:hAnsi="Arial Narrow"/>
                <w:noProof/>
                <w:sz w:val="20"/>
                <w:szCs w:val="20"/>
                <w:lang w:val="en-IE"/>
              </w:rPr>
              <w:t>The primary energy consumption of the 166 new schools shall be at least 20% lower than the Nearly Zero Energy Buildings requirement.</w:t>
            </w:r>
          </w:p>
        </w:tc>
      </w:tr>
      <w:tr w:rsidR="0039681A" w:rsidRPr="0070054C" w14:paraId="417CAE2D" w14:textId="77777777" w:rsidTr="00AF5341">
        <w:trPr>
          <w:cantSplit/>
          <w:trHeight w:val="300"/>
          <w:jc w:val="center"/>
        </w:trPr>
        <w:tc>
          <w:tcPr>
            <w:tcW w:w="1123" w:type="dxa"/>
            <w:shd w:val="clear" w:color="auto" w:fill="C6EFCD"/>
            <w:vAlign w:val="center"/>
          </w:tcPr>
          <w:p w14:paraId="5C45AF9B"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M2C3-7</w:t>
            </w:r>
          </w:p>
        </w:tc>
        <w:tc>
          <w:tcPr>
            <w:tcW w:w="1574" w:type="dxa"/>
            <w:shd w:val="clear" w:color="auto" w:fill="C6EFCD"/>
            <w:vAlign w:val="center"/>
          </w:tcPr>
          <w:p w14:paraId="786EB2FC"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Investment 1.2- Construction of buildings, requalification and strengthening of real estate assets of the administration of justice</w:t>
            </w:r>
          </w:p>
        </w:tc>
        <w:tc>
          <w:tcPr>
            <w:tcW w:w="1133" w:type="dxa"/>
            <w:shd w:val="clear" w:color="auto" w:fill="C6EFCD"/>
            <w:vAlign w:val="center"/>
          </w:tcPr>
          <w:p w14:paraId="49D55A0B"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Milestone</w:t>
            </w:r>
          </w:p>
        </w:tc>
        <w:tc>
          <w:tcPr>
            <w:tcW w:w="1843" w:type="dxa"/>
            <w:shd w:val="clear" w:color="auto" w:fill="C6EFCD"/>
            <w:vAlign w:val="center"/>
          </w:tcPr>
          <w:p w14:paraId="18EC3270"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Award of all public contracts to construct new buildings, requalify and strengthen real estate assets of the administration of justice are signed by the contracting authority following a public tendering procedure</w:t>
            </w:r>
          </w:p>
        </w:tc>
        <w:tc>
          <w:tcPr>
            <w:tcW w:w="1560" w:type="dxa"/>
            <w:shd w:val="clear" w:color="auto" w:fill="C6EFCD"/>
            <w:vAlign w:val="center"/>
          </w:tcPr>
          <w:p w14:paraId="3857AF61" w14:textId="77777777" w:rsidR="0039681A" w:rsidRPr="007473DA" w:rsidRDefault="0039681A" w:rsidP="00351087">
            <w:pPr>
              <w:pStyle w:val="Other10"/>
              <w:jc w:val="center"/>
              <w:rPr>
                <w:rFonts w:ascii="Arial Narrow" w:hAnsi="Arial Narrow" w:cs="Arial"/>
                <w:noProof/>
                <w:sz w:val="20"/>
                <w:szCs w:val="20"/>
                <w:lang w:val="en-IE"/>
              </w:rPr>
            </w:pPr>
            <w:r w:rsidRPr="007473DA">
              <w:rPr>
                <w:rFonts w:ascii="Arial Narrow" w:hAnsi="Arial Narrow"/>
                <w:noProof/>
                <w:sz w:val="20"/>
                <w:szCs w:val="20"/>
                <w:lang w:val="en-IE"/>
              </w:rPr>
              <w:t>Notification of the award of all public contracts following a public tendering procedure</w:t>
            </w:r>
          </w:p>
        </w:tc>
        <w:tc>
          <w:tcPr>
            <w:tcW w:w="1256" w:type="dxa"/>
            <w:shd w:val="clear" w:color="auto" w:fill="C6EFCD"/>
            <w:vAlign w:val="center"/>
          </w:tcPr>
          <w:p w14:paraId="16EFFB07"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N/A</w:t>
            </w:r>
          </w:p>
        </w:tc>
        <w:tc>
          <w:tcPr>
            <w:tcW w:w="871" w:type="dxa"/>
            <w:shd w:val="clear" w:color="auto" w:fill="C6EFCD"/>
            <w:vAlign w:val="center"/>
          </w:tcPr>
          <w:p w14:paraId="0F7DE668"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N/A</w:t>
            </w:r>
          </w:p>
        </w:tc>
        <w:tc>
          <w:tcPr>
            <w:tcW w:w="989" w:type="dxa"/>
            <w:shd w:val="clear" w:color="auto" w:fill="C6EFCD"/>
            <w:vAlign w:val="center"/>
          </w:tcPr>
          <w:p w14:paraId="6BFCD35C"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N/A</w:t>
            </w:r>
          </w:p>
        </w:tc>
        <w:tc>
          <w:tcPr>
            <w:tcW w:w="994" w:type="dxa"/>
            <w:shd w:val="clear" w:color="auto" w:fill="C6EFCD"/>
            <w:vAlign w:val="center"/>
          </w:tcPr>
          <w:p w14:paraId="5D45575F"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Q4</w:t>
            </w:r>
          </w:p>
        </w:tc>
        <w:tc>
          <w:tcPr>
            <w:tcW w:w="705" w:type="dxa"/>
            <w:shd w:val="clear" w:color="auto" w:fill="C6EFCD"/>
            <w:vAlign w:val="center"/>
          </w:tcPr>
          <w:p w14:paraId="4835C788"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2023</w:t>
            </w:r>
          </w:p>
        </w:tc>
        <w:tc>
          <w:tcPr>
            <w:tcW w:w="3907" w:type="dxa"/>
            <w:shd w:val="clear" w:color="auto" w:fill="C6EFCD"/>
          </w:tcPr>
          <w:p w14:paraId="52347516" w14:textId="77777777" w:rsidR="0039681A" w:rsidRPr="007473DA" w:rsidRDefault="0039681A" w:rsidP="00351087">
            <w:pPr>
              <w:pStyle w:val="Other10"/>
              <w:rPr>
                <w:rStyle w:val="Other1"/>
                <w:rFonts w:ascii="Arial Narrow" w:hAnsi="Arial Narrow" w:cs="Arial"/>
                <w:noProof/>
                <w:sz w:val="20"/>
                <w:szCs w:val="20"/>
                <w:lang w:val="en-IE"/>
              </w:rPr>
            </w:pPr>
            <w:r w:rsidRPr="007473DA">
              <w:rPr>
                <w:rFonts w:ascii="Arial Narrow" w:hAnsi="Arial Narrow"/>
                <w:noProof/>
                <w:sz w:val="20"/>
                <w:szCs w:val="20"/>
                <w:lang w:val="en-IE"/>
              </w:rPr>
              <w:t>Notification of the award of all public contracts on the construction of buildings, requalification and strengthening of real estate assets of the administration of justice.</w:t>
            </w:r>
          </w:p>
        </w:tc>
      </w:tr>
      <w:tr w:rsidR="0039681A" w:rsidRPr="0070054C" w14:paraId="784ABA8B" w14:textId="77777777" w:rsidTr="00AF5341">
        <w:trPr>
          <w:cantSplit/>
          <w:trHeight w:val="300"/>
          <w:jc w:val="center"/>
        </w:trPr>
        <w:tc>
          <w:tcPr>
            <w:tcW w:w="1123" w:type="dxa"/>
            <w:shd w:val="clear" w:color="auto" w:fill="C6EFCD"/>
            <w:vAlign w:val="center"/>
          </w:tcPr>
          <w:p w14:paraId="6732BE60"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M2C3-8</w:t>
            </w:r>
          </w:p>
        </w:tc>
        <w:tc>
          <w:tcPr>
            <w:tcW w:w="1574" w:type="dxa"/>
            <w:shd w:val="clear" w:color="auto" w:fill="C6EFCD"/>
            <w:vAlign w:val="center"/>
          </w:tcPr>
          <w:p w14:paraId="20BE5466"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Investment 1.2- Requalification of public real estate assets partly or wholly used by the administration of justice</w:t>
            </w:r>
          </w:p>
        </w:tc>
        <w:tc>
          <w:tcPr>
            <w:tcW w:w="1133" w:type="dxa"/>
            <w:shd w:val="clear" w:color="auto" w:fill="C6EFCD"/>
            <w:vAlign w:val="center"/>
          </w:tcPr>
          <w:p w14:paraId="40B899A2" w14:textId="77777777" w:rsidR="0039681A" w:rsidRPr="00647572" w:rsidRDefault="0039681A" w:rsidP="00351087">
            <w:pPr>
              <w:pStyle w:val="Other10"/>
              <w:jc w:val="center"/>
              <w:rPr>
                <w:rStyle w:val="Other1"/>
                <w:rFonts w:ascii="Arial Narrow" w:hAnsi="Arial Narrow" w:cs="Arial"/>
                <w:noProof/>
                <w:sz w:val="20"/>
                <w:szCs w:val="20"/>
              </w:rPr>
            </w:pPr>
            <w:r w:rsidRPr="00647572">
              <w:rPr>
                <w:rFonts w:ascii="Arial Narrow" w:hAnsi="Arial Narrow"/>
                <w:noProof/>
                <w:sz w:val="20"/>
                <w:szCs w:val="20"/>
              </w:rPr>
              <w:t>Target</w:t>
            </w:r>
          </w:p>
        </w:tc>
        <w:tc>
          <w:tcPr>
            <w:tcW w:w="1843" w:type="dxa"/>
            <w:shd w:val="clear" w:color="auto" w:fill="C6EFCD"/>
            <w:vAlign w:val="center"/>
          </w:tcPr>
          <w:p w14:paraId="04EAA7C2"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Works for at least 289 000 square meters of public real estate assets carried out</w:t>
            </w:r>
          </w:p>
        </w:tc>
        <w:tc>
          <w:tcPr>
            <w:tcW w:w="1560" w:type="dxa"/>
            <w:shd w:val="clear" w:color="auto" w:fill="C6EFCD"/>
            <w:vAlign w:val="center"/>
          </w:tcPr>
          <w:p w14:paraId="39327107" w14:textId="77777777" w:rsidR="0039681A" w:rsidRPr="00647572" w:rsidRDefault="0039681A" w:rsidP="00351087">
            <w:pPr>
              <w:pStyle w:val="Other10"/>
              <w:jc w:val="center"/>
              <w:rPr>
                <w:rStyle w:val="Other1"/>
                <w:rFonts w:ascii="Arial Narrow" w:hAnsi="Arial Narrow" w:cs="Arial"/>
                <w:noProof/>
                <w:sz w:val="20"/>
                <w:szCs w:val="20"/>
              </w:rPr>
            </w:pPr>
            <w:r w:rsidRPr="00647572">
              <w:rPr>
                <w:rFonts w:ascii="Arial Narrow" w:hAnsi="Arial Narrow"/>
                <w:noProof/>
                <w:sz w:val="20"/>
                <w:szCs w:val="20"/>
              </w:rPr>
              <w:t>N/A</w:t>
            </w:r>
          </w:p>
        </w:tc>
        <w:tc>
          <w:tcPr>
            <w:tcW w:w="1256" w:type="dxa"/>
            <w:shd w:val="clear" w:color="auto" w:fill="C6EFCD"/>
            <w:vAlign w:val="center"/>
          </w:tcPr>
          <w:p w14:paraId="5F26F22E"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Number</w:t>
            </w:r>
          </w:p>
        </w:tc>
        <w:tc>
          <w:tcPr>
            <w:tcW w:w="871" w:type="dxa"/>
            <w:shd w:val="clear" w:color="auto" w:fill="C6EFCD"/>
            <w:vAlign w:val="center"/>
          </w:tcPr>
          <w:p w14:paraId="7425CA57"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0</w:t>
            </w:r>
          </w:p>
        </w:tc>
        <w:tc>
          <w:tcPr>
            <w:tcW w:w="989" w:type="dxa"/>
            <w:shd w:val="clear" w:color="auto" w:fill="C6EFCD"/>
            <w:vAlign w:val="center"/>
          </w:tcPr>
          <w:p w14:paraId="68D06091"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289 000</w:t>
            </w:r>
          </w:p>
        </w:tc>
        <w:tc>
          <w:tcPr>
            <w:tcW w:w="994" w:type="dxa"/>
            <w:shd w:val="clear" w:color="auto" w:fill="C6EFCD"/>
            <w:vAlign w:val="center"/>
          </w:tcPr>
          <w:p w14:paraId="1D158959"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Q</w:t>
            </w:r>
            <w:r>
              <w:rPr>
                <w:rFonts w:ascii="Arial Narrow" w:hAnsi="Arial Narrow"/>
                <w:noProof/>
                <w:sz w:val="20"/>
                <w:szCs w:val="20"/>
              </w:rPr>
              <w:t>2</w:t>
            </w:r>
          </w:p>
        </w:tc>
        <w:tc>
          <w:tcPr>
            <w:tcW w:w="705" w:type="dxa"/>
            <w:shd w:val="clear" w:color="auto" w:fill="C6EFCD"/>
            <w:vAlign w:val="center"/>
          </w:tcPr>
          <w:p w14:paraId="5E42D9AC"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2026</w:t>
            </w:r>
          </w:p>
        </w:tc>
        <w:tc>
          <w:tcPr>
            <w:tcW w:w="3907" w:type="dxa"/>
            <w:shd w:val="clear" w:color="auto" w:fill="C6EFCD"/>
          </w:tcPr>
          <w:p w14:paraId="45A57A1E" w14:textId="77777777" w:rsidR="0039681A" w:rsidRPr="007473DA" w:rsidRDefault="0039681A" w:rsidP="00351087">
            <w:pPr>
              <w:pStyle w:val="Other10"/>
              <w:rPr>
                <w:rFonts w:ascii="Arial Narrow" w:hAnsi="Arial Narrow" w:cs="Arial"/>
                <w:noProof/>
                <w:sz w:val="20"/>
                <w:szCs w:val="20"/>
                <w:lang w:val="en-IE"/>
              </w:rPr>
            </w:pPr>
            <w:r w:rsidRPr="007473DA">
              <w:rPr>
                <w:rFonts w:ascii="Arial Narrow" w:hAnsi="Arial Narrow"/>
                <w:noProof/>
                <w:sz w:val="20"/>
                <w:szCs w:val="20"/>
                <w:lang w:val="en-IE"/>
              </w:rPr>
              <w:t>Certificates of completion of works for at least 289 000 square meters of public real estate assets partly or wholly used by the administration of justice are issued.</w:t>
            </w:r>
          </w:p>
        </w:tc>
      </w:tr>
      <w:tr w:rsidR="0039681A" w:rsidRPr="0070054C" w14:paraId="119BC15D" w14:textId="77777777" w:rsidTr="00AF5341">
        <w:trPr>
          <w:cantSplit/>
          <w:trHeight w:val="300"/>
          <w:jc w:val="center"/>
        </w:trPr>
        <w:tc>
          <w:tcPr>
            <w:tcW w:w="1123" w:type="dxa"/>
            <w:shd w:val="clear" w:color="auto" w:fill="C6EFCD"/>
            <w:vAlign w:val="center"/>
          </w:tcPr>
          <w:p w14:paraId="65E36B0B"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M2C3-9</w:t>
            </w:r>
          </w:p>
        </w:tc>
        <w:tc>
          <w:tcPr>
            <w:tcW w:w="1574" w:type="dxa"/>
            <w:shd w:val="clear" w:color="auto" w:fill="C6EFCD"/>
            <w:vAlign w:val="center"/>
          </w:tcPr>
          <w:p w14:paraId="608E6B46"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Investment 3.1: Promotion of efficient district heating</w:t>
            </w:r>
          </w:p>
        </w:tc>
        <w:tc>
          <w:tcPr>
            <w:tcW w:w="1133" w:type="dxa"/>
            <w:shd w:val="clear" w:color="auto" w:fill="C6EFCD"/>
            <w:vAlign w:val="center"/>
          </w:tcPr>
          <w:p w14:paraId="52B633F2" w14:textId="77777777" w:rsidR="0039681A" w:rsidRPr="00647572" w:rsidRDefault="0039681A" w:rsidP="00351087">
            <w:pPr>
              <w:pStyle w:val="Other10"/>
              <w:jc w:val="center"/>
              <w:rPr>
                <w:rStyle w:val="Other1"/>
                <w:rFonts w:ascii="Arial Narrow" w:hAnsi="Arial Narrow" w:cs="Arial"/>
                <w:noProof/>
                <w:sz w:val="20"/>
                <w:szCs w:val="20"/>
              </w:rPr>
            </w:pPr>
            <w:r w:rsidRPr="00647572">
              <w:rPr>
                <w:rFonts w:ascii="Arial Narrow" w:hAnsi="Arial Narrow"/>
                <w:noProof/>
                <w:sz w:val="20"/>
                <w:szCs w:val="20"/>
              </w:rPr>
              <w:t>Milestone</w:t>
            </w:r>
          </w:p>
        </w:tc>
        <w:tc>
          <w:tcPr>
            <w:tcW w:w="1843" w:type="dxa"/>
            <w:shd w:val="clear" w:color="auto" w:fill="C6EFCD"/>
            <w:vAlign w:val="center"/>
          </w:tcPr>
          <w:p w14:paraId="32F3AAC0"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Contracts to improve the heating networks are awarded by the Ministry of Ecological Transition following a public tendering procedure</w:t>
            </w:r>
          </w:p>
        </w:tc>
        <w:tc>
          <w:tcPr>
            <w:tcW w:w="1560" w:type="dxa"/>
            <w:shd w:val="clear" w:color="auto" w:fill="C6EFCD"/>
            <w:vAlign w:val="center"/>
          </w:tcPr>
          <w:p w14:paraId="48EA4770"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Notification of award of all public contracts following a public tendering procedure</w:t>
            </w:r>
          </w:p>
        </w:tc>
        <w:tc>
          <w:tcPr>
            <w:tcW w:w="1256" w:type="dxa"/>
            <w:shd w:val="clear" w:color="auto" w:fill="C6EFCD"/>
            <w:vAlign w:val="center"/>
          </w:tcPr>
          <w:p w14:paraId="5EC37CA9"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N/A</w:t>
            </w:r>
          </w:p>
        </w:tc>
        <w:tc>
          <w:tcPr>
            <w:tcW w:w="871" w:type="dxa"/>
            <w:shd w:val="clear" w:color="auto" w:fill="C6EFCD"/>
            <w:vAlign w:val="center"/>
          </w:tcPr>
          <w:p w14:paraId="0C924B98"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89" w:type="dxa"/>
            <w:shd w:val="clear" w:color="auto" w:fill="C6EFCD"/>
            <w:vAlign w:val="center"/>
          </w:tcPr>
          <w:p w14:paraId="636AC4C8"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N/A</w:t>
            </w:r>
          </w:p>
        </w:tc>
        <w:tc>
          <w:tcPr>
            <w:tcW w:w="994" w:type="dxa"/>
            <w:shd w:val="clear" w:color="auto" w:fill="C6EFCD"/>
            <w:vAlign w:val="center"/>
          </w:tcPr>
          <w:p w14:paraId="120C2033"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Q4</w:t>
            </w:r>
          </w:p>
        </w:tc>
        <w:tc>
          <w:tcPr>
            <w:tcW w:w="705" w:type="dxa"/>
            <w:shd w:val="clear" w:color="auto" w:fill="C6EFCD"/>
            <w:vAlign w:val="center"/>
          </w:tcPr>
          <w:p w14:paraId="763BFB72"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2022</w:t>
            </w:r>
          </w:p>
        </w:tc>
        <w:tc>
          <w:tcPr>
            <w:tcW w:w="3907" w:type="dxa"/>
            <w:shd w:val="clear" w:color="auto" w:fill="C6EFCD"/>
          </w:tcPr>
          <w:p w14:paraId="762A4A15" w14:textId="77777777" w:rsidR="0039681A" w:rsidRPr="007473DA" w:rsidRDefault="0039681A" w:rsidP="00351087">
            <w:pPr>
              <w:pStyle w:val="Other10"/>
              <w:rPr>
                <w:rFonts w:ascii="Arial Narrow" w:hAnsi="Arial Narrow"/>
                <w:noProof/>
                <w:sz w:val="20"/>
                <w:szCs w:val="20"/>
                <w:lang w:val="en-IE"/>
              </w:rPr>
            </w:pPr>
            <w:r w:rsidRPr="007473DA">
              <w:rPr>
                <w:rFonts w:ascii="Arial Narrow" w:hAnsi="Arial Narrow"/>
                <w:noProof/>
                <w:sz w:val="20"/>
                <w:szCs w:val="20"/>
                <w:lang w:val="en-IE"/>
              </w:rPr>
              <w:t>Award of all public contracts for the construction of new district heating networks or the extension of existing district heating networks, which should include the requirement of reducing energy consumption.</w:t>
            </w:r>
          </w:p>
          <w:p w14:paraId="4F6909A1" w14:textId="77777777" w:rsidR="0039681A" w:rsidRPr="007473DA" w:rsidRDefault="0039681A" w:rsidP="00351087">
            <w:pPr>
              <w:pStyle w:val="Other10"/>
              <w:rPr>
                <w:rFonts w:ascii="Arial Narrow" w:hAnsi="Arial Narrow"/>
                <w:noProof/>
                <w:sz w:val="20"/>
                <w:szCs w:val="20"/>
                <w:lang w:val="en-IE"/>
              </w:rPr>
            </w:pPr>
          </w:p>
          <w:p w14:paraId="0BA34506" w14:textId="77777777" w:rsidR="0039681A" w:rsidRPr="007473DA" w:rsidRDefault="0039681A" w:rsidP="00351087">
            <w:pPr>
              <w:pStyle w:val="Other10"/>
              <w:rPr>
                <w:rFonts w:ascii="Arial Narrow" w:hAnsi="Arial Narrow" w:cs="Arial"/>
                <w:noProof/>
                <w:sz w:val="20"/>
                <w:szCs w:val="20"/>
                <w:lang w:val="en-IE"/>
              </w:rPr>
            </w:pPr>
            <w:r w:rsidRPr="007473DA">
              <w:rPr>
                <w:rFonts w:ascii="Arial Narrow" w:hAnsi="Arial Narrow"/>
                <w:noProof/>
                <w:sz w:val="20"/>
                <w:lang w:val="en-IE"/>
              </w:rPr>
              <w:t>Award of the contracts to the projects selected under the competitive calls for proposals in compliance with the ’Do no significant harm’ Technical Guidance (2021/C58/01) through the use of an exclusion list and the requirement of compliance with the relevant EU and national environmental legislation.</w:t>
            </w:r>
          </w:p>
        </w:tc>
      </w:tr>
      <w:tr w:rsidR="0039681A" w:rsidRPr="0070054C" w14:paraId="0853DB4E" w14:textId="77777777" w:rsidTr="00AF5341">
        <w:trPr>
          <w:cantSplit/>
          <w:trHeight w:val="300"/>
          <w:jc w:val="center"/>
        </w:trPr>
        <w:tc>
          <w:tcPr>
            <w:tcW w:w="1123" w:type="dxa"/>
            <w:shd w:val="clear" w:color="auto" w:fill="C6EFCD"/>
            <w:vAlign w:val="center"/>
          </w:tcPr>
          <w:p w14:paraId="1F55B985"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M2C3-10</w:t>
            </w:r>
          </w:p>
        </w:tc>
        <w:tc>
          <w:tcPr>
            <w:tcW w:w="1574" w:type="dxa"/>
            <w:shd w:val="clear" w:color="auto" w:fill="C6EFCD"/>
            <w:vAlign w:val="center"/>
          </w:tcPr>
          <w:p w14:paraId="36BAE7A7"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Investment 3.1: Promotion of efficient district heating</w:t>
            </w:r>
          </w:p>
        </w:tc>
        <w:tc>
          <w:tcPr>
            <w:tcW w:w="1133" w:type="dxa"/>
            <w:shd w:val="clear" w:color="auto" w:fill="C6EFCD"/>
            <w:vAlign w:val="center"/>
          </w:tcPr>
          <w:p w14:paraId="3B55BE52" w14:textId="77777777" w:rsidR="0039681A" w:rsidRPr="00647572" w:rsidRDefault="0039681A" w:rsidP="00351087">
            <w:pPr>
              <w:pStyle w:val="Other10"/>
              <w:jc w:val="center"/>
              <w:rPr>
                <w:rStyle w:val="Other1"/>
                <w:rFonts w:ascii="Arial Narrow" w:hAnsi="Arial Narrow" w:cs="Arial"/>
                <w:noProof/>
                <w:sz w:val="20"/>
                <w:szCs w:val="20"/>
              </w:rPr>
            </w:pPr>
            <w:r w:rsidRPr="00647572">
              <w:rPr>
                <w:rFonts w:ascii="Arial Narrow" w:hAnsi="Arial Narrow"/>
                <w:noProof/>
                <w:sz w:val="20"/>
                <w:szCs w:val="20"/>
              </w:rPr>
              <w:t>Target</w:t>
            </w:r>
          </w:p>
        </w:tc>
        <w:tc>
          <w:tcPr>
            <w:tcW w:w="1843" w:type="dxa"/>
            <w:shd w:val="clear" w:color="auto" w:fill="C6EFCD"/>
            <w:vAlign w:val="center"/>
          </w:tcPr>
          <w:p w14:paraId="637322A8" w14:textId="77777777" w:rsidR="0039681A" w:rsidRPr="007473DA" w:rsidRDefault="0039681A" w:rsidP="00351087">
            <w:pPr>
              <w:pStyle w:val="Other10"/>
              <w:jc w:val="center"/>
              <w:rPr>
                <w:rStyle w:val="Other1"/>
                <w:rFonts w:ascii="Arial Narrow" w:hAnsi="Arial Narrow" w:cs="Arial"/>
                <w:noProof/>
                <w:sz w:val="20"/>
                <w:szCs w:val="20"/>
                <w:lang w:val="en-IE"/>
              </w:rPr>
            </w:pPr>
            <w:r w:rsidRPr="007473DA">
              <w:rPr>
                <w:rFonts w:ascii="Arial Narrow" w:hAnsi="Arial Narrow"/>
                <w:noProof/>
                <w:sz w:val="20"/>
                <w:szCs w:val="20"/>
                <w:lang w:val="en-IE"/>
              </w:rPr>
              <w:t>Build or extension of networks for district heating to reduce energy consumption</w:t>
            </w:r>
          </w:p>
        </w:tc>
        <w:tc>
          <w:tcPr>
            <w:tcW w:w="1560" w:type="dxa"/>
            <w:shd w:val="clear" w:color="auto" w:fill="C6EFCD"/>
            <w:vAlign w:val="center"/>
          </w:tcPr>
          <w:p w14:paraId="53058330" w14:textId="77777777" w:rsidR="0039681A" w:rsidRPr="00647572" w:rsidRDefault="0039681A" w:rsidP="00351087">
            <w:pPr>
              <w:pStyle w:val="Other10"/>
              <w:jc w:val="center"/>
              <w:rPr>
                <w:rStyle w:val="Other1"/>
                <w:rFonts w:ascii="Arial Narrow" w:hAnsi="Arial Narrow" w:cs="Arial"/>
                <w:noProof/>
                <w:sz w:val="20"/>
                <w:szCs w:val="20"/>
              </w:rPr>
            </w:pPr>
            <w:r w:rsidRPr="00647572">
              <w:rPr>
                <w:rFonts w:ascii="Arial Narrow" w:hAnsi="Arial Narrow"/>
                <w:noProof/>
                <w:sz w:val="20"/>
                <w:szCs w:val="20"/>
              </w:rPr>
              <w:t>N/A</w:t>
            </w:r>
          </w:p>
        </w:tc>
        <w:tc>
          <w:tcPr>
            <w:tcW w:w="1256" w:type="dxa"/>
            <w:shd w:val="clear" w:color="auto" w:fill="C6EFCD"/>
            <w:vAlign w:val="center"/>
          </w:tcPr>
          <w:p w14:paraId="1586A175"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KTOE</w:t>
            </w:r>
          </w:p>
        </w:tc>
        <w:tc>
          <w:tcPr>
            <w:tcW w:w="871" w:type="dxa"/>
            <w:shd w:val="clear" w:color="auto" w:fill="C6EFCD"/>
            <w:vAlign w:val="center"/>
          </w:tcPr>
          <w:p w14:paraId="68ECB0E3"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0</w:t>
            </w:r>
          </w:p>
        </w:tc>
        <w:tc>
          <w:tcPr>
            <w:tcW w:w="989" w:type="dxa"/>
            <w:shd w:val="clear" w:color="auto" w:fill="C6EFCD"/>
            <w:vAlign w:val="center"/>
          </w:tcPr>
          <w:p w14:paraId="5B4AD4D2" w14:textId="77777777" w:rsidR="0039681A" w:rsidRPr="00647572" w:rsidRDefault="0039681A" w:rsidP="00351087">
            <w:pPr>
              <w:pStyle w:val="Other10"/>
              <w:jc w:val="center"/>
              <w:rPr>
                <w:rFonts w:ascii="Arial Narrow" w:hAnsi="Arial Narrow"/>
                <w:noProof/>
                <w:sz w:val="20"/>
                <w:szCs w:val="20"/>
              </w:rPr>
            </w:pPr>
            <w:r w:rsidRPr="00647572">
              <w:rPr>
                <w:rFonts w:ascii="Arial Narrow" w:hAnsi="Arial Narrow"/>
                <w:noProof/>
                <w:sz w:val="20"/>
                <w:szCs w:val="20"/>
              </w:rPr>
              <w:t>30</w:t>
            </w:r>
          </w:p>
        </w:tc>
        <w:tc>
          <w:tcPr>
            <w:tcW w:w="994" w:type="dxa"/>
            <w:shd w:val="clear" w:color="auto" w:fill="C6EFCD"/>
            <w:vAlign w:val="center"/>
          </w:tcPr>
          <w:p w14:paraId="60D36CC1" w14:textId="77777777" w:rsidR="0039681A" w:rsidRPr="00647572" w:rsidRDefault="0039681A" w:rsidP="00351087">
            <w:pPr>
              <w:pStyle w:val="Other10"/>
              <w:jc w:val="center"/>
              <w:rPr>
                <w:rFonts w:ascii="Arial Narrow" w:hAnsi="Arial Narrow" w:cs="Arial"/>
                <w:noProof/>
                <w:sz w:val="20"/>
                <w:szCs w:val="20"/>
              </w:rPr>
            </w:pPr>
            <w:r w:rsidRPr="48DFA516">
              <w:rPr>
                <w:rFonts w:ascii="Arial Narrow" w:hAnsi="Arial Narrow"/>
                <w:noProof/>
                <w:sz w:val="20"/>
                <w:szCs w:val="20"/>
              </w:rPr>
              <w:t>Q2</w:t>
            </w:r>
          </w:p>
        </w:tc>
        <w:tc>
          <w:tcPr>
            <w:tcW w:w="705" w:type="dxa"/>
            <w:shd w:val="clear" w:color="auto" w:fill="C6EFCD"/>
            <w:vAlign w:val="center"/>
          </w:tcPr>
          <w:p w14:paraId="2A001A9B" w14:textId="77777777" w:rsidR="0039681A" w:rsidRPr="00647572" w:rsidRDefault="0039681A" w:rsidP="00351087">
            <w:pPr>
              <w:pStyle w:val="Other10"/>
              <w:jc w:val="center"/>
              <w:rPr>
                <w:rFonts w:ascii="Arial Narrow" w:hAnsi="Arial Narrow" w:cs="Arial"/>
                <w:noProof/>
                <w:sz w:val="20"/>
                <w:szCs w:val="20"/>
              </w:rPr>
            </w:pPr>
            <w:r w:rsidRPr="00647572">
              <w:rPr>
                <w:rFonts w:ascii="Arial Narrow" w:hAnsi="Arial Narrow"/>
                <w:noProof/>
                <w:sz w:val="20"/>
                <w:szCs w:val="20"/>
              </w:rPr>
              <w:t>2026</w:t>
            </w:r>
          </w:p>
        </w:tc>
        <w:tc>
          <w:tcPr>
            <w:tcW w:w="3907" w:type="dxa"/>
            <w:shd w:val="clear" w:color="auto" w:fill="C6EFCD"/>
          </w:tcPr>
          <w:p w14:paraId="610974C3" w14:textId="4EA5B97E" w:rsidR="0039681A" w:rsidRPr="00A36E36" w:rsidRDefault="0039681A" w:rsidP="00351087">
            <w:pPr>
              <w:spacing w:after="120"/>
              <w:rPr>
                <w:rFonts w:ascii="Arial Narrow" w:hAnsi="Arial Narrow"/>
                <w:noProof/>
                <w:color w:val="006100"/>
                <w:sz w:val="20"/>
                <w:szCs w:val="20"/>
                <w:lang w:val="en-IE"/>
              </w:rPr>
            </w:pPr>
            <w:r w:rsidRPr="4F54D060">
              <w:rPr>
                <w:rFonts w:ascii="Arial Narrow" w:hAnsi="Arial Narrow"/>
                <w:noProof/>
                <w:color w:val="006100"/>
                <w:sz w:val="20"/>
                <w:szCs w:val="20"/>
                <w:lang w:val="en-IE"/>
              </w:rPr>
              <w:t>Independent engineer report(s) issued certifying that interventions have been carried out for the construction of new networks for district heating, or the extension of existing ones</w:t>
            </w:r>
            <w:r w:rsidR="00381DB1">
              <w:rPr>
                <w:rFonts w:ascii="Arial Narrow" w:hAnsi="Arial Narrow"/>
                <w:noProof/>
                <w:color w:val="006100"/>
                <w:sz w:val="20"/>
                <w:szCs w:val="20"/>
                <w:lang w:val="en-IE"/>
              </w:rPr>
              <w:t xml:space="preserve"> </w:t>
            </w:r>
            <w:r w:rsidRPr="4F54D060">
              <w:rPr>
                <w:rFonts w:ascii="Arial Narrow" w:hAnsi="Arial Narrow"/>
                <w:noProof/>
                <w:color w:val="006100"/>
                <w:sz w:val="20"/>
                <w:szCs w:val="20"/>
                <w:lang w:val="en-IE"/>
              </w:rPr>
              <w:t xml:space="preserve">allowing for an energy consumption reduction of at least 30 KTOE per year. </w:t>
            </w:r>
          </w:p>
          <w:p w14:paraId="42D14F7B"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investment shall comply with the conditions set out in footnote (9) of the Annex VI of Regulation 241/2021/EU on the Recovery and Resilience Facility</w:t>
            </w:r>
          </w:p>
          <w:p w14:paraId="72E2F813" w14:textId="77777777" w:rsidR="0039681A" w:rsidRPr="007473DA" w:rsidRDefault="0039681A" w:rsidP="00351087">
            <w:pPr>
              <w:pStyle w:val="Other10"/>
              <w:rPr>
                <w:rFonts w:ascii="Arial Narrow" w:hAnsi="Arial Narrow" w:cs="Arial"/>
                <w:noProof/>
                <w:sz w:val="20"/>
                <w:szCs w:val="20"/>
                <w:lang w:val="en-IE"/>
              </w:rPr>
            </w:pPr>
            <w:r w:rsidRPr="007473DA">
              <w:rPr>
                <w:rFonts w:ascii="Arial Narrow" w:hAnsi="Arial Narrow"/>
                <w:noProof/>
                <w:sz w:val="20"/>
                <w:szCs w:val="20"/>
                <w:lang w:val="en-IE"/>
              </w:rPr>
              <w:t>To be eligible, district heating systems</w:t>
            </w:r>
            <w:r w:rsidRPr="007473DA">
              <w:rPr>
                <w:rFonts w:ascii="Arial Narrow" w:eastAsia="Arial Narrow" w:hAnsi="Arial Narrow" w:cs="Arial Narrow"/>
                <w:noProof/>
                <w:sz w:val="20"/>
                <w:szCs w:val="20"/>
                <w:lang w:val="en-IE"/>
              </w:rPr>
              <w:t xml:space="preserve"> </w:t>
            </w:r>
            <w:r w:rsidRPr="007473DA">
              <w:rPr>
                <w:rFonts w:ascii="Arial Narrow" w:hAnsi="Arial Narrow"/>
                <w:noProof/>
                <w:sz w:val="20"/>
                <w:szCs w:val="20"/>
                <w:lang w:val="en-IE"/>
              </w:rPr>
              <w:t>shall use heat generated from renewable sources, from waste heat or cogenerated in high performance plants as the main heat source. Fossil fuels shall solely be used as a back up.</w:t>
            </w:r>
          </w:p>
        </w:tc>
      </w:tr>
    </w:tbl>
    <w:p w14:paraId="1410F01E" w14:textId="77777777" w:rsidR="0039681A" w:rsidRPr="00A36E36" w:rsidRDefault="0039681A" w:rsidP="00351087">
      <w:pPr>
        <w:tabs>
          <w:tab w:val="left" w:pos="4252"/>
        </w:tabs>
        <w:rPr>
          <w:i/>
          <w:noProof/>
          <w:lang w:val="en-IE"/>
        </w:rPr>
        <w:sectPr w:rsidR="0039681A" w:rsidRPr="00A36E36" w:rsidSect="0039681A">
          <w:headerReference w:type="even" r:id="rId103"/>
          <w:headerReference w:type="default" r:id="rId104"/>
          <w:footerReference w:type="default" r:id="rId105"/>
          <w:headerReference w:type="first" r:id="rId106"/>
          <w:pgSz w:w="16838" w:h="11906" w:orient="landscape"/>
          <w:pgMar w:top="1134" w:right="1134" w:bottom="1134" w:left="1134" w:header="567" w:footer="567" w:gutter="0"/>
          <w:cols w:space="708"/>
          <w:docGrid w:linePitch="360"/>
        </w:sectPr>
      </w:pPr>
    </w:p>
    <w:p w14:paraId="376F927F" w14:textId="77777777" w:rsidR="0039681A" w:rsidRPr="00A36E36" w:rsidRDefault="0039681A" w:rsidP="00351087">
      <w:pPr>
        <w:pStyle w:val="Heading2"/>
        <w:ind w:left="1080"/>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G. MISSION 2 COMPONENT 4- Territorial planning and water resources</w:t>
      </w:r>
    </w:p>
    <w:p w14:paraId="4E53E216" w14:textId="77777777" w:rsidR="0039681A" w:rsidRPr="00647572" w:rsidRDefault="0039681A" w:rsidP="00351087">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The aim of this component of the Italian recovery and resilience plan is to address a number of long-lasting weaknesses related to the management of water resources and hydrogeological risks in Italy and to adopt a number of measures aimed at preserving biodiversity. This is to be achieved through a significant and balanced combination of reforms and investments in those various dimensions.</w:t>
      </w:r>
    </w:p>
    <w:p w14:paraId="03153891" w14:textId="77777777" w:rsidR="0039681A" w:rsidRPr="00647572" w:rsidRDefault="0039681A" w:rsidP="00351087">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On the reforms side, the component proposes a set of measures aimed principally at improving the efficiency in the management of water resources by reducing the fragmentation of the sector, by establishing an adequate pricing policy and by setting a number of incentives to tackle the existing problems related to wastewater management. Reforms in this component also include a set of measures to simplify the design and implementation of projects related to water infrastructure and to the management and reduction of hydrological risks.</w:t>
      </w:r>
    </w:p>
    <w:p w14:paraId="6027CC98" w14:textId="77777777" w:rsidR="0039681A" w:rsidRPr="00647572" w:rsidRDefault="0039681A" w:rsidP="00351087">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The investments associated to this component shall contribute to mitigate and better manage the hydrogeological risk in Italy, both from a prevention and adaptation perspective and shall aim to make the infrastructure related to water more resilient. In addition, they aim to significantly improve the management of water resources through better wastewater management and a significant reduction of water leakages, including in the agricultural sector. The investments shall strengthen the digitalisation of those sectors and shall make them more energy efficient and better adapted to climate change. This component also incorporates a set of measures aimed at preserving biodiversity and green areas in line with the EU 2030 “Biodiversity Strategy”.</w:t>
      </w:r>
    </w:p>
    <w:p w14:paraId="71E0CCB8" w14:textId="77777777" w:rsidR="0039681A" w:rsidRPr="00647572" w:rsidRDefault="0039681A" w:rsidP="00351087">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This component addresses part of the 2</w:t>
      </w:r>
      <w:r w:rsidRPr="00647572">
        <w:rPr>
          <w:rFonts w:ascii="Arial Narrow" w:hAnsi="Arial Narrow"/>
          <w:noProof/>
          <w:color w:val="006100"/>
          <w:sz w:val="22"/>
          <w:szCs w:val="22"/>
          <w:lang w:val="en-GB"/>
        </w:rPr>
        <w:t> </w:t>
      </w:r>
      <w:r w:rsidRPr="00647572">
        <w:rPr>
          <w:rFonts w:ascii="Times New Roman" w:hAnsi="Times New Roman" w:cs="Times New Roman"/>
          <w:noProof/>
          <w:sz w:val="22"/>
          <w:szCs w:val="22"/>
          <w:lang w:val="en-GB"/>
        </w:rPr>
        <w:t>020 country-specific recommendation 3 by which the Council of the European Union recommended Italy to take action to ‘Focus investment on the green and digital transition, in particular on […] water managemnt as well as reinforced digital infrastructure to ensure the provision of essential services’. It also addresses parts the 2019 country-specific recommendation 3 (‘Focus investment-related economic policy on the quality of infrastructure, taking into account regional disparities. […] and improve the effectiveness of public administration […] by accelerating digitalisation, and by increasing the efficiency and quality of local public services’).</w:t>
      </w:r>
    </w:p>
    <w:p w14:paraId="581A9618" w14:textId="77777777" w:rsidR="0039681A" w:rsidRPr="00647572" w:rsidRDefault="0039681A" w:rsidP="00351087">
      <w:pPr>
        <w:pStyle w:val="Times12"/>
        <w:rPr>
          <w:rFonts w:ascii="Times New Roman" w:hAnsi="Times New Roman" w:cs="Times New Roman"/>
          <w:b/>
          <w:noProof/>
          <w:u w:val="single"/>
          <w:lang w:val="en-GB"/>
        </w:rPr>
      </w:pPr>
      <w:r w:rsidRPr="00647572">
        <w:rPr>
          <w:rFonts w:ascii="Times New Roman" w:hAnsi="Times New Roman" w:cs="Times New Roman"/>
          <w:noProof/>
          <w:sz w:val="22"/>
          <w:szCs w:val="22"/>
          <w:lang w:val="en-GB"/>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EFCFC40" w14:textId="77777777" w:rsidR="0039681A" w:rsidRPr="00A36E36" w:rsidRDefault="0039681A" w:rsidP="0035108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G.1. </w:t>
      </w:r>
      <w:r w:rsidRPr="00A36E36">
        <w:rPr>
          <w:rFonts w:ascii="Times New Roman" w:hAnsi="Times New Roman" w:cs="Times New Roman"/>
          <w:b/>
          <w:noProof/>
          <w:sz w:val="24"/>
          <w:szCs w:val="24"/>
          <w:u w:val="single"/>
          <w:lang w:val="en-IE"/>
        </w:rPr>
        <w:tab/>
        <w:t>Description of the reforms and investments for non-repayable financial support</w:t>
      </w:r>
    </w:p>
    <w:p w14:paraId="1A65DB73" w14:textId="77777777" w:rsidR="0039681A" w:rsidRPr="00647572" w:rsidRDefault="0039681A" w:rsidP="00351087">
      <w:pPr>
        <w:pStyle w:val="Times12"/>
        <w:rPr>
          <w:rFonts w:ascii="Times New Roman" w:hAnsi="Times New Roman" w:cs="Times New Roman"/>
          <w:b/>
          <w:bCs/>
          <w:noProof/>
          <w:sz w:val="22"/>
          <w:szCs w:val="22"/>
          <w:lang w:val="en-GB"/>
        </w:rPr>
      </w:pPr>
      <w:r w:rsidRPr="00647572">
        <w:rPr>
          <w:rFonts w:ascii="Times New Roman" w:hAnsi="Times New Roman" w:cs="Times New Roman"/>
          <w:b/>
          <w:noProof/>
          <w:sz w:val="22"/>
          <w:szCs w:val="22"/>
          <w:lang w:val="en-GB"/>
        </w:rPr>
        <w:t xml:space="preserve">Reform 2.1- Simplification and acceleration of the procedures for implementing interventions against hydrogeological instability </w:t>
      </w:r>
    </w:p>
    <w:p w14:paraId="50A08718" w14:textId="77777777" w:rsidR="0039681A" w:rsidRPr="00647572" w:rsidRDefault="0039681A" w:rsidP="00351087">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The aim of this reform is to overcome the existing weaknesses in the governance of hydrogeological risks highlighted by the Italian Court of Auditors. It shall consist of simplifying and accelerating procedures for the implementation of projects in this area, including establishing maximum deadlines for each phase; prioritising interventions in line with the National Risk Assessment and with Article 6 of the Decision 1313/2013 EU and Risk Management Capability Assessment and the Do No Significant Harm principle; setting a plan to increase the administrative capacity of the entities responsible for the implementation of these projects and reinforcing the coordination between the various levels of government involved, including by streamlining the information flows.</w:t>
      </w:r>
    </w:p>
    <w:p w14:paraId="396B8607" w14:textId="77777777" w:rsidR="0039681A" w:rsidRPr="00647572" w:rsidRDefault="0039681A" w:rsidP="00351087">
      <w:pPr>
        <w:pStyle w:val="Times12"/>
        <w:rPr>
          <w:rFonts w:ascii="Times New Roman" w:hAnsi="Times New Roman" w:cs="Times New Roman"/>
          <w:b/>
          <w:bCs/>
          <w:noProof/>
          <w:sz w:val="22"/>
          <w:szCs w:val="22"/>
          <w:lang w:val="en-GB"/>
        </w:rPr>
      </w:pPr>
      <w:r w:rsidRPr="00647572">
        <w:rPr>
          <w:rFonts w:ascii="Times New Roman" w:hAnsi="Times New Roman" w:cs="Times New Roman"/>
          <w:b/>
          <w:noProof/>
          <w:sz w:val="22"/>
          <w:szCs w:val="22"/>
          <w:lang w:val="en-GB"/>
        </w:rPr>
        <w:t xml:space="preserve">Reform 2- Reform of the legal framework for a better management and a sustainable use of water </w:t>
      </w:r>
    </w:p>
    <w:p w14:paraId="6D017A01" w14:textId="77777777" w:rsidR="0039681A" w:rsidRPr="00647572" w:rsidRDefault="0039681A" w:rsidP="00351087">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This reform shall aim to address the long-lasting problems of the water sector in Italy, reflected in many ongoing infringement procedures for non-compliance with the Council Directive 91/271/EEC, in an excessive fragmentation of the sector and in the absence of adequate incentives and pricing policies. The measures envisaged are expected to</w:t>
      </w:r>
      <w:r w:rsidRPr="00647572">
        <w:rPr>
          <w:rFonts w:ascii="Times New Roman" w:hAnsi="Times New Roman" w:cs="Times New Roman"/>
          <w:noProof/>
          <w:lang w:val="en-GB"/>
        </w:rPr>
        <w:t xml:space="preserve"> </w:t>
      </w:r>
      <w:r w:rsidRPr="00647572">
        <w:rPr>
          <w:rFonts w:ascii="Times New Roman" w:hAnsi="Times New Roman" w:cs="Times New Roman"/>
          <w:noProof/>
          <w:sz w:val="22"/>
          <w:szCs w:val="22"/>
          <w:lang w:val="en-GB"/>
        </w:rPr>
        <w:t xml:space="preserve">significantly reduce the fragmentation of the sector by reducing the number of operators and encouraging economies of scale, setting incentives to reduce water leakages and the excessive consumption of water by the agricultural sector and establishing adequate pricing policies for a more sustainable consumption of water. </w:t>
      </w:r>
    </w:p>
    <w:p w14:paraId="6CB272CB" w14:textId="4D907827" w:rsidR="0039681A" w:rsidRPr="00647572" w:rsidRDefault="0039681A" w:rsidP="00351087">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A set of Memoranda of Understanding (MoU) shall be signed with the regions Campania, Calabria, Molise and Sicilia to reduce fragmentation in the number of operators providing water services. The MoU shall set objectives in terms of setting Local Government Bodies, reducing the number of operators and achieving economies of scale with a view to setting single operators for at least each 40 000 inhabitants within the two years following the signature of those MoU.</w:t>
      </w:r>
      <w:r w:rsidR="00381DB1">
        <w:rPr>
          <w:rFonts w:ascii="Times New Roman" w:hAnsi="Times New Roman" w:cs="Times New Roman"/>
          <w:noProof/>
          <w:sz w:val="22"/>
          <w:szCs w:val="22"/>
          <w:lang w:val="en-GB"/>
        </w:rPr>
        <w:t xml:space="preserve"> </w:t>
      </w:r>
    </w:p>
    <w:p w14:paraId="14EACE75" w14:textId="77777777" w:rsidR="0039681A" w:rsidRPr="00647572" w:rsidRDefault="0039681A" w:rsidP="00351087">
      <w:pPr>
        <w:pStyle w:val="Times12"/>
        <w:rPr>
          <w:rFonts w:ascii="Times New Roman" w:hAnsi="Times New Roman" w:cs="Times New Roman"/>
          <w:b/>
          <w:bCs/>
          <w:noProof/>
          <w:sz w:val="22"/>
          <w:szCs w:val="22"/>
          <w:lang w:val="en-GB"/>
        </w:rPr>
      </w:pPr>
      <w:r w:rsidRPr="00647572">
        <w:rPr>
          <w:rFonts w:ascii="Times New Roman" w:hAnsi="Times New Roman" w:cs="Times New Roman"/>
          <w:b/>
          <w:noProof/>
          <w:sz w:val="22"/>
          <w:szCs w:val="22"/>
          <w:lang w:val="en-GB"/>
        </w:rPr>
        <w:t>Reform 4.2 “Measures to ensure full managerial capacities for Integrated water services”</w:t>
      </w:r>
    </w:p>
    <w:p w14:paraId="0EFF29F6" w14:textId="77777777" w:rsidR="0039681A" w:rsidRPr="00647572" w:rsidRDefault="0039681A" w:rsidP="00351087">
      <w:pPr>
        <w:pStyle w:val="Times12"/>
        <w:rPr>
          <w:rFonts w:ascii="Times New Roman" w:hAnsi="Times New Roman" w:cs="Times New Roman"/>
          <w:bCs/>
          <w:noProof/>
          <w:sz w:val="22"/>
          <w:szCs w:val="22"/>
          <w:lang w:val="en-GB"/>
        </w:rPr>
      </w:pPr>
      <w:r w:rsidRPr="00647572">
        <w:rPr>
          <w:rFonts w:ascii="Times New Roman" w:hAnsi="Times New Roman" w:cs="Times New Roman"/>
          <w:noProof/>
          <w:sz w:val="22"/>
          <w:szCs w:val="22"/>
          <w:lang w:val="en-GB"/>
        </w:rPr>
        <w:t xml:space="preserve">This reform aims to address major problems in the management of water resources and make the system more efficient. </w:t>
      </w:r>
    </w:p>
    <w:p w14:paraId="6DF97278" w14:textId="77777777" w:rsidR="0039681A" w:rsidRPr="00647572" w:rsidRDefault="0039681A" w:rsidP="00351087">
      <w:pPr>
        <w:pStyle w:val="Times12"/>
        <w:rPr>
          <w:rFonts w:ascii="Times New Roman" w:hAnsi="Times New Roman" w:cs="Times New Roman"/>
          <w:b/>
          <w:noProof/>
          <w:sz w:val="22"/>
          <w:szCs w:val="22"/>
          <w:lang w:val="en-GB"/>
        </w:rPr>
      </w:pPr>
      <w:r w:rsidRPr="00647572">
        <w:rPr>
          <w:rFonts w:ascii="Times New Roman" w:hAnsi="Times New Roman" w:cs="Times New Roman"/>
          <w:noProof/>
          <w:sz w:val="22"/>
          <w:szCs w:val="22"/>
          <w:lang w:val="en-GB"/>
        </w:rPr>
        <w:t>The system is expected to reduce the existing fragmentation in the number of operators, which currently hinders an efficient use of water resources in some parts of the country. The reform is also expected to set the right incentives for a better use of water resources in the agricultural sector, to introduce a system of penalties for the illegal extraction of water and to introduce a system of prices which reflects better and is more in line with the polluter-pays principle while avoiding the expansion of existing irrigation systems. The measures shall be adopted in cooperation with the regions where the management of water resources is more problematic at present.</w:t>
      </w:r>
    </w:p>
    <w:p w14:paraId="15A956F7" w14:textId="77777777" w:rsidR="0039681A" w:rsidRPr="00647572" w:rsidRDefault="0039681A" w:rsidP="00351087">
      <w:pPr>
        <w:pStyle w:val="Times12"/>
        <w:rPr>
          <w:rFonts w:ascii="Times New Roman" w:hAnsi="Times New Roman" w:cs="Times New Roman"/>
          <w:b/>
          <w:bCs/>
          <w:noProof/>
          <w:sz w:val="22"/>
          <w:szCs w:val="22"/>
          <w:lang w:val="en-GB"/>
        </w:rPr>
      </w:pPr>
      <w:r w:rsidRPr="00647572">
        <w:rPr>
          <w:rFonts w:ascii="Times New Roman" w:hAnsi="Times New Roman" w:cs="Times New Roman"/>
          <w:b/>
          <w:bCs/>
          <w:noProof/>
          <w:sz w:val="22"/>
          <w:szCs w:val="22"/>
          <w:lang w:val="en-GB"/>
        </w:rPr>
        <w:t>Investment 3.2- Digitization of national parks and marine protected areas</w:t>
      </w:r>
    </w:p>
    <w:p w14:paraId="1C79EE77" w14:textId="77777777" w:rsidR="0039681A" w:rsidRPr="00647572" w:rsidRDefault="0039681A" w:rsidP="00351087">
      <w:pPr>
        <w:pStyle w:val="Times12"/>
        <w:rPr>
          <w:rFonts w:ascii="Times New Roman" w:hAnsi="Times New Roman" w:cs="Times New Roman"/>
          <w:noProof/>
          <w:sz w:val="22"/>
          <w:szCs w:val="22"/>
          <w:lang w:val="en-GB"/>
        </w:rPr>
      </w:pPr>
      <w:r w:rsidRPr="00647572">
        <w:rPr>
          <w:rFonts w:ascii="Times New Roman" w:hAnsi="Times New Roman" w:cs="Times New Roman"/>
          <w:noProof/>
          <w:sz w:val="22"/>
          <w:szCs w:val="22"/>
          <w:lang w:val="en-GB"/>
        </w:rPr>
        <w:t>The objective of the measure is to modernize and digitize procedures related to the functioning of national parks and marine protected areas. The measure consist</w:t>
      </w:r>
      <w:r>
        <w:rPr>
          <w:rFonts w:ascii="Times New Roman" w:hAnsi="Times New Roman" w:cs="Times New Roman"/>
          <w:noProof/>
          <w:sz w:val="22"/>
          <w:szCs w:val="22"/>
          <w:lang w:val="en-GB"/>
        </w:rPr>
        <w:t>s</w:t>
      </w:r>
      <w:r w:rsidRPr="00647572">
        <w:rPr>
          <w:rFonts w:ascii="Times New Roman" w:hAnsi="Times New Roman" w:cs="Times New Roman"/>
          <w:noProof/>
          <w:sz w:val="22"/>
          <w:szCs w:val="22"/>
          <w:lang w:val="en-GB"/>
        </w:rPr>
        <w:t xml:space="preserve"> of digital services to visitors and interventions in nature conservation and monitoring of natural resources.</w:t>
      </w:r>
    </w:p>
    <w:p w14:paraId="0CBE0F92" w14:textId="77777777" w:rsidR="0039681A" w:rsidRPr="00647572" w:rsidRDefault="0039681A" w:rsidP="00351087">
      <w:pPr>
        <w:pStyle w:val="Times12"/>
        <w:rPr>
          <w:rFonts w:ascii="Times New Roman" w:hAnsi="Times New Roman" w:cs="Times New Roman"/>
          <w:b/>
          <w:bCs/>
          <w:noProof/>
          <w:sz w:val="22"/>
          <w:szCs w:val="22"/>
          <w:lang w:val="en-GB"/>
        </w:rPr>
      </w:pPr>
      <w:r w:rsidRPr="00647572">
        <w:rPr>
          <w:rFonts w:ascii="Times New Roman" w:hAnsi="Times New Roman" w:cs="Times New Roman"/>
          <w:b/>
          <w:bCs/>
          <w:noProof/>
          <w:sz w:val="22"/>
          <w:szCs w:val="22"/>
          <w:lang w:val="en-GB"/>
        </w:rPr>
        <w:t>Investment 4.2. Reduction of losses in water distribution networks, including digitization and monitoring of networks</w:t>
      </w:r>
    </w:p>
    <w:p w14:paraId="7267FA53" w14:textId="4FA8B09F" w:rsidR="0039681A" w:rsidRPr="00926DDC" w:rsidRDefault="0039681A" w:rsidP="00351087">
      <w:pPr>
        <w:pStyle w:val="Times12"/>
        <w:rPr>
          <w:rFonts w:ascii="Times New Roman" w:hAnsi="Times New Roman" w:cs="Times New Roman"/>
          <w:noProof/>
          <w:sz w:val="22"/>
          <w:szCs w:val="22"/>
          <w:lang w:val="en-IE"/>
        </w:rPr>
      </w:pPr>
      <w:r w:rsidRPr="00926DDC">
        <w:rPr>
          <w:rFonts w:ascii="Times New Roman" w:hAnsi="Times New Roman" w:cs="Times New Roman"/>
          <w:noProof/>
          <w:sz w:val="22"/>
          <w:szCs w:val="22"/>
          <w:lang w:val="en-IE"/>
        </w:rPr>
        <w:t>The objective of this investment is to reduce loss of drinking water. The measure consists in</w:t>
      </w:r>
      <w:r w:rsidR="00381DB1">
        <w:rPr>
          <w:rFonts w:ascii="Times New Roman" w:hAnsi="Times New Roman" w:cs="Times New Roman"/>
          <w:noProof/>
          <w:sz w:val="22"/>
          <w:szCs w:val="22"/>
          <w:lang w:val="en-IE"/>
        </w:rPr>
        <w:t xml:space="preserve"> </w:t>
      </w:r>
      <w:r w:rsidRPr="00926DDC">
        <w:rPr>
          <w:rFonts w:ascii="Times New Roman" w:hAnsi="Times New Roman" w:cs="Times New Roman"/>
          <w:noProof/>
          <w:sz w:val="22"/>
          <w:szCs w:val="22"/>
          <w:lang w:val="en-IE"/>
        </w:rPr>
        <w:t>the disctricting of water distribution networks.</w:t>
      </w:r>
    </w:p>
    <w:p w14:paraId="19FB3B64" w14:textId="209305BF"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Investment 3.1: Protection and enhancement of urban and peri-urban forests </w:t>
      </w:r>
    </w:p>
    <w:p w14:paraId="56221AE8" w14:textId="4DDA7660" w:rsidR="0039681A" w:rsidRPr="00647572" w:rsidRDefault="0039681A" w:rsidP="00381DB1">
      <w:pPr>
        <w:pStyle w:val="Times12"/>
        <w:jc w:val="left"/>
        <w:rPr>
          <w:rFonts w:ascii="Times New Roman" w:hAnsi="Times New Roman" w:cs="Times New Roman"/>
          <w:noProof/>
          <w:lang w:val="en-GB"/>
        </w:rPr>
        <w:sectPr w:rsidR="0039681A" w:rsidRPr="00647572" w:rsidSect="00AF5341">
          <w:headerReference w:type="even" r:id="rId107"/>
          <w:headerReference w:type="default" r:id="rId108"/>
          <w:footerReference w:type="default" r:id="rId109"/>
          <w:headerReference w:type="first" r:id="rId110"/>
          <w:pgSz w:w="11906" w:h="16838"/>
          <w:pgMar w:top="1440" w:right="1440" w:bottom="1440" w:left="1440" w:header="708" w:footer="708" w:gutter="0"/>
          <w:cols w:space="708"/>
          <w:docGrid w:linePitch="360"/>
        </w:sectPr>
      </w:pPr>
      <w:r w:rsidRPr="202A8740">
        <w:rPr>
          <w:rFonts w:ascii="Times New Roman" w:hAnsi="Times New Roman" w:cs="Times New Roman"/>
          <w:noProof/>
          <w:lang w:val="en-IE"/>
        </w:rPr>
        <w:t>The objective of this measure is to protect green areas and increase their number with the objective of both preserving and enhancing biodiversity and increasing the quality of life of the inhabitants of those areas. The measure consists in planting forest reproductive material (seeds or plants) for at least 4</w:t>
      </w:r>
      <w:r w:rsidR="00381DB1">
        <w:rPr>
          <w:rFonts w:ascii="Times New Roman" w:hAnsi="Times New Roman" w:cs="Times New Roman"/>
          <w:noProof/>
          <w:lang w:val="en-IE"/>
        </w:rPr>
        <w:t> </w:t>
      </w:r>
      <w:r w:rsidRPr="202A8740">
        <w:rPr>
          <w:rFonts w:ascii="Times New Roman" w:hAnsi="Times New Roman" w:cs="Times New Roman"/>
          <w:noProof/>
          <w:lang w:val="en-IE"/>
        </w:rPr>
        <w:t>500</w:t>
      </w:r>
      <w:r w:rsidR="00381DB1">
        <w:rPr>
          <w:rFonts w:ascii="Times New Roman" w:hAnsi="Times New Roman" w:cs="Times New Roman"/>
          <w:noProof/>
          <w:lang w:val="en-IE"/>
        </w:rPr>
        <w:t> </w:t>
      </w:r>
      <w:r w:rsidRPr="202A8740">
        <w:rPr>
          <w:rFonts w:ascii="Times New Roman" w:hAnsi="Times New Roman" w:cs="Times New Roman"/>
          <w:noProof/>
          <w:lang w:val="en-IE"/>
        </w:rPr>
        <w:t>000 trees or shrubs and in transplanting at least 3</w:t>
      </w:r>
      <w:r w:rsidR="00381DB1">
        <w:rPr>
          <w:rFonts w:ascii="Times New Roman" w:hAnsi="Times New Roman" w:cs="Times New Roman"/>
          <w:noProof/>
          <w:lang w:val="en-IE"/>
        </w:rPr>
        <w:t> </w:t>
      </w:r>
      <w:r w:rsidRPr="202A8740">
        <w:rPr>
          <w:rFonts w:ascii="Times New Roman" w:hAnsi="Times New Roman" w:cs="Times New Roman"/>
          <w:noProof/>
          <w:lang w:val="en-IE"/>
        </w:rPr>
        <w:t>500</w:t>
      </w:r>
      <w:r w:rsidR="00381DB1">
        <w:rPr>
          <w:rFonts w:ascii="Times New Roman" w:hAnsi="Times New Roman" w:cs="Times New Roman"/>
          <w:noProof/>
          <w:lang w:val="en-IE"/>
        </w:rPr>
        <w:t> </w:t>
      </w:r>
      <w:r w:rsidRPr="202A8740">
        <w:rPr>
          <w:rFonts w:ascii="Times New Roman" w:hAnsi="Times New Roman" w:cs="Times New Roman"/>
          <w:noProof/>
          <w:lang w:val="en-IE"/>
        </w:rPr>
        <w:t>000</w:t>
      </w:r>
      <w:r>
        <w:rPr>
          <w:rFonts w:ascii="Times New Roman" w:hAnsi="Times New Roman" w:cs="Times New Roman"/>
          <w:noProof/>
          <w:lang w:val="en-IE"/>
        </w:rPr>
        <w:t xml:space="preserve"> </w:t>
      </w:r>
      <w:r w:rsidRPr="202A8740">
        <w:rPr>
          <w:rFonts w:ascii="Times New Roman" w:hAnsi="Times New Roman" w:cs="Times New Roman"/>
          <w:noProof/>
          <w:lang w:val="en-IE"/>
        </w:rPr>
        <w:t>trees or shrubs, in</w:t>
      </w:r>
      <w:r w:rsidR="00381DB1">
        <w:rPr>
          <w:rFonts w:ascii="Times New Roman" w:hAnsi="Times New Roman" w:cs="Times New Roman"/>
          <w:noProof/>
          <w:lang w:val="en-IE"/>
        </w:rPr>
        <w:t xml:space="preserve"> </w:t>
      </w:r>
      <w:r w:rsidRPr="202A8740">
        <w:rPr>
          <w:rFonts w:ascii="Times New Roman" w:hAnsi="Times New Roman" w:cs="Times New Roman"/>
          <w:noProof/>
          <w:lang w:val="en-IE"/>
        </w:rPr>
        <w:t>13 metropolitan areas of Italy.</w:t>
      </w:r>
    </w:p>
    <w:p w14:paraId="42C1504D"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G.2.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2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2126"/>
        <w:gridCol w:w="1276"/>
        <w:gridCol w:w="1984"/>
        <w:gridCol w:w="1560"/>
        <w:gridCol w:w="958"/>
        <w:gridCol w:w="1047"/>
        <w:gridCol w:w="946"/>
        <w:gridCol w:w="809"/>
        <w:gridCol w:w="794"/>
        <w:gridCol w:w="2799"/>
      </w:tblGrid>
      <w:tr w:rsidR="0039681A" w:rsidRPr="0070054C" w14:paraId="16A962B4" w14:textId="77777777" w:rsidTr="00381DB1">
        <w:trPr>
          <w:trHeight w:val="927"/>
          <w:tblHeader/>
          <w:jc w:val="center"/>
        </w:trPr>
        <w:tc>
          <w:tcPr>
            <w:tcW w:w="1204" w:type="dxa"/>
            <w:vMerge w:val="restart"/>
            <w:shd w:val="clear" w:color="auto" w:fill="BDD7EE"/>
            <w:vAlign w:val="center"/>
            <w:hideMark/>
          </w:tcPr>
          <w:p w14:paraId="0D327B28" w14:textId="77777777" w:rsidR="0039681A" w:rsidRPr="00647572" w:rsidRDefault="0039681A">
            <w:pPr>
              <w:contextualSpacing/>
              <w:jc w:val="center"/>
              <w:rPr>
                <w:rFonts w:ascii="Arial Narrow" w:hAnsi="Arial Narrow"/>
                <w:b/>
                <w:noProof/>
                <w:sz w:val="20"/>
                <w:szCs w:val="20"/>
              </w:rPr>
            </w:pPr>
            <w:r w:rsidRPr="00647572">
              <w:rPr>
                <w:rFonts w:ascii="Arial Narrow" w:hAnsi="Arial Narrow"/>
                <w:b/>
                <w:noProof/>
                <w:sz w:val="20"/>
              </w:rPr>
              <w:t>Sequential Number</w:t>
            </w:r>
          </w:p>
        </w:tc>
        <w:tc>
          <w:tcPr>
            <w:tcW w:w="2126" w:type="dxa"/>
            <w:vMerge w:val="restart"/>
            <w:shd w:val="clear" w:color="auto" w:fill="BDD7EE"/>
            <w:vAlign w:val="center"/>
            <w:hideMark/>
          </w:tcPr>
          <w:p w14:paraId="64AB778F" w14:textId="77777777" w:rsidR="0039681A" w:rsidRPr="00A36E36" w:rsidRDefault="0039681A">
            <w:pPr>
              <w:contextualSpacing/>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276" w:type="dxa"/>
            <w:vMerge w:val="restart"/>
            <w:shd w:val="clear" w:color="auto" w:fill="BDD7EE"/>
            <w:vAlign w:val="center"/>
            <w:hideMark/>
          </w:tcPr>
          <w:p w14:paraId="21169479" w14:textId="77777777" w:rsidR="0039681A" w:rsidRPr="00647572" w:rsidRDefault="0039681A">
            <w:pPr>
              <w:contextualSpacing/>
              <w:jc w:val="center"/>
              <w:rPr>
                <w:rFonts w:ascii="Arial Narrow" w:hAnsi="Arial Narrow"/>
                <w:b/>
                <w:noProof/>
                <w:sz w:val="20"/>
                <w:szCs w:val="20"/>
              </w:rPr>
            </w:pPr>
            <w:r w:rsidRPr="00647572">
              <w:rPr>
                <w:rFonts w:ascii="Arial Narrow" w:hAnsi="Arial Narrow"/>
                <w:b/>
                <w:noProof/>
                <w:sz w:val="20"/>
              </w:rPr>
              <w:t>Milestone / Target</w:t>
            </w:r>
          </w:p>
        </w:tc>
        <w:tc>
          <w:tcPr>
            <w:tcW w:w="1984" w:type="dxa"/>
            <w:vMerge w:val="restart"/>
            <w:shd w:val="clear" w:color="auto" w:fill="BDD7EE"/>
            <w:vAlign w:val="center"/>
            <w:hideMark/>
          </w:tcPr>
          <w:p w14:paraId="7A4AB288" w14:textId="77777777" w:rsidR="0039681A" w:rsidRPr="00647572" w:rsidRDefault="0039681A">
            <w:pPr>
              <w:contextualSpacing/>
              <w:jc w:val="center"/>
              <w:rPr>
                <w:rFonts w:ascii="Arial Narrow" w:hAnsi="Arial Narrow"/>
                <w:b/>
                <w:noProof/>
                <w:sz w:val="20"/>
                <w:szCs w:val="20"/>
              </w:rPr>
            </w:pPr>
            <w:r w:rsidRPr="00647572">
              <w:rPr>
                <w:rFonts w:ascii="Arial Narrow" w:hAnsi="Arial Narrow"/>
                <w:b/>
                <w:noProof/>
                <w:sz w:val="20"/>
              </w:rPr>
              <w:t>Name</w:t>
            </w:r>
          </w:p>
        </w:tc>
        <w:tc>
          <w:tcPr>
            <w:tcW w:w="1560" w:type="dxa"/>
            <w:vMerge w:val="restart"/>
            <w:shd w:val="clear" w:color="auto" w:fill="BDD7EE"/>
            <w:vAlign w:val="center"/>
            <w:hideMark/>
          </w:tcPr>
          <w:p w14:paraId="1EAFFDAD" w14:textId="7517D370" w:rsidR="0039681A" w:rsidRPr="00647572" w:rsidRDefault="0039681A">
            <w:pPr>
              <w:contextualSpacing/>
              <w:jc w:val="center"/>
              <w:rPr>
                <w:rFonts w:ascii="Arial Narrow" w:hAnsi="Arial Narrow"/>
                <w:b/>
                <w:noProof/>
                <w:sz w:val="20"/>
                <w:szCs w:val="20"/>
              </w:rPr>
            </w:pPr>
            <w:r w:rsidRPr="00647572">
              <w:rPr>
                <w:rFonts w:ascii="Arial Narrow" w:hAnsi="Arial Narrow"/>
                <w:b/>
                <w:noProof/>
                <w:sz w:val="20"/>
              </w:rPr>
              <w:t>Qualitative indicators</w:t>
            </w:r>
            <w:r w:rsidR="00381DB1">
              <w:rPr>
                <w:rFonts w:ascii="Arial Narrow" w:hAnsi="Arial Narrow"/>
                <w:b/>
                <w:noProof/>
                <w:sz w:val="20"/>
              </w:rPr>
              <w:t xml:space="preserve"> </w:t>
            </w:r>
            <w:r w:rsidRPr="00647572">
              <w:rPr>
                <w:noProof/>
              </w:rPr>
              <w:br/>
            </w:r>
            <w:r w:rsidRPr="00647572">
              <w:rPr>
                <w:rFonts w:ascii="Arial Narrow" w:hAnsi="Arial Narrow"/>
                <w:b/>
                <w:noProof/>
                <w:sz w:val="20"/>
              </w:rPr>
              <w:t>(for milestones)</w:t>
            </w:r>
          </w:p>
        </w:tc>
        <w:tc>
          <w:tcPr>
            <w:tcW w:w="2724" w:type="dxa"/>
            <w:gridSpan w:val="3"/>
            <w:shd w:val="clear" w:color="auto" w:fill="BDD7EE"/>
            <w:vAlign w:val="center"/>
            <w:hideMark/>
          </w:tcPr>
          <w:p w14:paraId="60A38979" w14:textId="54FB4643" w:rsidR="0039681A" w:rsidRPr="00647572" w:rsidRDefault="0039681A">
            <w:pPr>
              <w:contextualSpacing/>
              <w:jc w:val="center"/>
              <w:rPr>
                <w:rFonts w:ascii="Arial Narrow" w:hAnsi="Arial Narrow"/>
                <w:b/>
                <w:noProof/>
                <w:sz w:val="20"/>
                <w:szCs w:val="20"/>
              </w:rPr>
            </w:pPr>
            <w:r w:rsidRPr="00647572">
              <w:rPr>
                <w:rFonts w:ascii="Arial Narrow" w:hAnsi="Arial Narrow"/>
                <w:b/>
                <w:noProof/>
                <w:sz w:val="20"/>
              </w:rPr>
              <w:t>Quantitative indicators</w:t>
            </w:r>
            <w:r w:rsidR="00381DB1">
              <w:rPr>
                <w:rFonts w:ascii="Arial Narrow" w:hAnsi="Arial Narrow"/>
                <w:b/>
                <w:noProof/>
                <w:sz w:val="20"/>
              </w:rPr>
              <w:t xml:space="preserve"> </w:t>
            </w:r>
            <w:r w:rsidRPr="00647572">
              <w:rPr>
                <w:noProof/>
              </w:rPr>
              <w:br/>
            </w:r>
            <w:r w:rsidRPr="00647572">
              <w:rPr>
                <w:rFonts w:ascii="Arial Narrow" w:hAnsi="Arial Narrow"/>
                <w:b/>
                <w:noProof/>
                <w:sz w:val="20"/>
              </w:rPr>
              <w:t>(for targets)</w:t>
            </w:r>
          </w:p>
        </w:tc>
        <w:tc>
          <w:tcPr>
            <w:tcW w:w="1603" w:type="dxa"/>
            <w:gridSpan w:val="2"/>
            <w:shd w:val="clear" w:color="auto" w:fill="BDD7EE"/>
            <w:vAlign w:val="center"/>
            <w:hideMark/>
          </w:tcPr>
          <w:p w14:paraId="7CDDC690" w14:textId="77777777" w:rsidR="0039681A" w:rsidRPr="00647572" w:rsidRDefault="0039681A">
            <w:pPr>
              <w:contextualSpacing/>
              <w:jc w:val="center"/>
              <w:rPr>
                <w:rFonts w:ascii="Arial Narrow" w:hAnsi="Arial Narrow"/>
                <w:b/>
                <w:noProof/>
                <w:sz w:val="20"/>
                <w:szCs w:val="20"/>
              </w:rPr>
            </w:pPr>
            <w:r w:rsidRPr="00647572">
              <w:rPr>
                <w:rFonts w:ascii="Arial Narrow" w:hAnsi="Arial Narrow"/>
                <w:b/>
                <w:noProof/>
                <w:sz w:val="20"/>
              </w:rPr>
              <w:t>Indicative timeline for completion</w:t>
            </w:r>
          </w:p>
        </w:tc>
        <w:tc>
          <w:tcPr>
            <w:tcW w:w="2799" w:type="dxa"/>
            <w:vMerge w:val="restart"/>
            <w:shd w:val="clear" w:color="auto" w:fill="BDD7EE"/>
            <w:vAlign w:val="center"/>
            <w:hideMark/>
          </w:tcPr>
          <w:p w14:paraId="631779D2" w14:textId="77777777" w:rsidR="0039681A" w:rsidRPr="00A36E36" w:rsidRDefault="0039681A">
            <w:pPr>
              <w:contextualSpacing/>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0DCBD165" w14:textId="77777777" w:rsidTr="00381DB1">
        <w:trPr>
          <w:trHeight w:val="1013"/>
          <w:tblHeader/>
          <w:jc w:val="center"/>
        </w:trPr>
        <w:tc>
          <w:tcPr>
            <w:tcW w:w="1204" w:type="dxa"/>
            <w:vMerge/>
            <w:vAlign w:val="center"/>
            <w:hideMark/>
          </w:tcPr>
          <w:p w14:paraId="7B3C5F11" w14:textId="77777777" w:rsidR="0039681A" w:rsidRPr="00A36E36" w:rsidRDefault="0039681A">
            <w:pPr>
              <w:contextualSpacing/>
              <w:jc w:val="center"/>
              <w:rPr>
                <w:rFonts w:ascii="Arial Narrow" w:hAnsi="Arial Narrow"/>
                <w:b/>
                <w:bCs/>
                <w:noProof/>
                <w:sz w:val="20"/>
                <w:szCs w:val="20"/>
                <w:lang w:val="en-IE"/>
              </w:rPr>
            </w:pPr>
          </w:p>
        </w:tc>
        <w:tc>
          <w:tcPr>
            <w:tcW w:w="2126" w:type="dxa"/>
            <w:vMerge/>
            <w:vAlign w:val="center"/>
            <w:hideMark/>
          </w:tcPr>
          <w:p w14:paraId="5617FA8C" w14:textId="77777777" w:rsidR="0039681A" w:rsidRPr="00A36E36" w:rsidRDefault="0039681A">
            <w:pPr>
              <w:contextualSpacing/>
              <w:jc w:val="center"/>
              <w:rPr>
                <w:rFonts w:ascii="Arial Narrow" w:hAnsi="Arial Narrow"/>
                <w:b/>
                <w:bCs/>
                <w:noProof/>
                <w:sz w:val="20"/>
                <w:szCs w:val="20"/>
                <w:lang w:val="en-IE"/>
              </w:rPr>
            </w:pPr>
          </w:p>
        </w:tc>
        <w:tc>
          <w:tcPr>
            <w:tcW w:w="1276" w:type="dxa"/>
            <w:vMerge/>
            <w:vAlign w:val="center"/>
            <w:hideMark/>
          </w:tcPr>
          <w:p w14:paraId="70F3B1EF" w14:textId="77777777" w:rsidR="0039681A" w:rsidRPr="00A36E36" w:rsidRDefault="0039681A">
            <w:pPr>
              <w:contextualSpacing/>
              <w:jc w:val="center"/>
              <w:rPr>
                <w:rFonts w:ascii="Arial Narrow" w:hAnsi="Arial Narrow"/>
                <w:b/>
                <w:bCs/>
                <w:noProof/>
                <w:sz w:val="20"/>
                <w:szCs w:val="20"/>
                <w:lang w:val="en-IE"/>
              </w:rPr>
            </w:pPr>
          </w:p>
        </w:tc>
        <w:tc>
          <w:tcPr>
            <w:tcW w:w="1984" w:type="dxa"/>
            <w:vMerge/>
            <w:vAlign w:val="center"/>
            <w:hideMark/>
          </w:tcPr>
          <w:p w14:paraId="4FFE1F4D" w14:textId="77777777" w:rsidR="0039681A" w:rsidRPr="00A36E36" w:rsidRDefault="0039681A">
            <w:pPr>
              <w:contextualSpacing/>
              <w:jc w:val="center"/>
              <w:rPr>
                <w:rFonts w:ascii="Arial Narrow" w:hAnsi="Arial Narrow"/>
                <w:b/>
                <w:bCs/>
                <w:noProof/>
                <w:sz w:val="20"/>
                <w:szCs w:val="20"/>
                <w:lang w:val="en-IE"/>
              </w:rPr>
            </w:pPr>
          </w:p>
        </w:tc>
        <w:tc>
          <w:tcPr>
            <w:tcW w:w="1560" w:type="dxa"/>
            <w:vMerge/>
            <w:vAlign w:val="center"/>
            <w:hideMark/>
          </w:tcPr>
          <w:p w14:paraId="6303A204" w14:textId="77777777" w:rsidR="0039681A" w:rsidRPr="00A36E36" w:rsidRDefault="0039681A">
            <w:pPr>
              <w:contextualSpacing/>
              <w:jc w:val="center"/>
              <w:rPr>
                <w:rFonts w:ascii="Arial Narrow" w:hAnsi="Arial Narrow"/>
                <w:b/>
                <w:bCs/>
                <w:noProof/>
                <w:sz w:val="20"/>
                <w:szCs w:val="20"/>
                <w:lang w:val="en-IE"/>
              </w:rPr>
            </w:pPr>
          </w:p>
        </w:tc>
        <w:tc>
          <w:tcPr>
            <w:tcW w:w="958" w:type="dxa"/>
            <w:shd w:val="clear" w:color="auto" w:fill="BDD7EE"/>
            <w:vAlign w:val="center"/>
            <w:hideMark/>
          </w:tcPr>
          <w:p w14:paraId="1D6B5383" w14:textId="77777777" w:rsidR="0039681A" w:rsidRPr="00647572" w:rsidRDefault="0039681A">
            <w:pPr>
              <w:contextualSpacing/>
              <w:jc w:val="center"/>
              <w:rPr>
                <w:rFonts w:ascii="Arial Narrow" w:hAnsi="Arial Narrow"/>
                <w:b/>
                <w:noProof/>
                <w:sz w:val="20"/>
                <w:szCs w:val="20"/>
              </w:rPr>
            </w:pPr>
            <w:r w:rsidRPr="00647572">
              <w:rPr>
                <w:rFonts w:ascii="Arial Narrow" w:hAnsi="Arial Narrow"/>
                <w:b/>
                <w:noProof/>
                <w:sz w:val="20"/>
              </w:rPr>
              <w:t>Unit of measure</w:t>
            </w:r>
          </w:p>
        </w:tc>
        <w:tc>
          <w:tcPr>
            <w:tcW w:w="1047" w:type="dxa"/>
            <w:shd w:val="clear" w:color="auto" w:fill="BDD7EE"/>
            <w:vAlign w:val="center"/>
            <w:hideMark/>
          </w:tcPr>
          <w:p w14:paraId="396F9D2F" w14:textId="77777777" w:rsidR="0039681A" w:rsidRPr="00647572" w:rsidRDefault="0039681A">
            <w:pPr>
              <w:contextualSpacing/>
              <w:jc w:val="center"/>
              <w:rPr>
                <w:rFonts w:ascii="Arial Narrow" w:hAnsi="Arial Narrow"/>
                <w:b/>
                <w:noProof/>
                <w:sz w:val="20"/>
                <w:szCs w:val="20"/>
              </w:rPr>
            </w:pPr>
            <w:r w:rsidRPr="00647572">
              <w:rPr>
                <w:rFonts w:ascii="Arial Narrow" w:hAnsi="Arial Narrow"/>
                <w:b/>
                <w:noProof/>
                <w:sz w:val="20"/>
              </w:rPr>
              <w:t>Baseline</w:t>
            </w:r>
          </w:p>
        </w:tc>
        <w:tc>
          <w:tcPr>
            <w:tcW w:w="719" w:type="dxa"/>
            <w:shd w:val="clear" w:color="auto" w:fill="BDD7EE"/>
            <w:vAlign w:val="center"/>
            <w:hideMark/>
          </w:tcPr>
          <w:p w14:paraId="09EDF0B0" w14:textId="77777777" w:rsidR="0039681A" w:rsidRPr="00647572" w:rsidRDefault="0039681A">
            <w:pPr>
              <w:contextualSpacing/>
              <w:jc w:val="center"/>
              <w:rPr>
                <w:rFonts w:ascii="Arial Narrow" w:hAnsi="Arial Narrow"/>
                <w:b/>
                <w:noProof/>
                <w:sz w:val="20"/>
                <w:szCs w:val="20"/>
              </w:rPr>
            </w:pPr>
            <w:r w:rsidRPr="00647572">
              <w:rPr>
                <w:rFonts w:ascii="Arial Narrow" w:hAnsi="Arial Narrow"/>
                <w:b/>
                <w:noProof/>
                <w:sz w:val="20"/>
              </w:rPr>
              <w:t>Goal</w:t>
            </w:r>
          </w:p>
        </w:tc>
        <w:tc>
          <w:tcPr>
            <w:tcW w:w="809" w:type="dxa"/>
            <w:shd w:val="clear" w:color="auto" w:fill="BDD7EE"/>
            <w:vAlign w:val="center"/>
            <w:hideMark/>
          </w:tcPr>
          <w:p w14:paraId="083756E6" w14:textId="77777777" w:rsidR="0039681A" w:rsidRPr="00647572" w:rsidRDefault="0039681A">
            <w:pPr>
              <w:contextualSpacing/>
              <w:jc w:val="center"/>
              <w:rPr>
                <w:rFonts w:ascii="Arial Narrow" w:hAnsi="Arial Narrow"/>
                <w:b/>
                <w:noProof/>
                <w:sz w:val="20"/>
                <w:szCs w:val="20"/>
              </w:rPr>
            </w:pPr>
            <w:r w:rsidRPr="00647572">
              <w:rPr>
                <w:rFonts w:ascii="Arial Narrow" w:hAnsi="Arial Narrow"/>
                <w:b/>
                <w:noProof/>
                <w:sz w:val="20"/>
              </w:rPr>
              <w:t>Quarter</w:t>
            </w:r>
          </w:p>
        </w:tc>
        <w:tc>
          <w:tcPr>
            <w:tcW w:w="794" w:type="dxa"/>
            <w:shd w:val="clear" w:color="auto" w:fill="BDD7EE"/>
            <w:vAlign w:val="center"/>
            <w:hideMark/>
          </w:tcPr>
          <w:p w14:paraId="4E0D698E" w14:textId="77777777" w:rsidR="0039681A" w:rsidRPr="00647572" w:rsidRDefault="0039681A">
            <w:pPr>
              <w:contextualSpacing/>
              <w:jc w:val="center"/>
              <w:rPr>
                <w:rFonts w:ascii="Arial Narrow" w:hAnsi="Arial Narrow"/>
                <w:b/>
                <w:noProof/>
                <w:sz w:val="20"/>
                <w:szCs w:val="20"/>
              </w:rPr>
            </w:pPr>
            <w:r w:rsidRPr="00647572">
              <w:rPr>
                <w:rFonts w:ascii="Arial Narrow" w:hAnsi="Arial Narrow"/>
                <w:b/>
                <w:noProof/>
                <w:sz w:val="20"/>
              </w:rPr>
              <w:t>Year</w:t>
            </w:r>
          </w:p>
        </w:tc>
        <w:tc>
          <w:tcPr>
            <w:tcW w:w="2799" w:type="dxa"/>
            <w:vMerge/>
            <w:vAlign w:val="center"/>
            <w:hideMark/>
          </w:tcPr>
          <w:p w14:paraId="739748AC" w14:textId="77777777" w:rsidR="0039681A" w:rsidRPr="00647572" w:rsidRDefault="0039681A">
            <w:pPr>
              <w:contextualSpacing/>
              <w:rPr>
                <w:rFonts w:ascii="Arial Narrow" w:hAnsi="Arial Narrow"/>
                <w:b/>
                <w:bCs/>
                <w:noProof/>
                <w:sz w:val="20"/>
                <w:szCs w:val="20"/>
              </w:rPr>
            </w:pPr>
          </w:p>
        </w:tc>
      </w:tr>
      <w:tr w:rsidR="0039681A" w:rsidRPr="0070054C" w14:paraId="057E4216" w14:textId="77777777" w:rsidTr="00381DB1">
        <w:trPr>
          <w:trHeight w:val="170"/>
          <w:jc w:val="center"/>
        </w:trPr>
        <w:tc>
          <w:tcPr>
            <w:tcW w:w="1204" w:type="dxa"/>
            <w:shd w:val="clear" w:color="auto" w:fill="C6EFCE"/>
            <w:noWrap/>
            <w:vAlign w:val="center"/>
            <w:hideMark/>
          </w:tcPr>
          <w:p w14:paraId="5F2CBA2D"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M2C4-1</w:t>
            </w:r>
          </w:p>
        </w:tc>
        <w:tc>
          <w:tcPr>
            <w:tcW w:w="2126" w:type="dxa"/>
            <w:shd w:val="clear" w:color="auto" w:fill="C6EFCE"/>
            <w:noWrap/>
            <w:vAlign w:val="center"/>
            <w:hideMark/>
          </w:tcPr>
          <w:p w14:paraId="51EF29D0"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2.1. Simplification and acceleration of the procedures for implementing interventions against hydrogeological instability</w:t>
            </w:r>
          </w:p>
        </w:tc>
        <w:tc>
          <w:tcPr>
            <w:tcW w:w="1276" w:type="dxa"/>
            <w:shd w:val="clear" w:color="auto" w:fill="C6EFCE"/>
            <w:noWrap/>
            <w:vAlign w:val="center"/>
            <w:hideMark/>
          </w:tcPr>
          <w:p w14:paraId="5F23E5C1"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84" w:type="dxa"/>
            <w:shd w:val="clear" w:color="auto" w:fill="C6EFCE"/>
            <w:noWrap/>
            <w:vAlign w:val="center"/>
            <w:hideMark/>
          </w:tcPr>
          <w:p w14:paraId="7F320B1B"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60F1F041">
              <w:rPr>
                <w:rFonts w:ascii="Arial Narrow" w:hAnsi="Arial Narrow"/>
                <w:noProof/>
                <w:color w:val="006100"/>
                <w:sz w:val="20"/>
                <w:szCs w:val="20"/>
                <w:lang w:val="en-IE"/>
              </w:rPr>
              <w:t xml:space="preserve">Entry into force of the simplification of the legal framework for a better management of hydrological risks </w:t>
            </w:r>
          </w:p>
        </w:tc>
        <w:tc>
          <w:tcPr>
            <w:tcW w:w="1560" w:type="dxa"/>
            <w:shd w:val="clear" w:color="auto" w:fill="C6EFCE"/>
            <w:noWrap/>
            <w:vAlign w:val="center"/>
            <w:hideMark/>
          </w:tcPr>
          <w:p w14:paraId="3DE0FD86"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relevant legal act(s) indicating the entry into force</w:t>
            </w:r>
          </w:p>
        </w:tc>
        <w:tc>
          <w:tcPr>
            <w:tcW w:w="958" w:type="dxa"/>
            <w:shd w:val="clear" w:color="auto" w:fill="C6EFCE"/>
            <w:noWrap/>
            <w:vAlign w:val="center"/>
            <w:hideMark/>
          </w:tcPr>
          <w:p w14:paraId="7B6ADB1D"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1047" w:type="dxa"/>
            <w:shd w:val="clear" w:color="auto" w:fill="C6EFCE"/>
            <w:noWrap/>
            <w:vAlign w:val="center"/>
            <w:hideMark/>
          </w:tcPr>
          <w:p w14:paraId="4D64D4C8"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719" w:type="dxa"/>
            <w:shd w:val="clear" w:color="auto" w:fill="C6EFCE"/>
            <w:noWrap/>
            <w:vAlign w:val="center"/>
            <w:hideMark/>
          </w:tcPr>
          <w:p w14:paraId="3043D034"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349722AC"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Q2</w:t>
            </w:r>
          </w:p>
        </w:tc>
        <w:tc>
          <w:tcPr>
            <w:tcW w:w="794" w:type="dxa"/>
            <w:shd w:val="clear" w:color="auto" w:fill="C6EFCE"/>
            <w:noWrap/>
            <w:vAlign w:val="center"/>
            <w:hideMark/>
          </w:tcPr>
          <w:p w14:paraId="2519FAC6"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99" w:type="dxa"/>
            <w:shd w:val="clear" w:color="auto" w:fill="C6EFCE"/>
            <w:noWrap/>
            <w:vAlign w:val="center"/>
          </w:tcPr>
          <w:p w14:paraId="70B6530C" w14:textId="77777777" w:rsidR="0039681A" w:rsidRPr="00A36E36" w:rsidRDefault="0039681A">
            <w:pPr>
              <w:spacing w:line="276" w:lineRule="auto"/>
              <w:contextualSpacing/>
              <w:rPr>
                <w:rFonts w:ascii="Arial Narrow" w:hAnsi="Arial Narrow"/>
                <w:noProof/>
                <w:color w:val="006100"/>
                <w:sz w:val="20"/>
                <w:szCs w:val="20"/>
                <w:lang w:val="en-IE"/>
              </w:rPr>
            </w:pPr>
            <w:r w:rsidRPr="00A36E36">
              <w:rPr>
                <w:rFonts w:ascii="Arial Narrow" w:hAnsi="Arial Narrow"/>
                <w:noProof/>
                <w:color w:val="006100"/>
                <w:sz w:val="20"/>
                <w:lang w:val="en-IE"/>
              </w:rPr>
              <w:t>The new legal framework shall (as a minimum):</w:t>
            </w:r>
          </w:p>
          <w:p w14:paraId="1D9CDA63" w14:textId="77777777" w:rsidR="0039681A" w:rsidRPr="00A36E36" w:rsidRDefault="0039681A" w:rsidP="0039681A">
            <w:pPr>
              <w:pStyle w:val="ListParagraph"/>
              <w:numPr>
                <w:ilvl w:val="0"/>
                <w:numId w:val="102"/>
              </w:numPr>
              <w:tabs>
                <w:tab w:val="left" w:pos="321"/>
              </w:tabs>
              <w:spacing w:before="120" w:after="0" w:line="276" w:lineRule="auto"/>
              <w:ind w:left="0" w:firstLine="37"/>
              <w:rPr>
                <w:rFonts w:ascii="Arial Narrow" w:hAnsi="Arial Narrow"/>
                <w:noProof/>
                <w:color w:val="006100"/>
                <w:sz w:val="20"/>
                <w:szCs w:val="20"/>
                <w:lang w:val="en-IE"/>
              </w:rPr>
            </w:pPr>
            <w:r w:rsidRPr="00A36E36">
              <w:rPr>
                <w:rFonts w:ascii="Arial Narrow" w:hAnsi="Arial Narrow"/>
                <w:noProof/>
                <w:color w:val="006100"/>
                <w:sz w:val="20"/>
                <w:lang w:val="en-IE"/>
              </w:rPr>
              <w:t>Prioritise prevention interventions in line with the National Risk Assessment and with Article 6 of the Decision 1313/2013 EU and Risk Management Capability Assessment and the Do No Significant Harm principle;</w:t>
            </w:r>
          </w:p>
          <w:p w14:paraId="2572D884" w14:textId="77777777" w:rsidR="0039681A" w:rsidRPr="00A36E36" w:rsidRDefault="0039681A" w:rsidP="0039681A">
            <w:pPr>
              <w:pStyle w:val="ListParagraph"/>
              <w:numPr>
                <w:ilvl w:val="0"/>
                <w:numId w:val="102"/>
              </w:numPr>
              <w:tabs>
                <w:tab w:val="left" w:pos="321"/>
              </w:tabs>
              <w:spacing w:before="120" w:after="0" w:line="276" w:lineRule="auto"/>
              <w:ind w:left="0" w:firstLine="37"/>
              <w:rPr>
                <w:rFonts w:ascii="Arial Narrow" w:hAnsi="Arial Narrow"/>
                <w:noProof/>
                <w:color w:val="006100"/>
                <w:sz w:val="20"/>
                <w:szCs w:val="20"/>
                <w:lang w:val="en-IE"/>
              </w:rPr>
            </w:pPr>
            <w:r w:rsidRPr="00A36E36">
              <w:rPr>
                <w:rFonts w:ascii="Arial Narrow" w:hAnsi="Arial Narrow"/>
                <w:noProof/>
                <w:color w:val="006100"/>
                <w:sz w:val="20"/>
                <w:lang w:val="en-IE"/>
              </w:rPr>
              <w:t>Accelerate the procedures for project design and set general principles to simplify project implementation and financing procedures and hydrological risk projects;</w:t>
            </w:r>
          </w:p>
          <w:p w14:paraId="41E8FD8B" w14:textId="77777777" w:rsidR="0039681A" w:rsidRPr="00A36E36" w:rsidRDefault="0039681A" w:rsidP="0039681A">
            <w:pPr>
              <w:pStyle w:val="ListParagraph"/>
              <w:numPr>
                <w:ilvl w:val="0"/>
                <w:numId w:val="102"/>
              </w:numPr>
              <w:tabs>
                <w:tab w:val="left" w:pos="321"/>
              </w:tabs>
              <w:spacing w:before="120" w:after="0" w:line="276" w:lineRule="auto"/>
              <w:ind w:left="0" w:firstLine="37"/>
              <w:rPr>
                <w:rFonts w:ascii="Arial Narrow" w:hAnsi="Arial Narrow"/>
                <w:noProof/>
                <w:color w:val="006100"/>
                <w:sz w:val="20"/>
                <w:lang w:val="en-IE"/>
              </w:rPr>
            </w:pPr>
            <w:r w:rsidRPr="00A36E36">
              <w:rPr>
                <w:rFonts w:ascii="Arial Narrow" w:hAnsi="Arial Narrow"/>
                <w:noProof/>
                <w:color w:val="006100"/>
                <w:sz w:val="20"/>
                <w:lang w:val="en-IE"/>
              </w:rPr>
              <w:t>Harmonise and streamline the information flows to reduce redundancy in reporting between the various information systems of the State and develop a system of indicators for a better identification of hydrological risks, in line with the recommendations of the Italian Court of Auditors.</w:t>
            </w:r>
          </w:p>
          <w:p w14:paraId="2253A32D" w14:textId="77777777" w:rsidR="0039681A" w:rsidRPr="00A36E36" w:rsidRDefault="0039681A" w:rsidP="0039681A">
            <w:pPr>
              <w:pStyle w:val="ListParagraph"/>
              <w:numPr>
                <w:ilvl w:val="0"/>
                <w:numId w:val="102"/>
              </w:numPr>
              <w:tabs>
                <w:tab w:val="left" w:pos="321"/>
              </w:tabs>
              <w:spacing w:before="120" w:after="0" w:line="276" w:lineRule="auto"/>
              <w:ind w:left="0" w:firstLine="37"/>
              <w:rPr>
                <w:rFonts w:ascii="Arial Narrow" w:hAnsi="Arial Narrow"/>
                <w:noProof/>
                <w:color w:val="006100"/>
                <w:sz w:val="20"/>
                <w:lang w:val="en-IE"/>
              </w:rPr>
            </w:pPr>
            <w:r w:rsidRPr="00A36E36">
              <w:rPr>
                <w:rFonts w:ascii="Arial Narrow" w:hAnsi="Arial Narrow"/>
                <w:noProof/>
                <w:color w:val="006100"/>
                <w:sz w:val="20"/>
                <w:lang w:val="en-IE"/>
              </w:rPr>
              <w:t>Reinforce the coordination of interventions among different government levels in line with the recommendations of the Italian Court of Auditors;</w:t>
            </w:r>
          </w:p>
          <w:p w14:paraId="7DA7BB7A" w14:textId="77777777" w:rsidR="0039681A" w:rsidRPr="00A36E36" w:rsidRDefault="0039681A" w:rsidP="0039681A">
            <w:pPr>
              <w:pStyle w:val="ListParagraph"/>
              <w:numPr>
                <w:ilvl w:val="0"/>
                <w:numId w:val="102"/>
              </w:numPr>
              <w:tabs>
                <w:tab w:val="left" w:pos="321"/>
              </w:tabs>
              <w:spacing w:before="120" w:after="0" w:line="276" w:lineRule="auto"/>
              <w:ind w:left="0" w:firstLine="37"/>
              <w:rPr>
                <w:rFonts w:ascii="Arial Narrow" w:hAnsi="Arial Narrow"/>
                <w:noProof/>
                <w:color w:val="006100"/>
                <w:sz w:val="20"/>
                <w:lang w:val="en-IE"/>
              </w:rPr>
            </w:pPr>
            <w:r w:rsidRPr="00A36E36">
              <w:rPr>
                <w:rFonts w:ascii="Arial Narrow" w:hAnsi="Arial Narrow"/>
                <w:noProof/>
                <w:color w:val="006100"/>
                <w:sz w:val="20"/>
                <w:lang w:val="en-IE"/>
              </w:rPr>
              <w:t>Create joint databases on incidents (‘dissesto’), in line with the recommendations of the Italian Court of Auditors;</w:t>
            </w:r>
          </w:p>
          <w:p w14:paraId="26D03820" w14:textId="77777777" w:rsidR="0039681A" w:rsidRPr="00A36E36" w:rsidRDefault="0039681A" w:rsidP="0039681A">
            <w:pPr>
              <w:pStyle w:val="ListParagraph"/>
              <w:numPr>
                <w:ilvl w:val="0"/>
                <w:numId w:val="102"/>
              </w:numPr>
              <w:tabs>
                <w:tab w:val="left" w:pos="321"/>
              </w:tabs>
              <w:spacing w:before="120" w:after="0" w:line="276" w:lineRule="auto"/>
              <w:ind w:left="0" w:firstLine="37"/>
              <w:rPr>
                <w:rFonts w:ascii="Arial Narrow" w:hAnsi="Arial Narrow"/>
                <w:noProof/>
                <w:color w:val="006100"/>
                <w:sz w:val="20"/>
                <w:lang w:val="en-IE"/>
              </w:rPr>
            </w:pPr>
            <w:r w:rsidRPr="00A36E36">
              <w:rPr>
                <w:rFonts w:ascii="Arial Narrow" w:hAnsi="Arial Narrow"/>
                <w:noProof/>
                <w:color w:val="006100"/>
                <w:sz w:val="20"/>
                <w:lang w:val="en-IE"/>
              </w:rPr>
              <w:t>Establish maximum timelines for each phase.</w:t>
            </w:r>
          </w:p>
          <w:p w14:paraId="1D05E065" w14:textId="77777777" w:rsidR="0039681A" w:rsidRPr="00A36E36" w:rsidRDefault="0039681A" w:rsidP="0039681A">
            <w:pPr>
              <w:pStyle w:val="ListParagraph"/>
              <w:numPr>
                <w:ilvl w:val="0"/>
                <w:numId w:val="102"/>
              </w:numPr>
              <w:tabs>
                <w:tab w:val="left" w:pos="321"/>
              </w:tabs>
              <w:spacing w:before="120" w:after="0" w:line="276" w:lineRule="auto"/>
              <w:ind w:left="0" w:firstLine="37"/>
              <w:rPr>
                <w:rFonts w:ascii="Arial Narrow" w:hAnsi="Arial Narrow"/>
                <w:noProof/>
                <w:color w:val="006100"/>
                <w:sz w:val="20"/>
                <w:szCs w:val="20"/>
                <w:lang w:val="en-IE"/>
              </w:rPr>
            </w:pPr>
            <w:r w:rsidRPr="00A36E36">
              <w:rPr>
                <w:rFonts w:ascii="Arial Narrow" w:hAnsi="Arial Narrow"/>
                <w:noProof/>
                <w:color w:val="006100"/>
                <w:sz w:val="20"/>
                <w:lang w:val="en-IE"/>
              </w:rPr>
              <w:t>Set a plan to strengthen the capacity of the relevant entities.</w:t>
            </w:r>
          </w:p>
        </w:tc>
      </w:tr>
      <w:tr w:rsidR="0039681A" w:rsidRPr="0070054C" w14:paraId="7E5F7820" w14:textId="77777777" w:rsidTr="00381DB1">
        <w:trPr>
          <w:trHeight w:val="309"/>
          <w:jc w:val="center"/>
        </w:trPr>
        <w:tc>
          <w:tcPr>
            <w:tcW w:w="1204" w:type="dxa"/>
            <w:shd w:val="clear" w:color="auto" w:fill="C6EFCE"/>
            <w:noWrap/>
            <w:vAlign w:val="center"/>
            <w:hideMark/>
          </w:tcPr>
          <w:p w14:paraId="57B9ECBB"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M2C4-2</w:t>
            </w:r>
          </w:p>
        </w:tc>
        <w:tc>
          <w:tcPr>
            <w:tcW w:w="2126" w:type="dxa"/>
            <w:shd w:val="clear" w:color="auto" w:fill="C6EFCE"/>
            <w:noWrap/>
            <w:vAlign w:val="center"/>
            <w:hideMark/>
          </w:tcPr>
          <w:p w14:paraId="12BB9841"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4.2 “Measures to ensure full managerial capacities for Integrated water services”</w:t>
            </w:r>
          </w:p>
        </w:tc>
        <w:tc>
          <w:tcPr>
            <w:tcW w:w="1276" w:type="dxa"/>
            <w:shd w:val="clear" w:color="auto" w:fill="C6EFCE"/>
            <w:noWrap/>
            <w:vAlign w:val="center"/>
            <w:hideMark/>
          </w:tcPr>
          <w:p w14:paraId="41CCB2AE"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84" w:type="dxa"/>
            <w:shd w:val="clear" w:color="auto" w:fill="C6EFCE"/>
            <w:noWrap/>
            <w:vAlign w:val="center"/>
            <w:hideMark/>
          </w:tcPr>
          <w:p w14:paraId="64EF9879"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reform to ensure full managerial capacities for Integrated water services</w:t>
            </w:r>
          </w:p>
        </w:tc>
        <w:tc>
          <w:tcPr>
            <w:tcW w:w="1560" w:type="dxa"/>
            <w:shd w:val="clear" w:color="auto" w:fill="C6EFCE"/>
            <w:noWrap/>
            <w:vAlign w:val="center"/>
            <w:hideMark/>
          </w:tcPr>
          <w:p w14:paraId="56B93CF0"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relevant legal act(s) indicating the entry into force</w:t>
            </w:r>
          </w:p>
        </w:tc>
        <w:tc>
          <w:tcPr>
            <w:tcW w:w="958" w:type="dxa"/>
            <w:shd w:val="clear" w:color="auto" w:fill="C6EFCE"/>
            <w:noWrap/>
            <w:vAlign w:val="center"/>
            <w:hideMark/>
          </w:tcPr>
          <w:p w14:paraId="1B639B02"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1047" w:type="dxa"/>
            <w:shd w:val="clear" w:color="auto" w:fill="C6EFCE"/>
            <w:noWrap/>
            <w:vAlign w:val="center"/>
            <w:hideMark/>
          </w:tcPr>
          <w:p w14:paraId="573E4AB5"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719" w:type="dxa"/>
            <w:shd w:val="clear" w:color="auto" w:fill="C6EFCE"/>
            <w:noWrap/>
            <w:vAlign w:val="center"/>
            <w:hideMark/>
          </w:tcPr>
          <w:p w14:paraId="0BC4D753"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19854F44"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Q3</w:t>
            </w:r>
          </w:p>
        </w:tc>
        <w:tc>
          <w:tcPr>
            <w:tcW w:w="794" w:type="dxa"/>
            <w:shd w:val="clear" w:color="auto" w:fill="C6EFCE"/>
            <w:noWrap/>
            <w:vAlign w:val="center"/>
            <w:hideMark/>
          </w:tcPr>
          <w:p w14:paraId="2A3E9B74"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99" w:type="dxa"/>
            <w:shd w:val="clear" w:color="auto" w:fill="C6EFCE"/>
            <w:noWrap/>
            <w:vAlign w:val="center"/>
            <w:hideMark/>
          </w:tcPr>
          <w:p w14:paraId="3EDE6A03" w14:textId="77777777" w:rsidR="0039681A" w:rsidRPr="00A36E36" w:rsidRDefault="0039681A">
            <w:pPr>
              <w:spacing w:line="276" w:lineRule="auto"/>
              <w:contextualSpacing/>
              <w:rPr>
                <w:rFonts w:ascii="Arial Narrow" w:hAnsi="Arial Narrow"/>
                <w:noProof/>
                <w:color w:val="006100"/>
                <w:sz w:val="20"/>
                <w:szCs w:val="20"/>
                <w:lang w:val="en-IE"/>
              </w:rPr>
            </w:pPr>
            <w:r w:rsidRPr="00A36E36">
              <w:rPr>
                <w:rFonts w:ascii="Arial Narrow" w:hAnsi="Arial Narrow"/>
                <w:noProof/>
                <w:color w:val="006100"/>
                <w:sz w:val="20"/>
                <w:lang w:val="en-IE"/>
              </w:rPr>
              <w:t>The general Law / Regulations on water services for their sustainable use and incentivise investment in water infrastructure, which at least shall:</w:t>
            </w:r>
          </w:p>
          <w:p w14:paraId="7595C9C2" w14:textId="77777777" w:rsidR="0039681A" w:rsidRPr="00A36E36" w:rsidRDefault="0039681A" w:rsidP="0039681A">
            <w:pPr>
              <w:pStyle w:val="ListParagraph"/>
              <w:numPr>
                <w:ilvl w:val="0"/>
                <w:numId w:val="102"/>
              </w:numPr>
              <w:tabs>
                <w:tab w:val="left" w:pos="321"/>
              </w:tabs>
              <w:spacing w:before="120" w:after="0" w:line="276" w:lineRule="auto"/>
              <w:ind w:left="0" w:firstLine="37"/>
              <w:rPr>
                <w:rFonts w:ascii="Arial Narrow" w:hAnsi="Arial Narrow"/>
                <w:noProof/>
                <w:color w:val="006100"/>
                <w:sz w:val="20"/>
                <w:lang w:val="en-IE"/>
              </w:rPr>
            </w:pPr>
            <w:r w:rsidRPr="00A36E36">
              <w:rPr>
                <w:rFonts w:ascii="Arial Narrow" w:hAnsi="Arial Narrow"/>
                <w:noProof/>
                <w:color w:val="006100"/>
                <w:sz w:val="20"/>
                <w:lang w:val="en-IE"/>
              </w:rPr>
              <w:t>Reduce fragmentation of entities through rules and aggregation mechanisms to incentivise currently autonomous managing operators to be integrated into the unique operator for the entire Ambito Territoriale Ottimale;</w:t>
            </w:r>
          </w:p>
          <w:p w14:paraId="0E69FB0F" w14:textId="77777777" w:rsidR="0039681A" w:rsidRPr="00A36E36" w:rsidRDefault="0039681A" w:rsidP="0039681A">
            <w:pPr>
              <w:pStyle w:val="ListParagraph"/>
              <w:numPr>
                <w:ilvl w:val="0"/>
                <w:numId w:val="102"/>
              </w:numPr>
              <w:tabs>
                <w:tab w:val="left" w:pos="321"/>
              </w:tabs>
              <w:spacing w:before="120" w:after="0" w:line="276" w:lineRule="auto"/>
              <w:ind w:left="0" w:firstLine="37"/>
              <w:rPr>
                <w:rFonts w:ascii="Arial Narrow" w:hAnsi="Arial Narrow"/>
                <w:noProof/>
                <w:color w:val="006100"/>
                <w:sz w:val="20"/>
                <w:lang w:val="en-IE"/>
              </w:rPr>
            </w:pPr>
            <w:r w:rsidRPr="00A36E36">
              <w:rPr>
                <w:rFonts w:ascii="Arial Narrow" w:hAnsi="Arial Narrow"/>
                <w:noProof/>
                <w:color w:val="006100"/>
                <w:sz w:val="20"/>
                <w:lang w:val="en-IE"/>
              </w:rPr>
              <w:t>Provide for incentives for a sustainable use of water in agriculture. notably to support the use of the common monitoring system for water uses (SIGRIAN) for collective and self-supply irrigation uses;</w:t>
            </w:r>
          </w:p>
          <w:p w14:paraId="12D1315D" w14:textId="77777777" w:rsidR="0039681A" w:rsidRPr="00A36E36" w:rsidRDefault="0039681A" w:rsidP="0039681A">
            <w:pPr>
              <w:pStyle w:val="ListParagraph"/>
              <w:numPr>
                <w:ilvl w:val="0"/>
                <w:numId w:val="102"/>
              </w:numPr>
              <w:tabs>
                <w:tab w:val="left" w:pos="321"/>
              </w:tabs>
              <w:spacing w:before="120" w:after="0" w:line="276" w:lineRule="auto"/>
              <w:ind w:left="0" w:firstLine="37"/>
              <w:rPr>
                <w:rFonts w:ascii="Arial Narrow" w:hAnsi="Arial Narrow"/>
                <w:noProof/>
                <w:color w:val="006100"/>
                <w:sz w:val="20"/>
                <w:szCs w:val="20"/>
                <w:lang w:val="en-IE"/>
              </w:rPr>
            </w:pPr>
            <w:r w:rsidRPr="00A36E36">
              <w:rPr>
                <w:rFonts w:ascii="Arial Narrow" w:hAnsi="Arial Narrow"/>
                <w:noProof/>
                <w:color w:val="006100"/>
                <w:sz w:val="20"/>
                <w:lang w:val="en-IE"/>
              </w:rPr>
              <w:t>Set a system of regulated prices that takes adequately into account environmental resource use and pollution in accordance with the polluter-pays principle</w:t>
            </w:r>
          </w:p>
        </w:tc>
      </w:tr>
      <w:tr w:rsidR="0039681A" w:rsidRPr="0070054C" w14:paraId="43357A10" w14:textId="77777777" w:rsidTr="00381DB1">
        <w:trPr>
          <w:trHeight w:val="309"/>
          <w:jc w:val="center"/>
        </w:trPr>
        <w:tc>
          <w:tcPr>
            <w:tcW w:w="1204" w:type="dxa"/>
            <w:shd w:val="clear" w:color="auto" w:fill="C6EFCE"/>
            <w:noWrap/>
            <w:vAlign w:val="center"/>
            <w:hideMark/>
          </w:tcPr>
          <w:p w14:paraId="2F905E6F"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M2C4-3</w:t>
            </w:r>
          </w:p>
        </w:tc>
        <w:tc>
          <w:tcPr>
            <w:tcW w:w="2126" w:type="dxa"/>
            <w:shd w:val="clear" w:color="auto" w:fill="C6EFCE"/>
            <w:noWrap/>
            <w:vAlign w:val="center"/>
            <w:hideMark/>
          </w:tcPr>
          <w:p w14:paraId="50839713" w14:textId="77777777" w:rsidR="0039681A" w:rsidRPr="00D1196E" w:rsidRDefault="0039681A">
            <w:pPr>
              <w:spacing w:line="276" w:lineRule="auto"/>
              <w:contextualSpacing/>
              <w:jc w:val="center"/>
              <w:rPr>
                <w:rFonts w:ascii="Arial Narrow" w:hAnsi="Arial Narrow"/>
                <w:noProof/>
                <w:color w:val="006100"/>
                <w:sz w:val="20"/>
                <w:szCs w:val="20"/>
                <w:lang w:val="en-IE"/>
              </w:rPr>
            </w:pPr>
            <w:r w:rsidRPr="00D1196E">
              <w:rPr>
                <w:rFonts w:ascii="Arial Narrow" w:hAnsi="Arial Narrow"/>
                <w:noProof/>
                <w:color w:val="006100"/>
                <w:sz w:val="20"/>
                <w:lang w:val="en-IE"/>
              </w:rPr>
              <w:t>Reform 4.2 “Measures to ensure full managerial capacities for Integrated water services”</w:t>
            </w:r>
          </w:p>
        </w:tc>
        <w:tc>
          <w:tcPr>
            <w:tcW w:w="1276" w:type="dxa"/>
            <w:shd w:val="clear" w:color="auto" w:fill="C6EFCE"/>
            <w:noWrap/>
            <w:vAlign w:val="center"/>
            <w:hideMark/>
          </w:tcPr>
          <w:p w14:paraId="63478A11" w14:textId="77777777" w:rsidR="0039681A" w:rsidRPr="00D1196E" w:rsidRDefault="0039681A">
            <w:pPr>
              <w:spacing w:line="276" w:lineRule="auto"/>
              <w:contextualSpacing/>
              <w:jc w:val="center"/>
              <w:rPr>
                <w:rFonts w:ascii="Arial Narrow" w:hAnsi="Arial Narrow"/>
                <w:noProof/>
                <w:color w:val="006100"/>
                <w:sz w:val="20"/>
                <w:szCs w:val="20"/>
              </w:rPr>
            </w:pPr>
            <w:r w:rsidRPr="00D1196E">
              <w:rPr>
                <w:rFonts w:ascii="Arial Narrow" w:hAnsi="Arial Narrow"/>
                <w:noProof/>
                <w:color w:val="006100"/>
                <w:sz w:val="20"/>
              </w:rPr>
              <w:t>Milestone</w:t>
            </w:r>
          </w:p>
        </w:tc>
        <w:tc>
          <w:tcPr>
            <w:tcW w:w="1984" w:type="dxa"/>
            <w:shd w:val="clear" w:color="auto" w:fill="C6EFCE"/>
            <w:noWrap/>
            <w:vAlign w:val="center"/>
            <w:hideMark/>
          </w:tcPr>
          <w:p w14:paraId="4A88AA08"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of the legal framework for a better management and a sustainable use of water</w:t>
            </w:r>
          </w:p>
        </w:tc>
        <w:tc>
          <w:tcPr>
            <w:tcW w:w="1560" w:type="dxa"/>
            <w:shd w:val="clear" w:color="auto" w:fill="C6EFCE"/>
            <w:noWrap/>
            <w:vAlign w:val="center"/>
            <w:hideMark/>
          </w:tcPr>
          <w:p w14:paraId="77EFD868"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Memoranda of Understanding (MoU)</w:t>
            </w:r>
          </w:p>
        </w:tc>
        <w:tc>
          <w:tcPr>
            <w:tcW w:w="958" w:type="dxa"/>
            <w:shd w:val="clear" w:color="auto" w:fill="C6EFCE"/>
            <w:noWrap/>
            <w:vAlign w:val="center"/>
            <w:hideMark/>
          </w:tcPr>
          <w:p w14:paraId="474E1660"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1047" w:type="dxa"/>
            <w:shd w:val="clear" w:color="auto" w:fill="C6EFCE"/>
            <w:noWrap/>
            <w:vAlign w:val="center"/>
            <w:hideMark/>
          </w:tcPr>
          <w:p w14:paraId="19BD3FD0"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719" w:type="dxa"/>
            <w:shd w:val="clear" w:color="auto" w:fill="C6EFCE"/>
            <w:noWrap/>
            <w:vAlign w:val="center"/>
            <w:hideMark/>
          </w:tcPr>
          <w:p w14:paraId="0C45C75D"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6BFDE21F"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Q4</w:t>
            </w:r>
          </w:p>
        </w:tc>
        <w:tc>
          <w:tcPr>
            <w:tcW w:w="794" w:type="dxa"/>
            <w:shd w:val="clear" w:color="auto" w:fill="C6EFCE"/>
            <w:noWrap/>
            <w:vAlign w:val="center"/>
            <w:hideMark/>
          </w:tcPr>
          <w:p w14:paraId="05D8A6F7"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2021</w:t>
            </w:r>
          </w:p>
        </w:tc>
        <w:tc>
          <w:tcPr>
            <w:tcW w:w="2799" w:type="dxa"/>
            <w:shd w:val="clear" w:color="auto" w:fill="C6EFCE"/>
            <w:noWrap/>
            <w:vAlign w:val="center"/>
            <w:hideMark/>
          </w:tcPr>
          <w:p w14:paraId="638A1431" w14:textId="77777777" w:rsidR="0039681A" w:rsidRPr="00A36E36" w:rsidRDefault="0039681A">
            <w:pPr>
              <w:spacing w:line="276" w:lineRule="auto"/>
              <w:contextualSpacing/>
              <w:rPr>
                <w:rFonts w:ascii="Arial Narrow" w:hAnsi="Arial Narrow"/>
                <w:noProof/>
                <w:color w:val="006100"/>
                <w:sz w:val="20"/>
                <w:szCs w:val="20"/>
                <w:lang w:val="en-IE"/>
              </w:rPr>
            </w:pPr>
            <w:r w:rsidRPr="00A36E36">
              <w:rPr>
                <w:rFonts w:ascii="Arial Narrow" w:hAnsi="Arial Narrow"/>
                <w:noProof/>
                <w:color w:val="006100"/>
                <w:sz w:val="20"/>
                <w:lang w:val="en-IE"/>
              </w:rPr>
              <w:t>Signature of Memoranda of Understading (MoU) by the Ministry of Ecological Transition with the regions Campania, Calabria, Molise and Sicilia to reduce fragmentation in the number of operators providing water services. The MoU should set objectives in terms of setting Local Government Bodies, reducing the number of operators and achieving economies of scale with a view to establish single operators for at least each 40</w:t>
            </w:r>
            <w:r>
              <w:rPr>
                <w:noProof/>
                <w:color w:val="006100"/>
                <w:sz w:val="20"/>
                <w:lang w:val="en-IE"/>
              </w:rPr>
              <w:t> </w:t>
            </w:r>
            <w:r w:rsidRPr="00A36E36">
              <w:rPr>
                <w:rFonts w:ascii="Arial Narrow" w:hAnsi="Arial Narrow"/>
                <w:noProof/>
                <w:color w:val="006100"/>
                <w:sz w:val="20"/>
                <w:lang w:val="en-IE"/>
              </w:rPr>
              <w:t>000 inhabitants</w:t>
            </w:r>
          </w:p>
        </w:tc>
      </w:tr>
      <w:tr w:rsidR="0039681A" w:rsidRPr="0070054C" w14:paraId="57F5E96D" w14:textId="77777777" w:rsidTr="00381DB1">
        <w:trPr>
          <w:trHeight w:val="309"/>
          <w:jc w:val="center"/>
        </w:trPr>
        <w:tc>
          <w:tcPr>
            <w:tcW w:w="1204" w:type="dxa"/>
            <w:shd w:val="clear" w:color="auto" w:fill="C6EFCE"/>
            <w:noWrap/>
            <w:vAlign w:val="center"/>
            <w:hideMark/>
          </w:tcPr>
          <w:p w14:paraId="75987E9E" w14:textId="77777777" w:rsidR="0039681A" w:rsidRPr="00647572" w:rsidRDefault="0039681A">
            <w:pPr>
              <w:spacing w:line="276" w:lineRule="auto"/>
              <w:contextualSpacing/>
              <w:jc w:val="center"/>
              <w:rPr>
                <w:rFonts w:ascii="Arial Narrow" w:hAnsi="Arial Narrow"/>
                <w:noProof/>
                <w:color w:val="006100"/>
                <w:sz w:val="20"/>
                <w:szCs w:val="20"/>
              </w:rPr>
            </w:pPr>
            <w:bookmarkStart w:id="19" w:name="_Hlk222826421"/>
            <w:r w:rsidRPr="00647572">
              <w:rPr>
                <w:rFonts w:ascii="Arial Narrow" w:hAnsi="Arial Narrow"/>
                <w:noProof/>
                <w:color w:val="006100"/>
                <w:sz w:val="20"/>
              </w:rPr>
              <w:t>M2C4-4</w:t>
            </w:r>
            <w:bookmarkEnd w:id="19"/>
          </w:p>
        </w:tc>
        <w:tc>
          <w:tcPr>
            <w:tcW w:w="2126" w:type="dxa"/>
            <w:shd w:val="clear" w:color="auto" w:fill="C6EFCE"/>
            <w:noWrap/>
            <w:vAlign w:val="center"/>
            <w:hideMark/>
          </w:tcPr>
          <w:p w14:paraId="763E6630" w14:textId="77777777" w:rsidR="0039681A" w:rsidRPr="00D1196E" w:rsidRDefault="0039681A">
            <w:pPr>
              <w:spacing w:line="276" w:lineRule="auto"/>
              <w:contextualSpacing/>
              <w:jc w:val="center"/>
              <w:rPr>
                <w:rFonts w:ascii="Arial Narrow" w:hAnsi="Arial Narrow"/>
                <w:noProof/>
                <w:color w:val="006100"/>
                <w:sz w:val="20"/>
                <w:szCs w:val="20"/>
                <w:lang w:val="en-IE"/>
              </w:rPr>
            </w:pPr>
            <w:r w:rsidRPr="00D1196E">
              <w:rPr>
                <w:rFonts w:ascii="Arial Narrow" w:hAnsi="Arial Narrow"/>
                <w:noProof/>
                <w:color w:val="006100"/>
                <w:sz w:val="20"/>
                <w:lang w:val="en-IE"/>
              </w:rPr>
              <w:t>Reform 4.2 “Measures to ensure full managerial capacities for Integrated water services</w:t>
            </w:r>
          </w:p>
        </w:tc>
        <w:tc>
          <w:tcPr>
            <w:tcW w:w="1276" w:type="dxa"/>
            <w:shd w:val="clear" w:color="auto" w:fill="C6EFCE"/>
            <w:noWrap/>
            <w:vAlign w:val="center"/>
            <w:hideMark/>
          </w:tcPr>
          <w:p w14:paraId="52E323C4" w14:textId="77777777" w:rsidR="0039681A" w:rsidRPr="00D1196E" w:rsidRDefault="0039681A">
            <w:pPr>
              <w:spacing w:line="276" w:lineRule="auto"/>
              <w:contextualSpacing/>
              <w:jc w:val="center"/>
              <w:rPr>
                <w:rFonts w:ascii="Arial Narrow" w:hAnsi="Arial Narrow"/>
                <w:noProof/>
                <w:color w:val="006100"/>
                <w:sz w:val="20"/>
                <w:szCs w:val="20"/>
              </w:rPr>
            </w:pPr>
            <w:r w:rsidRPr="00D1196E">
              <w:rPr>
                <w:rFonts w:ascii="Arial Narrow" w:hAnsi="Arial Narrow"/>
                <w:noProof/>
                <w:color w:val="006100"/>
                <w:sz w:val="20"/>
              </w:rPr>
              <w:t>Milestone</w:t>
            </w:r>
          </w:p>
        </w:tc>
        <w:tc>
          <w:tcPr>
            <w:tcW w:w="1984" w:type="dxa"/>
            <w:shd w:val="clear" w:color="auto" w:fill="C6EFCE"/>
            <w:noWrap/>
            <w:vAlign w:val="center"/>
            <w:hideMark/>
          </w:tcPr>
          <w:p w14:paraId="6EDFF86E"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new legal framework of irrigation purposes</w:t>
            </w:r>
          </w:p>
        </w:tc>
        <w:tc>
          <w:tcPr>
            <w:tcW w:w="1560" w:type="dxa"/>
            <w:shd w:val="clear" w:color="auto" w:fill="C6EFCE"/>
            <w:noWrap/>
            <w:vAlign w:val="center"/>
            <w:hideMark/>
          </w:tcPr>
          <w:p w14:paraId="214A9930"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relevant piece of legislation indicating the entry into force</w:t>
            </w:r>
          </w:p>
        </w:tc>
        <w:tc>
          <w:tcPr>
            <w:tcW w:w="958" w:type="dxa"/>
            <w:shd w:val="clear" w:color="auto" w:fill="C6EFCE"/>
            <w:noWrap/>
            <w:vAlign w:val="center"/>
            <w:hideMark/>
          </w:tcPr>
          <w:p w14:paraId="45E3786A"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1047" w:type="dxa"/>
            <w:shd w:val="clear" w:color="auto" w:fill="C6EFCE"/>
            <w:noWrap/>
            <w:vAlign w:val="center"/>
            <w:hideMark/>
          </w:tcPr>
          <w:p w14:paraId="428F5A44"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719" w:type="dxa"/>
            <w:shd w:val="clear" w:color="auto" w:fill="C6EFCE"/>
            <w:noWrap/>
            <w:vAlign w:val="center"/>
            <w:hideMark/>
          </w:tcPr>
          <w:p w14:paraId="1086C1CA"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1CC5291E"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Q2</w:t>
            </w:r>
          </w:p>
        </w:tc>
        <w:tc>
          <w:tcPr>
            <w:tcW w:w="794" w:type="dxa"/>
            <w:shd w:val="clear" w:color="auto" w:fill="C6EFCE"/>
            <w:noWrap/>
            <w:vAlign w:val="center"/>
            <w:hideMark/>
          </w:tcPr>
          <w:p w14:paraId="52C7295B"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99" w:type="dxa"/>
            <w:shd w:val="clear" w:color="auto" w:fill="C6EFCE"/>
            <w:noWrap/>
            <w:vAlign w:val="center"/>
            <w:hideMark/>
          </w:tcPr>
          <w:p w14:paraId="3D8A7082" w14:textId="77777777" w:rsidR="0039681A" w:rsidRPr="00A36E36" w:rsidRDefault="0039681A">
            <w:pPr>
              <w:spacing w:line="276" w:lineRule="auto"/>
              <w:contextualSpacing/>
              <w:rPr>
                <w:rFonts w:ascii="Arial Narrow" w:hAnsi="Arial Narrow"/>
                <w:noProof/>
                <w:color w:val="006100"/>
                <w:sz w:val="20"/>
                <w:szCs w:val="20"/>
                <w:lang w:val="en-IE"/>
              </w:rPr>
            </w:pPr>
            <w:r w:rsidRPr="00A36E36">
              <w:rPr>
                <w:rFonts w:ascii="Arial Narrow" w:hAnsi="Arial Narrow"/>
                <w:noProof/>
                <w:color w:val="006100"/>
                <w:sz w:val="20"/>
                <w:lang w:val="en-IE"/>
              </w:rPr>
              <w:t>The revised legal framework shall as a minimum,</w:t>
            </w:r>
          </w:p>
          <w:p w14:paraId="030B0D03" w14:textId="77777777" w:rsidR="0039681A" w:rsidRPr="00A36E36" w:rsidRDefault="0039681A">
            <w:pPr>
              <w:spacing w:line="276" w:lineRule="auto"/>
              <w:contextualSpacing/>
              <w:rPr>
                <w:rFonts w:ascii="Arial Narrow" w:hAnsi="Arial Narrow"/>
                <w:noProof/>
                <w:color w:val="006100"/>
                <w:sz w:val="20"/>
                <w:szCs w:val="20"/>
                <w:lang w:val="en-IE"/>
              </w:rPr>
            </w:pPr>
            <w:r w:rsidRPr="00A36E36">
              <w:rPr>
                <w:rFonts w:ascii="Arial Narrow" w:hAnsi="Arial Narrow"/>
                <w:noProof/>
                <w:color w:val="006100"/>
                <w:sz w:val="20"/>
                <w:lang w:val="en-IE"/>
              </w:rPr>
              <w:t>-Establish a system of penalties for the illegal extraction of water</w:t>
            </w:r>
          </w:p>
          <w:p w14:paraId="59FEE123" w14:textId="77777777" w:rsidR="0039681A" w:rsidRPr="00A36E36" w:rsidRDefault="0039681A">
            <w:pPr>
              <w:spacing w:line="276" w:lineRule="auto"/>
              <w:contextualSpacing/>
              <w:rPr>
                <w:rFonts w:ascii="Arial Narrow" w:hAnsi="Arial Narrow"/>
                <w:noProof/>
                <w:color w:val="006100"/>
                <w:sz w:val="20"/>
                <w:szCs w:val="20"/>
                <w:lang w:val="en-IE"/>
              </w:rPr>
            </w:pPr>
            <w:r w:rsidRPr="00A36E36">
              <w:rPr>
                <w:rFonts w:ascii="Arial Narrow" w:hAnsi="Arial Narrow"/>
                <w:noProof/>
                <w:color w:val="006100"/>
                <w:sz w:val="20"/>
                <w:lang w:val="en-IE"/>
              </w:rPr>
              <w:t>Require an impact assessment as in Article 4 (7) of the Water Framework Directive to assess the (possibly cumulative) impact on all potentially affected water bodies.</w:t>
            </w:r>
          </w:p>
          <w:p w14:paraId="220FECA3" w14:textId="77777777" w:rsidR="0039681A" w:rsidRPr="00A36E36" w:rsidRDefault="0039681A">
            <w:pPr>
              <w:spacing w:line="276" w:lineRule="auto"/>
              <w:contextualSpacing/>
              <w:rPr>
                <w:rFonts w:ascii="Arial Narrow" w:hAnsi="Arial Narrow"/>
                <w:noProof/>
                <w:color w:val="006100"/>
                <w:sz w:val="20"/>
                <w:szCs w:val="20"/>
                <w:lang w:val="en-IE"/>
              </w:rPr>
            </w:pPr>
            <w:r w:rsidRPr="00A36E36">
              <w:rPr>
                <w:rFonts w:ascii="Arial Narrow" w:hAnsi="Arial Narrow"/>
                <w:noProof/>
                <w:color w:val="006100"/>
                <w:sz w:val="20"/>
                <w:lang w:val="en-IE"/>
              </w:rPr>
              <w:t>-Ensure that that expansion of existing irrigation system (including through increased use of water, i.e. not only physical expansion), even via more efficient methods, is avoided where the concerned water bodies (surface or ground waters) are, or projected (in the context of intensifying climate change) to be in less than good status or potentially good status.</w:t>
            </w:r>
          </w:p>
        </w:tc>
      </w:tr>
      <w:tr w:rsidR="0039681A" w:rsidRPr="0070054C" w14:paraId="23C8DFDE" w14:textId="77777777" w:rsidTr="00381DB1">
        <w:trPr>
          <w:trHeight w:val="309"/>
          <w:jc w:val="center"/>
        </w:trPr>
        <w:tc>
          <w:tcPr>
            <w:tcW w:w="1204" w:type="dxa"/>
            <w:shd w:val="clear" w:color="auto" w:fill="C6EFCE"/>
            <w:noWrap/>
            <w:vAlign w:val="center"/>
            <w:hideMark/>
          </w:tcPr>
          <w:p w14:paraId="1008EDFE"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M2C4-5</w:t>
            </w:r>
          </w:p>
        </w:tc>
        <w:tc>
          <w:tcPr>
            <w:tcW w:w="2126" w:type="dxa"/>
            <w:shd w:val="clear" w:color="auto" w:fill="C6EFCE"/>
            <w:noWrap/>
            <w:vAlign w:val="center"/>
            <w:hideMark/>
          </w:tcPr>
          <w:p w14:paraId="419ED242"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3.2: Digitization of national parks</w:t>
            </w:r>
          </w:p>
        </w:tc>
        <w:tc>
          <w:tcPr>
            <w:tcW w:w="1276" w:type="dxa"/>
            <w:shd w:val="clear" w:color="auto" w:fill="C6EFCE"/>
            <w:noWrap/>
            <w:vAlign w:val="center"/>
            <w:hideMark/>
          </w:tcPr>
          <w:p w14:paraId="04F51588"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84" w:type="dxa"/>
            <w:shd w:val="clear" w:color="auto" w:fill="C6EFCE"/>
            <w:noWrap/>
            <w:vAlign w:val="center"/>
            <w:hideMark/>
          </w:tcPr>
          <w:p w14:paraId="4947B6EE"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administrative simplification and development of digital services to visitors to national parks and marine protected areas</w:t>
            </w:r>
          </w:p>
        </w:tc>
        <w:tc>
          <w:tcPr>
            <w:tcW w:w="1560" w:type="dxa"/>
            <w:shd w:val="clear" w:color="auto" w:fill="C6EFCE"/>
            <w:noWrap/>
            <w:vAlign w:val="center"/>
            <w:hideMark/>
          </w:tcPr>
          <w:p w14:paraId="5F41AEF6"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Ministerial Decree on the entry into force</w:t>
            </w:r>
          </w:p>
        </w:tc>
        <w:tc>
          <w:tcPr>
            <w:tcW w:w="958" w:type="dxa"/>
            <w:shd w:val="clear" w:color="auto" w:fill="C6EFCE"/>
            <w:noWrap/>
            <w:vAlign w:val="center"/>
            <w:hideMark/>
          </w:tcPr>
          <w:p w14:paraId="75E1FFC9"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1047" w:type="dxa"/>
            <w:shd w:val="clear" w:color="auto" w:fill="C6EFCE"/>
            <w:noWrap/>
            <w:vAlign w:val="center"/>
            <w:hideMark/>
          </w:tcPr>
          <w:p w14:paraId="7A1EBBDA"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719" w:type="dxa"/>
            <w:shd w:val="clear" w:color="auto" w:fill="C6EFCE"/>
            <w:noWrap/>
            <w:vAlign w:val="center"/>
            <w:hideMark/>
          </w:tcPr>
          <w:p w14:paraId="08198186"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N/A</w:t>
            </w:r>
          </w:p>
        </w:tc>
        <w:tc>
          <w:tcPr>
            <w:tcW w:w="809" w:type="dxa"/>
            <w:shd w:val="clear" w:color="auto" w:fill="C6EFCE"/>
            <w:noWrap/>
            <w:vAlign w:val="center"/>
            <w:hideMark/>
          </w:tcPr>
          <w:p w14:paraId="558AB7BD"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Q1</w:t>
            </w:r>
          </w:p>
        </w:tc>
        <w:tc>
          <w:tcPr>
            <w:tcW w:w="794" w:type="dxa"/>
            <w:shd w:val="clear" w:color="auto" w:fill="C6EFCE"/>
            <w:noWrap/>
            <w:vAlign w:val="center"/>
            <w:hideMark/>
          </w:tcPr>
          <w:p w14:paraId="45B7A121" w14:textId="77777777" w:rsidR="0039681A" w:rsidRPr="00647572" w:rsidRDefault="0039681A">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99" w:type="dxa"/>
            <w:shd w:val="clear" w:color="auto" w:fill="C6EFCE"/>
            <w:noWrap/>
            <w:vAlign w:val="center"/>
            <w:hideMark/>
          </w:tcPr>
          <w:p w14:paraId="04CF67AC" w14:textId="440CF1CC" w:rsidR="0039681A" w:rsidRPr="00A36E36" w:rsidRDefault="0039681A" w:rsidP="002D3AB2">
            <w:pPr>
              <w:spacing w:line="276" w:lineRule="auto"/>
              <w:contextualSpacing/>
              <w:rPr>
                <w:rFonts w:ascii="Arial Narrow" w:hAnsi="Arial Narrow"/>
                <w:noProof/>
                <w:color w:val="006100"/>
                <w:sz w:val="20"/>
                <w:szCs w:val="20"/>
                <w:lang w:val="en-IE"/>
              </w:rPr>
            </w:pPr>
            <w:r w:rsidRPr="00A36E36">
              <w:rPr>
                <w:rFonts w:ascii="Arial Narrow" w:hAnsi="Arial Narrow"/>
                <w:noProof/>
                <w:color w:val="006100"/>
                <w:sz w:val="20"/>
                <w:lang w:val="en-IE"/>
              </w:rPr>
              <w:t>The Ministerial Decree shall mandate the development of digital services for visitors to national parks and marine protected areas.</w:t>
            </w:r>
          </w:p>
        </w:tc>
      </w:tr>
      <w:tr w:rsidR="0039681A" w:rsidRPr="0070054C" w14:paraId="4CEDE134" w14:textId="77777777" w:rsidTr="00381DB1">
        <w:trPr>
          <w:trHeight w:val="309"/>
          <w:jc w:val="center"/>
        </w:trPr>
        <w:tc>
          <w:tcPr>
            <w:tcW w:w="1204" w:type="dxa"/>
            <w:shd w:val="clear" w:color="auto" w:fill="C6EFCE"/>
            <w:noWrap/>
            <w:vAlign w:val="center"/>
            <w:hideMark/>
          </w:tcPr>
          <w:p w14:paraId="6C410BD5" w14:textId="77777777" w:rsidR="0039681A" w:rsidRPr="00647572" w:rsidRDefault="0039681A">
            <w:pPr>
              <w:spacing w:line="276" w:lineRule="auto"/>
              <w:contextualSpacing/>
              <w:jc w:val="center"/>
              <w:rPr>
                <w:rFonts w:ascii="Arial Narrow" w:hAnsi="Arial Narrow"/>
                <w:noProof/>
                <w:color w:val="006100"/>
                <w:sz w:val="20"/>
                <w:szCs w:val="20"/>
              </w:rPr>
            </w:pPr>
            <w:r w:rsidRPr="586CA1EA">
              <w:rPr>
                <w:rFonts w:ascii="Arial Narrow" w:hAnsi="Arial Narrow"/>
                <w:noProof/>
                <w:color w:val="006100"/>
                <w:sz w:val="20"/>
                <w:szCs w:val="20"/>
              </w:rPr>
              <w:t>M2C4-32</w:t>
            </w:r>
          </w:p>
        </w:tc>
        <w:tc>
          <w:tcPr>
            <w:tcW w:w="2126" w:type="dxa"/>
            <w:shd w:val="clear" w:color="auto" w:fill="C6EFCE"/>
            <w:noWrap/>
            <w:vAlign w:val="center"/>
            <w:hideMark/>
          </w:tcPr>
          <w:p w14:paraId="166FCF76" w14:textId="77777777" w:rsidR="0039681A" w:rsidRPr="00A36E36" w:rsidRDefault="0039681A">
            <w:pPr>
              <w:spacing w:line="276" w:lineRule="auto"/>
              <w:contextualSpacing/>
              <w:jc w:val="center"/>
              <w:rPr>
                <w:rFonts w:ascii="Arial Narrow" w:hAnsi="Arial Narrow"/>
                <w:noProof/>
                <w:color w:val="006100"/>
                <w:sz w:val="20"/>
                <w:lang w:val="en-IE"/>
              </w:rPr>
            </w:pPr>
            <w:r w:rsidRPr="00A36E36">
              <w:rPr>
                <w:rFonts w:ascii="Arial Narrow" w:hAnsi="Arial Narrow"/>
                <w:noProof/>
                <w:color w:val="006100"/>
                <w:sz w:val="20"/>
                <w:lang w:val="en-IE"/>
              </w:rPr>
              <w:t>Investment 4.2. Reduction of losses in water distribution networks, including digitization and monitoring of networks</w:t>
            </w:r>
          </w:p>
        </w:tc>
        <w:tc>
          <w:tcPr>
            <w:tcW w:w="1276" w:type="dxa"/>
            <w:shd w:val="clear" w:color="auto" w:fill="C6EFCE"/>
            <w:noWrap/>
            <w:vAlign w:val="center"/>
            <w:hideMark/>
          </w:tcPr>
          <w:p w14:paraId="5A7696B1" w14:textId="77777777" w:rsidR="0039681A" w:rsidRPr="00647572" w:rsidRDefault="0039681A">
            <w:pPr>
              <w:spacing w:line="276" w:lineRule="auto"/>
              <w:contextualSpacing/>
              <w:jc w:val="center"/>
              <w:rPr>
                <w:rFonts w:ascii="Arial Narrow" w:hAnsi="Arial Narrow"/>
                <w:noProof/>
                <w:color w:val="006100"/>
                <w:sz w:val="20"/>
                <w:szCs w:val="20"/>
              </w:rPr>
            </w:pPr>
            <w:r w:rsidRPr="437049EA">
              <w:rPr>
                <w:rFonts w:ascii="Arial Narrow" w:hAnsi="Arial Narrow"/>
                <w:noProof/>
                <w:color w:val="006100"/>
                <w:sz w:val="20"/>
                <w:szCs w:val="20"/>
              </w:rPr>
              <w:t>Milestone</w:t>
            </w:r>
          </w:p>
        </w:tc>
        <w:tc>
          <w:tcPr>
            <w:tcW w:w="1984" w:type="dxa"/>
            <w:shd w:val="clear" w:color="auto" w:fill="C6EFCE"/>
            <w:noWrap/>
            <w:vAlign w:val="center"/>
            <w:hideMark/>
          </w:tcPr>
          <w:p w14:paraId="127FE051"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Districting in water distribution networks</w:t>
            </w:r>
          </w:p>
        </w:tc>
        <w:tc>
          <w:tcPr>
            <w:tcW w:w="1560" w:type="dxa"/>
            <w:shd w:val="clear" w:color="auto" w:fill="C6EFCE"/>
            <w:noWrap/>
            <w:vAlign w:val="center"/>
            <w:hideMark/>
          </w:tcPr>
          <w:p w14:paraId="4ECD3900" w14:textId="77777777" w:rsidR="0039681A" w:rsidRPr="00A36E36" w:rsidRDefault="0039681A">
            <w:pPr>
              <w:spacing w:line="276" w:lineRule="auto"/>
              <w:contextualSpacing/>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Monitoring reports countersigned by the independent regulatory authority ARERA</w:t>
            </w:r>
          </w:p>
        </w:tc>
        <w:tc>
          <w:tcPr>
            <w:tcW w:w="958" w:type="dxa"/>
            <w:shd w:val="clear" w:color="auto" w:fill="C6EFCE"/>
            <w:noWrap/>
            <w:vAlign w:val="center"/>
            <w:hideMark/>
          </w:tcPr>
          <w:p w14:paraId="321089F8" w14:textId="77777777" w:rsidR="0039681A" w:rsidRPr="00A36E36" w:rsidRDefault="0039681A">
            <w:pPr>
              <w:spacing w:line="276" w:lineRule="auto"/>
              <w:contextualSpacing/>
              <w:jc w:val="center"/>
              <w:rPr>
                <w:rFonts w:ascii="Arial Narrow" w:hAnsi="Arial Narrow"/>
                <w:noProof/>
                <w:color w:val="006100"/>
                <w:sz w:val="20"/>
                <w:szCs w:val="20"/>
                <w:lang w:val="en-IE"/>
              </w:rPr>
            </w:pPr>
            <w:r>
              <w:rPr>
                <w:rFonts w:ascii="Arial Narrow" w:hAnsi="Arial Narrow"/>
                <w:noProof/>
                <w:color w:val="006100"/>
                <w:sz w:val="20"/>
                <w:szCs w:val="20"/>
                <w:lang w:val="en-IE"/>
              </w:rPr>
              <w:t>N/A</w:t>
            </w:r>
          </w:p>
        </w:tc>
        <w:tc>
          <w:tcPr>
            <w:tcW w:w="1047" w:type="dxa"/>
            <w:shd w:val="clear" w:color="auto" w:fill="C6EFCE"/>
            <w:noWrap/>
            <w:vAlign w:val="center"/>
            <w:hideMark/>
          </w:tcPr>
          <w:p w14:paraId="3F89C82F" w14:textId="77777777" w:rsidR="0039681A" w:rsidRPr="00647572" w:rsidRDefault="0039681A">
            <w:pPr>
              <w:spacing w:line="276" w:lineRule="auto"/>
              <w:contextualSpacing/>
              <w:jc w:val="center"/>
              <w:rPr>
                <w:rFonts w:ascii="Arial Narrow" w:hAnsi="Arial Narrow"/>
                <w:noProof/>
                <w:color w:val="006100"/>
                <w:sz w:val="20"/>
                <w:szCs w:val="20"/>
              </w:rPr>
            </w:pPr>
            <w:r w:rsidRPr="4EF120BA">
              <w:rPr>
                <w:rFonts w:ascii="Arial Narrow" w:hAnsi="Arial Narrow"/>
                <w:noProof/>
                <w:color w:val="006100"/>
                <w:sz w:val="20"/>
                <w:szCs w:val="20"/>
              </w:rPr>
              <w:t>N/A</w:t>
            </w:r>
          </w:p>
        </w:tc>
        <w:tc>
          <w:tcPr>
            <w:tcW w:w="719" w:type="dxa"/>
            <w:shd w:val="clear" w:color="auto" w:fill="C6EFCE"/>
            <w:noWrap/>
            <w:vAlign w:val="center"/>
            <w:hideMark/>
          </w:tcPr>
          <w:p w14:paraId="23D18BCB" w14:textId="77777777" w:rsidR="0039681A" w:rsidRPr="00647572" w:rsidRDefault="0039681A">
            <w:pPr>
              <w:spacing w:line="276" w:lineRule="auto"/>
              <w:contextualSpacing/>
              <w:jc w:val="center"/>
              <w:rPr>
                <w:rFonts w:ascii="Arial Narrow" w:hAnsi="Arial Narrow"/>
                <w:noProof/>
                <w:color w:val="006100"/>
                <w:sz w:val="20"/>
                <w:szCs w:val="20"/>
              </w:rPr>
            </w:pPr>
            <w:r w:rsidRPr="4EF120BA">
              <w:rPr>
                <w:rFonts w:ascii="Arial Narrow" w:hAnsi="Arial Narrow"/>
                <w:noProof/>
                <w:color w:val="006100"/>
                <w:sz w:val="20"/>
                <w:szCs w:val="20"/>
              </w:rPr>
              <w:t>N/A</w:t>
            </w:r>
          </w:p>
        </w:tc>
        <w:tc>
          <w:tcPr>
            <w:tcW w:w="809" w:type="dxa"/>
            <w:shd w:val="clear" w:color="auto" w:fill="C6EFCE"/>
            <w:noWrap/>
            <w:vAlign w:val="center"/>
            <w:hideMark/>
          </w:tcPr>
          <w:p w14:paraId="38ECA09F" w14:textId="77777777" w:rsidR="0039681A" w:rsidRPr="00647572" w:rsidRDefault="0039681A">
            <w:pPr>
              <w:spacing w:line="276" w:lineRule="auto"/>
              <w:contextualSpacing/>
              <w:jc w:val="center"/>
              <w:rPr>
                <w:rFonts w:ascii="Arial Narrow" w:hAnsi="Arial Narrow"/>
                <w:noProof/>
                <w:color w:val="006100"/>
                <w:sz w:val="20"/>
                <w:szCs w:val="20"/>
              </w:rPr>
            </w:pPr>
            <w:r>
              <w:rPr>
                <w:rFonts w:ascii="Arial Narrow" w:hAnsi="Arial Narrow"/>
                <w:noProof/>
                <w:color w:val="006100"/>
                <w:sz w:val="20"/>
                <w:szCs w:val="20"/>
              </w:rPr>
              <w:t>Q4</w:t>
            </w:r>
          </w:p>
        </w:tc>
        <w:tc>
          <w:tcPr>
            <w:tcW w:w="794" w:type="dxa"/>
            <w:shd w:val="clear" w:color="auto" w:fill="C6EFCE"/>
            <w:noWrap/>
            <w:vAlign w:val="center"/>
            <w:hideMark/>
          </w:tcPr>
          <w:p w14:paraId="68DABE3D" w14:textId="77777777" w:rsidR="0039681A" w:rsidRPr="00647572" w:rsidRDefault="0039681A">
            <w:pPr>
              <w:spacing w:line="276" w:lineRule="auto"/>
              <w:contextualSpacing/>
              <w:jc w:val="center"/>
              <w:rPr>
                <w:rFonts w:ascii="Arial Narrow" w:hAnsi="Arial Narrow"/>
                <w:noProof/>
                <w:color w:val="006100"/>
                <w:sz w:val="20"/>
                <w:szCs w:val="20"/>
              </w:rPr>
            </w:pPr>
            <w:r>
              <w:rPr>
                <w:rFonts w:ascii="Arial Narrow" w:hAnsi="Arial Narrow"/>
                <w:noProof/>
                <w:color w:val="006100"/>
                <w:sz w:val="20"/>
                <w:szCs w:val="20"/>
              </w:rPr>
              <w:t>2025</w:t>
            </w:r>
          </w:p>
        </w:tc>
        <w:tc>
          <w:tcPr>
            <w:tcW w:w="2799" w:type="dxa"/>
            <w:shd w:val="clear" w:color="auto" w:fill="C6EFCE"/>
            <w:noWrap/>
            <w:vAlign w:val="center"/>
            <w:hideMark/>
          </w:tcPr>
          <w:p w14:paraId="2AC11921" w14:textId="77777777" w:rsidR="0039681A" w:rsidRPr="00A36E36" w:rsidRDefault="0039681A">
            <w:pPr>
              <w:spacing w:line="276" w:lineRule="auto"/>
              <w:contextualSpacing/>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At least 35 monitoring reports countersigned by the independent regulatory authority ARERA have been issued, confirming the districting of at least 45 000 </w:t>
            </w:r>
            <w:r w:rsidRPr="00ED37C8">
              <w:rPr>
                <w:rFonts w:ascii="Arial Narrow" w:hAnsi="Arial Narrow"/>
                <w:noProof/>
                <w:color w:val="006100"/>
                <w:sz w:val="20"/>
                <w:szCs w:val="20"/>
                <w:lang w:val="en-IE"/>
              </w:rPr>
              <w:t>kilometres of water distribution networks.</w:t>
            </w:r>
            <w:r w:rsidRPr="00ED37C8">
              <w:rPr>
                <w:noProof/>
                <w:lang w:val="en-GB"/>
              </w:rPr>
              <w:t xml:space="preserve"> </w:t>
            </w:r>
            <w:r w:rsidRPr="00ED37C8">
              <w:rPr>
                <w:rFonts w:ascii="Arial Narrow" w:hAnsi="Arial Narrow"/>
                <w:noProof/>
                <w:color w:val="006100"/>
                <w:sz w:val="20"/>
                <w:szCs w:val="20"/>
                <w:lang w:val="en-IE"/>
              </w:rPr>
              <w:t>Those monitoring reports shall include the monitoring reports issued for the fulfilment of M2C4-31.</w:t>
            </w:r>
          </w:p>
        </w:tc>
      </w:tr>
      <w:tr w:rsidR="0039681A" w:rsidRPr="0070054C" w14:paraId="7BC896E1" w14:textId="77777777" w:rsidTr="00381DB1">
        <w:trPr>
          <w:trHeight w:val="309"/>
          <w:jc w:val="center"/>
        </w:trPr>
        <w:tc>
          <w:tcPr>
            <w:tcW w:w="1204" w:type="dxa"/>
            <w:shd w:val="clear" w:color="auto" w:fill="C6EFCE"/>
            <w:noWrap/>
            <w:vAlign w:val="center"/>
          </w:tcPr>
          <w:p w14:paraId="5CE5560A" w14:textId="77777777" w:rsidR="0039681A" w:rsidRPr="586CA1EA" w:rsidRDefault="0039681A" w:rsidP="00351087">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M2C4-20bis</w:t>
            </w:r>
          </w:p>
        </w:tc>
        <w:tc>
          <w:tcPr>
            <w:tcW w:w="2126" w:type="dxa"/>
            <w:shd w:val="clear" w:color="auto" w:fill="C6EFCE"/>
            <w:noWrap/>
            <w:vAlign w:val="center"/>
          </w:tcPr>
          <w:p w14:paraId="6522A8C7" w14:textId="77777777" w:rsidR="0039681A" w:rsidRPr="00A36E36" w:rsidRDefault="0039681A" w:rsidP="00351087">
            <w:pPr>
              <w:spacing w:line="276" w:lineRule="auto"/>
              <w:contextualSpacing/>
              <w:jc w:val="center"/>
              <w:rPr>
                <w:rFonts w:ascii="Arial Narrow" w:hAnsi="Arial Narrow"/>
                <w:noProof/>
                <w:color w:val="006100"/>
                <w:sz w:val="20"/>
                <w:lang w:val="en-IE"/>
              </w:rPr>
            </w:pPr>
            <w:r w:rsidRPr="00A36E36">
              <w:rPr>
                <w:rFonts w:ascii="Arial Narrow" w:hAnsi="Arial Narrow"/>
                <w:noProof/>
                <w:color w:val="006100"/>
                <w:sz w:val="20"/>
                <w:lang w:val="en-IE"/>
              </w:rPr>
              <w:t>Investment. 3.1: Protection and enhancement of urban and peri-urban forests</w:t>
            </w:r>
          </w:p>
        </w:tc>
        <w:tc>
          <w:tcPr>
            <w:tcW w:w="1276" w:type="dxa"/>
            <w:shd w:val="clear" w:color="auto" w:fill="C6EFCE"/>
            <w:noWrap/>
            <w:vAlign w:val="center"/>
          </w:tcPr>
          <w:p w14:paraId="7DB1D0C0" w14:textId="77777777" w:rsidR="0039681A" w:rsidRPr="437049EA" w:rsidRDefault="0039681A" w:rsidP="00351087">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984" w:type="dxa"/>
            <w:shd w:val="clear" w:color="auto" w:fill="C6EFCE"/>
            <w:noWrap/>
            <w:vAlign w:val="center"/>
          </w:tcPr>
          <w:p w14:paraId="29A25C9F" w14:textId="77777777" w:rsidR="0039681A" w:rsidRPr="00A36E36" w:rsidRDefault="0039681A" w:rsidP="00351087">
            <w:pPr>
              <w:spacing w:line="276" w:lineRule="auto"/>
              <w:contextualSpacing/>
              <w:jc w:val="center"/>
              <w:rPr>
                <w:rFonts w:ascii="Arial Narrow" w:hAnsi="Arial Narrow"/>
                <w:noProof/>
                <w:color w:val="006100"/>
                <w:sz w:val="20"/>
                <w:szCs w:val="20"/>
                <w:lang w:val="en-IE"/>
              </w:rPr>
            </w:pPr>
            <w:r>
              <w:rPr>
                <w:rFonts w:ascii="Arial Narrow" w:hAnsi="Arial Narrow"/>
                <w:noProof/>
                <w:color w:val="006100"/>
                <w:sz w:val="20"/>
                <w:lang w:val="en-IE"/>
              </w:rPr>
              <w:t>Transp</w:t>
            </w:r>
            <w:r w:rsidRPr="00A36E36">
              <w:rPr>
                <w:rFonts w:ascii="Arial Narrow" w:hAnsi="Arial Narrow"/>
                <w:noProof/>
                <w:color w:val="006100"/>
                <w:sz w:val="20"/>
                <w:lang w:val="en-IE"/>
              </w:rPr>
              <w:t xml:space="preserve">lant trees </w:t>
            </w:r>
            <w:r>
              <w:rPr>
                <w:rFonts w:ascii="Arial Narrow" w:hAnsi="Arial Narrow"/>
                <w:noProof/>
                <w:color w:val="006100"/>
                <w:sz w:val="20"/>
                <w:lang w:val="en-IE"/>
              </w:rPr>
              <w:t>or shrubs</w:t>
            </w:r>
            <w:r w:rsidRPr="00A36E36">
              <w:rPr>
                <w:rFonts w:ascii="Arial Narrow" w:hAnsi="Arial Narrow"/>
                <w:noProof/>
                <w:color w:val="006100"/>
                <w:sz w:val="20"/>
                <w:lang w:val="en-IE"/>
              </w:rPr>
              <w:t xml:space="preserve"> T3</w:t>
            </w:r>
          </w:p>
        </w:tc>
        <w:tc>
          <w:tcPr>
            <w:tcW w:w="1560" w:type="dxa"/>
            <w:shd w:val="clear" w:color="auto" w:fill="C6EFCE"/>
            <w:noWrap/>
            <w:vAlign w:val="center"/>
          </w:tcPr>
          <w:p w14:paraId="54C817CD" w14:textId="77777777" w:rsidR="0039681A" w:rsidRPr="00A36E36" w:rsidRDefault="0039681A" w:rsidP="00351087">
            <w:pPr>
              <w:spacing w:line="276" w:lineRule="auto"/>
              <w:contextualSpacing/>
              <w:jc w:val="center"/>
              <w:rPr>
                <w:rFonts w:ascii="Arial Narrow" w:hAnsi="Arial Narrow"/>
                <w:noProof/>
                <w:color w:val="006100"/>
                <w:sz w:val="20"/>
                <w:szCs w:val="20"/>
                <w:lang w:val="en-IE"/>
              </w:rPr>
            </w:pPr>
            <w:r w:rsidRPr="00647572">
              <w:rPr>
                <w:rFonts w:ascii="Arial Narrow" w:hAnsi="Arial Narrow"/>
                <w:noProof/>
                <w:color w:val="006100"/>
                <w:sz w:val="20"/>
              </w:rPr>
              <w:t>N/A</w:t>
            </w:r>
          </w:p>
        </w:tc>
        <w:tc>
          <w:tcPr>
            <w:tcW w:w="958" w:type="dxa"/>
            <w:shd w:val="clear" w:color="auto" w:fill="C6EFCE"/>
            <w:noWrap/>
            <w:vAlign w:val="center"/>
          </w:tcPr>
          <w:p w14:paraId="1B45FDB9" w14:textId="77777777" w:rsidR="0039681A" w:rsidRDefault="0039681A" w:rsidP="00351087">
            <w:pPr>
              <w:spacing w:line="276" w:lineRule="auto"/>
              <w:contextualSpacing/>
              <w:jc w:val="center"/>
              <w:rPr>
                <w:rFonts w:ascii="Arial Narrow" w:hAnsi="Arial Narrow"/>
                <w:noProof/>
                <w:color w:val="006100"/>
                <w:sz w:val="20"/>
                <w:szCs w:val="20"/>
                <w:lang w:val="en-IE"/>
              </w:rPr>
            </w:pPr>
            <w:r w:rsidRPr="00647572">
              <w:rPr>
                <w:rFonts w:ascii="Arial Narrow" w:hAnsi="Arial Narrow"/>
                <w:noProof/>
                <w:color w:val="006100"/>
                <w:sz w:val="20"/>
              </w:rPr>
              <w:t>Number</w:t>
            </w:r>
          </w:p>
        </w:tc>
        <w:tc>
          <w:tcPr>
            <w:tcW w:w="1047" w:type="dxa"/>
            <w:shd w:val="clear" w:color="auto" w:fill="C6EFCE"/>
            <w:noWrap/>
            <w:vAlign w:val="center"/>
          </w:tcPr>
          <w:p w14:paraId="67236B69" w14:textId="77777777" w:rsidR="0039681A" w:rsidRPr="4EF120BA" w:rsidRDefault="0039681A" w:rsidP="00351087">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0</w:t>
            </w:r>
          </w:p>
        </w:tc>
        <w:tc>
          <w:tcPr>
            <w:tcW w:w="719" w:type="dxa"/>
            <w:shd w:val="clear" w:color="auto" w:fill="C6EFCE"/>
            <w:noWrap/>
            <w:vAlign w:val="center"/>
          </w:tcPr>
          <w:p w14:paraId="54DC86BE" w14:textId="77777777" w:rsidR="0039681A" w:rsidRPr="4EF120BA" w:rsidRDefault="0039681A" w:rsidP="00351087">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3 500 000</w:t>
            </w:r>
          </w:p>
        </w:tc>
        <w:tc>
          <w:tcPr>
            <w:tcW w:w="809" w:type="dxa"/>
            <w:shd w:val="clear" w:color="auto" w:fill="C6EFCE"/>
            <w:noWrap/>
            <w:vAlign w:val="center"/>
          </w:tcPr>
          <w:p w14:paraId="2B29FA92" w14:textId="77777777" w:rsidR="0039681A" w:rsidRDefault="0039681A" w:rsidP="00351087">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Q2</w:t>
            </w:r>
          </w:p>
        </w:tc>
        <w:tc>
          <w:tcPr>
            <w:tcW w:w="794" w:type="dxa"/>
            <w:shd w:val="clear" w:color="auto" w:fill="C6EFCE"/>
            <w:noWrap/>
            <w:vAlign w:val="center"/>
          </w:tcPr>
          <w:p w14:paraId="047E7AD3" w14:textId="77777777" w:rsidR="0039681A" w:rsidRDefault="0039681A" w:rsidP="00351087">
            <w:pPr>
              <w:spacing w:line="276" w:lineRule="auto"/>
              <w:contextualSpacing/>
              <w:jc w:val="center"/>
              <w:rPr>
                <w:rFonts w:ascii="Arial Narrow" w:hAnsi="Arial Narrow"/>
                <w:noProof/>
                <w:color w:val="006100"/>
                <w:sz w:val="20"/>
                <w:szCs w:val="20"/>
              </w:rPr>
            </w:pPr>
            <w:r w:rsidRPr="00647572">
              <w:rPr>
                <w:rFonts w:ascii="Arial Narrow" w:hAnsi="Arial Narrow"/>
                <w:noProof/>
                <w:color w:val="006100"/>
                <w:sz w:val="20"/>
              </w:rPr>
              <w:t>2026</w:t>
            </w:r>
          </w:p>
        </w:tc>
        <w:tc>
          <w:tcPr>
            <w:tcW w:w="2799" w:type="dxa"/>
            <w:shd w:val="clear" w:color="auto" w:fill="C6EFCE"/>
            <w:noWrap/>
            <w:vAlign w:val="center"/>
          </w:tcPr>
          <w:p w14:paraId="033AA495" w14:textId="77777777" w:rsidR="0039681A" w:rsidRPr="00A36E36" w:rsidRDefault="0039681A" w:rsidP="00351087">
            <w:pPr>
              <w:spacing w:line="276" w:lineRule="auto"/>
              <w:contextualSpacing/>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Transplanting at least 3 500 000 trees </w:t>
            </w:r>
            <w:r>
              <w:rPr>
                <w:rFonts w:ascii="Arial Narrow" w:hAnsi="Arial Narrow"/>
                <w:noProof/>
                <w:color w:val="006100"/>
                <w:sz w:val="20"/>
                <w:szCs w:val="20"/>
                <w:lang w:val="en-IE"/>
              </w:rPr>
              <w:t>or</w:t>
            </w:r>
            <w:r w:rsidRPr="00A36E36">
              <w:rPr>
                <w:rFonts w:ascii="Arial Narrow" w:hAnsi="Arial Narrow"/>
                <w:noProof/>
                <w:color w:val="006100"/>
                <w:sz w:val="20"/>
                <w:szCs w:val="20"/>
                <w:lang w:val="en-IE"/>
              </w:rPr>
              <w:t xml:space="preserve"> shrubs </w:t>
            </w:r>
          </w:p>
        </w:tc>
      </w:tr>
    </w:tbl>
    <w:p w14:paraId="59514321" w14:textId="77777777" w:rsidR="0039681A" w:rsidRPr="00A36E36" w:rsidRDefault="0039681A" w:rsidP="00351087">
      <w:pPr>
        <w:spacing w:before="120" w:after="120"/>
        <w:ind w:left="709"/>
        <w:jc w:val="both"/>
        <w:rPr>
          <w:noProof/>
          <w:lang w:val="en-IE"/>
        </w:rPr>
      </w:pPr>
    </w:p>
    <w:p w14:paraId="1D893077" w14:textId="77777777" w:rsidR="0039681A" w:rsidRPr="00A36E36" w:rsidRDefault="0039681A" w:rsidP="00351087">
      <w:pPr>
        <w:spacing w:before="120" w:after="120"/>
        <w:ind w:left="709"/>
        <w:jc w:val="both"/>
        <w:rPr>
          <w:noProof/>
          <w:lang w:val="en-IE"/>
        </w:rPr>
        <w:sectPr w:rsidR="0039681A" w:rsidRPr="00A36E36" w:rsidSect="0039681A">
          <w:headerReference w:type="even" r:id="rId111"/>
          <w:headerReference w:type="default" r:id="rId112"/>
          <w:footerReference w:type="default" r:id="rId113"/>
          <w:headerReference w:type="first" r:id="rId114"/>
          <w:pgSz w:w="16838" w:h="11906" w:orient="landscape" w:code="9"/>
          <w:pgMar w:top="1134" w:right="1134" w:bottom="1134" w:left="1134" w:header="567" w:footer="567" w:gutter="0"/>
          <w:cols w:space="720"/>
          <w:docGrid w:linePitch="360"/>
        </w:sectPr>
      </w:pPr>
    </w:p>
    <w:p w14:paraId="33151927" w14:textId="77777777" w:rsidR="0039681A" w:rsidRPr="00A36E36" w:rsidRDefault="0039681A" w:rsidP="0035108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G.3.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4B72B16D" w14:textId="77777777" w:rsidR="0039681A" w:rsidRPr="00A36E36" w:rsidRDefault="0039681A" w:rsidP="00351087">
      <w:pPr>
        <w:spacing w:before="120" w:after="120" w:line="257" w:lineRule="auto"/>
        <w:jc w:val="both"/>
        <w:rPr>
          <w:rFonts w:ascii="Times New Roman" w:hAnsi="Times New Roman" w:cs="Times New Roman"/>
          <w:b/>
          <w:noProof/>
          <w:lang w:val="en-IE"/>
        </w:rPr>
      </w:pPr>
      <w:r w:rsidRPr="00A36E36">
        <w:rPr>
          <w:rFonts w:ascii="Times New Roman" w:hAnsi="Times New Roman" w:cs="Times New Roman"/>
          <w:b/>
          <w:noProof/>
          <w:lang w:val="en-IE"/>
        </w:rPr>
        <w:t xml:space="preserve">Reform 3.1 Adoption of national programs on air pollution control </w:t>
      </w:r>
    </w:p>
    <w:p w14:paraId="0A0D8EA6"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reform aims to align national and regional legislation, and to introduce related measures for the reduction of emissions of air pollutants (in accordance with targets set by Directive 2016/2284 on national emission ceilings and altering climate gases).</w:t>
      </w:r>
    </w:p>
    <w:p w14:paraId="452626EF" w14:textId="77777777"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1.1: Implementation of an advanced and integrated monitoring and forecast system</w:t>
      </w:r>
    </w:p>
    <w:p w14:paraId="63B0743E"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identify and predict risks stemming from climate change impact and inadequate spatial planning, and to provide information for risk prevention plans. This investment consists in the set-up of a monitoring system enabling the remote control of large territorial areas and the identification of illegal disposal of waste.</w:t>
      </w:r>
    </w:p>
    <w:p w14:paraId="03684B10" w14:textId="77777777"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2.1: Measures for flood and hydrogeological risk reduction</w:t>
      </w:r>
    </w:p>
    <w:p w14:paraId="531464CD"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w:t>
      </w:r>
      <w:r w:rsidRPr="00A36E36">
        <w:rPr>
          <w:rFonts w:ascii="Times New Roman" w:eastAsia="Times New Roman" w:hAnsi="Times New Roman" w:cs="Times New Roman"/>
          <w:noProof/>
          <w:lang w:val="en-IE"/>
        </w:rPr>
        <w:t>objective of this measure is to tackle the hydrogeological instability in the</w:t>
      </w:r>
      <w:r w:rsidRPr="00A36E36" w:rsidDel="0066239A">
        <w:rPr>
          <w:rFonts w:ascii="Times New Roman" w:hAnsi="Times New Roman" w:cs="Times New Roman"/>
          <w:noProof/>
          <w:lang w:val="en-IE"/>
        </w:rPr>
        <w:t xml:space="preserve"> Italian territory</w:t>
      </w:r>
      <w:r w:rsidRPr="00A36E36">
        <w:rPr>
          <w:rFonts w:ascii="Times New Roman" w:hAnsi="Times New Roman" w:cs="Times New Roman"/>
          <w:noProof/>
          <w:lang w:val="en-IE"/>
        </w:rPr>
        <w:t xml:space="preserve">. The measure </w:t>
      </w:r>
      <w:r w:rsidRPr="00A36E36">
        <w:rPr>
          <w:rFonts w:ascii="Times New Roman" w:eastAsia="Times New Roman" w:hAnsi="Times New Roman" w:cs="Times New Roman"/>
          <w:noProof/>
          <w:lang w:val="en-IE"/>
        </w:rPr>
        <w:t>consists in</w:t>
      </w:r>
      <w:r w:rsidRPr="00A36E36">
        <w:rPr>
          <w:rFonts w:ascii="Times New Roman" w:hAnsi="Times New Roman" w:cs="Times New Roman"/>
          <w:noProof/>
          <w:lang w:val="en-IE"/>
        </w:rPr>
        <w:t xml:space="preserve"> two lines of action, with </w:t>
      </w:r>
      <w:r w:rsidRPr="00A36E36">
        <w:rPr>
          <w:rFonts w:ascii="Times New Roman" w:hAnsi="Times New Roman" w:cs="Times New Roman"/>
          <w:i/>
          <w:iCs/>
          <w:noProof/>
          <w:lang w:val="en-IE"/>
        </w:rPr>
        <w:t>Protezione Civile</w:t>
      </w:r>
      <w:r w:rsidRPr="00A36E36">
        <w:rPr>
          <w:rFonts w:ascii="Times New Roman" w:hAnsi="Times New Roman" w:cs="Times New Roman"/>
          <w:noProof/>
          <w:lang w:val="en-IE"/>
        </w:rPr>
        <w:t xml:space="preserve"> and</w:t>
      </w:r>
      <w:r w:rsidRPr="00A36E36">
        <w:rPr>
          <w:rFonts w:ascii="Times New Roman" w:hAnsi="Times New Roman" w:cs="Times New Roman"/>
          <w:i/>
          <w:iCs/>
          <w:noProof/>
          <w:lang w:val="en-IE"/>
        </w:rPr>
        <w:t xml:space="preserve"> </w:t>
      </w:r>
      <w:r w:rsidRPr="00A36E36">
        <w:rPr>
          <w:rFonts w:ascii="Times New Roman" w:hAnsi="Times New Roman" w:cs="Times New Roman"/>
          <w:noProof/>
          <w:lang w:val="en-IE"/>
        </w:rPr>
        <w:t>“Commissioner of Emergency for the reconstruction in the territories of Emilia Romagna, Tuscany, and Marche” affected by the May 2023 floods</w:t>
      </w:r>
      <w:r w:rsidRPr="00A36E36">
        <w:rPr>
          <w:rFonts w:ascii="Times New Roman" w:hAnsi="Times New Roman" w:cs="Times New Roman"/>
          <w:i/>
          <w:iCs/>
          <w:noProof/>
          <w:lang w:val="en-IE"/>
        </w:rPr>
        <w:t xml:space="preserve"> (Commissario per la ricostruzione nel territorio della regione Emilia Romagna, Toscana e Marche)</w:t>
      </w:r>
      <w:r w:rsidRPr="00A36E36">
        <w:rPr>
          <w:rFonts w:ascii="Times New Roman" w:hAnsi="Times New Roman" w:cs="Times New Roman"/>
          <w:noProof/>
          <w:lang w:val="en-IE"/>
        </w:rPr>
        <w:t xml:space="preserve">, as responsible Administration, respectively: </w:t>
      </w:r>
      <w:r w:rsidRPr="00A36E36">
        <w:rPr>
          <w:rFonts w:ascii="Times New Roman" w:eastAsia="Times New Roman" w:hAnsi="Times New Roman" w:cs="Times New Roman"/>
          <w:noProof/>
          <w:lang w:val="en-IE"/>
        </w:rPr>
        <w:t>the first line of action concerns</w:t>
      </w:r>
      <w:r w:rsidRPr="00A36E36">
        <w:rPr>
          <w:rFonts w:ascii="Times New Roman" w:hAnsi="Times New Roman" w:cs="Times New Roman"/>
          <w:noProof/>
          <w:lang w:val="en-IE"/>
        </w:rPr>
        <w:t xml:space="preserve"> a set of interventions to restore damaged public structures and infrastructures (type E interventions) and reduce residual risk strictly connected to the event and aimed primarily at protecting public and private safety (type D interventions); </w:t>
      </w:r>
      <w:r w:rsidRPr="00A36E36">
        <w:rPr>
          <w:rFonts w:ascii="Times New Roman" w:eastAsia="Times New Roman" w:hAnsi="Times New Roman" w:cs="Times New Roman"/>
          <w:noProof/>
          <w:lang w:val="en-IE"/>
        </w:rPr>
        <w:t>the second line of action concerns interventions to restore waterways and increase protection against floods and landslides and rehabilitation interventions of the transport network in the territories affected by the May 2023 floods</w:t>
      </w:r>
      <w:r w:rsidRPr="00A36E36">
        <w:rPr>
          <w:rFonts w:ascii="Times New Roman" w:hAnsi="Times New Roman" w:cs="Times New Roman"/>
          <w:noProof/>
          <w:lang w:val="en-IE"/>
        </w:rPr>
        <w:t>.</w:t>
      </w:r>
    </w:p>
    <w:p w14:paraId="506BEAF5" w14:textId="77777777"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Investment 3.1: Protection and enhancement of urban and peri-urban forests </w:t>
      </w:r>
    </w:p>
    <w:p w14:paraId="572194B7" w14:textId="524C39B9" w:rsidR="0039681A" w:rsidRPr="00A36E36" w:rsidRDefault="0039681A" w:rsidP="00351087">
      <w:pPr>
        <w:spacing w:before="120" w:after="120"/>
        <w:jc w:val="both"/>
        <w:rPr>
          <w:rFonts w:ascii="Times New Roman" w:hAnsi="Times New Roman" w:cs="Times New Roman"/>
          <w:noProof/>
          <w:lang w:val="en-IE"/>
        </w:rPr>
      </w:pPr>
      <w:r w:rsidRPr="202A8740">
        <w:rPr>
          <w:rFonts w:ascii="Times New Roman" w:hAnsi="Times New Roman" w:cs="Times New Roman"/>
          <w:noProof/>
          <w:lang w:val="en-IE"/>
        </w:rPr>
        <w:t>The objective of this measure is to protect green areas and increase their number with the objective of both preserving and enhancing biodiversity and increasing the quality of life of the inhabitants of those areas. The measure consists in planting forest reproductive material (seeds or plants) for at least 4</w:t>
      </w:r>
      <w:r w:rsidR="00381DB1">
        <w:rPr>
          <w:rFonts w:ascii="Times New Roman" w:hAnsi="Times New Roman" w:cs="Times New Roman"/>
          <w:noProof/>
          <w:lang w:val="en-IE"/>
        </w:rPr>
        <w:t> </w:t>
      </w:r>
      <w:r w:rsidRPr="202A8740">
        <w:rPr>
          <w:rFonts w:ascii="Times New Roman" w:hAnsi="Times New Roman" w:cs="Times New Roman"/>
          <w:noProof/>
          <w:lang w:val="en-IE"/>
        </w:rPr>
        <w:t>500</w:t>
      </w:r>
      <w:r w:rsidR="00381DB1">
        <w:rPr>
          <w:rFonts w:ascii="Times New Roman" w:hAnsi="Times New Roman" w:cs="Times New Roman"/>
          <w:noProof/>
          <w:lang w:val="en-IE"/>
        </w:rPr>
        <w:t> </w:t>
      </w:r>
      <w:r w:rsidRPr="202A8740">
        <w:rPr>
          <w:rFonts w:ascii="Times New Roman" w:hAnsi="Times New Roman" w:cs="Times New Roman"/>
          <w:noProof/>
          <w:lang w:val="en-IE"/>
        </w:rPr>
        <w:t>000 trees or shrubs and in transplanting at least 3</w:t>
      </w:r>
      <w:r w:rsidR="00381DB1">
        <w:rPr>
          <w:rFonts w:ascii="Times New Roman" w:hAnsi="Times New Roman" w:cs="Times New Roman"/>
          <w:noProof/>
          <w:lang w:val="en-IE"/>
        </w:rPr>
        <w:t> </w:t>
      </w:r>
      <w:r w:rsidRPr="202A8740">
        <w:rPr>
          <w:rFonts w:ascii="Times New Roman" w:hAnsi="Times New Roman" w:cs="Times New Roman"/>
          <w:noProof/>
          <w:lang w:val="en-IE"/>
        </w:rPr>
        <w:t>500</w:t>
      </w:r>
      <w:r w:rsidR="00381DB1">
        <w:rPr>
          <w:rFonts w:ascii="Times New Roman" w:hAnsi="Times New Roman" w:cs="Times New Roman"/>
          <w:noProof/>
          <w:lang w:val="en-IE"/>
        </w:rPr>
        <w:t> </w:t>
      </w:r>
      <w:r w:rsidRPr="202A8740">
        <w:rPr>
          <w:rFonts w:ascii="Times New Roman" w:hAnsi="Times New Roman" w:cs="Times New Roman"/>
          <w:noProof/>
          <w:lang w:val="en-IE"/>
        </w:rPr>
        <w:t>000trees or shrubs, in</w:t>
      </w:r>
      <w:r w:rsidR="00381DB1">
        <w:rPr>
          <w:rFonts w:ascii="Times New Roman" w:hAnsi="Times New Roman" w:cs="Times New Roman"/>
          <w:noProof/>
          <w:lang w:val="en-IE"/>
        </w:rPr>
        <w:t xml:space="preserve"> </w:t>
      </w:r>
      <w:r w:rsidRPr="202A8740">
        <w:rPr>
          <w:rFonts w:ascii="Times New Roman" w:hAnsi="Times New Roman" w:cs="Times New Roman"/>
          <w:noProof/>
          <w:lang w:val="en-IE"/>
        </w:rPr>
        <w:t>13 metropolitan areas of Italy.</w:t>
      </w:r>
    </w:p>
    <w:p w14:paraId="3E5316E8" w14:textId="77777777" w:rsidR="0039681A" w:rsidRPr="00647572" w:rsidRDefault="0039681A" w:rsidP="00351087">
      <w:pPr>
        <w:pStyle w:val="Times12"/>
        <w:rPr>
          <w:rFonts w:ascii="Times New Roman" w:eastAsia="Times New Roman" w:hAnsi="Times New Roman" w:cs="Times New Roman"/>
          <w:noProof/>
          <w:lang w:val="en-GB"/>
        </w:rPr>
      </w:pPr>
      <w:r w:rsidRPr="33DD05B6">
        <w:rPr>
          <w:rFonts w:ascii="Times New Roman" w:eastAsia="Times New Roman" w:hAnsi="Times New Roman" w:cs="Times New Roman"/>
          <w:b/>
          <w:bCs/>
          <w:noProof/>
          <w:lang w:val="en-GB"/>
        </w:rPr>
        <w:t>Investment 3.2- Digitization of national parks and marine protected areas</w:t>
      </w:r>
    </w:p>
    <w:p w14:paraId="14A2A7BD" w14:textId="77777777" w:rsidR="0039681A" w:rsidRPr="00381DB1" w:rsidRDefault="0039681A" w:rsidP="00351087">
      <w:pPr>
        <w:pStyle w:val="Times12"/>
        <w:rPr>
          <w:rFonts w:ascii="Times New Roman" w:eastAsia="Times New Roman" w:hAnsi="Times New Roman" w:cs="Times New Roman"/>
          <w:noProof/>
          <w:sz w:val="22"/>
          <w:szCs w:val="22"/>
          <w:lang w:val="en-GB"/>
        </w:rPr>
      </w:pPr>
      <w:r w:rsidRPr="00381DB1">
        <w:rPr>
          <w:rFonts w:ascii="Times New Roman" w:eastAsia="Times New Roman" w:hAnsi="Times New Roman" w:cs="Times New Roman"/>
          <w:noProof/>
          <w:sz w:val="22"/>
          <w:szCs w:val="22"/>
          <w:lang w:val="en-GB"/>
        </w:rPr>
        <w:t>The objective of this measure is to modernize and digitize procedures related to the functioning of national parks and marine protected areas. The measure consists of digital services to visitors and interventions in nature conservation and monitoring of natural resources.</w:t>
      </w:r>
    </w:p>
    <w:p w14:paraId="3F09AEE3" w14:textId="77777777"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noProof/>
          <w:lang w:val="en-IE"/>
        </w:rPr>
        <w:t>Investment 3.3- Re-naturification of the Po area</w:t>
      </w:r>
    </w:p>
    <w:p w14:paraId="71872144"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reactivate natural processes and encourage the recovery of biodiversity in the Po river area. The measure consists of the execution of interventions to reduce riverbed artificiality.</w:t>
      </w:r>
    </w:p>
    <w:p w14:paraId="68140FA2" w14:textId="77777777"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noProof/>
          <w:lang w:val="en-IE"/>
        </w:rPr>
        <w:t>Investment 3.4: Remediation of orphan sites</w:t>
      </w:r>
    </w:p>
    <w:p w14:paraId="64A8A346"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intervention is to reduce the environmental impact of ’orphan sites’ thus indirectly promoting the circular economy. This investment consists in the adoption of an Action Plan for the identification and revitalisation of orphan sites across Italian regions and autonomous provinces, as well as the execution of specific interventions to restore them.</w:t>
      </w:r>
    </w:p>
    <w:p w14:paraId="348CA413" w14:textId="77777777" w:rsidR="0039681A" w:rsidRDefault="0039681A" w:rsidP="00351087">
      <w:pPr>
        <w:rPr>
          <w:rFonts w:ascii="Times New Roman" w:hAnsi="Times New Roman" w:cs="Times New Roman"/>
          <w:b/>
          <w:bCs/>
          <w:noProof/>
          <w:lang w:val="en-IE"/>
        </w:rPr>
      </w:pPr>
      <w:r>
        <w:rPr>
          <w:rFonts w:ascii="Times New Roman" w:hAnsi="Times New Roman" w:cs="Times New Roman"/>
          <w:b/>
          <w:bCs/>
          <w:noProof/>
          <w:lang w:val="en-IE"/>
        </w:rPr>
        <w:br w:type="page"/>
      </w:r>
    </w:p>
    <w:p w14:paraId="127F391C" w14:textId="77777777"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3.5: Restoration and protection of seabed and marine habitats</w:t>
      </w:r>
    </w:p>
    <w:p w14:paraId="35BE903C" w14:textId="77777777" w:rsidR="0039681A" w:rsidRPr="00A36E36" w:rsidRDefault="0039681A" w:rsidP="00351087">
      <w:pPr>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contribute to reversing the degradation of seabed and marine habitats. The measure consists in supporting projects mapping seafloor habitats and environmental monitoring, planning and large-scale restoration and protection measures, and enhancing marine observation platforms.</w:t>
      </w:r>
    </w:p>
    <w:p w14:paraId="00470869" w14:textId="77777777" w:rsidR="0039681A" w:rsidRPr="00A36E36" w:rsidRDefault="0039681A" w:rsidP="00351087">
      <w:pPr>
        <w:spacing w:before="120" w:after="120" w:line="257" w:lineRule="auto"/>
        <w:jc w:val="both"/>
        <w:rPr>
          <w:rFonts w:ascii="Times New Roman" w:eastAsia="Calibri" w:hAnsi="Times New Roman" w:cs="Times New Roman"/>
          <w:b/>
          <w:noProof/>
          <w:lang w:val="en-IE"/>
        </w:rPr>
      </w:pPr>
      <w:r w:rsidRPr="00A36E36">
        <w:rPr>
          <w:rFonts w:ascii="Times New Roman" w:hAnsi="Times New Roman" w:cs="Times New Roman"/>
          <w:b/>
          <w:noProof/>
          <w:lang w:val="en-IE"/>
        </w:rPr>
        <w:t>Reform 4.1 Simplification of legislation and strengthening of governance for the implementation of investments in the water supply infrastructures</w:t>
      </w:r>
    </w:p>
    <w:p w14:paraId="401A64A8" w14:textId="77777777" w:rsidR="0039681A" w:rsidRPr="00647572" w:rsidRDefault="0039681A" w:rsidP="00351087">
      <w:pPr>
        <w:pStyle w:val="Paragrafoelenco1"/>
        <w:spacing w:after="120" w:line="240" w:lineRule="auto"/>
        <w:ind w:left="0"/>
        <w:jc w:val="both"/>
        <w:rPr>
          <w:iCs/>
          <w:noProof/>
          <w:color w:val="auto"/>
          <w:sz w:val="22"/>
          <w:szCs w:val="22"/>
          <w:lang w:val="en-GB"/>
        </w:rPr>
      </w:pPr>
      <w:r w:rsidRPr="00647572">
        <w:rPr>
          <w:noProof/>
          <w:color w:val="auto"/>
          <w:sz w:val="22"/>
          <w:szCs w:val="22"/>
          <w:lang w:val="en-GB"/>
        </w:rPr>
        <w:t xml:space="preserve">The current regulatory framework and the existing fragmentation in the management has a negative impact on the capacity for planning and implementing investments in water supply infrastructures. </w:t>
      </w:r>
    </w:p>
    <w:p w14:paraId="4F9469EF" w14:textId="77777777" w:rsidR="0039681A" w:rsidRPr="00A36E36" w:rsidRDefault="0039681A" w:rsidP="00351087">
      <w:pPr>
        <w:suppressAutoHyphens/>
        <w:jc w:val="both"/>
        <w:rPr>
          <w:rFonts w:ascii="Times New Roman" w:hAnsi="Times New Roman" w:cs="Times New Roman"/>
          <w:noProof/>
          <w:lang w:val="en-IE"/>
        </w:rPr>
      </w:pPr>
      <w:r w:rsidRPr="00A36E36">
        <w:rPr>
          <w:rFonts w:ascii="Times New Roman" w:hAnsi="Times New Roman" w:cs="Times New Roman"/>
          <w:noProof/>
          <w:lang w:val="en-IE"/>
        </w:rPr>
        <w:t>The objective of this reform is to simplify and make more effective the legal framework and provide assistance when necessary to the implementing bodies with insufficient capacity to undertake and complete those investments within the timelines set originally.</w:t>
      </w:r>
    </w:p>
    <w:p w14:paraId="0BB0C314" w14:textId="77777777" w:rsidR="0039681A" w:rsidRPr="00A36E36" w:rsidRDefault="0039681A" w:rsidP="00351087">
      <w:pPr>
        <w:suppressAutoHyphens/>
        <w:jc w:val="both"/>
        <w:rPr>
          <w:rFonts w:ascii="Times New Roman" w:hAnsi="Times New Roman" w:cs="Times New Roman"/>
          <w:noProof/>
          <w:lang w:val="en-IE"/>
        </w:rPr>
      </w:pPr>
      <w:r w:rsidRPr="00A36E36">
        <w:rPr>
          <w:rFonts w:ascii="Times New Roman" w:hAnsi="Times New Roman" w:cs="Times New Roman"/>
          <w:noProof/>
          <w:lang w:val="en-IE"/>
        </w:rPr>
        <w:t>The main measures planned to achieve those objectives are mainly through (i) the establishment of a central public financing instrument for investments in the water sector which unifies resources which are rather scattered at present; (ii) simplifying the procedures for reporting and monitoring of the investments financed, (iii) further involving of the Regulator in the planning of the investments to be undertaken and in possible revisions to the plan.</w:t>
      </w:r>
    </w:p>
    <w:p w14:paraId="17389429" w14:textId="77777777" w:rsidR="0039681A" w:rsidRPr="00A36E36" w:rsidRDefault="0039681A" w:rsidP="00351087">
      <w:pPr>
        <w:suppressAutoHyphens/>
        <w:jc w:val="both"/>
        <w:rPr>
          <w:rFonts w:ascii="Times New Roman" w:hAnsi="Times New Roman" w:cs="Times New Roman"/>
          <w:noProof/>
          <w:lang w:val="en-IE"/>
        </w:rPr>
      </w:pPr>
      <w:r w:rsidRPr="00A36E36">
        <w:rPr>
          <w:rFonts w:ascii="Times New Roman" w:hAnsi="Times New Roman" w:cs="Times New Roman"/>
          <w:noProof/>
          <w:lang w:val="en-IE"/>
        </w:rPr>
        <w:t xml:space="preserve">The Ministry of Infrastructure and Transport shall present the reform proposal relating to the water supply sector. </w:t>
      </w:r>
    </w:p>
    <w:p w14:paraId="70989DB7" w14:textId="77777777"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4.1 Primary water infrastructure for the security of water supply</w:t>
      </w:r>
    </w:p>
    <w:p w14:paraId="29E777DB"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aim of this measure is to ensure the security of water supply for important urban areas and large irrigated areas, to increase safety and resilience of the network also with regard to transport capacity of water. The measure consists in works on primary water infrastructure throughout the entire national territory.</w:t>
      </w:r>
    </w:p>
    <w:p w14:paraId="2FEDE87F" w14:textId="77777777" w:rsidR="0039681A" w:rsidRPr="00A36E36" w:rsidRDefault="0039681A" w:rsidP="00351087">
      <w:pPr>
        <w:rPr>
          <w:rFonts w:ascii="Times New Roman" w:hAnsi="Times New Roman" w:cs="Times New Roman"/>
          <w:b/>
          <w:bCs/>
          <w:noProof/>
          <w:lang w:val="en-IE"/>
        </w:rPr>
      </w:pPr>
      <w:r w:rsidRPr="00A36E36">
        <w:rPr>
          <w:rFonts w:ascii="Times New Roman" w:hAnsi="Times New Roman" w:cs="Times New Roman"/>
          <w:b/>
          <w:bCs/>
          <w:noProof/>
          <w:lang w:val="en-IE"/>
        </w:rPr>
        <w:t>Investment 4.2. Reduction of losses in water distribution networks, including digitization and monitoring of networks</w:t>
      </w:r>
    </w:p>
    <w:p w14:paraId="54FD251B"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reduce loss of drinking water. The measure consists in the distrcting of water distribution networks. </w:t>
      </w:r>
    </w:p>
    <w:p w14:paraId="0E8555E7" w14:textId="77777777"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noProof/>
          <w:lang w:val="en-IE"/>
        </w:rPr>
        <w:t xml:space="preserve">Investment 4.3. Investments in the resilience of the irrigation agrosystem for better management of water resources </w:t>
      </w:r>
    </w:p>
    <w:p w14:paraId="2C3D3145" w14:textId="77777777"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noProof/>
          <w:lang w:val="en-IE"/>
        </w:rPr>
        <w:t>The objective of this measure is to increase efficiency of irrigation systems through digitalisation and infrastructural interventions for a more sustainable and climate change resilient agricultural sector.</w:t>
      </w:r>
    </w:p>
    <w:p w14:paraId="4298004E" w14:textId="77777777" w:rsidR="0039681A" w:rsidRPr="00A36E36" w:rsidRDefault="0039681A" w:rsidP="00351087">
      <w:pPr>
        <w:rPr>
          <w:rFonts w:ascii="Times New Roman" w:hAnsi="Times New Roman" w:cs="Times New Roman"/>
          <w:b/>
          <w:bCs/>
          <w:noProof/>
          <w:lang w:val="en-IE"/>
        </w:rPr>
      </w:pPr>
      <w:r w:rsidRPr="00A36E36">
        <w:rPr>
          <w:rFonts w:ascii="Times New Roman" w:hAnsi="Times New Roman" w:cs="Times New Roman"/>
          <w:b/>
          <w:bCs/>
          <w:noProof/>
          <w:lang w:val="en-IE"/>
        </w:rPr>
        <w:t>Investment 4.4. Sewerage and purification</w:t>
      </w:r>
    </w:p>
    <w:p w14:paraId="5C507AD0" w14:textId="5505C0B9" w:rsidR="0039681A" w:rsidRPr="00A36E36" w:rsidRDefault="0039681A" w:rsidP="00351087">
      <w:pPr>
        <w:tabs>
          <w:tab w:val="left" w:pos="720"/>
        </w:tabs>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reduce the weakness of the Italian water systems on sewerage and purification of wastewater, as well as the number of agglomerations with weak sewerage and purification systems.</w:t>
      </w:r>
      <w:r>
        <w:rPr>
          <w:rFonts w:ascii="Times New Roman" w:hAnsi="Times New Roman" w:cs="Times New Roman"/>
          <w:noProof/>
          <w:lang w:val="en-IE"/>
        </w:rPr>
        <w:t xml:space="preserve"> </w:t>
      </w:r>
      <w:r w:rsidRPr="00A36E36">
        <w:rPr>
          <w:rFonts w:ascii="Times New Roman" w:hAnsi="Times New Roman" w:cs="Times New Roman"/>
          <w:noProof/>
          <w:lang w:val="en-IE"/>
        </w:rPr>
        <w:t>The measure consists in interventions</w:t>
      </w:r>
      <w:r>
        <w:rPr>
          <w:rFonts w:ascii="Times New Roman" w:hAnsi="Times New Roman" w:cs="Times New Roman"/>
          <w:noProof/>
          <w:lang w:val="en-IE"/>
        </w:rPr>
        <w:t xml:space="preserve"> concerning the </w:t>
      </w:r>
      <w:r w:rsidRPr="00AF5341">
        <w:rPr>
          <w:rFonts w:ascii="Times New Roman" w:hAnsi="Times New Roman" w:cs="Times New Roman"/>
          <w:noProof/>
          <w:lang w:val="en-IE"/>
        </w:rPr>
        <w:t>sewerage and urban waste-water treatment systems throughout the national territory</w:t>
      </w:r>
      <w:r w:rsidRPr="00A36E36">
        <w:rPr>
          <w:rFonts w:ascii="Times New Roman" w:hAnsi="Times New Roman" w:cs="Times New Roman"/>
          <w:noProof/>
          <w:lang w:val="en-IE"/>
        </w:rPr>
        <w:t>.</w:t>
      </w:r>
    </w:p>
    <w:p w14:paraId="16846C89" w14:textId="77777777" w:rsidR="0039681A" w:rsidRPr="00A36E36" w:rsidRDefault="0039681A" w:rsidP="00351087">
      <w:pPr>
        <w:rPr>
          <w:rFonts w:ascii="Times New Roman" w:hAnsi="Times New Roman" w:cs="Times New Roman"/>
          <w:b/>
          <w:bCs/>
          <w:noProof/>
          <w:lang w:val="en-IE"/>
        </w:rPr>
      </w:pPr>
      <w:r w:rsidRPr="00A36E36">
        <w:rPr>
          <w:rFonts w:ascii="Times New Roman" w:hAnsi="Times New Roman" w:cs="Times New Roman"/>
          <w:b/>
          <w:bCs/>
          <w:noProof/>
          <w:lang w:val="en-IE"/>
        </w:rPr>
        <w:t>Investment 4.5. Grant scheme for investments on water infrastructures</w:t>
      </w:r>
    </w:p>
    <w:p w14:paraId="7144779E" w14:textId="77777777" w:rsidR="0039681A" w:rsidRPr="00A36E36" w:rsidRDefault="0039681A" w:rsidP="00351087">
      <w:p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This measure shall consist of a </w:t>
      </w:r>
      <w:r w:rsidRPr="00A36E36">
        <w:rPr>
          <w:rFonts w:ascii="Times New Roman" w:eastAsia="@MS Mincho" w:hAnsi="Times New Roman" w:cs="Times New Roman"/>
          <w:noProof/>
          <w:lang w:val="en-IE"/>
        </w:rPr>
        <w:t>public investment</w:t>
      </w:r>
      <w:r w:rsidRPr="00A36E36">
        <w:rPr>
          <w:rFonts w:ascii="Times New Roman" w:hAnsi="Times New Roman" w:cs="Times New Roman"/>
          <w:noProof/>
          <w:lang w:val="en-IE"/>
        </w:rPr>
        <w:t xml:space="preserve"> in a Grant Scheme, </w:t>
      </w:r>
      <w:r w:rsidRPr="00A36E36">
        <w:rPr>
          <w:rFonts w:ascii="Times New Roman" w:eastAsia="@MS Mincho" w:hAnsi="Times New Roman" w:cs="Times New Roman"/>
          <w:noProof/>
          <w:lang w:val="en-IE"/>
        </w:rPr>
        <w:t>in order to incentivise private investment and improve access to finance in Italy’s water management sector</w:t>
      </w:r>
      <w:r w:rsidRPr="00A36E36">
        <w:rPr>
          <w:rFonts w:ascii="Times New Roman" w:hAnsi="Times New Roman" w:cs="Times New Roman"/>
          <w:noProof/>
          <w:lang w:val="en-IE"/>
        </w:rPr>
        <w:t>. The Scheme shall operate by providing viability gap grants directly to the private sector as well as to public sector entities engaged in similar activities.</w:t>
      </w:r>
    </w:p>
    <w:p w14:paraId="6AADDCE9" w14:textId="77777777" w:rsidR="0039681A" w:rsidRPr="00647572" w:rsidRDefault="0039681A" w:rsidP="00351087">
      <w:pPr>
        <w:spacing w:line="240" w:lineRule="auto"/>
        <w:jc w:val="both"/>
        <w:rPr>
          <w:rFonts w:ascii="Times New Roman" w:hAnsi="Times New Roman" w:cs="Times New Roman"/>
          <w:noProof/>
        </w:rPr>
      </w:pPr>
      <w:r w:rsidRPr="00A36E36">
        <w:rPr>
          <w:rFonts w:ascii="Times New Roman" w:hAnsi="Times New Roman" w:cs="Times New Roman"/>
          <w:noProof/>
          <w:lang w:val="en-IE"/>
        </w:rPr>
        <w:t xml:space="preserve">The Scheme shall be managed by Invitalia S.p.A. as the implementing partner. </w:t>
      </w:r>
      <w:r w:rsidRPr="00647572">
        <w:rPr>
          <w:rFonts w:ascii="Times New Roman" w:hAnsi="Times New Roman" w:cs="Times New Roman"/>
          <w:noProof/>
        </w:rPr>
        <w:t>The Scheme shall include the following product line:</w:t>
      </w:r>
    </w:p>
    <w:p w14:paraId="2B00C1DE" w14:textId="77777777" w:rsidR="0039681A" w:rsidRPr="00A36E36" w:rsidRDefault="0039681A" w:rsidP="0039681A">
      <w:pPr>
        <w:pStyle w:val="ListParagraph"/>
        <w:keepNext/>
        <w:numPr>
          <w:ilvl w:val="0"/>
          <w:numId w:val="43"/>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A viability gap grant designed to cover the projects’ funding gap of the infrastructural projects in the water management sector. The grant shall subsidize a portion of the overall investment, in order to ensure the project’s bankability. The design of grant structure shall incentivize the rationalization and aggregation of water service providers by putting in place a reward mechanism.</w:t>
      </w:r>
    </w:p>
    <w:p w14:paraId="571A38B7" w14:textId="77777777" w:rsidR="0039681A" w:rsidRPr="00A36E36" w:rsidRDefault="0039681A" w:rsidP="00351087">
      <w:p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Scheme, Italy and Invitalia S.p.A. shall sign an Implementing Agreement that shall include the following content:</w:t>
      </w:r>
    </w:p>
    <w:p w14:paraId="23FEA0DE" w14:textId="77777777" w:rsidR="0039681A" w:rsidRPr="00647572" w:rsidRDefault="0039681A" w:rsidP="00351087">
      <w:pPr>
        <w:pStyle w:val="LegalNumPar"/>
        <w:numPr>
          <w:ilvl w:val="0"/>
          <w:numId w:val="0"/>
        </w:numPr>
        <w:spacing w:line="259" w:lineRule="auto"/>
        <w:jc w:val="both"/>
        <w:rPr>
          <w:rFonts w:ascii="Times New Roman" w:eastAsia="Times New Roman" w:hAnsi="Times New Roman" w:cs="Times New Roman"/>
          <w:noProof/>
          <w:lang w:val="en-GB"/>
        </w:rPr>
      </w:pPr>
      <w:r w:rsidRPr="00647572">
        <w:rPr>
          <w:rFonts w:ascii="Times New Roman" w:hAnsi="Times New Roman" w:cs="Times New Roman"/>
          <w:noProof/>
          <w:lang w:val="en-GB"/>
        </w:rPr>
        <w:t xml:space="preserve">1. Description of the decision-making process of the </w:t>
      </w:r>
      <w:r w:rsidRPr="00647572">
        <w:rPr>
          <w:rFonts w:ascii="Times New Roman" w:hAnsi="Times New Roman" w:cs="Times New Roman"/>
          <w:bCs/>
          <w:noProof/>
          <w:lang w:val="en-GB"/>
        </w:rPr>
        <w:t>Scheme</w:t>
      </w:r>
      <w:r w:rsidRPr="00647572">
        <w:rPr>
          <w:rFonts w:ascii="Times New Roman" w:hAnsi="Times New Roman" w:cs="Times New Roman"/>
          <w:noProof/>
          <w:lang w:val="en-GB"/>
        </w:rPr>
        <w:t>: The final award decision of the Scheme shall be taken by an investment committee or other relevant equivalent governing body and approved by a majority of votes from members who are independent from the government.</w:t>
      </w:r>
    </w:p>
    <w:p w14:paraId="7A6E3D10" w14:textId="77777777" w:rsidR="0039681A" w:rsidRPr="00647572" w:rsidRDefault="0039681A" w:rsidP="00351087">
      <w:pPr>
        <w:pStyle w:val="LegalNumPar"/>
        <w:numPr>
          <w:ilvl w:val="0"/>
          <w:numId w:val="0"/>
        </w:numPr>
        <w:spacing w:line="259" w:lineRule="auto"/>
        <w:ind w:left="476" w:hanging="476"/>
        <w:jc w:val="both"/>
        <w:rPr>
          <w:rFonts w:ascii="Times New Roman" w:hAnsi="Times New Roman" w:cs="Times New Roman"/>
          <w:noProof/>
          <w:lang w:val="en-GB"/>
        </w:rPr>
      </w:pPr>
      <w:r w:rsidRPr="00647572">
        <w:rPr>
          <w:rFonts w:ascii="Times New Roman" w:hAnsi="Times New Roman" w:cs="Times New Roman"/>
          <w:noProof/>
          <w:lang w:val="en-GB"/>
        </w:rPr>
        <w:t>2. Key requirements of the associated grant policy,</w:t>
      </w:r>
      <w:r w:rsidRPr="00647572">
        <w:rPr>
          <w:rFonts w:ascii="Times New Roman" w:hAnsi="Times New Roman" w:cs="Times New Roman"/>
          <w:b/>
          <w:noProof/>
          <w:lang w:val="en-GB"/>
        </w:rPr>
        <w:t xml:space="preserve"> </w:t>
      </w:r>
      <w:r w:rsidRPr="00647572">
        <w:rPr>
          <w:rFonts w:ascii="Times New Roman" w:hAnsi="Times New Roman" w:cs="Times New Roman"/>
          <w:noProof/>
          <w:lang w:val="en-GB"/>
        </w:rPr>
        <w:t>which shall include:</w:t>
      </w:r>
    </w:p>
    <w:p w14:paraId="72297589" w14:textId="77777777" w:rsidR="0039681A" w:rsidRPr="00647572" w:rsidRDefault="0039681A" w:rsidP="0039681A">
      <w:pPr>
        <w:pStyle w:val="LegalNumPar2"/>
        <w:numPr>
          <w:ilvl w:val="1"/>
          <w:numId w:val="104"/>
        </w:numPr>
        <w:jc w:val="both"/>
        <w:rPr>
          <w:rFonts w:ascii="Times New Roman" w:hAnsi="Times New Roman" w:cs="Times New Roman"/>
          <w:noProof/>
          <w:lang w:val="en-GB"/>
        </w:rPr>
      </w:pPr>
      <w:r w:rsidRPr="00647572">
        <w:rPr>
          <w:rFonts w:ascii="Times New Roman" w:hAnsi="Times New Roman" w:cs="Times New Roman"/>
          <w:noProof/>
          <w:lang w:val="en-GB"/>
        </w:rPr>
        <w:t>The description of the grants provided and eligible final beneficiaries. Final beneficiaries shall be, in principle, companies with private participation. In line with the principle of non-discrimination, public entities that are engaged in similar activities as the private entities benefiting from the scheme could also be accepted as final beneficiaries.</w:t>
      </w:r>
    </w:p>
    <w:p w14:paraId="3B8F0A2C" w14:textId="77777777" w:rsidR="0039681A" w:rsidRPr="00647572" w:rsidRDefault="0039681A" w:rsidP="0039681A">
      <w:pPr>
        <w:pStyle w:val="LegalNumPar2"/>
        <w:spacing w:line="259" w:lineRule="auto"/>
        <w:ind w:left="953" w:hanging="477"/>
        <w:jc w:val="both"/>
        <w:rPr>
          <w:rFonts w:ascii="Times New Roman" w:hAnsi="Times New Roman" w:cs="Times New Roman"/>
          <w:noProof/>
          <w:lang w:val="en-GB"/>
        </w:rPr>
      </w:pPr>
      <w:r w:rsidRPr="00647572">
        <w:rPr>
          <w:rFonts w:ascii="Times New Roman" w:hAnsi="Times New Roman" w:cs="Times New Roman"/>
          <w:noProof/>
          <w:lang w:val="en-GB"/>
        </w:rPr>
        <w:t>The requirement that all investments supported are economically viable</w:t>
      </w:r>
      <w:r w:rsidRPr="00647572">
        <w:rPr>
          <w:rFonts w:ascii="Times New Roman" w:hAnsi="Times New Roman" w:cs="Times New Roman"/>
          <w:b/>
          <w:bCs/>
          <w:noProof/>
          <w:lang w:val="en-GB"/>
        </w:rPr>
        <w:t>.</w:t>
      </w:r>
    </w:p>
    <w:p w14:paraId="79860822" w14:textId="77777777" w:rsidR="0039681A" w:rsidRPr="00647572" w:rsidRDefault="0039681A" w:rsidP="0039681A">
      <w:pPr>
        <w:pStyle w:val="LegalNumPar2"/>
        <w:numPr>
          <w:ilvl w:val="1"/>
          <w:numId w:val="104"/>
        </w:numPr>
        <w:spacing w:line="259" w:lineRule="auto"/>
        <w:jc w:val="both"/>
        <w:rPr>
          <w:rFonts w:ascii="Times New Roman" w:hAnsi="Times New Roman" w:cs="Times New Roman"/>
          <w:noProof/>
          <w:lang w:val="en-GB"/>
        </w:rPr>
      </w:pPr>
      <w:r w:rsidRPr="00647572">
        <w:rPr>
          <w:rFonts w:ascii="Times New Roman" w:hAnsi="Times New Roman" w:cs="Times New Roman"/>
          <w:noProof/>
          <w:lang w:val="en-GB"/>
        </w:rPr>
        <w:t>The requirement to comply with the ‘Do no significant harm’ (DNSH) principle as set out in the DNSH Technical Guidance (2021/C58/01). In particular, the grant policy shall exclude the following list of activities and assets from eligibility: activities and assets related to fossil fuels, including downstream use</w:t>
      </w:r>
      <w:r w:rsidRPr="00647572">
        <w:rPr>
          <w:rFonts w:ascii="Times New Roman" w:hAnsi="Times New Roman" w:cs="Times New Roman"/>
          <w:noProof/>
          <w:vertAlign w:val="superscript"/>
          <w:lang w:val="en-GB"/>
        </w:rPr>
        <w:footnoteReference w:id="71"/>
      </w:r>
      <w:r w:rsidRPr="00647572">
        <w:rPr>
          <w:rFonts w:ascii="Times New Roman" w:hAnsi="Times New Roman" w:cs="Times New Roman"/>
          <w:noProof/>
          <w:lang w:val="en-GB"/>
        </w:rPr>
        <w:t xml:space="preserve">. Moreover, </w:t>
      </w:r>
      <w:r w:rsidRPr="00647572">
        <w:rPr>
          <w:rFonts w:ascii="Times New Roman" w:hAnsi="Times New Roman" w:cs="Times New Roman"/>
          <w:bCs/>
          <w:noProof/>
          <w:lang w:val="en-GB"/>
        </w:rPr>
        <w:t>the associated grant policy shall include the requirement to exclude from the financing: investments involving the construction of new dams; investments in the scope of article 4(7) of Directive 2000/60 of the European Parliament and of the Council of 23 October 2000 establishing a framework for Community action in the field of water policy.</w:t>
      </w:r>
    </w:p>
    <w:p w14:paraId="25F2EB80" w14:textId="77777777" w:rsidR="0039681A" w:rsidRPr="00647572" w:rsidRDefault="0039681A" w:rsidP="0039681A">
      <w:pPr>
        <w:pStyle w:val="LegalNumPar2"/>
        <w:spacing w:line="259" w:lineRule="auto"/>
        <w:ind w:left="953" w:hanging="477"/>
        <w:jc w:val="both"/>
        <w:rPr>
          <w:rFonts w:ascii="Times New Roman" w:hAnsi="Times New Roman" w:cs="Times New Roman"/>
          <w:bCs/>
          <w:noProof/>
          <w:lang w:val="en-GB"/>
        </w:rPr>
      </w:pPr>
      <w:r w:rsidRPr="00647572">
        <w:rPr>
          <w:rFonts w:ascii="Times New Roman" w:hAnsi="Times New Roman" w:cs="Times New Roman"/>
          <w:bCs/>
          <w:noProof/>
          <w:lang w:val="en-GB"/>
        </w:rPr>
        <w:t>The requirement</w:t>
      </w:r>
      <w:r w:rsidRPr="00647572" w:rsidDel="00E46B3C">
        <w:rPr>
          <w:rFonts w:ascii="Times New Roman" w:hAnsi="Times New Roman" w:cs="Times New Roman"/>
          <w:bCs/>
          <w:noProof/>
          <w:lang w:val="en-GB"/>
        </w:rPr>
        <w:t xml:space="preserve"> </w:t>
      </w:r>
      <w:r w:rsidRPr="00647572">
        <w:rPr>
          <w:rFonts w:ascii="Times New Roman" w:hAnsi="Times New Roman" w:cs="Times New Roman"/>
          <w:bCs/>
          <w:noProof/>
          <w:lang w:val="en-GB"/>
        </w:rPr>
        <w:t>that final beneficiaries of the Scheme shall not receive support from other Union instruments to cover the same cost.</w:t>
      </w:r>
    </w:p>
    <w:p w14:paraId="73415DBF" w14:textId="77777777" w:rsidR="0039681A" w:rsidRPr="00647572" w:rsidRDefault="0039681A" w:rsidP="00351087">
      <w:pPr>
        <w:pStyle w:val="LegalNumPar"/>
        <w:numPr>
          <w:ilvl w:val="0"/>
          <w:numId w:val="0"/>
        </w:numPr>
        <w:spacing w:line="259" w:lineRule="auto"/>
        <w:ind w:left="476" w:hanging="476"/>
        <w:jc w:val="both"/>
        <w:rPr>
          <w:rFonts w:ascii="Times New Roman" w:hAnsi="Times New Roman" w:cs="Times New Roman"/>
          <w:noProof/>
          <w:lang w:val="en-GB"/>
        </w:rPr>
      </w:pPr>
      <w:r w:rsidRPr="00647572">
        <w:rPr>
          <w:rFonts w:ascii="Times New Roman" w:hAnsi="Times New Roman" w:cs="Times New Roman"/>
          <w:noProof/>
          <w:lang w:val="en-GB"/>
        </w:rPr>
        <w:t>3. The amount covered by the Implementing Agreement, the fee structure for the Implementing Partner and the requirement to use any unused proceeds of the scheme, including beyond 2026, for the same policy purposes.</w:t>
      </w:r>
    </w:p>
    <w:p w14:paraId="2DB656D5" w14:textId="77777777" w:rsidR="0039681A" w:rsidRPr="00647572" w:rsidRDefault="0039681A" w:rsidP="00351087">
      <w:pPr>
        <w:pStyle w:val="LegalNumPar"/>
        <w:numPr>
          <w:ilvl w:val="0"/>
          <w:numId w:val="0"/>
        </w:numPr>
        <w:spacing w:line="259" w:lineRule="auto"/>
        <w:ind w:left="476" w:hanging="476"/>
        <w:jc w:val="both"/>
        <w:rPr>
          <w:rFonts w:ascii="Times New Roman" w:hAnsi="Times New Roman" w:cs="Times New Roman"/>
          <w:noProof/>
          <w:lang w:val="en-GB"/>
        </w:rPr>
      </w:pPr>
      <w:r w:rsidRPr="00647572">
        <w:rPr>
          <w:rFonts w:ascii="Times New Roman" w:hAnsi="Times New Roman" w:cs="Times New Roman"/>
          <w:bCs/>
          <w:noProof/>
          <w:lang w:val="en-GB"/>
        </w:rPr>
        <w:t>4. Monitoring</w:t>
      </w:r>
      <w:r w:rsidRPr="00647572">
        <w:rPr>
          <w:rFonts w:ascii="Times New Roman" w:hAnsi="Times New Roman" w:cs="Times New Roman"/>
          <w:noProof/>
          <w:lang w:val="en-GB"/>
        </w:rPr>
        <w:t>, audit, and control requirements, including:</w:t>
      </w:r>
    </w:p>
    <w:p w14:paraId="472DF954" w14:textId="77777777" w:rsidR="0039681A" w:rsidRPr="00A36E36" w:rsidRDefault="0039681A" w:rsidP="0039681A">
      <w:pPr>
        <w:numPr>
          <w:ilvl w:val="0"/>
          <w:numId w:val="128"/>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partner’s monitoring system to report on the grants mobilized.</w:t>
      </w:r>
    </w:p>
    <w:p w14:paraId="49C2DE16" w14:textId="77777777" w:rsidR="0039681A" w:rsidRPr="00A36E36" w:rsidRDefault="0039681A" w:rsidP="0039681A">
      <w:pPr>
        <w:numPr>
          <w:ilvl w:val="0"/>
          <w:numId w:val="128"/>
        </w:numPr>
        <w:jc w:val="both"/>
        <w:rPr>
          <w:rFonts w:ascii="Times New Roman" w:hAnsi="Times New Roman" w:cs="Times New Roman"/>
          <w:noProof/>
          <w:lang w:val="en-IE"/>
        </w:rPr>
      </w:pPr>
      <w:r w:rsidRPr="00A36E36">
        <w:rPr>
          <w:rFonts w:ascii="Times New Roman" w:hAnsi="Times New Roman" w:cs="Times New Roman"/>
          <w:noProof/>
          <w:lang w:val="en-IE"/>
        </w:rPr>
        <w:t xml:space="preserve">The description of the implementing partner’s procedures that will ensure the prevention, detection and correction of fraud, corruption, and conflicts of interests. </w:t>
      </w:r>
    </w:p>
    <w:p w14:paraId="53CED246" w14:textId="77777777" w:rsidR="0039681A" w:rsidRPr="00A36E36" w:rsidRDefault="0039681A" w:rsidP="0039681A">
      <w:pPr>
        <w:numPr>
          <w:ilvl w:val="0"/>
          <w:numId w:val="128"/>
        </w:numPr>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awarding a grant to an operation.</w:t>
      </w:r>
    </w:p>
    <w:p w14:paraId="4065B0EE" w14:textId="77777777" w:rsidR="0039681A" w:rsidRPr="00A36E36" w:rsidRDefault="0039681A" w:rsidP="0039681A">
      <w:pPr>
        <w:numPr>
          <w:ilvl w:val="0"/>
          <w:numId w:val="128"/>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obligation of carrying out risk-based ex-post audits in accordance with an audit plan of Invitalia S.p.A.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Grant Agreements are being respected. </w:t>
      </w:r>
    </w:p>
    <w:p w14:paraId="18416AB6" w14:textId="249AE2CC" w:rsidR="0039681A" w:rsidRPr="005D46BA" w:rsidRDefault="0039681A" w:rsidP="0039681A">
      <w:pPr>
        <w:pStyle w:val="LegalNumPar"/>
        <w:spacing w:line="240" w:lineRule="auto"/>
        <w:ind w:left="901" w:hanging="476"/>
        <w:jc w:val="both"/>
        <w:rPr>
          <w:rFonts w:ascii="Times New Roman" w:hAnsi="Times New Roman" w:cs="Times New Roman"/>
          <w:noProof/>
          <w:lang w:val="en-IE"/>
        </w:rPr>
        <w:sectPr w:rsidR="0039681A" w:rsidRPr="005D46BA" w:rsidSect="0039681A">
          <w:headerReference w:type="even" r:id="rId115"/>
          <w:headerReference w:type="default" r:id="rId116"/>
          <w:footerReference w:type="default" r:id="rId117"/>
          <w:headerReference w:type="first" r:id="rId118"/>
          <w:pgSz w:w="11907" w:h="16839"/>
          <w:pgMar w:top="1134" w:right="1134" w:bottom="1134" w:left="1134" w:header="567" w:footer="567" w:gutter="0"/>
          <w:cols w:space="720"/>
          <w:docGrid w:linePitch="360"/>
        </w:sectPr>
      </w:pPr>
      <w:r w:rsidRPr="41F83AD2">
        <w:rPr>
          <w:rFonts w:ascii="Times New Roman" w:hAnsi="Times New Roman" w:cs="Times New Roman"/>
          <w:noProof/>
          <w:lang w:val="en-IE"/>
        </w:rPr>
        <w:t>Requirements for climate investments carried out by the implementing partner: at least EUR</w:t>
      </w:r>
      <w:r w:rsidR="00381DB1">
        <w:rPr>
          <w:rFonts w:ascii="Times New Roman" w:hAnsi="Times New Roman" w:cs="Times New Roman"/>
          <w:noProof/>
          <w:lang w:val="en-IE"/>
        </w:rPr>
        <w:t> </w:t>
      </w:r>
      <w:r>
        <w:rPr>
          <w:rFonts w:ascii="Times New Roman" w:hAnsi="Times New Roman" w:cs="Times New Roman"/>
          <w:noProof/>
          <w:lang w:val="en-IE"/>
        </w:rPr>
        <w:t>630</w:t>
      </w:r>
      <w:r w:rsidR="00381DB1">
        <w:rPr>
          <w:rFonts w:ascii="Times New Roman" w:hAnsi="Times New Roman" w:cs="Times New Roman"/>
          <w:noProof/>
          <w:lang w:val="en-IE"/>
        </w:rPr>
        <w:t> </w:t>
      </w:r>
      <w:r>
        <w:rPr>
          <w:rFonts w:ascii="Times New Roman" w:hAnsi="Times New Roman" w:cs="Times New Roman"/>
          <w:noProof/>
          <w:lang w:val="en-IE"/>
        </w:rPr>
        <w:t>516</w:t>
      </w:r>
      <w:r w:rsidR="00381DB1">
        <w:rPr>
          <w:rFonts w:ascii="Times New Roman" w:hAnsi="Times New Roman" w:cs="Times New Roman"/>
          <w:noProof/>
          <w:lang w:val="en-IE"/>
        </w:rPr>
        <w:t> </w:t>
      </w:r>
      <w:r>
        <w:rPr>
          <w:rFonts w:ascii="Times New Roman" w:hAnsi="Times New Roman" w:cs="Times New Roman"/>
          <w:noProof/>
          <w:lang w:val="en-IE"/>
        </w:rPr>
        <w:t>880,25</w:t>
      </w:r>
      <w:r w:rsidRPr="606C7A16">
        <w:rPr>
          <w:rFonts w:ascii="Times New Roman" w:hAnsi="Times New Roman" w:cs="Times New Roman"/>
          <w:noProof/>
          <w:lang w:val="en-IE"/>
        </w:rPr>
        <w:t xml:space="preserve"> of the RRF investment into the Scheme shall contribute to the climate change objectives in accordance with Annex VI to the RRF Regulation.</w:t>
      </w:r>
      <w:r w:rsidRPr="606C7A16">
        <w:rPr>
          <w:rFonts w:ascii="Times New Roman" w:hAnsi="Times New Roman" w:cs="Times New Roman"/>
          <w:noProof/>
          <w:vertAlign w:val="superscript"/>
        </w:rPr>
        <w:footnoteReference w:id="72"/>
      </w:r>
    </w:p>
    <w:p w14:paraId="20A79033" w14:textId="77777777" w:rsidR="0039681A" w:rsidRDefault="0039681A" w:rsidP="00351087">
      <w:pPr>
        <w:pStyle w:val="Heading3"/>
        <w:rPr>
          <w:rStyle w:val="SubtleEmphasis"/>
          <w:rFonts w:ascii="Times New Roman" w:hAnsi="Times New Roman" w:cs="Times New Roman"/>
          <w:b/>
          <w:bCs/>
          <w:noProof/>
          <w:sz w:val="24"/>
          <w:szCs w:val="24"/>
          <w:lang w:val="en-IE"/>
        </w:rPr>
      </w:pPr>
      <w:r w:rsidRPr="00906E44">
        <w:rPr>
          <w:rStyle w:val="SubtleEmphasis"/>
          <w:rFonts w:ascii="Times New Roman" w:hAnsi="Times New Roman" w:cs="Times New Roman"/>
          <w:b/>
          <w:bCs/>
          <w:noProof/>
          <w:sz w:val="24"/>
          <w:szCs w:val="24"/>
          <w:lang w:val="en-IE"/>
        </w:rPr>
        <w:t xml:space="preserve">G.4. </w:t>
      </w:r>
      <w:r w:rsidRPr="00906E44">
        <w:rPr>
          <w:rFonts w:ascii="Times New Roman" w:hAnsi="Times New Roman" w:cs="Times New Roman"/>
          <w:b/>
          <w:bCs/>
          <w:noProof/>
          <w:sz w:val="24"/>
          <w:szCs w:val="24"/>
          <w:lang w:val="en-IE"/>
        </w:rPr>
        <w:tab/>
      </w:r>
      <w:r w:rsidRPr="00906E44">
        <w:rPr>
          <w:rStyle w:val="SubtleEmphasis"/>
          <w:rFonts w:ascii="Times New Roman" w:hAnsi="Times New Roman" w:cs="Times New Roman"/>
          <w:b/>
          <w:bCs/>
          <w:noProof/>
          <w:sz w:val="24"/>
          <w:szCs w:val="24"/>
          <w:lang w:val="en-IE"/>
        </w:rPr>
        <w:t>Milestones, targets, indicators, and timetable for monitoring and implementation for the loan</w:t>
      </w:r>
      <w:r w:rsidRPr="00A36E36">
        <w:rPr>
          <w:rStyle w:val="SubtleEmphasis"/>
          <w:rFonts w:ascii="Times New Roman" w:hAnsi="Times New Roman" w:cs="Times New Roman"/>
          <w:b/>
          <w:bCs/>
          <w:noProof/>
          <w:sz w:val="24"/>
          <w:szCs w:val="24"/>
          <w:lang w:val="en-IE"/>
        </w:rPr>
        <w:t xml:space="preserve"> </w:t>
      </w:r>
    </w:p>
    <w:tbl>
      <w:tblPr>
        <w:tblW w:w="16444" w:type="dxa"/>
        <w:jc w:val="center"/>
        <w:tblLayout w:type="fixed"/>
        <w:tblLook w:val="04A0" w:firstRow="1" w:lastRow="0" w:firstColumn="1" w:lastColumn="0" w:noHBand="0" w:noVBand="1"/>
      </w:tblPr>
      <w:tblGrid>
        <w:gridCol w:w="1276"/>
        <w:gridCol w:w="1882"/>
        <w:gridCol w:w="1141"/>
        <w:gridCol w:w="1797"/>
        <w:gridCol w:w="1417"/>
        <w:gridCol w:w="1276"/>
        <w:gridCol w:w="1180"/>
        <w:gridCol w:w="1230"/>
        <w:gridCol w:w="850"/>
        <w:gridCol w:w="709"/>
        <w:gridCol w:w="3686"/>
      </w:tblGrid>
      <w:tr w:rsidR="00927449" w:rsidRPr="00927449" w14:paraId="00AEF6D9" w14:textId="77777777" w:rsidTr="00CB59CF">
        <w:trPr>
          <w:trHeight w:val="313"/>
          <w:tblHeader/>
          <w:jc w:val="center"/>
        </w:trPr>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F26CCA" w14:textId="77777777" w:rsidR="00927449" w:rsidRPr="00927449" w:rsidRDefault="00927449" w:rsidP="00927449">
            <w:pPr>
              <w:spacing w:after="120" w:line="240" w:lineRule="auto"/>
              <w:jc w:val="center"/>
              <w:rPr>
                <w:rFonts w:ascii="Times New Roman" w:eastAsiaTheme="minorEastAsia"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Seq Number</w:t>
            </w:r>
          </w:p>
        </w:tc>
        <w:tc>
          <w:tcPr>
            <w:tcW w:w="18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44421F" w14:textId="77777777" w:rsidR="00927449" w:rsidRPr="00927449" w:rsidRDefault="00927449" w:rsidP="00927449">
            <w:pPr>
              <w:spacing w:after="120" w:line="240" w:lineRule="auto"/>
              <w:jc w:val="center"/>
              <w:rPr>
                <w:rFonts w:ascii="Times New Roman"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Related Measure (Reform or Investment)</w:t>
            </w:r>
          </w:p>
        </w:tc>
        <w:tc>
          <w:tcPr>
            <w:tcW w:w="114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2A976B5" w14:textId="77777777" w:rsidR="00927449" w:rsidRPr="00927449" w:rsidRDefault="00927449" w:rsidP="00927449">
            <w:pPr>
              <w:spacing w:after="120" w:line="240" w:lineRule="auto"/>
              <w:jc w:val="center"/>
              <w:rPr>
                <w:rFonts w:ascii="Times New Roman"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Milestone/ Target</w:t>
            </w:r>
          </w:p>
        </w:tc>
        <w:tc>
          <w:tcPr>
            <w:tcW w:w="17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A3BB041" w14:textId="77777777" w:rsidR="00927449" w:rsidRPr="00927449" w:rsidRDefault="00927449" w:rsidP="00927449">
            <w:pPr>
              <w:spacing w:after="120" w:line="240" w:lineRule="auto"/>
              <w:jc w:val="center"/>
              <w:rPr>
                <w:rFonts w:ascii="Times New Roman"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Name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EE597C9" w14:textId="77777777" w:rsidR="00927449" w:rsidRPr="00927449" w:rsidRDefault="00927449" w:rsidP="00927449">
            <w:pPr>
              <w:spacing w:after="120" w:line="240" w:lineRule="auto"/>
              <w:jc w:val="center"/>
              <w:rPr>
                <w:rFonts w:ascii="Times New Roman"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 xml:space="preserve">Qualitative indicators </w:t>
            </w:r>
            <w:r w:rsidRPr="00927449">
              <w:rPr>
                <w:rFonts w:ascii="Times New Roman" w:eastAsiaTheme="minorEastAsia" w:hAnsi="Times New Roman" w:cs="Times New Roman"/>
                <w:noProof/>
                <w:kern w:val="0"/>
                <w:sz w:val="18"/>
                <w:lang w:val="en-GB"/>
              </w:rPr>
              <w:br/>
            </w:r>
            <w:r w:rsidRPr="00927449">
              <w:rPr>
                <w:rFonts w:ascii="Times New Roman" w:eastAsiaTheme="minorEastAsia" w:hAnsi="Times New Roman" w:cs="Times New Roman"/>
                <w:b/>
                <w:noProof/>
                <w:kern w:val="0"/>
                <w:sz w:val="18"/>
                <w:lang w:val="en-GB"/>
              </w:rPr>
              <w:t>(for milestones)</w:t>
            </w:r>
          </w:p>
        </w:tc>
        <w:tc>
          <w:tcPr>
            <w:tcW w:w="368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8FCE2A0" w14:textId="77777777" w:rsidR="00927449" w:rsidRPr="00927449" w:rsidRDefault="00927449" w:rsidP="00927449">
            <w:pPr>
              <w:spacing w:after="120" w:line="240" w:lineRule="auto"/>
              <w:jc w:val="center"/>
              <w:rPr>
                <w:rFonts w:ascii="Times New Roman"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 xml:space="preserve">Quantitative indicators </w:t>
            </w:r>
            <w:r w:rsidRPr="00927449">
              <w:rPr>
                <w:rFonts w:ascii="Times New Roman" w:eastAsiaTheme="minorEastAsia" w:hAnsi="Times New Roman" w:cs="Times New Roman"/>
                <w:noProof/>
                <w:kern w:val="0"/>
                <w:sz w:val="18"/>
                <w:lang w:val="en-GB"/>
              </w:rPr>
              <w:br/>
            </w:r>
            <w:r w:rsidRPr="00927449">
              <w:rPr>
                <w:rFonts w:ascii="Times New Roman" w:eastAsiaTheme="minorEastAsia" w:hAnsi="Times New Roman" w:cs="Times New Roman"/>
                <w:b/>
                <w:noProof/>
                <w:kern w:val="0"/>
                <w:sz w:val="18"/>
                <w:lang w:val="en-GB"/>
              </w:rPr>
              <w:t>(for targets)</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88EB71D" w14:textId="77777777" w:rsidR="00927449" w:rsidRPr="00927449" w:rsidRDefault="00927449" w:rsidP="00927449">
            <w:pPr>
              <w:spacing w:after="120" w:line="240" w:lineRule="auto"/>
              <w:jc w:val="center"/>
              <w:rPr>
                <w:rFonts w:ascii="Times New Roman"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 xml:space="preserve">Indicative timeline for completion </w:t>
            </w:r>
            <w:r w:rsidRPr="00927449">
              <w:rPr>
                <w:rFonts w:ascii="Times New Roman" w:eastAsiaTheme="minorEastAsia" w:hAnsi="Times New Roman" w:cs="Times New Roman"/>
                <w:noProof/>
                <w:kern w:val="0"/>
                <w:sz w:val="18"/>
                <w:lang w:val="en-GB"/>
              </w:rPr>
              <w:br/>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613CD12" w14:textId="77777777" w:rsidR="00927449" w:rsidRPr="00927449" w:rsidRDefault="00927449" w:rsidP="00906E44">
            <w:pPr>
              <w:spacing w:after="120" w:line="240" w:lineRule="auto"/>
              <w:jc w:val="center"/>
              <w:rPr>
                <w:rFonts w:ascii="Times New Roman"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Description of each milestone and target</w:t>
            </w:r>
          </w:p>
        </w:tc>
      </w:tr>
      <w:tr w:rsidR="00927449" w:rsidRPr="00927449" w14:paraId="5DDD27BE" w14:textId="77777777" w:rsidTr="00CB59CF">
        <w:trPr>
          <w:trHeight w:val="491"/>
          <w:tblHeader/>
          <w:jc w:val="center"/>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53408500" w14:textId="77777777" w:rsidR="00927449" w:rsidRPr="00927449" w:rsidRDefault="00927449" w:rsidP="00927449">
            <w:pPr>
              <w:spacing w:after="120" w:line="240" w:lineRule="auto"/>
              <w:rPr>
                <w:rFonts w:ascii="Times New Roman" w:eastAsiaTheme="minorEastAsia" w:hAnsi="Times New Roman" w:cs="Times New Roman"/>
                <w:b/>
                <w:noProof/>
                <w:kern w:val="0"/>
                <w:sz w:val="18"/>
                <w:lang w:val="en-GB"/>
              </w:rPr>
            </w:pPr>
          </w:p>
        </w:tc>
        <w:tc>
          <w:tcPr>
            <w:tcW w:w="1882" w:type="dxa"/>
            <w:vMerge/>
            <w:tcBorders>
              <w:top w:val="single" w:sz="4" w:space="0" w:color="auto"/>
              <w:left w:val="single" w:sz="4" w:space="0" w:color="auto"/>
              <w:bottom w:val="single" w:sz="4" w:space="0" w:color="auto"/>
              <w:right w:val="single" w:sz="4" w:space="0" w:color="auto"/>
            </w:tcBorders>
            <w:vAlign w:val="center"/>
            <w:hideMark/>
          </w:tcPr>
          <w:p w14:paraId="6D3B243E" w14:textId="77777777" w:rsidR="00927449" w:rsidRPr="00927449" w:rsidRDefault="00927449" w:rsidP="00927449">
            <w:pPr>
              <w:spacing w:after="120" w:line="240" w:lineRule="auto"/>
              <w:rPr>
                <w:rFonts w:ascii="Times New Roman" w:eastAsiaTheme="minorEastAsia" w:hAnsi="Times New Roman" w:cs="Times New Roman"/>
                <w:b/>
                <w:noProof/>
                <w:kern w:val="0"/>
                <w:sz w:val="18"/>
                <w:lang w:val="en-GB"/>
              </w:rPr>
            </w:pPr>
          </w:p>
        </w:tc>
        <w:tc>
          <w:tcPr>
            <w:tcW w:w="1141" w:type="dxa"/>
            <w:vMerge/>
            <w:tcBorders>
              <w:top w:val="single" w:sz="4" w:space="0" w:color="auto"/>
              <w:left w:val="single" w:sz="4" w:space="0" w:color="auto"/>
              <w:bottom w:val="single" w:sz="4" w:space="0" w:color="auto"/>
              <w:right w:val="single" w:sz="4" w:space="0" w:color="auto"/>
            </w:tcBorders>
            <w:vAlign w:val="center"/>
            <w:hideMark/>
          </w:tcPr>
          <w:p w14:paraId="10EA62A0" w14:textId="77777777" w:rsidR="00927449" w:rsidRPr="00927449" w:rsidRDefault="00927449" w:rsidP="00927449">
            <w:pPr>
              <w:spacing w:after="120" w:line="240" w:lineRule="auto"/>
              <w:rPr>
                <w:rFonts w:ascii="Times New Roman" w:eastAsiaTheme="minorEastAsia" w:hAnsi="Times New Roman" w:cs="Times New Roman"/>
                <w:b/>
                <w:noProof/>
                <w:kern w:val="0"/>
                <w:sz w:val="18"/>
                <w:lang w:val="en-GB"/>
              </w:rPr>
            </w:pPr>
          </w:p>
        </w:tc>
        <w:tc>
          <w:tcPr>
            <w:tcW w:w="1797" w:type="dxa"/>
            <w:vMerge/>
            <w:tcBorders>
              <w:top w:val="single" w:sz="4" w:space="0" w:color="auto"/>
              <w:left w:val="single" w:sz="4" w:space="0" w:color="auto"/>
              <w:bottom w:val="single" w:sz="4" w:space="0" w:color="auto"/>
              <w:right w:val="single" w:sz="4" w:space="0" w:color="auto"/>
            </w:tcBorders>
            <w:vAlign w:val="center"/>
            <w:hideMark/>
          </w:tcPr>
          <w:p w14:paraId="0AD65099" w14:textId="77777777" w:rsidR="00927449" w:rsidRPr="00927449" w:rsidRDefault="00927449" w:rsidP="00927449">
            <w:pPr>
              <w:spacing w:after="120" w:line="240" w:lineRule="auto"/>
              <w:rPr>
                <w:rFonts w:ascii="Times New Roman" w:eastAsiaTheme="minorEastAsia" w:hAnsi="Times New Roman" w:cs="Times New Roman"/>
                <w:b/>
                <w:noProof/>
                <w:kern w:val="0"/>
                <w:sz w:val="18"/>
                <w:lang w:val="en-GB"/>
              </w:rPr>
            </w:pPr>
          </w:p>
        </w:tc>
        <w:tc>
          <w:tcPr>
            <w:tcW w:w="1417" w:type="dxa"/>
            <w:vMerge/>
            <w:tcBorders>
              <w:top w:val="single" w:sz="4" w:space="0" w:color="auto"/>
              <w:left w:val="single" w:sz="4" w:space="0" w:color="auto"/>
              <w:bottom w:val="single" w:sz="4" w:space="0" w:color="auto"/>
            </w:tcBorders>
            <w:vAlign w:val="center"/>
            <w:hideMark/>
          </w:tcPr>
          <w:p w14:paraId="5ADEA119" w14:textId="77777777" w:rsidR="00927449" w:rsidRPr="00927449" w:rsidRDefault="00927449" w:rsidP="00927449">
            <w:pPr>
              <w:spacing w:after="120" w:line="240" w:lineRule="auto"/>
              <w:rPr>
                <w:rFonts w:ascii="Times New Roman" w:eastAsiaTheme="minorEastAsia" w:hAnsi="Times New Roman" w:cs="Times New Roman"/>
                <w:b/>
                <w:noProof/>
                <w:kern w:val="0"/>
                <w:sz w:val="18"/>
                <w:lang w:val="en-GB"/>
              </w:rPr>
            </w:pPr>
          </w:p>
        </w:tc>
        <w:tc>
          <w:tcPr>
            <w:tcW w:w="127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9D719AB" w14:textId="77777777" w:rsidR="00927449" w:rsidRPr="00927449" w:rsidRDefault="00927449" w:rsidP="00927449">
            <w:pPr>
              <w:spacing w:after="120" w:line="240" w:lineRule="auto"/>
              <w:jc w:val="center"/>
              <w:rPr>
                <w:rFonts w:ascii="Times New Roman"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Unit of measure</w:t>
            </w:r>
          </w:p>
        </w:tc>
        <w:tc>
          <w:tcPr>
            <w:tcW w:w="1180" w:type="dxa"/>
            <w:tcBorders>
              <w:top w:val="single" w:sz="4" w:space="0" w:color="auto"/>
              <w:left w:val="nil"/>
              <w:bottom w:val="single" w:sz="4" w:space="0" w:color="auto"/>
              <w:right w:val="single" w:sz="4" w:space="0" w:color="auto"/>
            </w:tcBorders>
            <w:shd w:val="clear" w:color="auto" w:fill="BDD7EE"/>
            <w:vAlign w:val="center"/>
            <w:hideMark/>
          </w:tcPr>
          <w:p w14:paraId="3C0089F1" w14:textId="77777777" w:rsidR="00927449" w:rsidRPr="00927449" w:rsidRDefault="00927449" w:rsidP="00927449">
            <w:pPr>
              <w:spacing w:after="120" w:line="240" w:lineRule="auto"/>
              <w:jc w:val="center"/>
              <w:rPr>
                <w:rFonts w:ascii="Times New Roman"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 xml:space="preserve">Baseline </w:t>
            </w:r>
          </w:p>
        </w:tc>
        <w:tc>
          <w:tcPr>
            <w:tcW w:w="1230" w:type="dxa"/>
            <w:tcBorders>
              <w:top w:val="single" w:sz="4" w:space="0" w:color="auto"/>
              <w:left w:val="nil"/>
              <w:bottom w:val="single" w:sz="4" w:space="0" w:color="auto"/>
              <w:right w:val="single" w:sz="4" w:space="0" w:color="auto"/>
            </w:tcBorders>
            <w:shd w:val="clear" w:color="auto" w:fill="BDD7EE"/>
            <w:vAlign w:val="center"/>
            <w:hideMark/>
          </w:tcPr>
          <w:p w14:paraId="7BB8ADB3" w14:textId="77777777" w:rsidR="00927449" w:rsidRPr="00927449" w:rsidRDefault="00927449" w:rsidP="00927449">
            <w:pPr>
              <w:spacing w:after="120" w:line="240" w:lineRule="auto"/>
              <w:jc w:val="center"/>
              <w:rPr>
                <w:rFonts w:ascii="Times New Roman"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 xml:space="preserve">Goal </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76ECB358" w14:textId="77777777" w:rsidR="00927449" w:rsidRPr="00927449" w:rsidRDefault="00927449" w:rsidP="00927449">
            <w:pPr>
              <w:spacing w:after="120" w:line="240" w:lineRule="auto"/>
              <w:jc w:val="center"/>
              <w:rPr>
                <w:rFonts w:ascii="Times New Roman"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Quarter</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71A938F7" w14:textId="77777777" w:rsidR="00927449" w:rsidRPr="00927449" w:rsidRDefault="00927449" w:rsidP="00927449">
            <w:pPr>
              <w:spacing w:after="120" w:line="240" w:lineRule="auto"/>
              <w:jc w:val="center"/>
              <w:rPr>
                <w:rFonts w:ascii="Times New Roman" w:hAnsi="Times New Roman" w:cs="Times New Roman"/>
                <w:b/>
                <w:noProof/>
                <w:kern w:val="0"/>
                <w:sz w:val="18"/>
                <w:lang w:val="en-GB"/>
              </w:rPr>
            </w:pPr>
            <w:r w:rsidRPr="00927449">
              <w:rPr>
                <w:rFonts w:ascii="Times New Roman" w:eastAsiaTheme="minorEastAsia" w:hAnsi="Times New Roman" w:cs="Times New Roman"/>
                <w:b/>
                <w:noProof/>
                <w:kern w:val="0"/>
                <w:sz w:val="18"/>
                <w:lang w:val="en-GB"/>
              </w:rPr>
              <w:t>Year</w:t>
            </w:r>
          </w:p>
        </w:tc>
        <w:tc>
          <w:tcPr>
            <w:tcW w:w="3686" w:type="dxa"/>
            <w:vMerge/>
            <w:tcBorders>
              <w:top w:val="single" w:sz="4" w:space="0" w:color="auto"/>
              <w:bottom w:val="single" w:sz="4" w:space="0" w:color="auto"/>
              <w:right w:val="single" w:sz="4" w:space="0" w:color="auto"/>
            </w:tcBorders>
            <w:vAlign w:val="center"/>
            <w:hideMark/>
          </w:tcPr>
          <w:p w14:paraId="03FB61A2" w14:textId="77777777" w:rsidR="00927449" w:rsidRPr="00927449" w:rsidRDefault="00927449" w:rsidP="00906E44">
            <w:pPr>
              <w:spacing w:after="120" w:line="240" w:lineRule="auto"/>
              <w:rPr>
                <w:rFonts w:ascii="Times New Roman" w:eastAsiaTheme="minorEastAsia" w:hAnsi="Times New Roman" w:cs="Times New Roman"/>
                <w:b/>
                <w:noProof/>
                <w:kern w:val="0"/>
                <w:sz w:val="18"/>
                <w:lang w:val="en-GB"/>
              </w:rPr>
            </w:pPr>
          </w:p>
        </w:tc>
      </w:tr>
      <w:tr w:rsidR="00927449" w:rsidRPr="00927449" w14:paraId="3D479F72" w14:textId="77777777" w:rsidTr="00CB59CF">
        <w:trPr>
          <w:trHeight w:val="1852"/>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84A7E1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M2C4-6</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2CD3F89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3.2: Digitization of national parks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AF3C61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502498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Development of digital services to visitors to national parks and marine protected areas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3CB813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nil"/>
              <w:left w:val="nil"/>
              <w:bottom w:val="single" w:sz="4" w:space="0" w:color="auto"/>
              <w:right w:val="single" w:sz="4" w:space="0" w:color="auto"/>
            </w:tcBorders>
            <w:shd w:val="clear" w:color="auto" w:fill="C6EFCE"/>
            <w:vAlign w:val="center"/>
          </w:tcPr>
          <w:p w14:paraId="41298F5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Percentage</w:t>
            </w:r>
          </w:p>
        </w:tc>
        <w:tc>
          <w:tcPr>
            <w:tcW w:w="1180" w:type="dxa"/>
            <w:tcBorders>
              <w:top w:val="nil"/>
              <w:left w:val="nil"/>
              <w:bottom w:val="single" w:sz="4" w:space="0" w:color="auto"/>
              <w:right w:val="single" w:sz="4" w:space="0" w:color="auto"/>
            </w:tcBorders>
            <w:shd w:val="clear" w:color="auto" w:fill="C6EFCE"/>
            <w:vAlign w:val="center"/>
          </w:tcPr>
          <w:p w14:paraId="726C234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nil"/>
              <w:left w:val="nil"/>
              <w:bottom w:val="single" w:sz="4" w:space="0" w:color="auto"/>
              <w:right w:val="single" w:sz="4" w:space="0" w:color="auto"/>
            </w:tcBorders>
            <w:shd w:val="clear" w:color="auto" w:fill="C6EFCE"/>
            <w:vAlign w:val="center"/>
          </w:tcPr>
          <w:p w14:paraId="3992BA4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70</w:t>
            </w:r>
          </w:p>
        </w:tc>
        <w:tc>
          <w:tcPr>
            <w:tcW w:w="850" w:type="dxa"/>
            <w:tcBorders>
              <w:top w:val="nil"/>
              <w:left w:val="nil"/>
              <w:bottom w:val="single" w:sz="4" w:space="0" w:color="auto"/>
              <w:right w:val="single" w:sz="4" w:space="0" w:color="auto"/>
            </w:tcBorders>
            <w:shd w:val="clear" w:color="auto" w:fill="C6EFCE"/>
            <w:vAlign w:val="center"/>
          </w:tcPr>
          <w:p w14:paraId="4D0215E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nil"/>
              <w:left w:val="nil"/>
              <w:bottom w:val="single" w:sz="4" w:space="0" w:color="auto"/>
              <w:right w:val="single" w:sz="4" w:space="0" w:color="auto"/>
            </w:tcBorders>
            <w:shd w:val="clear" w:color="auto" w:fill="C6EFCE"/>
            <w:vAlign w:val="center"/>
          </w:tcPr>
          <w:p w14:paraId="640E46E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2C22665" w14:textId="77777777" w:rsidR="00927449" w:rsidRPr="00927449" w:rsidRDefault="00927449" w:rsidP="00906E44">
            <w:p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At least 70% of national parks and marine protected areas have developed digital services for visitors to national parks and marine protected areas (at least two among: the connection to the Naturitalia.IT portal; an application for administrative procedures or a sustainable mobility app).</w:t>
            </w:r>
          </w:p>
        </w:tc>
      </w:tr>
      <w:tr w:rsidR="00927449" w:rsidRPr="00927449" w14:paraId="3D204195"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FBCBF7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M2C4-6bis</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0709228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3.2: Digitization of national parks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47E4BD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C2F624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Interventions related to nature conservation and monitoring activities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0DAE17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 xml:space="preserve">Certificates issued </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809573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0962EA6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32C6ADE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0B0A843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D7FBB4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8415A15"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Conformity verification certificates issued for at least 6 lots of nature conservation and/or monitoring activities equipment, which shall amount to a total of at least 12 000 equipment items;</w:t>
            </w:r>
          </w:p>
          <w:p w14:paraId="1E299AB1" w14:textId="77777777" w:rsidR="00927449" w:rsidRPr="00927449" w:rsidRDefault="00927449" w:rsidP="00906E44">
            <w:p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Administrative certificates confirming that at least 7 services for scientific and/or on-field monitoring activities have been carried out in natural parks and/or marine protected areas.</w:t>
            </w:r>
          </w:p>
        </w:tc>
      </w:tr>
      <w:tr w:rsidR="00927449" w:rsidRPr="00927449" w14:paraId="34C0A740"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980BD5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M2C4-7</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7AEC354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Reform 3.1: Adoption of national programs on air pollution control</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2C5B97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0669ED9F"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Entry into force of a national air pollution control programme</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8CD8DE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Provision in the DPCM indicating the entry into force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0C8D58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63B40E8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0D9F431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1DE8E1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1FE116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2021</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4AEE585C" w14:textId="77777777" w:rsidR="00927449" w:rsidRPr="00927449" w:rsidRDefault="00927449" w:rsidP="00906E44">
            <w:pPr>
              <w:spacing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Decree of the President of the Council of Minister (DPCM) shall set out a national air pollution control programme which introduces appropriate measures for the reduction of air pollution in line with the EU Directive 2016/2284 and the legislative decree 30 May 2018, n. 81, transposing that Directive.</w:t>
            </w:r>
          </w:p>
        </w:tc>
      </w:tr>
      <w:tr w:rsidR="00927449" w:rsidRPr="00927449" w14:paraId="31186935"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DDD165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M2C4-8</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05AE19F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1.1. Implementation of an advanced and integrated monitoring and forecasting system</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327BC5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671A07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Operational Plan for an advanced and integrated monitoring and forecast system to identify hydrological risks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024B71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Provision in the Ministerial Decree indicating the entry into force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B8FD18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676522E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DF88DA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35EE6B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Q3</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AC5799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2021</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64D61C13"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Ministerial Decree shall approve an operational plan for the implementation of an advanced and integrated monitoring and forecasting system to identify hydrological risks. It shall as a minimum:</w:t>
            </w:r>
          </w:p>
          <w:p w14:paraId="04FFE1AB"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Envisage remote sensing applications and data field sensors;</w:t>
            </w:r>
          </w:p>
          <w:p w14:paraId="67810BA6" w14:textId="7D7D30A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Develop a communication system which allows coordinator and interoperability between the various operators in the Control Rooms</w:t>
            </w:r>
            <w:r w:rsidR="002D3AB2">
              <w:rPr>
                <w:rFonts w:ascii="Arial Narrow" w:eastAsia="Times New Roman" w:hAnsi="Arial Narrow" w:cs="Times New Roman"/>
                <w:noProof/>
                <w:color w:val="006100"/>
                <w:kern w:val="0"/>
                <w:sz w:val="20"/>
                <w:szCs w:val="20"/>
                <w:lang w:val="en-IE" w:eastAsia="en-IE"/>
                <w14:ligatures w14:val="none"/>
              </w:rPr>
              <w:t>;</w:t>
            </w:r>
          </w:p>
          <w:p w14:paraId="5CA8D7CA" w14:textId="46C07DB0"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Set up Central and Regional Control Rooms</w:t>
            </w:r>
            <w:r w:rsidR="002D3AB2">
              <w:rPr>
                <w:rFonts w:ascii="Arial Narrow" w:eastAsia="Times New Roman" w:hAnsi="Arial Narrow" w:cs="Times New Roman"/>
                <w:noProof/>
                <w:color w:val="006100"/>
                <w:kern w:val="0"/>
                <w:sz w:val="20"/>
                <w:szCs w:val="20"/>
                <w:lang w:val="en-IE" w:eastAsia="en-IE"/>
                <w14:ligatures w14:val="none"/>
              </w:rPr>
              <w:t>;</w:t>
            </w:r>
          </w:p>
          <w:p w14:paraId="546B3D38" w14:textId="77777777" w:rsidR="00927449" w:rsidRPr="00927449" w:rsidRDefault="00927449" w:rsidP="002D3AB2">
            <w:pPr>
              <w:spacing w:before="120" w:after="0" w:line="240" w:lineRule="auto"/>
              <w:ind w:right="57"/>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Develop Cyber-security systems and services</w:t>
            </w:r>
          </w:p>
        </w:tc>
      </w:tr>
      <w:tr w:rsidR="00927449" w:rsidRPr="00927449" w14:paraId="6E3954EB"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088E44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M2C4-9</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750D6CF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1.1. Implementation of an advanced and integrated monitoring and forecasting system</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1F1B2C1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077EDEF"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xml:space="preserve">The monitoring and forecast system is accessible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3EFD9C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 xml:space="preserve">System accessible online </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63821C6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118974D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61541D8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72FD40B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8A9B98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2025</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223F374D" w14:textId="77777777" w:rsidR="00927449" w:rsidRPr="00927449" w:rsidRDefault="00927449" w:rsidP="00906E44">
            <w:pPr>
              <w:spacing w:before="120" w:after="0" w:line="240" w:lineRule="auto"/>
              <w:ind w:right="57"/>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monitoring and forecasting system to identify hydrological risks and illegal disposal of waste is accessible online.</w:t>
            </w:r>
          </w:p>
        </w:tc>
      </w:tr>
      <w:tr w:rsidR="00927449" w:rsidRPr="00927449" w14:paraId="789F228A"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287BB44F"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M2C4-11</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2CC0F4C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2.1.a. Measures for flood and hydrogeological risk reduction – Interventions in Emilia Romagna, Toscana and Marche</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17AFAA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65EE2D9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Identification of the interventions by ordinance(s) of the Commissioner of Emergency</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D579C5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Ordinance(s) of the Commissioner of Emergency</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514F06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p>
        </w:tc>
        <w:tc>
          <w:tcPr>
            <w:tcW w:w="1180" w:type="dxa"/>
            <w:tcBorders>
              <w:top w:val="single" w:sz="4" w:space="0" w:color="auto"/>
              <w:left w:val="nil"/>
              <w:bottom w:val="single" w:sz="4" w:space="0" w:color="auto"/>
              <w:right w:val="single" w:sz="4" w:space="0" w:color="auto"/>
            </w:tcBorders>
            <w:shd w:val="clear" w:color="auto" w:fill="C6EFCE"/>
            <w:vAlign w:val="center"/>
          </w:tcPr>
          <w:p w14:paraId="2F564CA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p>
        </w:tc>
        <w:tc>
          <w:tcPr>
            <w:tcW w:w="1230" w:type="dxa"/>
            <w:tcBorders>
              <w:top w:val="single" w:sz="4" w:space="0" w:color="auto"/>
              <w:left w:val="nil"/>
              <w:bottom w:val="single" w:sz="4" w:space="0" w:color="auto"/>
              <w:right w:val="single" w:sz="4" w:space="0" w:color="auto"/>
            </w:tcBorders>
            <w:shd w:val="clear" w:color="auto" w:fill="C6EFCE"/>
            <w:vAlign w:val="center"/>
          </w:tcPr>
          <w:p w14:paraId="1CC7318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p>
        </w:tc>
        <w:tc>
          <w:tcPr>
            <w:tcW w:w="850" w:type="dxa"/>
            <w:tcBorders>
              <w:top w:val="single" w:sz="4" w:space="0" w:color="auto"/>
              <w:left w:val="nil"/>
              <w:bottom w:val="single" w:sz="4" w:space="0" w:color="auto"/>
              <w:right w:val="single" w:sz="4" w:space="0" w:color="auto"/>
            </w:tcBorders>
            <w:shd w:val="clear" w:color="auto" w:fill="C6EFCE"/>
            <w:vAlign w:val="center"/>
          </w:tcPr>
          <w:p w14:paraId="20C2FA5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Q3</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30B3C6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1189F2C"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One or more ordinances by the Commissioner of Emergency shall identify the exact list of interventions to restore waterways and increase protection from floods and landslides, the interventions to restore public buildings, including public houses and health centres, and the total number of km of the transport network to be rehabilitated. The value of the total number of interventions shall amount to at least EUR 1.2 billion.</w:t>
            </w:r>
          </w:p>
        </w:tc>
      </w:tr>
      <w:tr w:rsidR="00927449" w:rsidRPr="00927449" w14:paraId="4F5826A2"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BFCF3E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M2C4-11bis</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0224E06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bookmarkStart w:id="20" w:name="_Hlk160472904"/>
            <w:r w:rsidRPr="00927449">
              <w:rPr>
                <w:rFonts w:ascii="Arial Narrow" w:eastAsia="Times New Roman" w:hAnsi="Arial Narrow" w:cs="Times New Roman"/>
                <w:noProof/>
                <w:color w:val="006100"/>
                <w:kern w:val="0"/>
                <w:sz w:val="20"/>
                <w:szCs w:val="20"/>
                <w:lang w:val="en-IE" w:eastAsia="en-IE"/>
                <w14:ligatures w14:val="none"/>
              </w:rPr>
              <w:t>Investment 2.1.a. Measures for flood and hydrogeological risk reduction – Interventions in Emilia Romagna, Toscana and Marche</w:t>
            </w:r>
            <w:bookmarkEnd w:id="20"/>
          </w:p>
        </w:tc>
        <w:tc>
          <w:tcPr>
            <w:tcW w:w="1141" w:type="dxa"/>
            <w:tcBorders>
              <w:top w:val="single" w:sz="4" w:space="0" w:color="auto"/>
              <w:left w:val="nil"/>
              <w:bottom w:val="single" w:sz="4" w:space="0" w:color="auto"/>
              <w:right w:val="single" w:sz="4" w:space="0" w:color="auto"/>
            </w:tcBorders>
            <w:shd w:val="clear" w:color="auto" w:fill="C6EFCE"/>
            <w:vAlign w:val="center"/>
          </w:tcPr>
          <w:p w14:paraId="5BC069F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FAEE1B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 xml:space="preserve">Interventions carried out </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315C29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4D6A24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Number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591C30A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983F6C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190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469EDDE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7B4985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46449014"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Administrative certificates are issued confirming that at least 190 interventions to restore waterways and increase protection against floods and landslides, as well as rehabilitation interventions of the transport network, as identified by the Ordinances of the Commissioner of Emergency, have been carried out.</w:t>
            </w:r>
          </w:p>
        </w:tc>
      </w:tr>
      <w:tr w:rsidR="00927449" w:rsidRPr="00927449" w14:paraId="18A29427"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3CEE6C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M2C4-12</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33771BAF"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2.1.b. Measures for flood and hydrogeological risk reduction</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7B6DCA6F"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3DFBF79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Entry into force of the revised legal framework for interventions against flood and hydrogeological risks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655373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Provisions in the Ordinances indicating the entry into force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0E34F68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0E26AF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92D677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4DE7C1E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F06D48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2021</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5413DA17"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decrees approving the first intervention and investment plan in the respective area (Commissioner delegate/ Region / Autonomous Province) for flood and hydrogeological risk reduction shall aim to restore the starting of the original conditions and ensure the resilience of the territories to natural disasters</w:t>
            </w:r>
          </w:p>
        </w:tc>
      </w:tr>
      <w:tr w:rsidR="00927449" w:rsidRPr="00927449" w14:paraId="6CC47043"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01A4FF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M2C4-13</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7C79BE1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2.1b- Measures for flood and hydrogeological risk reduction</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657E8DF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4319F2B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Type D and type E interventions carried out</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580F4C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F3A524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Percentage</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0B73302F"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5D0C2C0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90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700ED4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99C224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35DCA576"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Administrative certificates are issued confirming that at least 90% of type E and type D interventions aimed at restoring damaged public structures as identified by approval acts of the National Civil Protection Service have been carried out.</w:t>
            </w:r>
          </w:p>
        </w:tc>
      </w:tr>
      <w:tr w:rsidR="00927449" w:rsidRPr="00927449" w14:paraId="5C0CC2DF"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713B6B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M2C4-18</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5A559EC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3.1: Protection and enhancement of urban and peri-urban forests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21B88A9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3FA97DF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Entry into force of the revised legal changes for the protection and valorisation of urban and peri-urban green areas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4529F5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Provision in the relevant pieces of legislation indicating the adoption of the urban forestation plan</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0B8677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4D65E7F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597FECB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1BA9962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3F2364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2021</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0E1A038A" w14:textId="3922E8C2"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urban forestation plan shall be in line with the objectives of the law of 12 December 2019, 141 (‘climate law’) and following a planning phase to be carried out by the metropolitan cities. The plan should set as a minimum the following objectives</w:t>
            </w:r>
            <w:r w:rsidR="002D3AB2">
              <w:rPr>
                <w:rFonts w:ascii="Arial Narrow" w:eastAsia="Times New Roman" w:hAnsi="Arial Narrow" w:cs="Times New Roman"/>
                <w:noProof/>
                <w:color w:val="006100"/>
                <w:kern w:val="0"/>
                <w:sz w:val="20"/>
                <w:szCs w:val="20"/>
                <w:lang w:val="en-IE" w:eastAsia="en-IE"/>
                <w14:ligatures w14:val="none"/>
              </w:rPr>
              <w:t>:</w:t>
            </w:r>
          </w:p>
          <w:p w14:paraId="17067743"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Preserve and enhance diffuse biodiversity in line with the European Biodiversity Strategy,</w:t>
            </w:r>
          </w:p>
          <w:p w14:paraId="6E1A0CAB"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Contribute to the reduction of air pollution in metropolitan areas,</w:t>
            </w:r>
          </w:p>
          <w:p w14:paraId="7864F953"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Reduce air quality infringement procedures;</w:t>
            </w:r>
          </w:p>
          <w:p w14:paraId="54BDD312"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Recover man-made landscapes and improve protected areas present in the immediate vicinity of metropolitan areas;</w:t>
            </w:r>
          </w:p>
          <w:p w14:paraId="1157455D"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Curb soil consumption and restore useful soils.</w:t>
            </w:r>
          </w:p>
        </w:tc>
      </w:tr>
      <w:tr w:rsidR="00927449" w:rsidRPr="00927449" w14:paraId="1FB12291"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09CC6C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M2C4-19</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4983352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3.1: Protection and enhancement of urban and peri-urban forests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499B307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619E7B5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Plant trees for the protection and valorisation of urban and peri-urban green areas T1</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17EF01C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72470E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Number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5C0C5BE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612EB52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1 650 000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57E7E21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5D99F8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2022</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38C95AE7"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Plant at least 1 650 000 trees for reforestation of urban and peri-urban areas pursuant to article 4 of the law of 12 December 2019, 141 (so-called climate law).</w:t>
            </w:r>
          </w:p>
        </w:tc>
      </w:tr>
      <w:tr w:rsidR="00927449" w:rsidRPr="00927449" w14:paraId="7ECA21FA"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6987D59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M2C4-20</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1B18DAB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3.1: Protection and enhancement of urban and peri-urban forests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238A88E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14B3B0A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Plant trees for the protection and valorisation of urban and peri-urban green areas T2</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4C8CFE9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80FAD5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Number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6C7A9FB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1 650 000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374D8AD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4 500 000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4D43AD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CE210B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7A70DD3"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Planting of forest reproductive material (seeds or plants) for at least 4 500 000 trees and shrubs for reforestation of urban and peri-urban areas pursuant to article 4 of the law of 12 December 2019, 141 (so-called climate law).</w:t>
            </w:r>
          </w:p>
        </w:tc>
      </w:tr>
      <w:tr w:rsidR="00927449" w:rsidRPr="00927449" w14:paraId="74FD306B"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2B867B3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M2C4-21</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6131CF8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3.3 Re-naturification of Po area</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4EF2A8F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4E48AD1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Revision of the legal framework for interventions for the re-naturification of the Po area</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524853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Provision in the relevant piece of legislation indicating the entry into force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517B4F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9858E9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03BB24D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D80657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1C0F2D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623060C4"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Entry into force of relevant legislation with the objective of recovering the ecological corridor represented by the riverbed, including natural reforestation and interventions for the restoration and reactivation of lateral branches and oxbows.</w:t>
            </w:r>
          </w:p>
        </w:tc>
      </w:tr>
      <w:tr w:rsidR="00927449" w:rsidRPr="00927449" w14:paraId="684AEC9E"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0377B5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M2C4-22</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5B82DBC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3.3 Re-naturification of Po area</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4635EC6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1DBA40F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Reduction of riverbed artificiality for the re-naturification of the Po area T1</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D5A597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E27AE2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Number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335112A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4844FCD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13</w:t>
            </w:r>
          </w:p>
        </w:tc>
        <w:tc>
          <w:tcPr>
            <w:tcW w:w="850" w:type="dxa"/>
            <w:tcBorders>
              <w:top w:val="single" w:sz="4" w:space="0" w:color="auto"/>
              <w:left w:val="nil"/>
              <w:bottom w:val="single" w:sz="4" w:space="0" w:color="auto"/>
              <w:right w:val="single" w:sz="4" w:space="0" w:color="auto"/>
            </w:tcBorders>
            <w:shd w:val="clear" w:color="auto" w:fill="C6EFCE"/>
            <w:vAlign w:val="center"/>
          </w:tcPr>
          <w:p w14:paraId="19A38C3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247970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F793749"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Reduce riverbed artificiality by at least 13 km along the axis of the Po.</w:t>
            </w:r>
          </w:p>
        </w:tc>
      </w:tr>
      <w:tr w:rsidR="00927449" w:rsidRPr="00927449" w14:paraId="0A372B31"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D64686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M2C4-23</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30060CB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3.3 Re-naturification of Po area</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73218A8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68CC985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Reduction of riverbed artificiality for the re-naturification of the Po area T2</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BFE058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B26A21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Number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042475D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13</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05C88E4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37</w:t>
            </w:r>
          </w:p>
        </w:tc>
        <w:tc>
          <w:tcPr>
            <w:tcW w:w="850" w:type="dxa"/>
            <w:tcBorders>
              <w:top w:val="single" w:sz="4" w:space="0" w:color="auto"/>
              <w:left w:val="nil"/>
              <w:bottom w:val="single" w:sz="4" w:space="0" w:color="auto"/>
              <w:right w:val="single" w:sz="4" w:space="0" w:color="auto"/>
            </w:tcBorders>
            <w:shd w:val="clear" w:color="auto" w:fill="C6EFCE"/>
            <w:vAlign w:val="center"/>
          </w:tcPr>
          <w:p w14:paraId="7A06C18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03A8D4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14A390E"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xml:space="preserve">Administrative certificates confirming the reduction of riverbed artificiality by at least 37 km along the axis of the Po. </w:t>
            </w:r>
          </w:p>
          <w:p w14:paraId="677B8F59"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Administrative certificates confirming reforestation actions covering at least 337 hectares of riparian woodlands.</w:t>
            </w:r>
          </w:p>
        </w:tc>
      </w:tr>
      <w:tr w:rsidR="00927449" w:rsidRPr="00927449" w14:paraId="62E8E425"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0180B2D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M2C4-24</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4158E8B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3.4. Remediation of “orphan-sites soil”</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AE4D12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0738C99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Legal framework for the remediation of orphan sites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89997F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Provision in the relevant piece of legislation indicating the adoption of the Action Plan</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766D15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E79D9D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13A5C6E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59CD14B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BA0872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2022</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486E82E4"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Action Plan for the revitalisation of orphan sites shall reduce land take and enhance urban regeneration. It shall include as a minimum:</w:t>
            </w:r>
          </w:p>
          <w:p w14:paraId="52A051D9"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identification of orphan sites in all 21 Regions and/or Autonomous Provinces</w:t>
            </w:r>
          </w:p>
          <w:p w14:paraId="6B70D6AF"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specific interventions to be made in every orphan site to reduce land take and enhance urban regeneration</w:t>
            </w:r>
          </w:p>
        </w:tc>
      </w:tr>
      <w:tr w:rsidR="00927449" w:rsidRPr="00927449" w14:paraId="0DBFD932"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B8540E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M2C4-25</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621883A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3.4. Remediation of “orphan-sites soil”</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617EDF4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B478EB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Revitalisation of orphan sites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339DA1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3D71851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Number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470CB00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4CC9FE78" w14:textId="4BA74030"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4</w:t>
            </w:r>
            <w:r w:rsidR="002D3AB2" w:rsidRPr="00A36E36">
              <w:rPr>
                <w:rFonts w:ascii="Arial Narrow" w:hAnsi="Arial Narrow"/>
                <w:noProof/>
                <w:color w:val="006100"/>
                <w:sz w:val="20"/>
                <w:lang w:val="en-IE"/>
              </w:rPr>
              <w:t> </w:t>
            </w:r>
            <w:r w:rsidRPr="00927449">
              <w:rPr>
                <w:rFonts w:ascii="Arial Narrow" w:eastAsia="Times New Roman" w:hAnsi="Arial Narrow" w:cs="Times New Roman"/>
                <w:noProof/>
                <w:color w:val="006100"/>
                <w:kern w:val="0"/>
                <w:sz w:val="20"/>
                <w:szCs w:val="20"/>
                <w:lang w:eastAsia="en-IE"/>
                <w14:ligatures w14:val="none"/>
              </w:rPr>
              <w:t>441</w:t>
            </w:r>
            <w:r w:rsidR="002D3AB2" w:rsidRPr="00A36E36">
              <w:rPr>
                <w:rFonts w:ascii="Arial Narrow" w:hAnsi="Arial Narrow"/>
                <w:noProof/>
                <w:color w:val="006100"/>
                <w:sz w:val="20"/>
                <w:lang w:val="en-IE"/>
              </w:rPr>
              <w:t> </w:t>
            </w:r>
            <w:r w:rsidRPr="00927449">
              <w:rPr>
                <w:rFonts w:ascii="Arial Narrow" w:eastAsia="Times New Roman" w:hAnsi="Arial Narrow" w:cs="Times New Roman"/>
                <w:noProof/>
                <w:color w:val="006100"/>
                <w:kern w:val="0"/>
                <w:sz w:val="20"/>
                <w:szCs w:val="20"/>
                <w:lang w:eastAsia="en-IE"/>
                <w14:ligatures w14:val="none"/>
              </w:rPr>
              <w:t>544</w:t>
            </w:r>
          </w:p>
        </w:tc>
        <w:tc>
          <w:tcPr>
            <w:tcW w:w="850" w:type="dxa"/>
            <w:tcBorders>
              <w:top w:val="single" w:sz="4" w:space="0" w:color="auto"/>
              <w:left w:val="nil"/>
              <w:bottom w:val="single" w:sz="4" w:space="0" w:color="auto"/>
              <w:right w:val="single" w:sz="4" w:space="0" w:color="auto"/>
            </w:tcBorders>
            <w:shd w:val="clear" w:color="auto" w:fill="C6EFCE"/>
            <w:vAlign w:val="center"/>
          </w:tcPr>
          <w:p w14:paraId="7C341A1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5D9855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34DC97FF"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Act(s) certifying the conclusion of soil remediation procedures (as specified in art.5, comma 3 of the Action Plan) issued for at least 4 441 544 square meters of orphan sites listed in the Action Plan.</w:t>
            </w:r>
          </w:p>
        </w:tc>
      </w:tr>
      <w:tr w:rsidR="00927449" w:rsidRPr="00927449" w14:paraId="61D4F31F"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13FC188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M2C4-26</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4946945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3.5. Restoration and protection of the seabed and marine habitats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33B5B38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CB45D4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Restoration and protection of seabed and marine habitats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E6AC7C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317F017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Number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068532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6D4BC57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10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0EE3DB5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661B85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2025</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DE91254"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xml:space="preserve">The following 10 activities have been carried out: </w:t>
            </w:r>
          </w:p>
          <w:p w14:paraId="717119F9"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Oyster restoration sites have been placed in at least one site for each of the following regions: Friuli Venezia Giulia and Emilia Romagna;</w:t>
            </w:r>
          </w:p>
          <w:p w14:paraId="1AFE503C"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Seabed and marine vegetation has been planted in at least one site for each of the following regions: Lazio, Campania, Calabria, Sicilia;</w:t>
            </w:r>
          </w:p>
          <w:p w14:paraId="2958BB21"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Mooring fields equipped with buoys have been installed in the areas of the Western, Central and Southern Mediterranean;</w:t>
            </w:r>
          </w:p>
          <w:p w14:paraId="4C0FB6B5"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Ghost nets have been removed in a total of at least 15 sites located across Sicily, Campania, Lazio, Puglia, Marche and Emilia Romagna;</w:t>
            </w:r>
          </w:p>
          <w:p w14:paraId="11E10FCE"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Coastal radial stations have been maintained or installed or equipped with elaboration software in at least 9 locations, and a Mobile Oceanographic Research Unit has been purchased;</w:t>
            </w:r>
          </w:p>
          <w:p w14:paraId="02280158"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At least 12 wave measuring buoys have been launched;</w:t>
            </w:r>
          </w:p>
          <w:p w14:paraId="53C84696"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Maintenance or installation of new sensors has taken place in at least 25 tide gauge network stations;</w:t>
            </w:r>
          </w:p>
          <w:p w14:paraId="4548DC7C"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Installation of at least 3 new marine weather stations and maintenance of at least 25 marine-weather stations in the Venice Lagoon area;</w:t>
            </w:r>
          </w:p>
          <w:p w14:paraId="173F526C"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At least 10 fixed stations for continuous monitoring of chemical-physical and trophic parameters in lagoons have been installed;</w:t>
            </w:r>
          </w:p>
          <w:p w14:paraId="7349B6BF"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xml:space="preserve">At least 5 observation software systems for the monitoring of marine and coastal habitats have produced data. </w:t>
            </w:r>
          </w:p>
          <w:p w14:paraId="6DF4C275"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Any purchase of ships or vessels shall be of the best available technology with the lowest environmental impacts in the sector.</w:t>
            </w:r>
          </w:p>
        </w:tc>
      </w:tr>
      <w:tr w:rsidR="00927449" w:rsidRPr="00927449" w14:paraId="4A44C92B"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17FC66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M2C4-27</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5DEB249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Reform 4.1. Simplification of legislation and strengthening of governance for the implementation of investments in the water supply infrastructures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20E7F0D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D0FAAE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Entry into force of the simplification of legislation for interventions in primary water infrastructure for the security of water supply</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D1CDD6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Provision(s) in the relevant piece(s) of legislation indicating the entry into force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37667EC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21A614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7912911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5856323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Q1</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DD2689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2022</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0C032A32"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revised legislation shall strengthen the governance and simplify the implementation of investments in water supply infrastructure. The new legal framework should as a minimum,</w:t>
            </w:r>
          </w:p>
          <w:p w14:paraId="7076829F"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Make the National Plan for interventions in the water sector the central financing instrument for investments in the water sector.</w:t>
            </w:r>
          </w:p>
          <w:p w14:paraId="0D7E1263"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Seek the opinion and actively involve the Regulator (‘Autorità di Regolazione per Energia Reti e Ambiente’) in any change or update to the Plan.</w:t>
            </w:r>
          </w:p>
          <w:p w14:paraId="389426EC"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Provide support and accompanying measures for implementing bodies not able to carry out investments relating to primary procurement within the foreseen time frame.</w:t>
            </w:r>
          </w:p>
          <w:p w14:paraId="26A6061A"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Simplify procedures for reporting and monitoring the investments financed in the water sector.</w:t>
            </w:r>
          </w:p>
        </w:tc>
      </w:tr>
      <w:tr w:rsidR="00927449" w:rsidRPr="00927449" w14:paraId="6C6B8F74"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BE6598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M2C4-28</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5F0560E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4.1. Investments in primary water infrastructures for the security of water supply</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6C62E44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8DCE67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Award of funding to all projects for investments in primary water infrastructure and for the security of water supply</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3D8144C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Publication of decree(s)</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233799C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714005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455E3CF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4B56638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Q3</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C3596B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3EE41F22"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Publication of the admission decree(s) with the awarding (assignment) of funding to projects for investments in primary water infrastructure and on the security of water supply.</w:t>
            </w:r>
          </w:p>
          <w:p w14:paraId="508B32B8"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scope of the contracts shall be the following,</w:t>
            </w:r>
          </w:p>
          <w:p w14:paraId="07258EBF"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Water supply security of important urban areas;</w:t>
            </w:r>
          </w:p>
          <w:p w14:paraId="46E1D6F4"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Structural works to increase safety and resilience of the network, including adaptation to climate change (excluding dams);</w:t>
            </w:r>
          </w:p>
          <w:p w14:paraId="610036DD"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Increase of the transport capacity of water.</w:t>
            </w:r>
          </w:p>
          <w:p w14:paraId="6045AF86"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Selection criteria shall ensure that the investment shall fully contribute to the climate change objectives with a 40 % climate coefficient, in accordance with Annex VI to the Recovery and Resilience Facility Regulation (EU) 2021/241.</w:t>
            </w:r>
          </w:p>
        </w:tc>
      </w:tr>
      <w:tr w:rsidR="00927449" w:rsidRPr="00927449" w14:paraId="41C516F4"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56B44EE" w14:textId="77777777" w:rsidR="00927449" w:rsidRPr="00927449" w:rsidRDefault="00927449" w:rsidP="00927449">
            <w:pPr>
              <w:spacing w:after="0" w:line="240" w:lineRule="auto"/>
              <w:jc w:val="center"/>
              <w:textAlignment w:val="baseline"/>
              <w:rPr>
                <w:rFonts w:ascii="Times New Roman" w:eastAsiaTheme="minorEastAsia" w:hAnsi="Times New Roman" w:cs="Times New Roman"/>
                <w:noProof/>
                <w:kern w:val="0"/>
                <w:lang w:val="en-GB"/>
              </w:rPr>
            </w:pPr>
            <w:r w:rsidRPr="00927449">
              <w:rPr>
                <w:rFonts w:ascii="Arial Narrow" w:eastAsia="Times New Roman" w:hAnsi="Arial Narrow" w:cs="Times New Roman"/>
                <w:noProof/>
                <w:color w:val="006100"/>
                <w:kern w:val="0"/>
                <w:sz w:val="20"/>
                <w:szCs w:val="20"/>
                <w:lang w:eastAsia="en-IE"/>
                <w14:ligatures w14:val="none"/>
              </w:rPr>
              <w:t>M2C4-29</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2F405EF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4.1. Investments in primary water infrastructures for the security of water supply</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387F0F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134E9C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Administrative certificatesfor interventions in water systems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5F98FA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5207AB2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Number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0B3E536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7111AA5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45</w:t>
            </w:r>
          </w:p>
        </w:tc>
        <w:tc>
          <w:tcPr>
            <w:tcW w:w="850" w:type="dxa"/>
            <w:tcBorders>
              <w:top w:val="single" w:sz="4" w:space="0" w:color="auto"/>
              <w:left w:val="nil"/>
              <w:bottom w:val="single" w:sz="4" w:space="0" w:color="auto"/>
              <w:right w:val="single" w:sz="4" w:space="0" w:color="auto"/>
            </w:tcBorders>
            <w:shd w:val="clear" w:color="auto" w:fill="C6EFCE"/>
            <w:vAlign w:val="center"/>
          </w:tcPr>
          <w:p w14:paraId="4DC1DB3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Q1</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103018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0B5E7542"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xml:space="preserve"> Administrative certificates have been issued confirming that works have been completed for interventions in at least 45 water systems (both complex and elementary) of which at least 32 complex water systems.</w:t>
            </w:r>
          </w:p>
        </w:tc>
      </w:tr>
      <w:tr w:rsidR="00927449" w:rsidRPr="00927449" w14:paraId="7B0E80E3"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10E6E6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M2C4-30</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61AE1E2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4.2. Reduction of losses in water distribution networks, including digitization and monitoring of networks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6FC711CF"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43031E0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Award of funding to all projects for interventions in water distribution networks, including digitization and monitoring of networks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69A38E5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Publication of decree(s)</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298885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0B3E25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3FFF61A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4351032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Q3</w:t>
            </w:r>
          </w:p>
        </w:tc>
        <w:tc>
          <w:tcPr>
            <w:tcW w:w="709" w:type="dxa"/>
            <w:tcBorders>
              <w:top w:val="single" w:sz="4" w:space="0" w:color="auto"/>
              <w:left w:val="nil"/>
              <w:bottom w:val="single" w:sz="4" w:space="0" w:color="auto"/>
              <w:right w:val="single" w:sz="4" w:space="0" w:color="auto"/>
            </w:tcBorders>
            <w:shd w:val="clear" w:color="auto" w:fill="C6EFCE"/>
            <w:vAlign w:val="center"/>
          </w:tcPr>
          <w:p w14:paraId="15F3BD3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42AE1DED"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Publication of the admission decree(s) with the awarding (assignment) of funding to projects for interventions for the modernization and efficiency of the water distribution networks.</w:t>
            </w:r>
          </w:p>
          <w:p w14:paraId="2CBEE31E"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scope of the contracts shall be the following:</w:t>
            </w:r>
          </w:p>
          <w:p w14:paraId="321BBD75"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Interventions to reduce losses in networks for drinking water;</w:t>
            </w:r>
          </w:p>
          <w:p w14:paraId="6D3FF6E3"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Increase the resilience of water systems to climate change;</w:t>
            </w:r>
          </w:p>
          <w:p w14:paraId="49EF43F2"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Strengthen the digitization of networks, for an optimal management of water resources, reduce waste and limit inefficiencies</w:t>
            </w:r>
          </w:p>
        </w:tc>
      </w:tr>
      <w:tr w:rsidR="00927449" w:rsidRPr="00927449" w14:paraId="7AB5F367"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6738CD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M2C4-31</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49EEB7B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4.2. Reduction of losses in water distribution networks, including digitization and monitoring of networks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660A0C4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A8670E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Interventions in water distribution networks, including digitization and monitoring of networks T1</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2A6886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49CC285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Number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3833952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DEDCEF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14 000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17298C6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FFB5D5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5938FFB0"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Districting at least 14 000 kilometres of water network</w:t>
            </w:r>
          </w:p>
        </w:tc>
      </w:tr>
      <w:tr w:rsidR="00927449" w:rsidRPr="00927449" w14:paraId="435FAE3A"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3147A8E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M2C4-33</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2527BB1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4.3 Investments in the resilience of the irrigation agrosystem for better management of water resources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041A0B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0BFAF9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Award of funding to all projects for the resilience of the irrigation agrosystem for the better management of water resources</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4C06AF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Publication of decree(s).</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64D504B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5B2298A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5948078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3B55A85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6028442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03CBACF8"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Publication of the admission decree(s) with the awarding (assignment) of funding to projects for the interventions on the networks and irrigation systems and on the related digitalisation and monitoring system.</w:t>
            </w:r>
          </w:p>
          <w:p w14:paraId="37B751ED"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scope of the contracts shall be the following:</w:t>
            </w:r>
          </w:p>
          <w:p w14:paraId="0ECED4E8"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Encourage the measurement and monitoring of uses on collective networks (through the installation of meters and remote-control systems), including the transition from self-supply to collective uses as a prerequisite for completing the introduction of water pricing policy based on the water volumes for an efficient use of water resources in agriculture and as a consequence stimulating the reduction of illegal water withdrawals in rural areas.</w:t>
            </w:r>
          </w:p>
          <w:p w14:paraId="2FCA79A9"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xml:space="preserve">Irrigation investment should aim at making existing irrigation more efficient, even if the concerned water body is in good status. </w:t>
            </w:r>
          </w:p>
          <w:p w14:paraId="05AA16C6"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p>
          <w:p w14:paraId="69385D41"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It is expected that this measure does not do significant harm to environmental objectives within the meaning of Article 17 of Regulation (EU) 2020/852, taking into account the description of the measure and the mitigating steps set out in the recovery and resilience plan in accordance with the Do No Significant Harm Technical Guidance</w:t>
            </w:r>
          </w:p>
          <w:p w14:paraId="325E70B7"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xml:space="preserve">(2021/C58/01). In particular, for each subinvestment, full compliance with the requirements of EU law, including the Water Framework Directive, shall be ensured before, during and after the commencement of the construction works. </w:t>
            </w:r>
          </w:p>
          <w:p w14:paraId="6C16D7BF"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Further, interventions, when applicable according to national law, shall be subject to an Environmental Impact Assessment (EIA) pursuant to Directive 2011/92/EU, as well as relevant assessments in the context of Directive 2000/60/EC and Directive 92/43/EEC, including the implementation of required mitigation measures.</w:t>
            </w:r>
          </w:p>
        </w:tc>
      </w:tr>
      <w:tr w:rsidR="00927449" w:rsidRPr="00927449" w14:paraId="5FB2FD28"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8ABBA0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M2C4-34</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7F0C083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4.3 Investments in the resilience of the irrigation agrosystem for better management of water resources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0BA3FAE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CDC359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Interventions for the resilience of the irrigation agrosystem for the better management of water resources T1</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170005D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6ED073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Number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E3A70F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30D9A1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40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5BDE1C4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2EFD68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605500E"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At least 40 withdrawal sources (listed in SIGRIAN) linked to water concession (concessione di derivazione) with a capacity of at least 100 l/s flow rate shall be equipped with meters.</w:t>
            </w:r>
          </w:p>
          <w:p w14:paraId="44DD1BA7"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overall network efficiency interventions shall also include the installation of:</w:t>
            </w:r>
          </w:p>
          <w:p w14:paraId="717AA52A"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300 third level meters;</w:t>
            </w:r>
          </w:p>
          <w:p w14:paraId="091F31C0"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10 000 fourth level meters;</w:t>
            </w:r>
          </w:p>
          <w:p w14:paraId="0CC43F09"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Digitalisation and network improvements.</w:t>
            </w:r>
          </w:p>
        </w:tc>
      </w:tr>
      <w:tr w:rsidR="00927449" w:rsidRPr="00927449" w14:paraId="0712A8BB"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0A6CCE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M2C4-34bis</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4A0FD74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4.3 Investments in the resilience of the irrigation agrosystem for better management of water resources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CC236A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21B679AF"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Interventions for the resilience of the irrigation agrosystem for the better management of water resources T1.2</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066F51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38D4FD8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Number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5E0FB24F"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40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1B38615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105</w:t>
            </w:r>
          </w:p>
        </w:tc>
        <w:tc>
          <w:tcPr>
            <w:tcW w:w="850" w:type="dxa"/>
            <w:tcBorders>
              <w:top w:val="single" w:sz="4" w:space="0" w:color="auto"/>
              <w:left w:val="nil"/>
              <w:bottom w:val="single" w:sz="4" w:space="0" w:color="auto"/>
              <w:right w:val="single" w:sz="4" w:space="0" w:color="auto"/>
            </w:tcBorders>
            <w:shd w:val="clear" w:color="auto" w:fill="C6EFCE"/>
            <w:vAlign w:val="center"/>
          </w:tcPr>
          <w:p w14:paraId="5CFBC60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1E9294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28E152C0"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At least 105 withdrawal sources (listed in SIGRIAN) linked to water concession (concessione di derivazione) with a capacity of at least 100 l/s flow rate shall be equipped with meters.</w:t>
            </w:r>
          </w:p>
          <w:p w14:paraId="67304DF0"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xml:space="preserve">The overall network efficiency interventions shall benefit at least 422 407 hectares of irrigated area and include: </w:t>
            </w:r>
          </w:p>
          <w:p w14:paraId="432AE740"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installation of 750 third level meters;</w:t>
            </w:r>
          </w:p>
          <w:p w14:paraId="5FF64DC7"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installation of 25 000 fourth level meters.</w:t>
            </w:r>
          </w:p>
        </w:tc>
      </w:tr>
      <w:tr w:rsidR="00927449" w:rsidRPr="00927449" w14:paraId="71180523"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1DFD4D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M2C4-35</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32F4295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4.3 Investments in the resilience of the irrigation agrosystem for better management of water resources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BE20F1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0A690F0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Interventions for the resilience of the irrigation agrosystem for the better management of water resources T2</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7B72C2E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CAB202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Hectares</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4BFE7B0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7CC267D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96 390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4915F0E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69C7B37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2024</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2D3BFAFA"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At least 96 390 hectares of irrigated area shall benefit from an efficient use of irrigation resources.</w:t>
            </w:r>
          </w:p>
        </w:tc>
      </w:tr>
      <w:tr w:rsidR="00927449" w:rsidRPr="00927449" w14:paraId="7641E8B3"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189F20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M2C4-36</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64168FA4"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4.4 Investments in sewerage and purification</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5091810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790F224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Award of funding to projects for sewerage and purification</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54A32E53"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Publication of a decree</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1334FDE5"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72FD089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 xml:space="preserve">N/A </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703E7C5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2835E5F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6C3D0A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2023</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1129738A"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xml:space="preserve">Publication of the admission decree with the awarding (assignment) of funding to the project proposals. </w:t>
            </w:r>
          </w:p>
          <w:p w14:paraId="7E421DD1"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The interventions shall,</w:t>
            </w:r>
          </w:p>
          <w:p w14:paraId="497ECCF7"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Make the purification of wastewater discharged into marine and inland waters more effective, also by means of technological innovation;</w:t>
            </w:r>
          </w:p>
          <w:p w14:paraId="208A0B41"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Transform where possible some purification plants into “green factories”, which reuse purified wastewater for irrigation and industrial purposes.</w:t>
            </w:r>
          </w:p>
          <w:p w14:paraId="6ADE8930"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This measure shall not do significant harm to environmental objectives within the meaning of Article 17 of Regulation (EU) 2020/852, taking into account the description of the measure and the mitigating steps set out in the recovery and resilience plan in accordance with the DNSH Technical Guidance (2021/C58/01). In particular, the incineration of sludge shall not be eligible.</w:t>
            </w:r>
          </w:p>
        </w:tc>
      </w:tr>
      <w:tr w:rsidR="00927449" w:rsidRPr="00927449" w14:paraId="2FA0DE44"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59891B6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M2C4-38</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7BEC37E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Investment 4.4 Investments in sewerage and purification</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302A30D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DA0E60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Interventions for sewerage and urban waste-water treatment</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00A645D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05D0DBD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Number</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388D643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34AC3BF"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145</w:t>
            </w:r>
          </w:p>
        </w:tc>
        <w:tc>
          <w:tcPr>
            <w:tcW w:w="850" w:type="dxa"/>
            <w:tcBorders>
              <w:top w:val="single" w:sz="4" w:space="0" w:color="auto"/>
              <w:left w:val="nil"/>
              <w:bottom w:val="single" w:sz="4" w:space="0" w:color="auto"/>
              <w:right w:val="single" w:sz="4" w:space="0" w:color="auto"/>
            </w:tcBorders>
            <w:shd w:val="clear" w:color="auto" w:fill="C6EFCE"/>
            <w:vAlign w:val="center"/>
          </w:tcPr>
          <w:p w14:paraId="0644333B"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16E24C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98648B9"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xml:space="preserve">Administrative certificates have been issued confirming that at least 145 interventions for sewerage and urban waste-water treatment have been carried out. </w:t>
            </w:r>
          </w:p>
        </w:tc>
      </w:tr>
      <w:tr w:rsidR="00927449" w:rsidRPr="00927449" w14:paraId="1BD6041E"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497B9BD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M2C4-39</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261739D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xml:space="preserve">Investment 4.5 </w:t>
            </w:r>
            <w:r w:rsidRPr="00927449">
              <w:rPr>
                <w:rFonts w:ascii="Arial Narrow" w:eastAsia="Times New Roman" w:hAnsi="Arial Narrow" w:cs="Times New Roman"/>
                <w:noProof/>
                <w:color w:val="006100"/>
                <w:kern w:val="0"/>
                <w:sz w:val="20"/>
                <w:szCs w:val="20"/>
                <w:lang w:val="en-IE" w:eastAsia="en-IE"/>
                <w14:ligatures w14:val="none"/>
              </w:rPr>
              <w:br/>
              <w:t>Grant scheme for investments on water infrastructures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64139F30"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Milestone</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5FCECE5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Implementing Agreement</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1BCF2B57"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Entry into force of the Implementing Agreement</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5BE578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2300B31"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82A1F1C"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850" w:type="dxa"/>
            <w:tcBorders>
              <w:top w:val="single" w:sz="4" w:space="0" w:color="auto"/>
              <w:left w:val="nil"/>
              <w:bottom w:val="single" w:sz="4" w:space="0" w:color="auto"/>
              <w:right w:val="single" w:sz="4" w:space="0" w:color="auto"/>
            </w:tcBorders>
            <w:shd w:val="clear" w:color="auto" w:fill="C6EFCE"/>
            <w:vAlign w:val="center"/>
          </w:tcPr>
          <w:p w14:paraId="72F8338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6DD073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2026</w:t>
            </w:r>
          </w:p>
        </w:tc>
        <w:tc>
          <w:tcPr>
            <w:tcW w:w="3686" w:type="dxa"/>
            <w:tcBorders>
              <w:top w:val="single" w:sz="4" w:space="0" w:color="auto"/>
              <w:left w:val="nil"/>
              <w:bottom w:val="single" w:sz="4" w:space="0" w:color="auto"/>
              <w:right w:val="single" w:sz="4" w:space="0" w:color="auto"/>
            </w:tcBorders>
            <w:shd w:val="clear" w:color="auto" w:fill="C6EFCE"/>
          </w:tcPr>
          <w:p w14:paraId="586AFF6E"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Entry into force of the Implementing Agreement.</w:t>
            </w:r>
          </w:p>
        </w:tc>
      </w:tr>
      <w:tr w:rsidR="00927449" w:rsidRPr="00927449" w14:paraId="117A9A66" w14:textId="77777777" w:rsidTr="00CB59CF">
        <w:trPr>
          <w:trHeight w:val="540"/>
          <w:jc w:val="center"/>
        </w:trPr>
        <w:tc>
          <w:tcPr>
            <w:tcW w:w="1276" w:type="dxa"/>
            <w:tcBorders>
              <w:top w:val="single" w:sz="4" w:space="0" w:color="auto"/>
              <w:left w:val="single" w:sz="4" w:space="0" w:color="auto"/>
              <w:bottom w:val="single" w:sz="4" w:space="0" w:color="auto"/>
              <w:right w:val="single" w:sz="4" w:space="0" w:color="auto"/>
            </w:tcBorders>
            <w:shd w:val="clear" w:color="auto" w:fill="C6EFCE"/>
            <w:vAlign w:val="center"/>
          </w:tcPr>
          <w:p w14:paraId="7C68AE9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M2C4-40</w:t>
            </w:r>
          </w:p>
        </w:tc>
        <w:tc>
          <w:tcPr>
            <w:tcW w:w="1882" w:type="dxa"/>
            <w:tcBorders>
              <w:top w:val="single" w:sz="4" w:space="0" w:color="auto"/>
              <w:left w:val="nil"/>
              <w:bottom w:val="single" w:sz="4" w:space="0" w:color="auto"/>
              <w:right w:val="single" w:sz="4" w:space="0" w:color="auto"/>
            </w:tcBorders>
            <w:shd w:val="clear" w:color="auto" w:fill="C6EFCE"/>
            <w:vAlign w:val="center"/>
          </w:tcPr>
          <w:p w14:paraId="56FFB452"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 xml:space="preserve">Investment 4.5 </w:t>
            </w:r>
            <w:r w:rsidRPr="00927449">
              <w:rPr>
                <w:rFonts w:ascii="Arial Narrow" w:eastAsia="Times New Roman" w:hAnsi="Arial Narrow" w:cs="Times New Roman"/>
                <w:noProof/>
                <w:color w:val="006100"/>
                <w:kern w:val="0"/>
                <w:sz w:val="20"/>
                <w:szCs w:val="20"/>
                <w:lang w:val="en-IE" w:eastAsia="en-IE"/>
                <w14:ligatures w14:val="none"/>
              </w:rPr>
              <w:br/>
              <w:t>Grant scheme for investments on water infrastructures</w:t>
            </w:r>
          </w:p>
        </w:tc>
        <w:tc>
          <w:tcPr>
            <w:tcW w:w="1141" w:type="dxa"/>
            <w:tcBorders>
              <w:top w:val="single" w:sz="4" w:space="0" w:color="auto"/>
              <w:left w:val="nil"/>
              <w:bottom w:val="single" w:sz="4" w:space="0" w:color="auto"/>
              <w:right w:val="single" w:sz="4" w:space="0" w:color="auto"/>
            </w:tcBorders>
            <w:shd w:val="clear" w:color="auto" w:fill="C6EFCE"/>
            <w:vAlign w:val="center"/>
          </w:tcPr>
          <w:p w14:paraId="2AB58E39"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Target</w:t>
            </w:r>
          </w:p>
        </w:tc>
        <w:tc>
          <w:tcPr>
            <w:tcW w:w="1797" w:type="dxa"/>
            <w:tcBorders>
              <w:top w:val="single" w:sz="4" w:space="0" w:color="auto"/>
              <w:left w:val="nil"/>
              <w:bottom w:val="single" w:sz="4" w:space="0" w:color="auto"/>
              <w:right w:val="single" w:sz="4" w:space="0" w:color="auto"/>
            </w:tcBorders>
            <w:shd w:val="clear" w:color="auto" w:fill="C6EFCE"/>
            <w:vAlign w:val="center"/>
          </w:tcPr>
          <w:p w14:paraId="121DF1C8"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Legal agreements signed with final beneficiaries and completion of the investment</w:t>
            </w:r>
          </w:p>
        </w:tc>
        <w:tc>
          <w:tcPr>
            <w:tcW w:w="1417" w:type="dxa"/>
            <w:tcBorders>
              <w:top w:val="single" w:sz="4" w:space="0" w:color="auto"/>
              <w:left w:val="nil"/>
              <w:bottom w:val="single" w:sz="4" w:space="0" w:color="auto"/>
              <w:right w:val="single" w:sz="4" w:space="0" w:color="auto"/>
            </w:tcBorders>
            <w:shd w:val="clear" w:color="auto" w:fill="C6EFCE"/>
            <w:vAlign w:val="center"/>
          </w:tcPr>
          <w:p w14:paraId="21D14DAA"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N/A</w:t>
            </w:r>
          </w:p>
        </w:tc>
        <w:tc>
          <w:tcPr>
            <w:tcW w:w="1276" w:type="dxa"/>
            <w:tcBorders>
              <w:top w:val="single" w:sz="4" w:space="0" w:color="auto"/>
              <w:left w:val="nil"/>
              <w:bottom w:val="single" w:sz="4" w:space="0" w:color="auto"/>
              <w:right w:val="single" w:sz="4" w:space="0" w:color="auto"/>
            </w:tcBorders>
            <w:shd w:val="clear" w:color="auto" w:fill="C6EFCE"/>
            <w:vAlign w:val="center"/>
          </w:tcPr>
          <w:p w14:paraId="759D3B9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Percentage (%)</w:t>
            </w:r>
          </w:p>
        </w:tc>
        <w:tc>
          <w:tcPr>
            <w:tcW w:w="1180" w:type="dxa"/>
            <w:tcBorders>
              <w:top w:val="single" w:sz="4" w:space="0" w:color="auto"/>
              <w:left w:val="nil"/>
              <w:bottom w:val="single" w:sz="4" w:space="0" w:color="auto"/>
              <w:right w:val="single" w:sz="4" w:space="0" w:color="auto"/>
            </w:tcBorders>
            <w:shd w:val="clear" w:color="auto" w:fill="C6EFCE"/>
            <w:vAlign w:val="center"/>
          </w:tcPr>
          <w:p w14:paraId="2C03D89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0%</w:t>
            </w:r>
          </w:p>
        </w:tc>
        <w:tc>
          <w:tcPr>
            <w:tcW w:w="1230" w:type="dxa"/>
            <w:tcBorders>
              <w:top w:val="single" w:sz="4" w:space="0" w:color="auto"/>
              <w:left w:val="nil"/>
              <w:bottom w:val="single" w:sz="4" w:space="0" w:color="auto"/>
              <w:right w:val="single" w:sz="4" w:space="0" w:color="auto"/>
            </w:tcBorders>
            <w:shd w:val="clear" w:color="auto" w:fill="C6EFCE"/>
            <w:vAlign w:val="center"/>
          </w:tcPr>
          <w:p w14:paraId="2A99C0E6"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100%</w:t>
            </w:r>
          </w:p>
        </w:tc>
        <w:tc>
          <w:tcPr>
            <w:tcW w:w="850" w:type="dxa"/>
            <w:tcBorders>
              <w:top w:val="single" w:sz="4" w:space="0" w:color="auto"/>
              <w:left w:val="nil"/>
              <w:bottom w:val="single" w:sz="4" w:space="0" w:color="auto"/>
              <w:right w:val="single" w:sz="4" w:space="0" w:color="auto"/>
            </w:tcBorders>
            <w:shd w:val="clear" w:color="auto" w:fill="C6EFCE"/>
            <w:vAlign w:val="center"/>
          </w:tcPr>
          <w:p w14:paraId="678A046E"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34D8D7BD" w14:textId="77777777" w:rsidR="00927449" w:rsidRPr="00927449" w:rsidRDefault="00927449" w:rsidP="00927449">
            <w:pPr>
              <w:spacing w:after="0" w:line="240" w:lineRule="auto"/>
              <w:jc w:val="center"/>
              <w:textAlignment w:val="baseline"/>
              <w:rPr>
                <w:rFonts w:ascii="Arial Narrow" w:eastAsia="Times New Roman" w:hAnsi="Arial Narrow" w:cs="Times New Roman"/>
                <w:noProof/>
                <w:color w:val="006100"/>
                <w:kern w:val="0"/>
                <w:sz w:val="20"/>
                <w:szCs w:val="20"/>
                <w:lang w:eastAsia="en-IE"/>
                <w14:ligatures w14:val="none"/>
              </w:rPr>
            </w:pPr>
            <w:r w:rsidRPr="00927449">
              <w:rPr>
                <w:rFonts w:ascii="Arial Narrow" w:eastAsia="Times New Roman" w:hAnsi="Arial Narrow" w:cs="Times New Roman"/>
                <w:noProof/>
                <w:color w:val="006100"/>
                <w:kern w:val="0"/>
                <w:sz w:val="20"/>
                <w:szCs w:val="20"/>
                <w:lang w:eastAsia="en-IE"/>
                <w14:ligatures w14:val="none"/>
              </w:rPr>
              <w:t>2026</w:t>
            </w:r>
          </w:p>
        </w:tc>
        <w:tc>
          <w:tcPr>
            <w:tcW w:w="3686" w:type="dxa"/>
            <w:tcBorders>
              <w:top w:val="single" w:sz="4" w:space="0" w:color="auto"/>
              <w:left w:val="nil"/>
              <w:bottom w:val="single" w:sz="4" w:space="0" w:color="auto"/>
              <w:right w:val="single" w:sz="4" w:space="0" w:color="auto"/>
            </w:tcBorders>
            <w:shd w:val="clear" w:color="auto" w:fill="C6EFCE"/>
            <w:vAlign w:val="center"/>
          </w:tcPr>
          <w:p w14:paraId="7DD93716" w14:textId="77777777" w:rsidR="00927449" w:rsidRPr="00927449" w:rsidRDefault="00927449" w:rsidP="00906E44">
            <w:pPr>
              <w:spacing w:after="0"/>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Invitalia S.p.A. shall have entered into legal grant agreements with final beneficiaries for an amount necessary to use 100% of the RRF investment into the Scheme (taking into account management fees). At least 40% of this financing shall contribute to climate objectives using the methodology in Annex VI of the RRF Regulation.</w:t>
            </w:r>
          </w:p>
          <w:p w14:paraId="1123477F" w14:textId="77777777" w:rsidR="00927449" w:rsidRPr="00927449" w:rsidDel="00807562" w:rsidRDefault="00927449" w:rsidP="00906E44">
            <w:pPr>
              <w:spacing w:before="120" w:after="0" w:line="240" w:lineRule="auto"/>
              <w:textAlignment w:val="baseline"/>
              <w:rPr>
                <w:rFonts w:ascii="Arial Narrow" w:eastAsia="Times New Roman" w:hAnsi="Arial Narrow" w:cs="Times New Roman"/>
                <w:noProof/>
                <w:color w:val="006100"/>
                <w:kern w:val="0"/>
                <w:sz w:val="20"/>
                <w:szCs w:val="20"/>
                <w:lang w:val="en-IE" w:eastAsia="en-IE"/>
                <w14:ligatures w14:val="none"/>
              </w:rPr>
            </w:pPr>
            <w:r w:rsidRPr="00927449">
              <w:rPr>
                <w:rFonts w:ascii="Arial Narrow" w:eastAsia="Times New Roman" w:hAnsi="Arial Narrow" w:cs="Times New Roman"/>
                <w:noProof/>
                <w:color w:val="006100"/>
                <w:kern w:val="0"/>
                <w:sz w:val="20"/>
                <w:szCs w:val="20"/>
                <w:lang w:val="en-IE" w:eastAsia="en-IE"/>
                <w14:ligatures w14:val="none"/>
              </w:rPr>
              <w:t>Italy shall transfer EUR 1 576 292 200,62 to Invitalia S.p.A. for the Facility.</w:t>
            </w:r>
          </w:p>
        </w:tc>
      </w:tr>
    </w:tbl>
    <w:p w14:paraId="40935127" w14:textId="77777777" w:rsidR="0070054C" w:rsidRPr="0070054C" w:rsidRDefault="0070054C" w:rsidP="0070054C">
      <w:pPr>
        <w:rPr>
          <w:noProof/>
          <w:lang w:val="en-IE"/>
        </w:rPr>
      </w:pPr>
    </w:p>
    <w:p w14:paraId="5EB46580" w14:textId="77777777" w:rsidR="0039681A" w:rsidRDefault="0039681A" w:rsidP="00351087">
      <w:pPr>
        <w:rPr>
          <w:noProof/>
          <w:lang w:val="en-IE"/>
        </w:rPr>
        <w:sectPr w:rsidR="0039681A" w:rsidSect="0039681A">
          <w:headerReference w:type="even" r:id="rId119"/>
          <w:headerReference w:type="default" r:id="rId120"/>
          <w:footerReference w:type="default" r:id="rId121"/>
          <w:headerReference w:type="first" r:id="rId122"/>
          <w:pgSz w:w="16838" w:h="11906" w:orient="landscape"/>
          <w:pgMar w:top="1134" w:right="1134" w:bottom="1134" w:left="1134" w:header="567" w:footer="567" w:gutter="0"/>
          <w:cols w:space="708"/>
          <w:docGrid w:linePitch="360"/>
        </w:sectPr>
      </w:pPr>
    </w:p>
    <w:p w14:paraId="156E3F9F" w14:textId="77777777" w:rsidR="0039681A" w:rsidRPr="005D46BA" w:rsidRDefault="0039681A" w:rsidP="00351087">
      <w:pPr>
        <w:pStyle w:val="Heading2"/>
        <w:ind w:left="1080"/>
        <w:rPr>
          <w:rFonts w:ascii="Times New Roman" w:hAnsi="Times New Roman" w:cs="Times New Roman"/>
          <w:noProof/>
          <w:sz w:val="24"/>
          <w:szCs w:val="24"/>
          <w:lang w:val="fr-FR"/>
        </w:rPr>
      </w:pPr>
      <w:r w:rsidRPr="00E6020A">
        <w:rPr>
          <w:rFonts w:ascii="Times New Roman" w:eastAsia="Times New Roman" w:hAnsi="Times New Roman" w:cs="Times New Roman"/>
          <w:b/>
          <w:bCs/>
          <w:noProof/>
          <w:color w:val="auto"/>
          <w:sz w:val="24"/>
          <w:szCs w:val="24"/>
          <w:lang w:val="fr-FR"/>
        </w:rPr>
        <w:t>H. MISSION 3 COMPONENT 1: Sustainable transport infrastructure</w:t>
      </w:r>
    </w:p>
    <w:p w14:paraId="418B6CA3" w14:textId="77777777" w:rsidR="0039681A" w:rsidRPr="00A36E36" w:rsidRDefault="0039681A" w:rsidP="0035108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H.1.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1CD373B2" w14:textId="77777777" w:rsidR="0039681A" w:rsidRPr="00A36E36" w:rsidRDefault="0039681A" w:rsidP="00351087">
      <w:pPr>
        <w:spacing w:before="120" w:after="120"/>
        <w:jc w:val="both"/>
        <w:rPr>
          <w:rFonts w:ascii="Times New Roman" w:hAnsi="Times New Roman" w:cs="Times New Roman"/>
          <w:i/>
          <w:noProof/>
          <w:u w:val="single"/>
          <w:lang w:val="en-IE"/>
        </w:rPr>
      </w:pPr>
      <w:r w:rsidRPr="00A36E36">
        <w:rPr>
          <w:rFonts w:ascii="Times New Roman" w:hAnsi="Times New Roman" w:cs="Times New Roman"/>
          <w:i/>
          <w:noProof/>
          <w:u w:val="single"/>
          <w:lang w:val="en-IE"/>
        </w:rPr>
        <w:t>N/A</w:t>
      </w:r>
    </w:p>
    <w:p w14:paraId="770A3C44"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H.2.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p w14:paraId="5EB6FD47" w14:textId="77777777" w:rsidR="0039681A" w:rsidRPr="005D46BA"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i/>
          <w:noProof/>
          <w:lang w:val="en-IE"/>
        </w:rPr>
        <w:t>N/</w:t>
      </w:r>
      <w:r w:rsidRPr="1B553AD7">
        <w:rPr>
          <w:rFonts w:ascii="Times New Roman" w:hAnsi="Times New Roman" w:cs="Times New Roman"/>
          <w:i/>
          <w:iCs/>
          <w:noProof/>
          <w:lang w:val="en-IE"/>
        </w:rPr>
        <w:t>Aa</w:t>
      </w:r>
    </w:p>
    <w:p w14:paraId="2D1F814F" w14:textId="77777777" w:rsidR="0039681A" w:rsidRPr="00A36E36" w:rsidRDefault="0039681A" w:rsidP="0035108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H.3.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2CB0787C"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investments in this component support the deployment of railway infrastructure (high-speed, freight, regional railways, European Railways Traffic Management System). They are accompanied by reforms to accelerate railway infrastructure investments and to improve the quality of road infrastructure. The business environment reform component contains a measure creating additional incentives for Regions to tender out their regional railway public service contracts. This component contains measures to develop the use of hydrogen in railways.</w:t>
      </w:r>
    </w:p>
    <w:p w14:paraId="090AFD26"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component support addressing the 2019 country-specific recommendation 3 urging Italy to ‘Focus investment-related economic policy on […] the quality of infrastructure taking into account regional disparities’ and the 2020 country-specific recommendation 3 on ‘Front-load mature public investment projects’ and to ‘Focus investment on the green and digital transition, in particular on clean and efficient production and use of energy, research and innovation, sustainable public transport, waste and water management as well as reinforced digital infrastructure to ensure the provision of essential services’.</w:t>
      </w:r>
    </w:p>
    <w:p w14:paraId="059E54F4"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262DC652"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Reform 1.1 - Acceleration of the approval process of the Contract between the Ministry of Infrastructure and Transport (MIT) and the railway infrastructure manager </w:t>
      </w:r>
      <w:r w:rsidRPr="00A36E36">
        <w:rPr>
          <w:rFonts w:ascii="Times New Roman" w:hAnsi="Times New Roman" w:cs="Times New Roman"/>
          <w:b/>
          <w:bCs/>
          <w:i/>
          <w:iCs/>
          <w:noProof/>
          <w:lang w:val="en-IE"/>
        </w:rPr>
        <w:t>Rete Ferroviaria Italiana</w:t>
      </w:r>
    </w:p>
    <w:p w14:paraId="451DFBAD"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reform consists in removing the requirement that Parliamentary Commissions express an opinion on the list of investments of the </w:t>
      </w:r>
      <w:r w:rsidRPr="00A36E36">
        <w:rPr>
          <w:rFonts w:ascii="Times New Roman" w:hAnsi="Times New Roman" w:cs="Times New Roman"/>
          <w:i/>
          <w:noProof/>
          <w:lang w:val="en-IE"/>
        </w:rPr>
        <w:t>Contratti di Programma (CdP)</w:t>
      </w:r>
      <w:r w:rsidRPr="00A36E36">
        <w:rPr>
          <w:rFonts w:ascii="Times New Roman" w:hAnsi="Times New Roman" w:cs="Times New Roman"/>
          <w:noProof/>
          <w:lang w:val="en-IE"/>
        </w:rPr>
        <w:t xml:space="preserve"> of the railway infrastructure manager </w:t>
      </w:r>
      <w:r w:rsidRPr="00A36E36">
        <w:rPr>
          <w:rFonts w:ascii="Times New Roman" w:hAnsi="Times New Roman" w:cs="Times New Roman"/>
          <w:i/>
          <w:noProof/>
          <w:lang w:val="en-IE"/>
        </w:rPr>
        <w:t>Rete Ferroviaria Italiana</w:t>
      </w:r>
      <w:r w:rsidRPr="00A36E36">
        <w:rPr>
          <w:rFonts w:ascii="Times New Roman" w:hAnsi="Times New Roman" w:cs="Times New Roman"/>
          <w:noProof/>
          <w:lang w:val="en-IE"/>
        </w:rPr>
        <w:t>. The Parliamentary Commissions shall express an opinion on the strategic programme of investments.</w:t>
      </w:r>
    </w:p>
    <w:p w14:paraId="2A4CE50E"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Reform 1.2 - Acceleration of the authorization process of projects</w:t>
      </w:r>
    </w:p>
    <w:p w14:paraId="62FC0F51" w14:textId="77777777" w:rsidR="0039681A" w:rsidRPr="00A36E36" w:rsidRDefault="0039681A" w:rsidP="00E02EF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reform consists in adopting legislation allowing to anticipate the indication of the place of works at the time of the “Economic Technical Feasibility Project” (PFTE), instead of waiting for the definitive project design phase. Additional authorizations, which cannot be acquired on the PFTE, would be obtained in subsequent project design phases, without convening the “Conferenza dei Servizi”, as an exception to Law no. 241/1990. These changes shall reduce the authorisation time of projects from 11 to 6 months.</w:t>
      </w:r>
    </w:p>
    <w:p w14:paraId="2D81FB06" w14:textId="77777777" w:rsidR="0039681A" w:rsidRPr="00E02EF5" w:rsidRDefault="0039681A" w:rsidP="00E02EF5">
      <w:pPr>
        <w:rPr>
          <w:rFonts w:ascii="Times New Roman" w:hAnsi="Times New Roman" w:cs="Times New Roman"/>
          <w:b/>
          <w:noProof/>
          <w:lang w:val="en-IE"/>
        </w:rPr>
      </w:pPr>
      <w:r w:rsidRPr="00E02EF5">
        <w:rPr>
          <w:rFonts w:ascii="Times New Roman" w:hAnsi="Times New Roman" w:cs="Times New Roman"/>
          <w:b/>
          <w:noProof/>
          <w:lang w:val="en-IE"/>
        </w:rPr>
        <w:t>Reform 1.3 - Boosting the efficiency of railway infrastructure in Italy</w:t>
      </w:r>
    </w:p>
    <w:p w14:paraId="6E87EF9E" w14:textId="480BF8A6" w:rsidR="0039681A" w:rsidRPr="00AF5341" w:rsidRDefault="0039681A" w:rsidP="00E02EF5">
      <w:pPr>
        <w:pStyle w:val="paragraph"/>
        <w:spacing w:before="0" w:beforeAutospacing="0" w:after="0" w:afterAutospacing="0" w:line="259" w:lineRule="auto"/>
        <w:jc w:val="both"/>
        <w:textAlignment w:val="baseline"/>
        <w:rPr>
          <w:rFonts w:eastAsiaTheme="minorHAnsi"/>
          <w:noProof/>
          <w:kern w:val="2"/>
          <w:sz w:val="22"/>
          <w:szCs w:val="22"/>
          <w:lang w:val="en-IE" w:eastAsia="en-US"/>
        </w:rPr>
      </w:pPr>
      <w:r w:rsidRPr="00E02EF5">
        <w:rPr>
          <w:rFonts w:eastAsiaTheme="minorHAnsi"/>
          <w:noProof/>
          <w:kern w:val="2"/>
          <w:sz w:val="22"/>
          <w:szCs w:val="22"/>
          <w:lang w:val="en-IE" w:eastAsia="en-US"/>
        </w:rPr>
        <w:t xml:space="preserve">This reform aims at promoting an increase in competition in regional and intercity railway transport markets, </w:t>
      </w:r>
      <w:r w:rsidR="00E02EF5" w:rsidRPr="00E02EF5">
        <w:rPr>
          <w:rFonts w:eastAsiaTheme="minorHAnsi"/>
          <w:noProof/>
          <w:kern w:val="2"/>
          <w:sz w:val="22"/>
          <w:szCs w:val="22"/>
          <w:lang w:val="en-IE" w:eastAsia="en-US"/>
        </w:rPr>
        <w:t>including by paving the way for a timely launch</w:t>
      </w:r>
      <w:r w:rsidR="00192E1D">
        <w:rPr>
          <w:rFonts w:eastAsiaTheme="minorHAnsi"/>
          <w:noProof/>
          <w:kern w:val="2"/>
          <w:sz w:val="22"/>
          <w:szCs w:val="22"/>
          <w:lang w:val="en-IE" w:eastAsia="en-US"/>
        </w:rPr>
        <w:t xml:space="preserve"> – in accordance with legislation –</w:t>
      </w:r>
      <w:r w:rsidR="00E02EF5" w:rsidRPr="00E02EF5">
        <w:rPr>
          <w:rFonts w:eastAsiaTheme="minorHAnsi"/>
          <w:noProof/>
          <w:kern w:val="2"/>
          <w:sz w:val="22"/>
          <w:szCs w:val="22"/>
          <w:lang w:val="en-IE" w:eastAsia="en-US"/>
        </w:rPr>
        <w:t xml:space="preserve"> of the tender for the Intercity public service contract, </w:t>
      </w:r>
      <w:r w:rsidRPr="00E02EF5">
        <w:rPr>
          <w:rFonts w:eastAsiaTheme="minorHAnsi"/>
          <w:noProof/>
          <w:kern w:val="2"/>
          <w:sz w:val="22"/>
          <w:szCs w:val="22"/>
          <w:lang w:val="en-IE" w:eastAsia="en-US"/>
        </w:rPr>
        <w:t xml:space="preserve">to improve the infrastructural planning for railway lines and networks, and to introduce performance measurement of railway infrastructural management and investments. The reform consists in the </w:t>
      </w:r>
      <w:r w:rsidR="00E02EF5">
        <w:rPr>
          <w:rFonts w:eastAsiaTheme="minorHAnsi"/>
          <w:noProof/>
          <w:kern w:val="2"/>
          <w:sz w:val="22"/>
          <w:szCs w:val="22"/>
          <w:lang w:val="en-IE" w:eastAsia="en-US"/>
        </w:rPr>
        <w:t>entry into force</w:t>
      </w:r>
      <w:r w:rsidRPr="00E02EF5">
        <w:rPr>
          <w:rFonts w:eastAsiaTheme="minorHAnsi"/>
          <w:noProof/>
          <w:kern w:val="2"/>
          <w:sz w:val="22"/>
          <w:szCs w:val="22"/>
          <w:lang w:val="en-IE" w:eastAsia="en-US"/>
        </w:rPr>
        <w:t xml:space="preserve"> of</w:t>
      </w:r>
      <w:r w:rsidR="00FE22AA">
        <w:rPr>
          <w:rFonts w:eastAsiaTheme="minorHAnsi"/>
          <w:noProof/>
          <w:kern w:val="2"/>
          <w:sz w:val="22"/>
          <w:szCs w:val="22"/>
          <w:lang w:val="en-IE" w:eastAsia="en-US"/>
        </w:rPr>
        <w:t xml:space="preserve"> legislation and/or</w:t>
      </w:r>
      <w:r w:rsidRPr="00E02EF5">
        <w:rPr>
          <w:rFonts w:eastAsiaTheme="minorHAnsi"/>
          <w:noProof/>
          <w:kern w:val="2"/>
          <w:sz w:val="22"/>
          <w:szCs w:val="22"/>
          <w:lang w:val="en-IE" w:eastAsia="en-US"/>
        </w:rPr>
        <w:t xml:space="preserve"> </w:t>
      </w:r>
      <w:r w:rsidR="00F574A3" w:rsidRPr="00E02EF5">
        <w:rPr>
          <w:rFonts w:eastAsiaTheme="minorHAnsi"/>
          <w:noProof/>
          <w:kern w:val="2"/>
          <w:sz w:val="22"/>
          <w:szCs w:val="22"/>
          <w:lang w:val="en-IE" w:eastAsia="en-US"/>
        </w:rPr>
        <w:t>legal act</w:t>
      </w:r>
      <w:r w:rsidR="00E02EF5">
        <w:rPr>
          <w:rFonts w:eastAsiaTheme="minorHAnsi"/>
          <w:noProof/>
          <w:kern w:val="2"/>
          <w:sz w:val="22"/>
          <w:szCs w:val="22"/>
          <w:lang w:val="en-IE" w:eastAsia="en-US"/>
        </w:rPr>
        <w:t>(</w:t>
      </w:r>
      <w:r w:rsidR="00F574A3" w:rsidRPr="00E02EF5">
        <w:rPr>
          <w:rFonts w:eastAsiaTheme="minorHAnsi"/>
          <w:noProof/>
          <w:kern w:val="2"/>
          <w:sz w:val="22"/>
          <w:szCs w:val="22"/>
          <w:lang w:val="en-IE" w:eastAsia="en-US"/>
        </w:rPr>
        <w:t>s</w:t>
      </w:r>
      <w:r w:rsidR="00E02EF5">
        <w:rPr>
          <w:rFonts w:eastAsiaTheme="minorHAnsi"/>
          <w:noProof/>
          <w:kern w:val="2"/>
          <w:sz w:val="22"/>
          <w:szCs w:val="22"/>
          <w:lang w:val="en-IE" w:eastAsia="en-US"/>
        </w:rPr>
        <w:t>)</w:t>
      </w:r>
      <w:r w:rsidRPr="00E02EF5">
        <w:rPr>
          <w:rFonts w:eastAsiaTheme="minorHAnsi"/>
          <w:noProof/>
          <w:kern w:val="2"/>
          <w:sz w:val="22"/>
          <w:szCs w:val="22"/>
          <w:lang w:val="en-IE" w:eastAsia="en-US"/>
        </w:rPr>
        <w:t>.</w:t>
      </w:r>
    </w:p>
    <w:p w14:paraId="70006373" w14:textId="4BF0D695" w:rsidR="0039681A" w:rsidRPr="00A36E36" w:rsidRDefault="0039681A" w:rsidP="00E02EF5">
      <w:pPr>
        <w:spacing w:before="120" w:after="120"/>
        <w:jc w:val="both"/>
        <w:rPr>
          <w:rFonts w:ascii="Times New Roman" w:hAnsi="Times New Roman" w:cs="Times New Roman"/>
          <w:b/>
          <w:bCs/>
          <w:noProof/>
          <w:lang w:val="en-IE"/>
        </w:rPr>
      </w:pPr>
      <w:r w:rsidRPr="27617120">
        <w:rPr>
          <w:rFonts w:ascii="Times New Roman" w:hAnsi="Times New Roman" w:cs="Times New Roman"/>
          <w:b/>
          <w:bCs/>
          <w:noProof/>
          <w:lang w:val="en-IE"/>
        </w:rPr>
        <w:t>Investment 1.1 - High-speed railway lines in the Centre and South</w:t>
      </w:r>
    </w:p>
    <w:p w14:paraId="59F43813" w14:textId="253047F1" w:rsidR="0039681A" w:rsidRPr="00A36E36" w:rsidRDefault="0039681A" w:rsidP="00E02EF5">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expand the Italian railway infrastructure. This investment consists in </w:t>
      </w:r>
      <w:r>
        <w:rPr>
          <w:rFonts w:ascii="Times New Roman" w:hAnsi="Times New Roman" w:cs="Times New Roman"/>
          <w:noProof/>
          <w:lang w:val="en-IE"/>
        </w:rPr>
        <w:t>carrying out railway works on the</w:t>
      </w:r>
      <w:r w:rsidRPr="00A36E36">
        <w:rPr>
          <w:rFonts w:ascii="Times New Roman" w:hAnsi="Times New Roman" w:cs="Times New Roman"/>
          <w:noProof/>
          <w:lang w:val="en-IE"/>
        </w:rPr>
        <w:t xml:space="preserve"> high-speed railway infrastructure for passengers and freight </w:t>
      </w:r>
      <w:r>
        <w:rPr>
          <w:rFonts w:ascii="Times New Roman" w:hAnsi="Times New Roman" w:cs="Times New Roman"/>
          <w:noProof/>
          <w:lang w:val="en-IE"/>
        </w:rPr>
        <w:t>o</w:t>
      </w:r>
      <w:r w:rsidRPr="00A36E36">
        <w:rPr>
          <w:rFonts w:ascii="Times New Roman" w:hAnsi="Times New Roman" w:cs="Times New Roman"/>
          <w:noProof/>
          <w:lang w:val="en-IE"/>
        </w:rPr>
        <w:t>n the Napoli-Bari, Salerno-Reggio Calabria</w:t>
      </w:r>
      <w:r>
        <w:rPr>
          <w:rFonts w:ascii="Times New Roman" w:hAnsi="Times New Roman" w:cs="Times New Roman"/>
          <w:noProof/>
          <w:lang w:val="en-IE"/>
        </w:rPr>
        <w:t>,</w:t>
      </w:r>
      <w:r w:rsidRPr="00A36E36">
        <w:rPr>
          <w:rFonts w:ascii="Times New Roman" w:hAnsi="Times New Roman" w:cs="Times New Roman"/>
          <w:noProof/>
          <w:lang w:val="en-IE"/>
        </w:rPr>
        <w:t xml:space="preserve"> Palermo-Catania</w:t>
      </w:r>
      <w:r>
        <w:rPr>
          <w:rFonts w:ascii="Times New Roman" w:hAnsi="Times New Roman" w:cs="Times New Roman"/>
          <w:noProof/>
          <w:lang w:val="en-IE"/>
        </w:rPr>
        <w:t xml:space="preserve">, Orte-Falconara and Taranto-Metaponto-Potenza-Battipaglia </w:t>
      </w:r>
      <w:r w:rsidRPr="00A36E36">
        <w:rPr>
          <w:rFonts w:ascii="Times New Roman" w:hAnsi="Times New Roman" w:cs="Times New Roman"/>
          <w:noProof/>
          <w:lang w:val="en-IE"/>
        </w:rPr>
        <w:t>lines.</w:t>
      </w:r>
    </w:p>
    <w:p w14:paraId="09181024" w14:textId="47B79B06"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1.2 - High-speed lines in the North</w:t>
      </w:r>
    </w:p>
    <w:p w14:paraId="7B2FE361" w14:textId="23F50452"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expand the Italian railway infrastructure. This investment consists in </w:t>
      </w:r>
      <w:r>
        <w:rPr>
          <w:rFonts w:ascii="Times New Roman" w:hAnsi="Times New Roman" w:cs="Times New Roman"/>
          <w:noProof/>
          <w:lang w:val="en-IE"/>
        </w:rPr>
        <w:t>carrying out railway works on the</w:t>
      </w:r>
      <w:r w:rsidRPr="00A36E36">
        <w:rPr>
          <w:rFonts w:ascii="Times New Roman" w:hAnsi="Times New Roman" w:cs="Times New Roman"/>
          <w:noProof/>
          <w:lang w:val="en-IE"/>
        </w:rPr>
        <w:t xml:space="preserve"> high-speed railway infrastructure for passengers and freight </w:t>
      </w:r>
      <w:r>
        <w:rPr>
          <w:rFonts w:ascii="Times New Roman" w:hAnsi="Times New Roman" w:cs="Times New Roman"/>
          <w:noProof/>
          <w:lang w:val="en-IE"/>
        </w:rPr>
        <w:t>o</w:t>
      </w:r>
      <w:r w:rsidRPr="00A36E36">
        <w:rPr>
          <w:rFonts w:ascii="Times New Roman" w:hAnsi="Times New Roman" w:cs="Times New Roman"/>
          <w:noProof/>
          <w:lang w:val="en-IE"/>
        </w:rPr>
        <w:t xml:space="preserve">n the Brescia-Verona-Vicenza-Padova, </w:t>
      </w:r>
      <w:r>
        <w:rPr>
          <w:rFonts w:ascii="Times New Roman" w:hAnsi="Times New Roman" w:cs="Times New Roman"/>
          <w:noProof/>
          <w:lang w:val="en-IE"/>
        </w:rPr>
        <w:t xml:space="preserve">and </w:t>
      </w:r>
      <w:r w:rsidRPr="00A36E36">
        <w:rPr>
          <w:rFonts w:ascii="Times New Roman" w:hAnsi="Times New Roman" w:cs="Times New Roman"/>
          <w:noProof/>
          <w:lang w:val="en-IE"/>
        </w:rPr>
        <w:t>Liguria-Alpi</w:t>
      </w:r>
      <w:r>
        <w:rPr>
          <w:rFonts w:ascii="Times New Roman" w:hAnsi="Times New Roman" w:cs="Times New Roman"/>
          <w:noProof/>
          <w:lang w:val="en-IE"/>
        </w:rPr>
        <w:t xml:space="preserve"> </w:t>
      </w:r>
      <w:r w:rsidRPr="00A36E36">
        <w:rPr>
          <w:rFonts w:ascii="Times New Roman" w:hAnsi="Times New Roman" w:cs="Times New Roman"/>
          <w:noProof/>
          <w:lang w:val="en-IE"/>
        </w:rPr>
        <w:t>lines.</w:t>
      </w:r>
    </w:p>
    <w:p w14:paraId="46B18A01" w14:textId="77777777" w:rsidR="0039681A" w:rsidRPr="00A36E36" w:rsidRDefault="0039681A" w:rsidP="00AF5341">
      <w:pPr>
        <w:rPr>
          <w:rFonts w:ascii="Times New Roman" w:hAnsi="Times New Roman" w:cs="Times New Roman"/>
          <w:b/>
          <w:noProof/>
          <w:lang w:val="en-IE"/>
        </w:rPr>
      </w:pPr>
      <w:r w:rsidRPr="00A36E36">
        <w:rPr>
          <w:rFonts w:ascii="Times New Roman" w:hAnsi="Times New Roman" w:cs="Times New Roman"/>
          <w:b/>
          <w:noProof/>
          <w:lang w:val="en-IE"/>
        </w:rPr>
        <w:t>Investment 1.4 - European Rail Transport Management System (ERTMS)</w:t>
      </w:r>
    </w:p>
    <w:p w14:paraId="240819E3" w14:textId="26DE6713" w:rsidR="0039681A" w:rsidRPr="00A36E36" w:rsidRDefault="0039681A" w:rsidP="00351087">
      <w:pPr>
        <w:spacing w:before="120" w:after="120"/>
        <w:jc w:val="both"/>
        <w:rPr>
          <w:rFonts w:ascii="Times New Roman" w:hAnsi="Times New Roman" w:cs="Times New Roman"/>
          <w:noProof/>
          <w:lang w:val="en-IE"/>
        </w:rPr>
      </w:pPr>
      <w:r w:rsidRPr="59FFB1D6">
        <w:rPr>
          <w:rFonts w:ascii="Times New Roman" w:hAnsi="Times New Roman" w:cs="Times New Roman"/>
          <w:noProof/>
          <w:lang w:val="en-IE"/>
        </w:rPr>
        <w:t xml:space="preserve">The objective of this investment is to contribute to the adaptation of the Italian railway infrastructure to European interoperability standards. This investment consists in equipping 2 785 km of railway lines with the European Rail Transport Management System (ERTMS) at an infrastructural and/or technological level. </w:t>
      </w:r>
    </w:p>
    <w:p w14:paraId="65D5E4EA" w14:textId="65584C8E" w:rsidR="0039681A" w:rsidRPr="00A36E36" w:rsidRDefault="0039681A" w:rsidP="00351087">
      <w:pPr>
        <w:spacing w:before="120" w:after="120"/>
        <w:jc w:val="both"/>
        <w:rPr>
          <w:rFonts w:ascii="Times New Roman" w:hAnsi="Times New Roman" w:cs="Times New Roman"/>
          <w:b/>
          <w:bCs/>
          <w:noProof/>
          <w:lang w:val="en-IE"/>
        </w:rPr>
      </w:pPr>
      <w:r w:rsidRPr="278D3286">
        <w:rPr>
          <w:rFonts w:ascii="Times New Roman" w:hAnsi="Times New Roman" w:cs="Times New Roman"/>
          <w:b/>
          <w:bCs/>
          <w:noProof/>
          <w:lang w:val="en-IE"/>
        </w:rPr>
        <w:t xml:space="preserve">Investment 1.8 - Upgrading railway stations </w:t>
      </w:r>
    </w:p>
    <w:p w14:paraId="59BBE1D6" w14:textId="7FD8793F" w:rsidR="0039681A" w:rsidRPr="00A36E36" w:rsidRDefault="0039681A" w:rsidP="00351087">
      <w:pPr>
        <w:spacing w:before="120" w:after="120"/>
        <w:jc w:val="both"/>
        <w:rPr>
          <w:rFonts w:ascii="Times New Roman" w:hAnsi="Times New Roman" w:cs="Times New Roman"/>
          <w:noProof/>
          <w:lang w:val="en-IE"/>
        </w:rPr>
      </w:pPr>
      <w:r w:rsidRPr="041893CE">
        <w:rPr>
          <w:rFonts w:ascii="Times New Roman" w:hAnsi="Times New Roman" w:cs="Times New Roman"/>
          <w:noProof/>
          <w:lang w:val="en-IE"/>
        </w:rPr>
        <w:t>The objective of this investment is to make railway stations more accessible for persons with disabilities and persons with reduced mobility. This investment consists in upgrading</w:t>
      </w:r>
      <w:r w:rsidRPr="00AF5341">
        <w:rPr>
          <w:rFonts w:ascii="Times New Roman" w:hAnsi="Times New Roman" w:cs="Times New Roman"/>
          <w:noProof/>
          <w:lang w:val="en-IE"/>
        </w:rPr>
        <w:t xml:space="preserve"> </w:t>
      </w:r>
      <w:r w:rsidRPr="041893CE">
        <w:rPr>
          <w:rFonts w:ascii="Times New Roman" w:hAnsi="Times New Roman" w:cs="Times New Roman"/>
          <w:noProof/>
          <w:lang w:val="en-IE"/>
        </w:rPr>
        <w:t>73 railway stations.</w:t>
      </w:r>
    </w:p>
    <w:p w14:paraId="17D3C01D"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1.10 - Strengthening metropolitan nodes and regional railway lines</w:t>
      </w:r>
    </w:p>
    <w:p w14:paraId="317DC532"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ameliorate the quality of the Italian inter-regional, and regional railway lines. This investment consists in upgrading at least 3 309 km of railway lines, including 1 162 km in the South. Projects belonging to this measure may receive support from other European programmes. </w:t>
      </w:r>
    </w:p>
    <w:p w14:paraId="4102CC88"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Reform 2.1 - Adoption of “Guidelines for the classification and management of risks, the evaluation of security and the monitoring of existing bridges”</w:t>
      </w:r>
    </w:p>
    <w:p w14:paraId="236D4E2E"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reform consists in adopting guidelines for the classification and management of risks, the evaluation of security and the monitoring of existing bridges. The adoption of "Guidelines", which shall allow the application of common standards and methodologies on the entire national road network.</w:t>
      </w:r>
    </w:p>
    <w:p w14:paraId="335D0D35"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Reform 2.2 - Transfer the property of the bridges and viaducts from the lower level ranking roads to the higher ranking ones</w:t>
      </w:r>
    </w:p>
    <w:p w14:paraId="13D08392" w14:textId="77777777" w:rsidR="0039681A" w:rsidRPr="00A36E36" w:rsidRDefault="0039681A" w:rsidP="00351087">
      <w:pPr>
        <w:spacing w:before="120" w:after="120" w:line="300" w:lineRule="atLeast"/>
        <w:jc w:val="both"/>
        <w:rPr>
          <w:rFonts w:ascii="Times New Roman" w:hAnsi="Times New Roman" w:cs="Times New Roman"/>
          <w:noProof/>
          <w:lang w:val="en-IE"/>
        </w:rPr>
      </w:pPr>
      <w:r w:rsidRPr="00A36E36">
        <w:rPr>
          <w:rFonts w:ascii="Times New Roman" w:hAnsi="Times New Roman" w:cs="Times New Roman"/>
          <w:noProof/>
          <w:lang w:val="en-IE"/>
        </w:rPr>
        <w:t>This reform consists in the transfer of the ownership of the bridges, viaducts and overpasses from the lower type roads to the higher type roads (motorways and main suburban roads) allowing an increase in the overall safety of the road network, as the bridges, viaducts and overpasses shall be maintained by ANAS and/or the motorway concessionaires, who have better planning and maintenance capacities than the individual municipalities or provinces.</w:t>
      </w:r>
    </w:p>
    <w:p w14:paraId="41543F4C" w14:textId="77777777" w:rsidR="0039681A" w:rsidRPr="00A36E36" w:rsidRDefault="0039681A" w:rsidP="00351087">
      <w:pPr>
        <w:spacing w:before="120" w:after="120" w:line="300" w:lineRule="atLeast"/>
        <w:jc w:val="both"/>
        <w:rPr>
          <w:rFonts w:ascii="Times New Roman" w:hAnsi="Times New Roman" w:cs="Times New Roman"/>
          <w:noProof/>
          <w:lang w:val="en-IE"/>
        </w:rPr>
        <w:sectPr w:rsidR="0039681A" w:rsidRPr="00A36E36" w:rsidSect="00AF5341">
          <w:headerReference w:type="even" r:id="rId123"/>
          <w:headerReference w:type="default" r:id="rId124"/>
          <w:footerReference w:type="even" r:id="rId125"/>
          <w:footerReference w:type="default" r:id="rId126"/>
          <w:headerReference w:type="first" r:id="rId127"/>
          <w:footerReference w:type="first" r:id="rId128"/>
          <w:pgSz w:w="11906" w:h="16838"/>
          <w:pgMar w:top="1440" w:right="1440" w:bottom="1440" w:left="1440" w:header="708" w:footer="708" w:gutter="0"/>
          <w:cols w:space="708"/>
          <w:docGrid w:linePitch="360"/>
        </w:sectPr>
      </w:pPr>
    </w:p>
    <w:p w14:paraId="580D167B" w14:textId="77777777" w:rsidR="0039681A" w:rsidRDefault="0039681A" w:rsidP="00351087">
      <w:pPr>
        <w:pStyle w:val="Heading3"/>
        <w:ind w:left="850" w:hanging="850"/>
        <w:rPr>
          <w:rFonts w:ascii="Times New Roman" w:hAnsi="Times New Roman" w:cs="Times New Roman"/>
          <w:b/>
          <w:noProof/>
          <w:sz w:val="24"/>
          <w:szCs w:val="24"/>
          <w:u w:val="single"/>
          <w:lang w:val="en-IE"/>
        </w:rPr>
      </w:pPr>
      <w:r w:rsidRPr="00E02EF5">
        <w:rPr>
          <w:rFonts w:ascii="Times New Roman" w:hAnsi="Times New Roman" w:cs="Times New Roman"/>
          <w:b/>
          <w:noProof/>
          <w:sz w:val="24"/>
          <w:szCs w:val="24"/>
          <w:u w:val="single"/>
          <w:lang w:val="en-IE"/>
        </w:rPr>
        <w:t xml:space="preserve">H.4. </w:t>
      </w:r>
      <w:r w:rsidRPr="00E02EF5">
        <w:rPr>
          <w:rFonts w:ascii="Times New Roman" w:hAnsi="Times New Roman" w:cs="Times New Roman"/>
          <w:noProof/>
          <w:sz w:val="24"/>
          <w:szCs w:val="24"/>
          <w:lang w:val="en-IE"/>
        </w:rPr>
        <w:tab/>
      </w:r>
      <w:r w:rsidRPr="00E02EF5">
        <w:rPr>
          <w:rFonts w:ascii="Times New Roman" w:hAnsi="Times New Roman" w:cs="Times New Roman"/>
          <w:b/>
          <w:noProof/>
          <w:sz w:val="24"/>
          <w:szCs w:val="24"/>
          <w:u w:val="single"/>
          <w:lang w:val="en-IE"/>
        </w:rPr>
        <w:t>Milestones, targets, indicators, and timetable for monitoring and implementation for the loan</w:t>
      </w:r>
      <w:r w:rsidRPr="00A36E36">
        <w:rPr>
          <w:rFonts w:ascii="Times New Roman" w:hAnsi="Times New Roman" w:cs="Times New Roman"/>
          <w:b/>
          <w:noProof/>
          <w:sz w:val="24"/>
          <w:szCs w:val="24"/>
          <w:u w:val="single"/>
          <w:lang w:val="en-IE"/>
        </w:rPr>
        <w:t xml:space="preserve"> </w:t>
      </w:r>
    </w:p>
    <w:tbl>
      <w:tblPr>
        <w:tblW w:w="16444" w:type="dxa"/>
        <w:jc w:val="center"/>
        <w:tblLayout w:type="fixed"/>
        <w:tblLook w:val="04A0" w:firstRow="1" w:lastRow="0" w:firstColumn="1" w:lastColumn="0" w:noHBand="0" w:noVBand="1"/>
      </w:tblPr>
      <w:tblGrid>
        <w:gridCol w:w="1101"/>
        <w:gridCol w:w="1843"/>
        <w:gridCol w:w="1134"/>
        <w:gridCol w:w="1560"/>
        <w:gridCol w:w="1701"/>
        <w:gridCol w:w="992"/>
        <w:gridCol w:w="992"/>
        <w:gridCol w:w="851"/>
        <w:gridCol w:w="992"/>
        <w:gridCol w:w="709"/>
        <w:gridCol w:w="4569"/>
      </w:tblGrid>
      <w:tr w:rsidR="00957E8F" w:rsidRPr="00957E8F" w14:paraId="20248B05" w14:textId="77777777" w:rsidTr="00E66B74">
        <w:trPr>
          <w:trHeight w:val="313"/>
          <w:tblHeader/>
          <w:jc w:val="center"/>
        </w:trPr>
        <w:tc>
          <w:tcPr>
            <w:tcW w:w="11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C431F1" w14:textId="77777777" w:rsidR="00957E8F" w:rsidRPr="00957E8F" w:rsidRDefault="00957E8F" w:rsidP="00E66B74">
            <w:pPr>
              <w:spacing w:after="120" w:line="240" w:lineRule="auto"/>
              <w:jc w:val="center"/>
              <w:rPr>
                <w:rFonts w:ascii="Times New Roman" w:eastAsiaTheme="minorEastAsia"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Seq Number</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BCC044" w14:textId="77777777" w:rsidR="00957E8F" w:rsidRPr="00957E8F" w:rsidRDefault="00957E8F" w:rsidP="00E66B74">
            <w:pPr>
              <w:spacing w:after="120" w:line="240" w:lineRule="auto"/>
              <w:jc w:val="center"/>
              <w:rPr>
                <w:rFonts w:ascii="Times New Roman"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Related 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428E91E" w14:textId="77777777" w:rsidR="00957E8F" w:rsidRPr="00957E8F" w:rsidRDefault="00957E8F" w:rsidP="00E66B74">
            <w:pPr>
              <w:spacing w:after="120" w:line="240" w:lineRule="auto"/>
              <w:jc w:val="center"/>
              <w:rPr>
                <w:rFonts w:ascii="Times New Roman"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Milestone/ Target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83D37B" w14:textId="77777777" w:rsidR="00957E8F" w:rsidRPr="00957E8F" w:rsidRDefault="00957E8F" w:rsidP="00E66B74">
            <w:pPr>
              <w:spacing w:after="120" w:line="240" w:lineRule="auto"/>
              <w:jc w:val="center"/>
              <w:rPr>
                <w:rFonts w:ascii="Times New Roman"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54D645" w14:textId="77777777" w:rsidR="00957E8F" w:rsidRPr="00957E8F" w:rsidRDefault="00957E8F" w:rsidP="00E66B74">
            <w:pPr>
              <w:spacing w:after="120" w:line="240" w:lineRule="auto"/>
              <w:jc w:val="center"/>
              <w:rPr>
                <w:rFonts w:ascii="Times New Roman"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 xml:space="preserve">Qualitative indicators </w:t>
            </w:r>
            <w:r w:rsidRPr="00957E8F">
              <w:rPr>
                <w:rFonts w:ascii="Times New Roman" w:eastAsiaTheme="minorEastAsia" w:hAnsi="Times New Roman" w:cs="Times New Roman"/>
                <w:noProof/>
                <w:kern w:val="0"/>
                <w:sz w:val="18"/>
                <w:lang w:val="en-GB"/>
              </w:rPr>
              <w:br/>
            </w:r>
            <w:r w:rsidRPr="00957E8F">
              <w:rPr>
                <w:rFonts w:ascii="Times New Roman" w:eastAsiaTheme="minorEastAsia" w:hAnsi="Times New Roman" w:cs="Times New Roman"/>
                <w:b/>
                <w:noProof/>
                <w:kern w:val="0"/>
                <w:sz w:val="18"/>
                <w:lang w:val="en-GB"/>
              </w:rPr>
              <w:t>(for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DAD04F0" w14:textId="77777777" w:rsidR="00957E8F" w:rsidRPr="00957E8F" w:rsidRDefault="00957E8F" w:rsidP="00E66B74">
            <w:pPr>
              <w:spacing w:after="120" w:line="240" w:lineRule="auto"/>
              <w:jc w:val="center"/>
              <w:rPr>
                <w:rFonts w:ascii="Times New Roman"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 xml:space="preserve">Quantitative indicators </w:t>
            </w:r>
            <w:r w:rsidRPr="00957E8F">
              <w:rPr>
                <w:rFonts w:ascii="Times New Roman" w:eastAsiaTheme="minorEastAsia" w:hAnsi="Times New Roman" w:cs="Times New Roman"/>
                <w:noProof/>
                <w:kern w:val="0"/>
                <w:sz w:val="18"/>
                <w:lang w:val="en-GB"/>
              </w:rPr>
              <w:br/>
            </w:r>
            <w:r w:rsidRPr="00957E8F">
              <w:rPr>
                <w:rFonts w:ascii="Times New Roman" w:eastAsiaTheme="minorEastAsia" w:hAnsi="Times New Roman" w:cs="Times New Roman"/>
                <w:b/>
                <w:noProof/>
                <w:kern w:val="0"/>
                <w:sz w:val="18"/>
                <w:lang w:val="en-GB"/>
              </w:rPr>
              <w:t>(for targets)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31A33166" w14:textId="77777777" w:rsidR="00957E8F" w:rsidRPr="00957E8F" w:rsidRDefault="00957E8F" w:rsidP="00E66B74">
            <w:pPr>
              <w:spacing w:after="120" w:line="240" w:lineRule="auto"/>
              <w:jc w:val="center"/>
              <w:rPr>
                <w:rFonts w:ascii="Times New Roman"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 xml:space="preserve">Indicative timeline for completion </w:t>
            </w:r>
            <w:r w:rsidRPr="00957E8F">
              <w:rPr>
                <w:rFonts w:ascii="Times New Roman" w:eastAsiaTheme="minorEastAsia" w:hAnsi="Times New Roman" w:cs="Times New Roman"/>
                <w:noProof/>
                <w:kern w:val="0"/>
                <w:sz w:val="18"/>
                <w:lang w:val="en-GB"/>
              </w:rPr>
              <w:br/>
            </w:r>
          </w:p>
        </w:tc>
        <w:tc>
          <w:tcPr>
            <w:tcW w:w="45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AAD119" w14:textId="77777777" w:rsidR="00957E8F" w:rsidRPr="00957E8F" w:rsidRDefault="00957E8F" w:rsidP="00E66B74">
            <w:pPr>
              <w:spacing w:after="120" w:line="240" w:lineRule="auto"/>
              <w:jc w:val="center"/>
              <w:rPr>
                <w:rFonts w:ascii="Times New Roman"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Description of each milestone and target</w:t>
            </w:r>
          </w:p>
        </w:tc>
      </w:tr>
      <w:tr w:rsidR="00957E8F" w:rsidRPr="00957E8F" w14:paraId="27C356EC" w14:textId="77777777" w:rsidTr="00E66B74">
        <w:trPr>
          <w:trHeight w:val="491"/>
          <w:tblHeader/>
          <w:jc w:val="center"/>
        </w:trPr>
        <w:tc>
          <w:tcPr>
            <w:tcW w:w="1101" w:type="dxa"/>
            <w:vMerge/>
            <w:tcBorders>
              <w:top w:val="single" w:sz="4" w:space="0" w:color="auto"/>
              <w:left w:val="single" w:sz="4" w:space="0" w:color="auto"/>
              <w:bottom w:val="single" w:sz="4" w:space="0" w:color="auto"/>
              <w:right w:val="single" w:sz="4" w:space="0" w:color="auto"/>
            </w:tcBorders>
            <w:vAlign w:val="center"/>
            <w:hideMark/>
          </w:tcPr>
          <w:p w14:paraId="34F5F79D" w14:textId="77777777" w:rsidR="00957E8F" w:rsidRPr="00957E8F" w:rsidRDefault="00957E8F" w:rsidP="00E66B74">
            <w:pPr>
              <w:spacing w:after="120" w:line="240" w:lineRule="auto"/>
              <w:rPr>
                <w:rFonts w:ascii="Times New Roman" w:eastAsiaTheme="minorEastAsia" w:hAnsi="Times New Roman" w:cs="Times New Roman"/>
                <w:b/>
                <w:noProof/>
                <w:kern w:val="0"/>
                <w:sz w:val="18"/>
                <w:lang w:val="en-GB"/>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B290FBC" w14:textId="77777777" w:rsidR="00957E8F" w:rsidRPr="00957E8F" w:rsidRDefault="00957E8F" w:rsidP="00E66B74">
            <w:pPr>
              <w:spacing w:after="120" w:line="240" w:lineRule="auto"/>
              <w:rPr>
                <w:rFonts w:ascii="Times New Roman" w:eastAsiaTheme="minorEastAsia" w:hAnsi="Times New Roman" w:cs="Times New Roman"/>
                <w:b/>
                <w:noProof/>
                <w:kern w:val="0"/>
                <w:sz w:val="18"/>
                <w:lang w:val="en-GB"/>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14D86FF" w14:textId="77777777" w:rsidR="00957E8F" w:rsidRPr="00957E8F" w:rsidRDefault="00957E8F" w:rsidP="00E66B74">
            <w:pPr>
              <w:spacing w:after="120" w:line="240" w:lineRule="auto"/>
              <w:rPr>
                <w:rFonts w:ascii="Times New Roman" w:eastAsiaTheme="minorEastAsia" w:hAnsi="Times New Roman" w:cs="Times New Roman"/>
                <w:b/>
                <w:noProof/>
                <w:kern w:val="0"/>
                <w:sz w:val="18"/>
                <w:lang w:val="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640CD77" w14:textId="77777777" w:rsidR="00957E8F" w:rsidRPr="00957E8F" w:rsidRDefault="00957E8F" w:rsidP="00E66B74">
            <w:pPr>
              <w:spacing w:after="120" w:line="240" w:lineRule="auto"/>
              <w:rPr>
                <w:rFonts w:ascii="Times New Roman" w:eastAsiaTheme="minorEastAsia" w:hAnsi="Times New Roman" w:cs="Times New Roman"/>
                <w:b/>
                <w:noProof/>
                <w:kern w:val="0"/>
                <w:sz w:val="18"/>
                <w:lang w:val="en-GB"/>
              </w:rPr>
            </w:pPr>
          </w:p>
        </w:tc>
        <w:tc>
          <w:tcPr>
            <w:tcW w:w="1701" w:type="dxa"/>
            <w:vMerge/>
            <w:tcBorders>
              <w:top w:val="single" w:sz="4" w:space="0" w:color="auto"/>
              <w:left w:val="single" w:sz="4" w:space="0" w:color="auto"/>
              <w:bottom w:val="single" w:sz="4" w:space="0" w:color="auto"/>
            </w:tcBorders>
            <w:vAlign w:val="center"/>
            <w:hideMark/>
          </w:tcPr>
          <w:p w14:paraId="1F170621" w14:textId="77777777" w:rsidR="00957E8F" w:rsidRPr="00957E8F" w:rsidRDefault="00957E8F" w:rsidP="00E66B74">
            <w:pPr>
              <w:spacing w:after="120" w:line="240" w:lineRule="auto"/>
              <w:rPr>
                <w:rFonts w:ascii="Times New Roman" w:eastAsiaTheme="minorEastAsia" w:hAnsi="Times New Roman" w:cs="Times New Roman"/>
                <w:b/>
                <w:noProof/>
                <w:kern w:val="0"/>
                <w:sz w:val="18"/>
                <w:lang w:val="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152E6CB" w14:textId="77777777" w:rsidR="00957E8F" w:rsidRPr="00957E8F" w:rsidRDefault="00957E8F" w:rsidP="00E66B74">
            <w:pPr>
              <w:spacing w:after="120" w:line="240" w:lineRule="auto"/>
              <w:jc w:val="center"/>
              <w:rPr>
                <w:rFonts w:ascii="Times New Roman"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Unit of measure</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746CEC89" w14:textId="77777777" w:rsidR="00957E8F" w:rsidRPr="00957E8F" w:rsidRDefault="00957E8F" w:rsidP="00E66B74">
            <w:pPr>
              <w:spacing w:after="120" w:line="240" w:lineRule="auto"/>
              <w:jc w:val="center"/>
              <w:rPr>
                <w:rFonts w:ascii="Times New Roman"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 xml:space="preserve">Baseline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11BB281A" w14:textId="77777777" w:rsidR="00957E8F" w:rsidRPr="00957E8F" w:rsidRDefault="00957E8F" w:rsidP="00E66B74">
            <w:pPr>
              <w:spacing w:after="120" w:line="240" w:lineRule="auto"/>
              <w:jc w:val="center"/>
              <w:rPr>
                <w:rFonts w:ascii="Times New Roman"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 xml:space="preserve">Goal </w:t>
            </w:r>
          </w:p>
        </w:tc>
        <w:tc>
          <w:tcPr>
            <w:tcW w:w="992" w:type="dxa"/>
            <w:tcBorders>
              <w:top w:val="single" w:sz="4" w:space="0" w:color="auto"/>
              <w:left w:val="nil"/>
              <w:bottom w:val="single" w:sz="4" w:space="0" w:color="auto"/>
              <w:right w:val="single" w:sz="4" w:space="0" w:color="auto"/>
            </w:tcBorders>
            <w:shd w:val="clear" w:color="auto" w:fill="BDD7EE"/>
            <w:vAlign w:val="center"/>
            <w:hideMark/>
          </w:tcPr>
          <w:p w14:paraId="53FE2950" w14:textId="77777777" w:rsidR="00957E8F" w:rsidRPr="00957E8F" w:rsidRDefault="00957E8F" w:rsidP="00E66B74">
            <w:pPr>
              <w:spacing w:after="120" w:line="240" w:lineRule="auto"/>
              <w:jc w:val="center"/>
              <w:rPr>
                <w:rFonts w:ascii="Times New Roman"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Quarter</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5883C0EC" w14:textId="77777777" w:rsidR="00957E8F" w:rsidRPr="00957E8F" w:rsidRDefault="00957E8F" w:rsidP="00E66B74">
            <w:pPr>
              <w:spacing w:after="120" w:line="240" w:lineRule="auto"/>
              <w:jc w:val="center"/>
              <w:rPr>
                <w:rFonts w:ascii="Times New Roman" w:hAnsi="Times New Roman" w:cs="Times New Roman"/>
                <w:b/>
                <w:noProof/>
                <w:kern w:val="0"/>
                <w:sz w:val="18"/>
                <w:lang w:val="en-GB"/>
              </w:rPr>
            </w:pPr>
            <w:r w:rsidRPr="00957E8F">
              <w:rPr>
                <w:rFonts w:ascii="Times New Roman" w:eastAsiaTheme="minorEastAsia" w:hAnsi="Times New Roman" w:cs="Times New Roman"/>
                <w:b/>
                <w:noProof/>
                <w:kern w:val="0"/>
                <w:sz w:val="18"/>
                <w:lang w:val="en-GB"/>
              </w:rPr>
              <w:t>Year</w:t>
            </w:r>
          </w:p>
        </w:tc>
        <w:tc>
          <w:tcPr>
            <w:tcW w:w="4569" w:type="dxa"/>
            <w:vMerge/>
            <w:tcBorders>
              <w:top w:val="single" w:sz="4" w:space="0" w:color="auto"/>
              <w:bottom w:val="single" w:sz="4" w:space="0" w:color="auto"/>
              <w:right w:val="single" w:sz="4" w:space="0" w:color="auto"/>
            </w:tcBorders>
            <w:vAlign w:val="center"/>
            <w:hideMark/>
          </w:tcPr>
          <w:p w14:paraId="518CF5ED" w14:textId="77777777" w:rsidR="00957E8F" w:rsidRPr="00957E8F" w:rsidRDefault="00957E8F" w:rsidP="00E66B74">
            <w:pPr>
              <w:spacing w:after="120" w:line="240" w:lineRule="auto"/>
              <w:rPr>
                <w:rFonts w:ascii="Times New Roman" w:eastAsiaTheme="minorEastAsia" w:hAnsi="Times New Roman" w:cs="Times New Roman"/>
                <w:b/>
                <w:noProof/>
                <w:kern w:val="0"/>
                <w:sz w:val="18"/>
                <w:lang w:val="en-GB"/>
              </w:rPr>
            </w:pPr>
          </w:p>
        </w:tc>
      </w:tr>
      <w:tr w:rsidR="00957E8F" w:rsidRPr="00957E8F" w14:paraId="64893CD5"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0BEA5CB3"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M3C1-1</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38F30503"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Reform 1.1 - Acceleration of the approval process of the Contract between the MIT and RFI</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5E141097"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Milestone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2CD5C27"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Entry into force of a legislative amendment on the approval process of the Contratti di Programma (CdP)</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5B552234"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Provision in the law indicating the entry into force of the legislative amendment on the approval process of Contratti di Programma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C0DFD27"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FB5C052"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851" w:type="dxa"/>
            <w:tcBorders>
              <w:top w:val="single" w:sz="4" w:space="0" w:color="auto"/>
              <w:left w:val="nil"/>
              <w:bottom w:val="single" w:sz="4" w:space="0" w:color="auto"/>
              <w:right w:val="single" w:sz="4" w:space="0" w:color="auto"/>
            </w:tcBorders>
            <w:shd w:val="clear" w:color="auto" w:fill="C6EFCE"/>
            <w:vAlign w:val="center"/>
          </w:tcPr>
          <w:p w14:paraId="2A9FED12"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45698F0"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19362162"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2021</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CAB592F" w14:textId="77777777" w:rsidR="00957E8F" w:rsidRPr="00957E8F"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 xml:space="preserve">The legislative amendment shall reduce the time for the approval process of the Contratti di Programma (CdP) of the railway infrastructure manager </w:t>
            </w:r>
            <w:r w:rsidRPr="00957E8F">
              <w:rPr>
                <w:rFonts w:ascii="Arial Narrow" w:eastAsiaTheme="minorEastAsia" w:hAnsi="Arial Narrow"/>
                <w:i/>
                <w:noProof/>
                <w:color w:val="006100"/>
                <w:kern w:val="0"/>
                <w:sz w:val="20"/>
                <w:lang w:val="en-IE"/>
              </w:rPr>
              <w:t>Rete Ferroviaria Italiana</w:t>
            </w:r>
          </w:p>
        </w:tc>
      </w:tr>
      <w:tr w:rsidR="00957E8F" w:rsidRPr="00957E8F" w14:paraId="5EC1A405"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7FEFB2A2"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M3C1-2</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9A4E957"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Reform 1.2 - Acceleration of the authorization process of projects</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36986514"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Milestone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F6A8C22"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Entry into force of a regulatory change that reduces the authorisation time of projects from 11 to six months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058E9BFE"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Provision in the law indicating the entry into force of the regulatory change that reduces the authorisation time from 11 to six months.</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B03161F"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0747B9A"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FB6A2B5"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C8CB27A"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CA7B90D"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2021</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973138B" w14:textId="77777777" w:rsidR="00957E8F" w:rsidRPr="00957E8F"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The regulatory change shall reduce the authorisation time of projects from 11 to six months</w:t>
            </w:r>
          </w:p>
        </w:tc>
      </w:tr>
      <w:tr w:rsidR="00957E8F" w:rsidRPr="00957E8F" w14:paraId="40000EC5"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45BE3C91"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M3C1-3</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E265DF8"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Investment 1.1 - High-speed railway connections to the South for passengers and freight</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10EFBE06"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Milestone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5859B83B"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Award of the contract (s) to build high-speed railway in the lines Napoli-Bari, and Palermo-Catania</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04FD974A"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Notification of the award of all public contracts to build high-speed railway in the lines Napoli-Bari and Palermo-Catania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FA19BEC"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5E75C64"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851" w:type="dxa"/>
            <w:tcBorders>
              <w:top w:val="single" w:sz="4" w:space="0" w:color="auto"/>
              <w:left w:val="nil"/>
              <w:bottom w:val="single" w:sz="4" w:space="0" w:color="auto"/>
              <w:right w:val="single" w:sz="4" w:space="0" w:color="auto"/>
            </w:tcBorders>
            <w:shd w:val="clear" w:color="auto" w:fill="C6EFCE"/>
            <w:vAlign w:val="center"/>
          </w:tcPr>
          <w:p w14:paraId="57D02FE2"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8C9DCD9"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32A5251"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2022</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9A4ACF7" w14:textId="77777777" w:rsidR="00957E8F" w:rsidRPr="00957E8F" w:rsidRDefault="00957E8F" w:rsidP="00E66B74">
            <w:pPr>
              <w:spacing w:before="120" w:after="120"/>
              <w:rPr>
                <w:rFonts w:ascii="Arial Narrow" w:eastAsiaTheme="minorEastAsia" w:hAnsi="Arial Narrow"/>
                <w:noProof/>
                <w:color w:val="006100"/>
                <w:kern w:val="0"/>
                <w:sz w:val="20"/>
                <w:szCs w:val="20"/>
                <w:lang w:val="en-IE"/>
              </w:rPr>
            </w:pPr>
            <w:r w:rsidRPr="00957E8F">
              <w:rPr>
                <w:rFonts w:ascii="Arial Narrow" w:eastAsiaTheme="minorEastAsia" w:hAnsi="Arial Narrow"/>
                <w:noProof/>
                <w:color w:val="006100"/>
                <w:kern w:val="0"/>
                <w:sz w:val="20"/>
                <w:lang w:val="en-IE"/>
              </w:rPr>
              <w:t>Notification of the award of all public contracts to build high-speed railway in the lines Napoli-Bari, and Palermo-Catania in full compliance with the public procurement rules</w:t>
            </w:r>
          </w:p>
          <w:p w14:paraId="2D8C5AC5" w14:textId="77777777" w:rsidR="00957E8F" w:rsidRPr="00957E8F" w:rsidRDefault="00957E8F" w:rsidP="00E66B74">
            <w:pPr>
              <w:spacing w:before="120" w:after="120"/>
              <w:rPr>
                <w:rFonts w:ascii="Arial Narrow" w:eastAsiaTheme="minorEastAsia" w:hAnsi="Arial Narrow"/>
                <w:noProof/>
                <w:color w:val="006100"/>
                <w:kern w:val="0"/>
                <w:sz w:val="20"/>
                <w:szCs w:val="20"/>
                <w:lang w:val="en-IE"/>
              </w:rPr>
            </w:pPr>
            <w:r w:rsidRPr="00957E8F">
              <w:rPr>
                <w:rFonts w:ascii="Arial Narrow" w:eastAsiaTheme="minorEastAsia" w:hAnsi="Arial Narrow"/>
                <w:noProof/>
                <w:color w:val="006100"/>
                <w:kern w:val="0"/>
                <w:sz w:val="20"/>
                <w:lang w:val="en-IE"/>
              </w:rPr>
              <w:t>The contract (s) shall refer to the following parts of those lines:</w:t>
            </w:r>
          </w:p>
          <w:p w14:paraId="7C8305A3" w14:textId="77777777" w:rsidR="00957E8F" w:rsidRPr="00957E8F" w:rsidRDefault="00957E8F" w:rsidP="00E66B74">
            <w:pPr>
              <w:spacing w:before="120" w:after="120"/>
              <w:rPr>
                <w:rFonts w:ascii="Arial Narrow" w:eastAsiaTheme="minorEastAsia" w:hAnsi="Arial Narrow"/>
                <w:noProof/>
                <w:color w:val="006100"/>
                <w:kern w:val="0"/>
                <w:sz w:val="20"/>
                <w:szCs w:val="20"/>
                <w:lang w:val="it-IT"/>
              </w:rPr>
            </w:pPr>
            <w:r w:rsidRPr="00957E8F">
              <w:rPr>
                <w:rFonts w:ascii="Arial Narrow" w:eastAsiaTheme="minorEastAsia" w:hAnsi="Arial Narrow"/>
                <w:noProof/>
                <w:color w:val="006100"/>
                <w:kern w:val="0"/>
                <w:sz w:val="20"/>
                <w:lang w:val="it-IT"/>
              </w:rPr>
              <w:t>Napoli-Bari line: Orsara- Bovino</w:t>
            </w:r>
          </w:p>
          <w:p w14:paraId="497C48C2" w14:textId="77777777" w:rsidR="00957E8F" w:rsidRPr="003E08AD"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it-IT"/>
              </w:rPr>
            </w:pPr>
            <w:r w:rsidRPr="00957E8F">
              <w:rPr>
                <w:rFonts w:ascii="Arial Narrow" w:eastAsiaTheme="minorEastAsia" w:hAnsi="Arial Narrow"/>
                <w:noProof/>
                <w:color w:val="006100"/>
                <w:kern w:val="0"/>
                <w:sz w:val="20"/>
                <w:lang w:val="it-IT"/>
              </w:rPr>
              <w:t>Palermo-Catania line: Catenanuova - Dittaino and Dittaino – Enna</w:t>
            </w:r>
          </w:p>
        </w:tc>
      </w:tr>
      <w:tr w:rsidR="00957E8F" w:rsidRPr="00957E8F" w14:paraId="734A21AF"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5D4382AB"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M3C1-4</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01F8B191"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Investment 1.1 - High-speed railway connections to the South for passengers and freight</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3CC0BA2E"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Milestone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8B33A86"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Award of the contract to build high-speed railway in the lines Salerno Reggio Calabria</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1ED8FFEC"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 xml:space="preserve">Notification of the award </w:t>
            </w:r>
            <w:r w:rsidRPr="00957E8F">
              <w:rPr>
                <w:rFonts w:ascii="Arial Narrow" w:eastAsiaTheme="minorEastAsia" w:hAnsi="Arial Narrow"/>
                <w:noProof/>
                <w:kern w:val="0"/>
                <w:sz w:val="20"/>
                <w:lang w:val="en-IE"/>
              </w:rPr>
              <w:t>of</w:t>
            </w:r>
            <w:r w:rsidRPr="00957E8F">
              <w:rPr>
                <w:rFonts w:ascii="Arial Narrow" w:eastAsiaTheme="minorEastAsia" w:hAnsi="Arial Narrow"/>
                <w:noProof/>
                <w:color w:val="006100"/>
                <w:kern w:val="0"/>
                <w:sz w:val="20"/>
                <w:lang w:val="en-IE"/>
              </w:rPr>
              <w:t xml:space="preserve"> the multidisciplinary contract to build high-speed railway in the line Salerno-Reggio Calabria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5DEC107"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D9FD72C"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851" w:type="dxa"/>
            <w:tcBorders>
              <w:top w:val="single" w:sz="4" w:space="0" w:color="auto"/>
              <w:left w:val="nil"/>
              <w:bottom w:val="single" w:sz="4" w:space="0" w:color="auto"/>
              <w:right w:val="single" w:sz="4" w:space="0" w:color="auto"/>
            </w:tcBorders>
            <w:shd w:val="clear" w:color="auto" w:fill="C6EFCE"/>
            <w:vAlign w:val="center"/>
          </w:tcPr>
          <w:p w14:paraId="080EA494"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4CC8354"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4D704E2"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2023</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67E323FF" w14:textId="77777777" w:rsidR="00957E8F" w:rsidRPr="00957E8F" w:rsidRDefault="00957E8F" w:rsidP="00E66B74">
            <w:pPr>
              <w:spacing w:before="120" w:after="120"/>
              <w:rPr>
                <w:rFonts w:ascii="Arial Narrow" w:eastAsiaTheme="minorEastAsia" w:hAnsi="Arial Narrow"/>
                <w:noProof/>
                <w:color w:val="006100"/>
                <w:kern w:val="0"/>
                <w:sz w:val="20"/>
                <w:szCs w:val="20"/>
                <w:lang w:val="en-IE"/>
              </w:rPr>
            </w:pPr>
            <w:r w:rsidRPr="00957E8F">
              <w:rPr>
                <w:rFonts w:ascii="Arial Narrow" w:eastAsiaTheme="minorEastAsia" w:hAnsi="Arial Narrow"/>
                <w:noProof/>
                <w:color w:val="006100"/>
                <w:kern w:val="0"/>
                <w:sz w:val="20"/>
                <w:lang w:val="en-IE"/>
              </w:rPr>
              <w:t>Notification of the award of the multidisciplinary contract to build high-speed railway in the line Salerno Reggio Calabria.</w:t>
            </w:r>
          </w:p>
          <w:p w14:paraId="0FE8DBEF" w14:textId="77777777" w:rsidR="00957E8F" w:rsidRPr="00957E8F"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The contract shall refer to the following parts of this line: Battipaglia - Romagnano</w:t>
            </w:r>
          </w:p>
        </w:tc>
      </w:tr>
      <w:tr w:rsidR="00957E8F" w:rsidRPr="00957E8F" w14:paraId="21979F57"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7DFB29CF"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szCs w:val="20"/>
                <w:lang w:val="en-GB"/>
              </w:rPr>
              <w:t>M3C1-6</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77FF87D"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szCs w:val="20"/>
                <w:lang w:val="en-IE"/>
              </w:rPr>
              <w:t xml:space="preserve">Investment 1.1 - High-speed railway lines in the Centre and South </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736CAAD9"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Target</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2AE34610" w14:textId="77777777" w:rsidR="00957E8F" w:rsidRPr="003E08AD" w:rsidRDefault="00957E8F" w:rsidP="00E66B74">
            <w:pPr>
              <w:spacing w:after="120" w:line="240" w:lineRule="auto"/>
              <w:rPr>
                <w:rFonts w:ascii="Times New Roman" w:eastAsiaTheme="minorEastAsia" w:hAnsi="Times New Roman" w:cs="Times New Roman"/>
                <w:noProof/>
                <w:kern w:val="0"/>
                <w:sz w:val="18"/>
                <w:szCs w:val="18"/>
                <w:lang w:val="it-IT"/>
              </w:rPr>
            </w:pPr>
            <w:r w:rsidRPr="00957E8F">
              <w:rPr>
                <w:rFonts w:ascii="Arial Narrow" w:eastAsiaTheme="minorEastAsia" w:hAnsi="Arial Narrow"/>
                <w:noProof/>
                <w:color w:val="006100"/>
                <w:kern w:val="0"/>
                <w:sz w:val="20"/>
                <w:lang w:val="it-IT"/>
              </w:rPr>
              <w:t>High-speed rail in the lines Napoli-Bari, Salerno-Reggio Calabria, Palermo-Catania,</w:t>
            </w:r>
            <w:r w:rsidRPr="00957E8F">
              <w:rPr>
                <w:rFonts w:ascii="Arial Narrow" w:eastAsiaTheme="minorEastAsia" w:hAnsi="Arial Narrow"/>
                <w:noProof/>
                <w:color w:val="006100"/>
                <w:kern w:val="0"/>
                <w:sz w:val="20"/>
                <w:lang w:val="it-IT"/>
              </w:rPr>
              <w:br/>
              <w:t>Orte-Falconara</w:t>
            </w:r>
            <w:r w:rsidRPr="00957E8F">
              <w:rPr>
                <w:rFonts w:ascii="Arial Narrow" w:eastAsiaTheme="minorEastAsia" w:hAnsi="Arial Narrow"/>
                <w:noProof/>
                <w:color w:val="006100"/>
                <w:kern w:val="0"/>
                <w:sz w:val="20"/>
                <w:lang w:val="it-IT"/>
              </w:rPr>
              <w:br/>
              <w:t>Taranto-Metaponto-Potenza-Battipaglia.</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6C0397C5"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0E2571A"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Number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6346812"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03895C66"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97.5</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7AA7112"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0C0AC55"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AA02F31" w14:textId="77777777" w:rsidR="00957E8F" w:rsidRPr="00957E8F" w:rsidRDefault="00957E8F" w:rsidP="00E66B74">
            <w:pPr>
              <w:spacing w:before="120" w:after="0"/>
              <w:rPr>
                <w:rFonts w:ascii="Arial Narrow" w:eastAsiaTheme="minorEastAsia" w:hAnsi="Arial Narrow"/>
                <w:noProof/>
                <w:color w:val="006100"/>
                <w:kern w:val="0"/>
                <w:sz w:val="20"/>
                <w:lang w:val="en-IE"/>
              </w:rPr>
            </w:pPr>
            <w:r w:rsidRPr="00957E8F">
              <w:rPr>
                <w:rFonts w:ascii="Arial Narrow" w:eastAsiaTheme="minorEastAsia" w:hAnsi="Arial Narrow"/>
                <w:noProof/>
                <w:color w:val="006100"/>
                <w:kern w:val="0"/>
                <w:sz w:val="20"/>
                <w:lang w:val="en-IE"/>
              </w:rPr>
              <w:t>Certificates confirming the</w:t>
            </w:r>
            <w:r w:rsidRPr="00957E8F">
              <w:rPr>
                <w:rFonts w:ascii="Arial Narrow" w:eastAsiaTheme="minorEastAsia" w:hAnsi="Arial Narrow"/>
                <w:i/>
                <w:iCs/>
                <w:noProof/>
                <w:color w:val="006100"/>
                <w:kern w:val="0"/>
                <w:sz w:val="20"/>
                <w:lang w:val="en-IE"/>
              </w:rPr>
              <w:t xml:space="preserve"> </w:t>
            </w:r>
            <w:r w:rsidRPr="00957E8F">
              <w:rPr>
                <w:rFonts w:ascii="Arial Narrow" w:eastAsiaTheme="minorEastAsia" w:hAnsi="Arial Narrow"/>
                <w:noProof/>
                <w:color w:val="006100"/>
                <w:kern w:val="0"/>
                <w:sz w:val="20"/>
                <w:lang w:val="en-IE"/>
              </w:rPr>
              <w:t>completion of works for the construction of 67.5 km of high-speed rail.</w:t>
            </w:r>
          </w:p>
          <w:p w14:paraId="5E3F3D72" w14:textId="77777777" w:rsidR="00957E8F" w:rsidRPr="00957E8F" w:rsidRDefault="00957E8F" w:rsidP="00E66B74">
            <w:pPr>
              <w:spacing w:before="120" w:after="0"/>
              <w:rPr>
                <w:rFonts w:ascii="Arial Narrow" w:eastAsiaTheme="minorEastAsia" w:hAnsi="Arial Narrow"/>
                <w:noProof/>
                <w:color w:val="006100"/>
                <w:kern w:val="0"/>
                <w:sz w:val="20"/>
                <w:lang w:val="en-IE"/>
              </w:rPr>
            </w:pPr>
            <w:r w:rsidRPr="00957E8F">
              <w:rPr>
                <w:rFonts w:ascii="Arial Narrow" w:eastAsiaTheme="minorEastAsia" w:hAnsi="Arial Narrow"/>
                <w:noProof/>
                <w:color w:val="006100"/>
                <w:kern w:val="0"/>
                <w:sz w:val="20"/>
                <w:lang w:val="en-IE"/>
              </w:rPr>
              <w:t>For railway lots Bicocca-Catenanuova (Palermo-Catania line), Cancello-Frasso (Napoli-Bari line) and Napoli-Cancello (Napoli-Bari line), only kilometres for which works have been carried out after 30 September 2023, according to the WBS methodology shall be considered.</w:t>
            </w:r>
          </w:p>
          <w:p w14:paraId="3B2525AA" w14:textId="77777777" w:rsidR="00957E8F" w:rsidRPr="00957E8F" w:rsidRDefault="00957E8F" w:rsidP="00E66B74">
            <w:pPr>
              <w:spacing w:before="120" w:after="0"/>
              <w:rPr>
                <w:rFonts w:ascii="Arial Narrow" w:eastAsiaTheme="minorEastAsia" w:hAnsi="Arial Narrow"/>
                <w:noProof/>
                <w:color w:val="006100"/>
                <w:kern w:val="0"/>
                <w:sz w:val="20"/>
                <w:lang w:val="en-IE"/>
              </w:rPr>
            </w:pPr>
            <w:r w:rsidRPr="00957E8F">
              <w:rPr>
                <w:rFonts w:ascii="Arial Narrow" w:eastAsiaTheme="minorEastAsia" w:hAnsi="Arial Narrow"/>
                <w:noProof/>
                <w:color w:val="006100"/>
                <w:kern w:val="0"/>
                <w:sz w:val="20"/>
                <w:lang w:val="en-IE"/>
              </w:rPr>
              <w:t>Certificates confirming that, according to the WBS methodology, additional 30 km of civil works have reached 100% of work progress.</w:t>
            </w:r>
          </w:p>
          <w:p w14:paraId="1B22D023" w14:textId="77777777" w:rsidR="00957E8F" w:rsidRPr="00957E8F"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The assessment and authorisation of each relevant project/investment shall respect all the rules and procedures set in Articles 6.3 and 6.4 of the EU Directive 92/43/CEE and follow the national guidelines for Impact Assessment published in the Official Gazzette of the Italian Republic N°303 of 28 December 2019.</w:t>
            </w:r>
          </w:p>
        </w:tc>
      </w:tr>
      <w:tr w:rsidR="00957E8F" w:rsidRPr="00957E8F" w14:paraId="22B2C7D3"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50C8912A"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szCs w:val="20"/>
                <w:lang w:val="en-GB"/>
              </w:rPr>
              <w:t>M3C1-9</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3975D9D1"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 xml:space="preserve">Investment 1.2 - High-speed lines in the North </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7931ED6E"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Target</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B6E923F"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High-speed rail in the lines Brescia-Verona-Vicenza-Padova; Liguria-Alpi.</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2BED22FA"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3638B1D"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Number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CDCBD83"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B5F2C99"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137.5</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D3EB38A"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97A7352"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9A707DA" w14:textId="77777777" w:rsidR="00957E8F" w:rsidRPr="00957E8F" w:rsidRDefault="00957E8F" w:rsidP="00E66B74">
            <w:pPr>
              <w:spacing w:before="120" w:after="0"/>
              <w:rPr>
                <w:rFonts w:ascii="Arial Narrow" w:eastAsiaTheme="minorEastAsia" w:hAnsi="Arial Narrow"/>
                <w:noProof/>
                <w:color w:val="006100"/>
                <w:kern w:val="0"/>
                <w:sz w:val="20"/>
                <w:lang w:val="en-IE"/>
              </w:rPr>
            </w:pPr>
            <w:r w:rsidRPr="00957E8F">
              <w:rPr>
                <w:rFonts w:ascii="Arial Narrow" w:eastAsiaTheme="minorEastAsia" w:hAnsi="Arial Narrow"/>
                <w:noProof/>
                <w:color w:val="006100"/>
                <w:kern w:val="0"/>
                <w:sz w:val="20"/>
                <w:lang w:val="en-IE"/>
              </w:rPr>
              <w:t>Certificates confirming the</w:t>
            </w:r>
            <w:r w:rsidRPr="00957E8F">
              <w:rPr>
                <w:rFonts w:ascii="Arial Narrow" w:eastAsiaTheme="minorEastAsia" w:hAnsi="Arial Narrow"/>
                <w:i/>
                <w:iCs/>
                <w:noProof/>
                <w:color w:val="006100"/>
                <w:kern w:val="0"/>
                <w:sz w:val="20"/>
                <w:lang w:val="en-IE"/>
              </w:rPr>
              <w:t xml:space="preserve"> </w:t>
            </w:r>
            <w:r w:rsidRPr="00957E8F">
              <w:rPr>
                <w:rFonts w:ascii="Arial Narrow" w:eastAsiaTheme="minorEastAsia" w:hAnsi="Arial Narrow"/>
                <w:noProof/>
                <w:color w:val="006100"/>
                <w:kern w:val="0"/>
                <w:sz w:val="20"/>
                <w:lang w:val="en-IE"/>
              </w:rPr>
              <w:t>completion of works for the construction of 108,6 km of high-speed rail.</w:t>
            </w:r>
          </w:p>
          <w:p w14:paraId="27E501BA" w14:textId="77777777" w:rsidR="00957E8F" w:rsidRPr="00957E8F" w:rsidRDefault="00957E8F" w:rsidP="00E66B74">
            <w:pPr>
              <w:spacing w:before="120" w:after="0"/>
              <w:rPr>
                <w:rFonts w:ascii="Arial Narrow" w:eastAsiaTheme="minorEastAsia" w:hAnsi="Arial Narrow"/>
                <w:noProof/>
                <w:color w:val="006100"/>
                <w:kern w:val="0"/>
                <w:sz w:val="20"/>
                <w:szCs w:val="20"/>
                <w:lang w:val="en-IE"/>
              </w:rPr>
            </w:pPr>
            <w:r w:rsidRPr="00957E8F">
              <w:rPr>
                <w:rFonts w:ascii="Arial Narrow" w:eastAsiaTheme="minorEastAsia" w:hAnsi="Arial Narrow"/>
                <w:noProof/>
                <w:color w:val="006100"/>
                <w:kern w:val="0"/>
                <w:sz w:val="20"/>
                <w:szCs w:val="20"/>
                <w:lang w:val="en-IE"/>
              </w:rPr>
              <w:t>Certificates</w:t>
            </w:r>
            <w:r w:rsidRPr="00957E8F">
              <w:rPr>
                <w:rFonts w:ascii="Arial" w:eastAsiaTheme="minorEastAsia" w:hAnsi="Arial" w:cs="Arial"/>
                <w:i/>
                <w:iCs/>
                <w:noProof/>
                <w:color w:val="006100"/>
                <w:kern w:val="0"/>
                <w:sz w:val="20"/>
                <w:szCs w:val="20"/>
                <w:lang w:val="en-IE"/>
              </w:rPr>
              <w:t> </w:t>
            </w:r>
            <w:r w:rsidRPr="00957E8F">
              <w:rPr>
                <w:rFonts w:ascii="Arial Narrow" w:eastAsiaTheme="minorEastAsia" w:hAnsi="Arial Narrow"/>
                <w:noProof/>
                <w:color w:val="006100"/>
                <w:kern w:val="0"/>
                <w:sz w:val="20"/>
                <w:szCs w:val="20"/>
                <w:lang w:val="en-IE"/>
              </w:rPr>
              <w:t>confirming that, according to the WBS methodology, additional 28.9 km of civil works have reached 100% of work progress.</w:t>
            </w:r>
          </w:p>
          <w:p w14:paraId="177FF3A5" w14:textId="77777777" w:rsidR="00957E8F" w:rsidRPr="00957E8F" w:rsidDel="00807562" w:rsidRDefault="00957E8F" w:rsidP="00E66B74">
            <w:pP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szCs w:val="20"/>
                <w:lang w:val="en-IE"/>
              </w:rPr>
              <w:t>The assessment and authorisation of each relevant project/investment shall respect all the rules and procedures set in Articles 6.3 and 6.4 of the EU Directive 92/43/EEC and follow the national guidelines for Impact Assessment published in the Official Gazzette of the Italian Republic N°303 of 28 December 2019.</w:t>
            </w:r>
          </w:p>
        </w:tc>
      </w:tr>
      <w:tr w:rsidR="00957E8F" w:rsidRPr="00957E8F" w14:paraId="4B62F3DC"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3FA8BD0C"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M3C1-10</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47695591"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Investment 1.3 - Diagonal connections</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2F047E35"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Milestone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5A6A8B9F"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Award of the contract (s) to build the connections in the lines Orte-Falconara and Taranto -Metaponto-Potenza-Battipaglia</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447B40D5"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Notification of the award of</w:t>
            </w:r>
            <w:r w:rsidRPr="00957E8F">
              <w:rPr>
                <w:rFonts w:ascii="Arial Narrow" w:eastAsiaTheme="minorEastAsia" w:hAnsi="Arial Narrow"/>
                <w:noProof/>
                <w:kern w:val="0"/>
                <w:sz w:val="20"/>
                <w:lang w:val="en-IE"/>
              </w:rPr>
              <w:t xml:space="preserve"> </w:t>
            </w:r>
            <w:r w:rsidRPr="00957E8F">
              <w:rPr>
                <w:rFonts w:ascii="Arial Narrow" w:eastAsiaTheme="minorEastAsia" w:hAnsi="Arial Narrow"/>
                <w:noProof/>
                <w:color w:val="006100"/>
                <w:kern w:val="0"/>
                <w:sz w:val="20"/>
                <w:lang w:val="en-IE"/>
              </w:rPr>
              <w:t>the multidisciplinary contract to build high-speed railway in the lines Orte-Falconara and Taranto -Metaponto-Potenza-Battipaglia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772FEB3"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1A1F245"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851" w:type="dxa"/>
            <w:tcBorders>
              <w:top w:val="single" w:sz="4" w:space="0" w:color="auto"/>
              <w:left w:val="nil"/>
              <w:bottom w:val="single" w:sz="4" w:space="0" w:color="auto"/>
              <w:right w:val="single" w:sz="4" w:space="0" w:color="auto"/>
            </w:tcBorders>
            <w:shd w:val="clear" w:color="auto" w:fill="C6EFCE"/>
            <w:vAlign w:val="center"/>
          </w:tcPr>
          <w:p w14:paraId="5CD8015A"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5B8D40D"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Q1</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EABE84F"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2024</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3FC2CFD" w14:textId="77777777" w:rsidR="00957E8F" w:rsidRPr="00957E8F" w:rsidRDefault="00957E8F" w:rsidP="00E66B74">
            <w:pPr>
              <w:rPr>
                <w:rFonts w:ascii="Arial Narrow" w:eastAsiaTheme="minorEastAsia" w:hAnsi="Arial Narrow"/>
                <w:noProof/>
                <w:color w:val="006100"/>
                <w:kern w:val="0"/>
                <w:sz w:val="20"/>
                <w:szCs w:val="20"/>
                <w:lang w:val="en-IE"/>
              </w:rPr>
            </w:pPr>
            <w:r w:rsidRPr="00957E8F">
              <w:rPr>
                <w:rFonts w:ascii="Arial Narrow" w:eastAsiaTheme="minorEastAsia" w:hAnsi="Arial Narrow"/>
                <w:noProof/>
                <w:color w:val="006100"/>
                <w:kern w:val="0"/>
                <w:sz w:val="20"/>
                <w:lang w:val="en-IE"/>
              </w:rPr>
              <w:t>Notification of the award of the multidisciplinary contract to build the connections in the lines Orte-Falconara and Taranto -Metaponto-Potenza-Battipaglia.</w:t>
            </w:r>
          </w:p>
          <w:p w14:paraId="1C56BD5B" w14:textId="77777777" w:rsidR="00957E8F" w:rsidRPr="00957E8F" w:rsidRDefault="00957E8F" w:rsidP="00E66B74">
            <w:pPr>
              <w:rPr>
                <w:rFonts w:ascii="Arial Narrow" w:eastAsiaTheme="minorEastAsia" w:hAnsi="Arial Narrow"/>
                <w:noProof/>
                <w:color w:val="006100"/>
                <w:kern w:val="0"/>
                <w:sz w:val="20"/>
                <w:szCs w:val="20"/>
                <w:lang w:val="en-IE"/>
              </w:rPr>
            </w:pPr>
            <w:r w:rsidRPr="00957E8F">
              <w:rPr>
                <w:rFonts w:ascii="Arial Narrow" w:eastAsiaTheme="minorEastAsia" w:hAnsi="Arial Narrow"/>
                <w:noProof/>
                <w:color w:val="006100"/>
                <w:kern w:val="0"/>
                <w:sz w:val="20"/>
                <w:lang w:val="en-IE"/>
              </w:rPr>
              <w:t xml:space="preserve">The contract (s) shall refer to the following lines: </w:t>
            </w:r>
          </w:p>
          <w:p w14:paraId="46AAFE8F" w14:textId="77777777" w:rsidR="00957E8F" w:rsidRPr="00957E8F" w:rsidRDefault="00957E8F" w:rsidP="00E66B74">
            <w:pPr>
              <w:rPr>
                <w:rFonts w:ascii="Arial Narrow" w:eastAsiaTheme="minorEastAsia" w:hAnsi="Arial Narrow"/>
                <w:noProof/>
                <w:color w:val="006100"/>
                <w:kern w:val="0"/>
                <w:sz w:val="20"/>
                <w:szCs w:val="20"/>
                <w:lang w:val="it-IT"/>
              </w:rPr>
            </w:pPr>
            <w:r w:rsidRPr="00957E8F">
              <w:rPr>
                <w:rFonts w:ascii="Arial Narrow" w:eastAsiaTheme="minorEastAsia" w:hAnsi="Arial Narrow"/>
                <w:noProof/>
                <w:color w:val="006100"/>
                <w:kern w:val="0"/>
                <w:sz w:val="20"/>
                <w:lang w:val="it-IT"/>
              </w:rPr>
              <w:t>Orte-Falconara</w:t>
            </w:r>
          </w:p>
          <w:p w14:paraId="28F49E20" w14:textId="77777777" w:rsidR="00957E8F" w:rsidRPr="003E08AD"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it-IT"/>
              </w:rPr>
            </w:pPr>
            <w:r w:rsidRPr="00957E8F">
              <w:rPr>
                <w:rFonts w:ascii="Arial Narrow" w:eastAsiaTheme="minorEastAsia" w:hAnsi="Arial Narrow"/>
                <w:noProof/>
                <w:color w:val="006100"/>
                <w:kern w:val="0"/>
                <w:sz w:val="20"/>
                <w:lang w:val="it-IT"/>
              </w:rPr>
              <w:t>Taranto -Metaponto-Potenza-Battipaglia</w:t>
            </w:r>
          </w:p>
        </w:tc>
      </w:tr>
      <w:tr w:rsidR="00957E8F" w:rsidRPr="00957E8F" w14:paraId="19527141"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2E322EA4"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M3C1-12</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56341CBF"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Investment 1.4 - Introducing the European Rail Transport Management System (ERTMS)</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283FBD0E"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Milestone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30448A9E"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Award of the contracts for the European Rail Transport Management System</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5086A2A5"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Notification of the award of all public contracts to introduce the European Rail Transport Management System</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81A6636"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7D01065"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851" w:type="dxa"/>
            <w:tcBorders>
              <w:top w:val="single" w:sz="4" w:space="0" w:color="auto"/>
              <w:left w:val="nil"/>
              <w:bottom w:val="single" w:sz="4" w:space="0" w:color="auto"/>
              <w:right w:val="single" w:sz="4" w:space="0" w:color="auto"/>
            </w:tcBorders>
            <w:shd w:val="clear" w:color="auto" w:fill="C6EFCE"/>
            <w:vAlign w:val="center"/>
          </w:tcPr>
          <w:p w14:paraId="54119FF2"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331FC07"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6F9E6EB5"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2022</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C0A119D" w14:textId="77777777" w:rsidR="00957E8F" w:rsidRPr="00957E8F"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Notification of the award of all public contracts to introduce the European Rail Transport Management System (ERTMS)</w:t>
            </w:r>
          </w:p>
        </w:tc>
      </w:tr>
      <w:tr w:rsidR="00957E8F" w:rsidRPr="00957E8F" w14:paraId="31608FA9"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0ACF8D74"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szCs w:val="20"/>
                <w:lang w:val="en-GB"/>
              </w:rPr>
              <w:t>M3C1-14</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57724F84"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Investment 1.4 - Introducing the European Rail Transport Management System (ERTMS)</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57615384"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Target</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BCDE39E" w14:textId="0263359E"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szCs w:val="20"/>
                <w:lang w:val="en-IE"/>
              </w:rPr>
              <w:t>2785 km of railways equipped with the European Rail Transport Management System at an infrastructural and/or technological level.</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34A1F71F"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492281E"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Number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3619E828"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 xml:space="preserve"> 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AEC1788"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2 785</w:t>
            </w:r>
          </w:p>
        </w:tc>
        <w:tc>
          <w:tcPr>
            <w:tcW w:w="992" w:type="dxa"/>
            <w:tcBorders>
              <w:top w:val="single" w:sz="4" w:space="0" w:color="auto"/>
              <w:left w:val="nil"/>
              <w:bottom w:val="single" w:sz="4" w:space="0" w:color="auto"/>
              <w:right w:val="single" w:sz="4" w:space="0" w:color="auto"/>
            </w:tcBorders>
            <w:shd w:val="clear" w:color="auto" w:fill="C6EFCE"/>
            <w:vAlign w:val="center"/>
          </w:tcPr>
          <w:p w14:paraId="6E4F7D71"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A8C4B5D"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73341D9A" w14:textId="77777777" w:rsidR="00957E8F" w:rsidRPr="00957E8F"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szCs w:val="20"/>
                <w:lang w:val="en-IE"/>
              </w:rPr>
              <w:t>Certificates confirming that 2 785 km of railways are equipped with the European Rail Transport Management System at an infrastructural and/or technological level.</w:t>
            </w:r>
          </w:p>
        </w:tc>
      </w:tr>
      <w:tr w:rsidR="00957E8F" w:rsidRPr="00957E8F" w14:paraId="02FC2F69"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607423D4"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M3C1-15</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628F6942"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Investment 1.5-Strengthening metropolitan nodes and key national links</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32C602BC"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Target</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7163C681"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700 km of upgraded line sections built on metropolitan nodes and key national links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1BC32566"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87E6823"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Number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46DD564"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54A02C87"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700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FD910A9"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6560E029"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2024</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50846AA5" w14:textId="77777777" w:rsidR="00957E8F" w:rsidRPr="00957E8F"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At least 700 km of upgraded line sections built on metropolitan nodes and key national links, ready for authorisation and operational phases.</w:t>
            </w:r>
          </w:p>
        </w:tc>
      </w:tr>
      <w:tr w:rsidR="00957E8F" w:rsidRPr="00957E8F" w14:paraId="573C5695"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1FB37F1A"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M3C1-17</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441FC584"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Investment 1.7 - Upgrading, electrification and resilience of railways in the South</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3837BF79"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 xml:space="preserve">Target </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DB95D99"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172 km of works completed related to the resilience of railways in the South, ready for the authorisation and operational phases.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5B488BD9"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929F8CC"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Number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A3A7258"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1F415158"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172</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7DA595D"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7EA307B1"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2023</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F6B195F" w14:textId="77777777" w:rsidR="00957E8F" w:rsidRPr="00957E8F" w:rsidRDefault="00957E8F" w:rsidP="00E66B74">
            <w:pPr>
              <w:spacing w:before="120" w:after="120"/>
              <w:rPr>
                <w:rFonts w:ascii="Arial Narrow" w:eastAsiaTheme="minorEastAsia" w:hAnsi="Arial Narrow"/>
                <w:noProof/>
                <w:color w:val="006100"/>
                <w:kern w:val="0"/>
                <w:sz w:val="20"/>
                <w:szCs w:val="20"/>
                <w:lang w:val="en-IE"/>
              </w:rPr>
            </w:pPr>
            <w:r w:rsidRPr="00957E8F">
              <w:rPr>
                <w:rFonts w:ascii="Arial Narrow" w:eastAsiaTheme="minorEastAsia" w:hAnsi="Arial Narrow"/>
                <w:noProof/>
                <w:color w:val="006100"/>
                <w:kern w:val="0"/>
                <w:sz w:val="20"/>
                <w:lang w:val="en-IE"/>
              </w:rPr>
              <w:t xml:space="preserve">Completion of works for at least 172 km, related to the resilience of southern railways, ready for the authorisation and operational phases. </w:t>
            </w:r>
          </w:p>
          <w:p w14:paraId="5AB925F4" w14:textId="77777777" w:rsidR="00957E8F" w:rsidRPr="00957E8F" w:rsidRDefault="00957E8F" w:rsidP="00E66B74">
            <w:pPr>
              <w:spacing w:before="120" w:after="120"/>
              <w:rPr>
                <w:rFonts w:ascii="Arial Narrow" w:eastAsiaTheme="minorEastAsia" w:hAnsi="Arial Narrow"/>
                <w:noProof/>
                <w:color w:val="006100"/>
                <w:kern w:val="0"/>
                <w:sz w:val="20"/>
                <w:lang w:val="en-IE"/>
              </w:rPr>
            </w:pPr>
            <w:r w:rsidRPr="00957E8F">
              <w:rPr>
                <w:rFonts w:ascii="Arial Narrow" w:eastAsiaTheme="minorEastAsia" w:hAnsi="Arial Narrow"/>
                <w:noProof/>
                <w:color w:val="006100"/>
                <w:kern w:val="0"/>
                <w:sz w:val="20"/>
                <w:lang w:val="en-IE"/>
              </w:rPr>
              <w:t>The 172 km refer the following lines:</w:t>
            </w:r>
          </w:p>
          <w:p w14:paraId="0BF1F6AF" w14:textId="77777777" w:rsidR="00957E8F" w:rsidRPr="00957E8F" w:rsidRDefault="00957E8F" w:rsidP="00E66B74">
            <w:pPr>
              <w:spacing w:before="120" w:after="120"/>
              <w:rPr>
                <w:rFonts w:ascii="Arial Narrow" w:eastAsiaTheme="minorEastAsia" w:hAnsi="Arial Narrow"/>
                <w:noProof/>
                <w:color w:val="006100"/>
                <w:kern w:val="0"/>
                <w:sz w:val="20"/>
                <w:szCs w:val="20"/>
                <w:lang w:val="it-IT"/>
              </w:rPr>
            </w:pPr>
            <w:r w:rsidRPr="00957E8F">
              <w:rPr>
                <w:rFonts w:ascii="Arial Narrow" w:eastAsiaTheme="minorEastAsia" w:hAnsi="Arial Narrow"/>
                <w:noProof/>
                <w:color w:val="006100"/>
                <w:kern w:val="0"/>
                <w:sz w:val="20"/>
                <w:lang w:val="it-IT"/>
              </w:rPr>
              <w:t>•</w:t>
            </w:r>
            <w:r w:rsidRPr="00957E8F">
              <w:rPr>
                <w:rFonts w:eastAsiaTheme="minorEastAsia"/>
                <w:noProof/>
                <w:color w:val="006100"/>
                <w:kern w:val="0"/>
                <w:lang w:val="it-IT"/>
              </w:rPr>
              <w:t xml:space="preserve"> </w:t>
            </w:r>
            <w:r w:rsidRPr="00957E8F">
              <w:rPr>
                <w:rFonts w:ascii="Arial Narrow" w:eastAsiaTheme="minorEastAsia" w:hAnsi="Arial Narrow"/>
                <w:noProof/>
                <w:color w:val="006100"/>
                <w:kern w:val="0"/>
                <w:sz w:val="20"/>
                <w:lang w:val="it-IT"/>
              </w:rPr>
              <w:t>Paola- Reggio Calabria;</w:t>
            </w:r>
          </w:p>
          <w:p w14:paraId="5C914069" w14:textId="77777777" w:rsidR="00957E8F" w:rsidRPr="00957E8F" w:rsidRDefault="00957E8F" w:rsidP="00E66B74">
            <w:pPr>
              <w:spacing w:before="120" w:after="120"/>
              <w:rPr>
                <w:rFonts w:ascii="Arial Narrow" w:eastAsiaTheme="minorEastAsia" w:hAnsi="Arial Narrow"/>
                <w:noProof/>
                <w:color w:val="006100"/>
                <w:kern w:val="0"/>
                <w:sz w:val="20"/>
                <w:szCs w:val="20"/>
                <w:lang w:val="it-IT"/>
              </w:rPr>
            </w:pPr>
            <w:r w:rsidRPr="00957E8F">
              <w:rPr>
                <w:rFonts w:ascii="Arial Narrow" w:eastAsiaTheme="minorEastAsia" w:hAnsi="Arial Narrow"/>
                <w:noProof/>
                <w:color w:val="006100"/>
                <w:kern w:val="0"/>
                <w:sz w:val="20"/>
                <w:lang w:val="it-IT"/>
              </w:rPr>
              <w:t>•</w:t>
            </w:r>
            <w:r w:rsidRPr="00957E8F">
              <w:rPr>
                <w:rFonts w:eastAsiaTheme="minorEastAsia"/>
                <w:noProof/>
                <w:color w:val="006100"/>
                <w:kern w:val="0"/>
                <w:lang w:val="it-IT"/>
              </w:rPr>
              <w:t xml:space="preserve"> </w:t>
            </w:r>
            <w:r w:rsidRPr="00957E8F">
              <w:rPr>
                <w:rFonts w:ascii="Arial Narrow" w:eastAsiaTheme="minorEastAsia" w:hAnsi="Arial Narrow"/>
                <w:noProof/>
                <w:color w:val="006100"/>
                <w:kern w:val="0"/>
                <w:sz w:val="20"/>
                <w:lang w:val="it-IT"/>
              </w:rPr>
              <w:t>Lentini Diramazione-Gela;</w:t>
            </w:r>
          </w:p>
          <w:p w14:paraId="4B60D5C2" w14:textId="77777777" w:rsidR="00957E8F" w:rsidRPr="00957E8F" w:rsidRDefault="00957E8F" w:rsidP="00E66B74">
            <w:pPr>
              <w:spacing w:before="120" w:after="120"/>
              <w:rPr>
                <w:rFonts w:ascii="Arial Narrow" w:eastAsiaTheme="minorEastAsia" w:hAnsi="Arial Narrow"/>
                <w:noProof/>
                <w:color w:val="006100"/>
                <w:kern w:val="0"/>
                <w:sz w:val="20"/>
                <w:szCs w:val="20"/>
                <w:lang w:val="it-IT"/>
              </w:rPr>
            </w:pPr>
            <w:r w:rsidRPr="00957E8F">
              <w:rPr>
                <w:rFonts w:ascii="Arial Narrow" w:eastAsiaTheme="minorEastAsia" w:hAnsi="Arial Narrow"/>
                <w:noProof/>
                <w:color w:val="006100"/>
                <w:kern w:val="0"/>
                <w:sz w:val="20"/>
                <w:lang w:val="it-IT"/>
              </w:rPr>
              <w:t>•</w:t>
            </w:r>
            <w:r w:rsidRPr="00957E8F">
              <w:rPr>
                <w:rFonts w:eastAsiaTheme="minorEastAsia"/>
                <w:noProof/>
                <w:color w:val="006100"/>
                <w:kern w:val="0"/>
                <w:lang w:val="it-IT"/>
              </w:rPr>
              <w:t xml:space="preserve"> </w:t>
            </w:r>
            <w:r w:rsidRPr="00957E8F">
              <w:rPr>
                <w:rFonts w:ascii="Arial Narrow" w:eastAsiaTheme="minorEastAsia" w:hAnsi="Arial Narrow"/>
                <w:noProof/>
                <w:color w:val="006100"/>
                <w:kern w:val="0"/>
                <w:sz w:val="20"/>
                <w:lang w:val="it-IT"/>
              </w:rPr>
              <w:t>Messina – Catania – Siracusa;</w:t>
            </w:r>
          </w:p>
          <w:p w14:paraId="5CF5569B" w14:textId="77777777" w:rsidR="00957E8F" w:rsidRPr="00957E8F" w:rsidRDefault="00957E8F" w:rsidP="00E66B74">
            <w:pPr>
              <w:spacing w:before="120" w:after="120"/>
              <w:rPr>
                <w:rFonts w:ascii="Arial Narrow" w:eastAsiaTheme="minorEastAsia" w:hAnsi="Arial Narrow"/>
                <w:noProof/>
                <w:color w:val="006100"/>
                <w:kern w:val="0"/>
                <w:sz w:val="20"/>
                <w:szCs w:val="20"/>
                <w:lang w:val="it-IT"/>
              </w:rPr>
            </w:pPr>
            <w:r w:rsidRPr="00957E8F">
              <w:rPr>
                <w:rFonts w:ascii="Arial Narrow" w:eastAsiaTheme="minorEastAsia" w:hAnsi="Arial Narrow"/>
                <w:noProof/>
                <w:color w:val="006100"/>
                <w:kern w:val="0"/>
                <w:sz w:val="20"/>
                <w:lang w:val="it-IT"/>
              </w:rPr>
              <w:t>•</w:t>
            </w:r>
            <w:r w:rsidRPr="00957E8F">
              <w:rPr>
                <w:rFonts w:eastAsiaTheme="minorEastAsia"/>
                <w:noProof/>
                <w:color w:val="006100"/>
                <w:kern w:val="0"/>
                <w:lang w:val="it-IT"/>
              </w:rPr>
              <w:t xml:space="preserve"> </w:t>
            </w:r>
            <w:r w:rsidRPr="00957E8F">
              <w:rPr>
                <w:rFonts w:ascii="Arial Narrow" w:eastAsiaTheme="minorEastAsia" w:hAnsi="Arial Narrow"/>
                <w:noProof/>
                <w:color w:val="006100"/>
                <w:kern w:val="0"/>
                <w:sz w:val="20"/>
                <w:lang w:val="it-IT"/>
              </w:rPr>
              <w:t>Caserta – Battipaglia;</w:t>
            </w:r>
          </w:p>
          <w:p w14:paraId="4B085E10" w14:textId="77777777" w:rsidR="00957E8F" w:rsidRPr="00957E8F" w:rsidRDefault="00957E8F" w:rsidP="00E66B74">
            <w:pPr>
              <w:spacing w:before="120" w:after="120"/>
              <w:rPr>
                <w:rFonts w:ascii="Arial Narrow" w:eastAsiaTheme="minorEastAsia" w:hAnsi="Arial Narrow"/>
                <w:noProof/>
                <w:color w:val="006100"/>
                <w:kern w:val="0"/>
                <w:sz w:val="20"/>
                <w:szCs w:val="20"/>
                <w:lang w:val="it-IT"/>
              </w:rPr>
            </w:pPr>
            <w:r w:rsidRPr="00957E8F">
              <w:rPr>
                <w:rFonts w:ascii="Arial Narrow" w:eastAsiaTheme="minorEastAsia" w:hAnsi="Arial Narrow"/>
                <w:noProof/>
                <w:color w:val="006100"/>
                <w:kern w:val="0"/>
                <w:sz w:val="20"/>
                <w:lang w:val="it-IT"/>
              </w:rPr>
              <w:t>•</w:t>
            </w:r>
            <w:r w:rsidRPr="00957E8F">
              <w:rPr>
                <w:rFonts w:eastAsiaTheme="minorEastAsia"/>
                <w:noProof/>
                <w:color w:val="006100"/>
                <w:kern w:val="0"/>
                <w:lang w:val="it-IT"/>
              </w:rPr>
              <w:t xml:space="preserve"> </w:t>
            </w:r>
            <w:r w:rsidRPr="00957E8F">
              <w:rPr>
                <w:rFonts w:ascii="Arial Narrow" w:eastAsiaTheme="minorEastAsia" w:hAnsi="Arial Narrow"/>
                <w:noProof/>
                <w:color w:val="006100"/>
                <w:kern w:val="0"/>
                <w:sz w:val="20"/>
                <w:lang w:val="it-IT"/>
              </w:rPr>
              <w:t>Roma – Napoli; and</w:t>
            </w:r>
          </w:p>
          <w:p w14:paraId="1B0D58EB" w14:textId="77777777" w:rsidR="00957E8F" w:rsidRPr="00957E8F" w:rsidRDefault="00957E8F" w:rsidP="00E66B74">
            <w:pPr>
              <w:spacing w:before="120" w:after="120"/>
              <w:rPr>
                <w:rFonts w:ascii="Arial Narrow" w:eastAsiaTheme="minorEastAsia" w:hAnsi="Arial Narrow"/>
                <w:noProof/>
                <w:color w:val="006100"/>
                <w:kern w:val="0"/>
                <w:sz w:val="20"/>
                <w:szCs w:val="20"/>
                <w:lang w:val="it-IT"/>
              </w:rPr>
            </w:pPr>
            <w:r w:rsidRPr="00957E8F">
              <w:rPr>
                <w:rFonts w:ascii="Arial Narrow" w:eastAsiaTheme="minorEastAsia" w:hAnsi="Arial Narrow"/>
                <w:noProof/>
                <w:color w:val="006100"/>
                <w:kern w:val="0"/>
                <w:sz w:val="20"/>
                <w:lang w:val="it-IT"/>
              </w:rPr>
              <w:t>•</w:t>
            </w:r>
            <w:r w:rsidRPr="00957E8F">
              <w:rPr>
                <w:rFonts w:eastAsiaTheme="minorEastAsia"/>
                <w:noProof/>
                <w:color w:val="006100"/>
                <w:kern w:val="0"/>
                <w:lang w:val="it-IT"/>
              </w:rPr>
              <w:t xml:space="preserve"> </w:t>
            </w:r>
            <w:r w:rsidRPr="00957E8F">
              <w:rPr>
                <w:rFonts w:ascii="Arial Narrow" w:eastAsiaTheme="minorEastAsia" w:hAnsi="Arial Narrow"/>
                <w:noProof/>
                <w:color w:val="006100"/>
                <w:kern w:val="0"/>
                <w:sz w:val="20"/>
                <w:lang w:val="it-IT"/>
              </w:rPr>
              <w:t>Bari – Brindisi.</w:t>
            </w:r>
          </w:p>
          <w:p w14:paraId="6A18DF53" w14:textId="77777777" w:rsidR="00957E8F" w:rsidRPr="00957E8F"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The target shall be achieved through CLPs (i.e. “Codice Locale Progetto”) that are not supported by EU funds other than the RRF.</w:t>
            </w:r>
          </w:p>
        </w:tc>
      </w:tr>
      <w:tr w:rsidR="00957E8F" w:rsidRPr="00957E8F" w14:paraId="64706221"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40D26D64"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M3C1-19</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63BB784E"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Investment 1.8 - Upgrading railway stations (RFI management; in South)</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2A034684"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Target</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5AB50B4C"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Upgraded and accessible railway stations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6E7F382D"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19B00D3"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Number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27B5679"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60B14628"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10</w:t>
            </w:r>
          </w:p>
        </w:tc>
        <w:tc>
          <w:tcPr>
            <w:tcW w:w="992" w:type="dxa"/>
            <w:tcBorders>
              <w:top w:val="single" w:sz="4" w:space="0" w:color="auto"/>
              <w:left w:val="nil"/>
              <w:bottom w:val="single" w:sz="4" w:space="0" w:color="auto"/>
              <w:right w:val="single" w:sz="4" w:space="0" w:color="auto"/>
            </w:tcBorders>
            <w:shd w:val="clear" w:color="auto" w:fill="C6EFCE"/>
            <w:vAlign w:val="center"/>
          </w:tcPr>
          <w:p w14:paraId="0BDD6372"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73CCA01"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2024</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021E6E0C" w14:textId="77777777" w:rsidR="00957E8F" w:rsidRPr="00957E8F"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szCs w:val="20"/>
                <w:lang w:val="en-IE"/>
              </w:rPr>
              <w:t>Ten railway stations are upgraded and accessible in line with Commission Regulation 1300/2014.</w:t>
            </w:r>
          </w:p>
        </w:tc>
      </w:tr>
      <w:tr w:rsidR="00957E8F" w:rsidRPr="00957E8F" w14:paraId="7B1AEB0A"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4671666E"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M3C1-20</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07735DA9"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szCs w:val="20"/>
                <w:lang w:val="en-IE"/>
              </w:rPr>
              <w:t xml:space="preserve">Investment 1.8 - Upgrading railway stations </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6FDCCBBF"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Target</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48156CD"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szCs w:val="20"/>
                <w:lang w:val="en-IE"/>
              </w:rPr>
              <w:t>Upgraded railway stations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70EBA60D"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B4E27AD"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Number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054E181" w14:textId="77777777" w:rsidR="00957E8F" w:rsidRPr="00CE7E7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CE7E7F">
              <w:rPr>
                <w:rFonts w:ascii="Arial Narrow" w:eastAsiaTheme="minorEastAsia" w:hAnsi="Arial Narrow"/>
                <w:noProof/>
                <w:color w:val="006100"/>
                <w:kern w:val="0"/>
                <w:sz w:val="20"/>
                <w:lang w:val="en-GB"/>
              </w:rPr>
              <w:t>10</w:t>
            </w:r>
          </w:p>
        </w:tc>
        <w:tc>
          <w:tcPr>
            <w:tcW w:w="851" w:type="dxa"/>
            <w:tcBorders>
              <w:top w:val="single" w:sz="4" w:space="0" w:color="auto"/>
              <w:left w:val="nil"/>
              <w:bottom w:val="single" w:sz="4" w:space="0" w:color="auto"/>
              <w:right w:val="single" w:sz="4" w:space="0" w:color="auto"/>
            </w:tcBorders>
            <w:shd w:val="clear" w:color="auto" w:fill="C6EFCE"/>
            <w:vAlign w:val="center"/>
          </w:tcPr>
          <w:p w14:paraId="735BDA8A" w14:textId="77777777" w:rsidR="00957E8F" w:rsidRPr="00CE7E7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CE7E7F">
              <w:rPr>
                <w:rFonts w:ascii="Arial Narrow" w:eastAsiaTheme="minorEastAsia" w:hAnsi="Arial Narrow"/>
                <w:noProof/>
                <w:color w:val="006100"/>
                <w:kern w:val="0"/>
                <w:sz w:val="20"/>
                <w:lang w:val="en-GB"/>
              </w:rPr>
              <w:t>73</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5DBE7AE" w14:textId="77777777" w:rsidR="00957E8F" w:rsidRPr="00CE7E7F" w:rsidRDefault="00957E8F" w:rsidP="00E66B74">
            <w:pPr>
              <w:spacing w:after="120" w:line="240" w:lineRule="auto"/>
              <w:rPr>
                <w:rFonts w:ascii="Times New Roman" w:eastAsiaTheme="minorEastAsia" w:hAnsi="Times New Roman" w:cs="Times New Roman"/>
                <w:noProof/>
                <w:kern w:val="0"/>
                <w:sz w:val="18"/>
                <w:lang w:val="en-GB"/>
              </w:rPr>
            </w:pPr>
            <w:r w:rsidRPr="00CE7E7F">
              <w:rPr>
                <w:rFonts w:ascii="Arial Narrow" w:eastAsiaTheme="minorEastAsia" w:hAnsi="Arial Narrow"/>
                <w:noProof/>
                <w:color w:val="006100"/>
                <w:kern w:val="0"/>
                <w:sz w:val="20"/>
                <w:lang w:val="en-GB"/>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0053C852" w14:textId="77777777" w:rsidR="00957E8F" w:rsidRPr="00CE7E7F" w:rsidRDefault="00957E8F" w:rsidP="00E66B74">
            <w:pPr>
              <w:spacing w:after="120" w:line="240" w:lineRule="auto"/>
              <w:rPr>
                <w:rFonts w:ascii="Times New Roman" w:eastAsiaTheme="minorEastAsia" w:hAnsi="Times New Roman" w:cs="Times New Roman"/>
                <w:noProof/>
                <w:kern w:val="0"/>
                <w:sz w:val="18"/>
                <w:lang w:val="en-GB"/>
              </w:rPr>
            </w:pPr>
            <w:r w:rsidRPr="00CE7E7F">
              <w:rPr>
                <w:rFonts w:ascii="Arial Narrow" w:eastAsiaTheme="minorEastAsia" w:hAnsi="Arial Narrow"/>
                <w:noProof/>
                <w:color w:val="006100"/>
                <w:kern w:val="0"/>
                <w:sz w:val="20"/>
                <w:lang w:val="en-GB"/>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938978E" w14:textId="77777777" w:rsidR="00957E8F" w:rsidRPr="00CE7E7F"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en-GB"/>
              </w:rPr>
            </w:pPr>
            <w:r w:rsidRPr="00CE7E7F">
              <w:rPr>
                <w:rFonts w:ascii="Arial Narrow" w:eastAsiaTheme="minorEastAsia" w:hAnsi="Arial Narrow"/>
                <w:noProof/>
                <w:color w:val="006100"/>
                <w:kern w:val="0"/>
                <w:sz w:val="20"/>
                <w:szCs w:val="20"/>
                <w:lang w:val="en-IE"/>
              </w:rPr>
              <w:t xml:space="preserve">Certificates confirming the upgrade of 73 railway stations. </w:t>
            </w:r>
          </w:p>
        </w:tc>
      </w:tr>
      <w:tr w:rsidR="00957E8F" w:rsidRPr="00957E8F" w14:paraId="4D1C4661"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52B7DFA9"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M3C1-21</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730C2823"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Reform 2.1 - Implementation of the recent “Decree Simplification” (converted into Law n.120 dated 11 September 2020) by issuing a decree concerning the adoption of “Guidelines for the classification and management of risks, the evaluation of security and the monitoring of existing bridges”</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346CCD70"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Milestone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4D120BF1"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Entry into force of “Guidelines for the classification and management of risks, the evaluation of security and the monitoring of existing bridges”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4860F69D"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Provision in the decree indicating the entry into force of the decree adopting the “Guidelines for the classification and management of risks, the evaluation of security and the monitoring of existing bridges”</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AE1CB9D"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34D1310"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851" w:type="dxa"/>
            <w:tcBorders>
              <w:top w:val="single" w:sz="4" w:space="0" w:color="auto"/>
              <w:left w:val="nil"/>
              <w:bottom w:val="single" w:sz="4" w:space="0" w:color="auto"/>
              <w:right w:val="single" w:sz="4" w:space="0" w:color="auto"/>
            </w:tcBorders>
            <w:shd w:val="clear" w:color="auto" w:fill="C6EFCE"/>
            <w:vAlign w:val="center"/>
          </w:tcPr>
          <w:p w14:paraId="4EE11C29"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D023872"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493C484D"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2021</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28AE987A" w14:textId="77777777" w:rsidR="00957E8F" w:rsidRPr="00957E8F"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The “Guidelines” shall set common standards and methodologies on the entire national road network</w:t>
            </w:r>
            <w:r w:rsidRPr="00957E8F">
              <w:rPr>
                <w:rFonts w:ascii="Arial Narrow" w:eastAsiaTheme="minorEastAsia" w:hAnsi="Arial Narrow"/>
                <w:noProof/>
                <w:kern w:val="0"/>
                <w:sz w:val="20"/>
                <w:lang w:val="en-IE"/>
              </w:rPr>
              <w:t xml:space="preserve"> </w:t>
            </w:r>
            <w:r w:rsidRPr="00957E8F">
              <w:rPr>
                <w:rFonts w:ascii="Arial Narrow" w:eastAsiaTheme="minorEastAsia" w:hAnsi="Arial Narrow"/>
                <w:noProof/>
                <w:color w:val="006100"/>
                <w:kern w:val="0"/>
                <w:sz w:val="20"/>
                <w:lang w:val="en-IE"/>
              </w:rPr>
              <w:t>for the classification and management of risks, the evaluation of security and the monitoring of existing bridges.</w:t>
            </w:r>
          </w:p>
        </w:tc>
      </w:tr>
      <w:tr w:rsidR="00957E8F" w:rsidRPr="00957E8F" w14:paraId="7CB70745"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50C4CAB5"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M3C1-22</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8A168EF"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Reform 2.2 - Transfer the property of the bridges and viaducts from the lower level ranking roads to the higher ranking ones</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534350DF"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Milestone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58824FC1"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Transfer the ownership of the bridges, viaducts and overpasses from the lower level ranking roads to the higher ranking ones (highways and main national roads)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1A3A89AA"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Provision in the relevant legal act referring to the entry into force of the transfer of ownership of the bridges, viaducts and overpasses from the lower level ranking roads to the higher ranking ones (highways and main national roads)</w:t>
            </w:r>
          </w:p>
        </w:tc>
        <w:tc>
          <w:tcPr>
            <w:tcW w:w="992" w:type="dxa"/>
            <w:tcBorders>
              <w:top w:val="single" w:sz="4" w:space="0" w:color="auto"/>
              <w:left w:val="nil"/>
              <w:bottom w:val="single" w:sz="4" w:space="0" w:color="auto"/>
              <w:right w:val="single" w:sz="4" w:space="0" w:color="auto"/>
            </w:tcBorders>
            <w:shd w:val="clear" w:color="auto" w:fill="C6EFCE"/>
            <w:vAlign w:val="center"/>
          </w:tcPr>
          <w:p w14:paraId="52BFFD79"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A6BE612"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851" w:type="dxa"/>
            <w:tcBorders>
              <w:top w:val="single" w:sz="4" w:space="0" w:color="auto"/>
              <w:left w:val="nil"/>
              <w:bottom w:val="single" w:sz="4" w:space="0" w:color="auto"/>
              <w:right w:val="single" w:sz="4" w:space="0" w:color="auto"/>
            </w:tcBorders>
            <w:shd w:val="clear" w:color="auto" w:fill="C6EFCE"/>
            <w:vAlign w:val="center"/>
          </w:tcPr>
          <w:p w14:paraId="08661596"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F56D530"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Q4</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13D6708"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2021</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3BA67A85" w14:textId="77777777" w:rsidR="00957E8F" w:rsidRPr="00957E8F" w:rsidDel="00807562" w:rsidRDefault="00957E8F" w:rsidP="00E66B74">
            <w:pPr>
              <w:spacing w:before="120" w:after="120" w:line="240" w:lineRule="auto"/>
              <w:jc w:val="both"/>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IE"/>
              </w:rPr>
              <w:t>The transfer of ownership of the works of art shall have to take place within six months of the entry into force of Law 120/20. It is expected to be completed according to the rules of the Codice della Strada (Legislative Decree 285/1992) and its Regulations (Presidential Decree 495/92), which dictate provisions on the transfer of ownership between road-owning entities.</w:t>
            </w:r>
          </w:p>
        </w:tc>
      </w:tr>
      <w:tr w:rsidR="00957E8F" w:rsidRPr="00957E8F" w14:paraId="18D9F213"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149EE2CC" w14:textId="77777777" w:rsidR="00957E8F" w:rsidRPr="00E02EF5" w:rsidRDefault="00957E8F" w:rsidP="00E66B74">
            <w:pPr>
              <w:spacing w:after="120" w:line="240" w:lineRule="auto"/>
              <w:rPr>
                <w:rFonts w:ascii="Times New Roman" w:eastAsiaTheme="minorEastAsia" w:hAnsi="Times New Roman" w:cs="Times New Roman"/>
                <w:noProof/>
                <w:kern w:val="0"/>
                <w:sz w:val="18"/>
                <w:lang w:val="en-GB"/>
              </w:rPr>
            </w:pPr>
            <w:r w:rsidRPr="00E02EF5">
              <w:rPr>
                <w:rFonts w:ascii="Arial Narrow" w:eastAsiaTheme="minorEastAsia" w:hAnsi="Arial Narrow"/>
                <w:noProof/>
                <w:color w:val="006100"/>
                <w:kern w:val="0"/>
                <w:sz w:val="20"/>
                <w:szCs w:val="20"/>
                <w:lang w:val="en-GB"/>
              </w:rPr>
              <w:t>M3C1-26</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2E6F61FC" w14:textId="77777777" w:rsidR="00957E8F" w:rsidRPr="00E02EF5" w:rsidRDefault="00957E8F" w:rsidP="00E66B74">
            <w:pPr>
              <w:spacing w:after="120" w:line="240" w:lineRule="auto"/>
              <w:rPr>
                <w:rFonts w:ascii="Times New Roman" w:eastAsiaTheme="minorEastAsia" w:hAnsi="Times New Roman" w:cs="Times New Roman"/>
                <w:noProof/>
                <w:kern w:val="0"/>
                <w:sz w:val="18"/>
                <w:lang w:val="en-GB"/>
              </w:rPr>
            </w:pPr>
            <w:r w:rsidRPr="00E02EF5">
              <w:rPr>
                <w:rFonts w:ascii="Arial Narrow" w:eastAsiaTheme="minorEastAsia" w:hAnsi="Arial Narrow"/>
                <w:noProof/>
                <w:color w:val="006100"/>
                <w:kern w:val="0"/>
                <w:sz w:val="20"/>
                <w:lang w:val="en-IE"/>
              </w:rPr>
              <w:t>Reform 1.3 – Boosting the efficiency of railway infrastructure in Italy</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020ECB08" w14:textId="77777777" w:rsidR="00957E8F" w:rsidRPr="00E02EF5" w:rsidRDefault="00957E8F" w:rsidP="00E66B74">
            <w:pPr>
              <w:spacing w:after="120" w:line="240" w:lineRule="auto"/>
              <w:rPr>
                <w:rFonts w:ascii="Times New Roman" w:eastAsiaTheme="minorEastAsia" w:hAnsi="Times New Roman" w:cs="Times New Roman"/>
                <w:noProof/>
                <w:kern w:val="0"/>
                <w:sz w:val="18"/>
                <w:lang w:val="en-GB"/>
              </w:rPr>
            </w:pPr>
            <w:r w:rsidRPr="00E02EF5">
              <w:rPr>
                <w:rFonts w:ascii="Arial Narrow" w:eastAsiaTheme="minorEastAsia" w:hAnsi="Arial Narrow"/>
                <w:noProof/>
                <w:color w:val="006100"/>
                <w:kern w:val="0"/>
                <w:sz w:val="20"/>
                <w:lang w:val="en-GB"/>
              </w:rPr>
              <w:t>Milestone</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0C8F9427" w14:textId="54A14976" w:rsidR="00957E8F" w:rsidRPr="00E02EF5" w:rsidRDefault="00957E8F" w:rsidP="00E66B74">
            <w:pPr>
              <w:spacing w:after="120" w:line="240" w:lineRule="auto"/>
              <w:rPr>
                <w:rFonts w:ascii="Times New Roman" w:eastAsiaTheme="minorEastAsia" w:hAnsi="Times New Roman" w:cs="Times New Roman"/>
                <w:noProof/>
                <w:kern w:val="0"/>
                <w:sz w:val="18"/>
                <w:szCs w:val="18"/>
                <w:lang w:val="en-GB"/>
              </w:rPr>
            </w:pPr>
            <w:r w:rsidRPr="00E02EF5">
              <w:rPr>
                <w:rFonts w:ascii="Arial Narrow" w:eastAsiaTheme="minorEastAsia" w:hAnsi="Arial Narrow"/>
                <w:noProof/>
                <w:color w:val="006100"/>
                <w:kern w:val="0"/>
                <w:sz w:val="20"/>
                <w:lang w:val="en-IE"/>
              </w:rPr>
              <w:t xml:space="preserve">Entry into force of </w:t>
            </w:r>
            <w:r w:rsidR="00FE22AA">
              <w:rPr>
                <w:rFonts w:ascii="Arial Narrow" w:eastAsiaTheme="minorEastAsia" w:hAnsi="Arial Narrow"/>
                <w:noProof/>
                <w:color w:val="006100"/>
                <w:kern w:val="0"/>
                <w:sz w:val="20"/>
                <w:lang w:val="en-IE"/>
              </w:rPr>
              <w:t xml:space="preserve">legislation and/or </w:t>
            </w:r>
            <w:r w:rsidR="00E02EF5" w:rsidRPr="00E02EF5">
              <w:rPr>
                <w:rFonts w:ascii="Arial Narrow" w:eastAsiaTheme="minorEastAsia" w:hAnsi="Arial Narrow"/>
                <w:noProof/>
                <w:color w:val="006100"/>
                <w:kern w:val="0"/>
                <w:sz w:val="20"/>
                <w:lang w:val="en-IE"/>
              </w:rPr>
              <w:t>legal act(s)</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7B335004" w14:textId="3F110219" w:rsidR="00957E8F" w:rsidRPr="00E02EF5" w:rsidRDefault="00E02EF5" w:rsidP="00E66B74">
            <w:pPr>
              <w:spacing w:after="120" w:line="240" w:lineRule="auto"/>
              <w:rPr>
                <w:rFonts w:ascii="Times New Roman" w:eastAsiaTheme="minorEastAsia" w:hAnsi="Times New Roman" w:cs="Times New Roman"/>
                <w:noProof/>
                <w:kern w:val="0"/>
                <w:sz w:val="18"/>
                <w:lang w:val="en-GB"/>
              </w:rPr>
            </w:pPr>
            <w:r>
              <w:rPr>
                <w:rFonts w:ascii="Arial Narrow" w:eastAsiaTheme="minorEastAsia" w:hAnsi="Arial Narrow"/>
                <w:noProof/>
                <w:color w:val="006100"/>
                <w:kern w:val="0"/>
                <w:sz w:val="20"/>
                <w:lang w:val="en-IE"/>
              </w:rPr>
              <w:t>Provision(s) in the legislation and/or l</w:t>
            </w:r>
            <w:r w:rsidRPr="00E02EF5">
              <w:rPr>
                <w:rFonts w:ascii="Arial Narrow" w:eastAsiaTheme="minorEastAsia" w:hAnsi="Arial Narrow"/>
                <w:noProof/>
                <w:color w:val="006100"/>
                <w:kern w:val="0"/>
                <w:sz w:val="20"/>
                <w:lang w:val="en-IE"/>
              </w:rPr>
              <w:t>egal act(s)</w:t>
            </w:r>
            <w:r>
              <w:rPr>
                <w:rFonts w:ascii="Arial Narrow" w:eastAsiaTheme="minorEastAsia" w:hAnsi="Arial Narrow"/>
                <w:noProof/>
                <w:color w:val="006100"/>
                <w:kern w:val="0"/>
                <w:sz w:val="20"/>
                <w:lang w:val="en-IE"/>
              </w:rPr>
              <w:t xml:space="preserve"> referring to </w:t>
            </w:r>
            <w:r w:rsidR="00FE22AA">
              <w:rPr>
                <w:rFonts w:ascii="Arial Narrow" w:eastAsiaTheme="minorEastAsia" w:hAnsi="Arial Narrow"/>
                <w:noProof/>
                <w:color w:val="006100"/>
                <w:kern w:val="0"/>
                <w:sz w:val="20"/>
                <w:lang w:val="en-IE"/>
              </w:rPr>
              <w:t xml:space="preserve">the </w:t>
            </w:r>
            <w:r>
              <w:rPr>
                <w:rFonts w:ascii="Arial Narrow" w:eastAsiaTheme="minorEastAsia" w:hAnsi="Arial Narrow"/>
                <w:noProof/>
                <w:color w:val="006100"/>
                <w:kern w:val="0"/>
                <w:sz w:val="20"/>
                <w:lang w:val="en-IE"/>
              </w:rPr>
              <w:t>entry into force</w:t>
            </w:r>
          </w:p>
        </w:tc>
        <w:tc>
          <w:tcPr>
            <w:tcW w:w="992" w:type="dxa"/>
            <w:tcBorders>
              <w:top w:val="single" w:sz="4" w:space="0" w:color="auto"/>
              <w:left w:val="nil"/>
              <w:bottom w:val="single" w:sz="4" w:space="0" w:color="auto"/>
              <w:right w:val="single" w:sz="4" w:space="0" w:color="auto"/>
            </w:tcBorders>
            <w:shd w:val="clear" w:color="auto" w:fill="C6EFCE"/>
            <w:vAlign w:val="center"/>
          </w:tcPr>
          <w:p w14:paraId="7A91B4F5" w14:textId="77777777" w:rsidR="00957E8F" w:rsidRPr="00E02EF5" w:rsidRDefault="00957E8F" w:rsidP="00E66B74">
            <w:pPr>
              <w:spacing w:after="120" w:line="240" w:lineRule="auto"/>
              <w:jc w:val="center"/>
              <w:rPr>
                <w:rFonts w:ascii="Times New Roman" w:eastAsiaTheme="minorEastAsia" w:hAnsi="Times New Roman" w:cs="Times New Roman"/>
                <w:noProof/>
                <w:kern w:val="0"/>
                <w:sz w:val="18"/>
                <w:lang w:val="en-GB"/>
              </w:rPr>
            </w:pPr>
            <w:r w:rsidRPr="00E02EF5">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2D81450" w14:textId="77777777" w:rsidR="00957E8F" w:rsidRPr="00E02EF5"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E02EF5">
              <w:rPr>
                <w:rFonts w:ascii="Arial Narrow" w:eastAsiaTheme="minorEastAsia" w:hAnsi="Arial Narrow"/>
                <w:noProof/>
                <w:color w:val="006100"/>
                <w:kern w:val="0"/>
                <w:sz w:val="20"/>
                <w:lang w:val="en-GB"/>
              </w:rPr>
              <w:t>N/A</w:t>
            </w:r>
          </w:p>
        </w:tc>
        <w:tc>
          <w:tcPr>
            <w:tcW w:w="851" w:type="dxa"/>
            <w:tcBorders>
              <w:top w:val="single" w:sz="4" w:space="0" w:color="auto"/>
              <w:left w:val="nil"/>
              <w:bottom w:val="single" w:sz="4" w:space="0" w:color="auto"/>
              <w:right w:val="single" w:sz="4" w:space="0" w:color="auto"/>
            </w:tcBorders>
            <w:shd w:val="clear" w:color="auto" w:fill="C6EFCE"/>
            <w:vAlign w:val="center"/>
          </w:tcPr>
          <w:p w14:paraId="76901DE5" w14:textId="77777777" w:rsidR="00957E8F" w:rsidRPr="00E02EF5"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E02EF5">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11D7DC6C" w14:textId="77777777" w:rsidR="00957E8F" w:rsidRPr="00E02EF5" w:rsidRDefault="00957E8F" w:rsidP="00E66B74">
            <w:pPr>
              <w:spacing w:after="120" w:line="240" w:lineRule="auto"/>
              <w:rPr>
                <w:rFonts w:ascii="Times New Roman" w:eastAsiaTheme="minorEastAsia" w:hAnsi="Times New Roman" w:cs="Times New Roman"/>
                <w:noProof/>
                <w:kern w:val="0"/>
                <w:sz w:val="18"/>
                <w:lang w:val="en-GB"/>
              </w:rPr>
            </w:pPr>
            <w:r w:rsidRPr="00E02EF5">
              <w:rPr>
                <w:rFonts w:ascii="Arial Narrow" w:eastAsiaTheme="minorEastAsia" w:hAnsi="Arial Narrow"/>
                <w:noProof/>
                <w:color w:val="006100"/>
                <w:kern w:val="0"/>
                <w:sz w:val="20"/>
                <w:lang w:val="en-GB"/>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212FC306" w14:textId="77777777" w:rsidR="00957E8F" w:rsidRPr="00E02EF5" w:rsidRDefault="00957E8F" w:rsidP="00E66B74">
            <w:pPr>
              <w:spacing w:after="120" w:line="240" w:lineRule="auto"/>
              <w:rPr>
                <w:rFonts w:ascii="Times New Roman" w:eastAsiaTheme="minorEastAsia" w:hAnsi="Times New Roman" w:cs="Times New Roman"/>
                <w:noProof/>
                <w:kern w:val="0"/>
                <w:sz w:val="18"/>
                <w:lang w:val="en-GB"/>
              </w:rPr>
            </w:pPr>
            <w:r w:rsidRPr="00E02EF5">
              <w:rPr>
                <w:rFonts w:ascii="Arial Narrow" w:eastAsiaTheme="minorEastAsia" w:hAnsi="Arial Narrow"/>
                <w:noProof/>
                <w:color w:val="006100"/>
                <w:kern w:val="0"/>
                <w:sz w:val="20"/>
                <w:lang w:val="en-GB"/>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405981F7" w14:textId="74DE98F5" w:rsidR="00957E8F" w:rsidRPr="00E02EF5" w:rsidRDefault="00957E8F" w:rsidP="00E66B74">
            <w:pPr>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Entry into force of legislation and, where necessary, other legal act</w:t>
            </w:r>
            <w:r w:rsidR="00FE22AA">
              <w:rPr>
                <w:rFonts w:ascii="Arial Narrow" w:eastAsiaTheme="minorEastAsia" w:hAnsi="Arial Narrow"/>
                <w:noProof/>
                <w:color w:val="006100"/>
                <w:kern w:val="0"/>
                <w:sz w:val="20"/>
                <w:szCs w:val="20"/>
                <w:lang w:val="en-IE"/>
              </w:rPr>
              <w:t>(</w:t>
            </w:r>
            <w:r w:rsidRPr="00E02EF5">
              <w:rPr>
                <w:rFonts w:ascii="Arial Narrow" w:eastAsiaTheme="minorEastAsia" w:hAnsi="Arial Narrow"/>
                <w:noProof/>
                <w:color w:val="006100"/>
                <w:kern w:val="0"/>
                <w:sz w:val="20"/>
                <w:szCs w:val="20"/>
                <w:lang w:val="en-IE"/>
              </w:rPr>
              <w:t>s</w:t>
            </w:r>
            <w:r w:rsidR="00FE22AA">
              <w:rPr>
                <w:rFonts w:ascii="Arial Narrow" w:eastAsiaTheme="minorEastAsia" w:hAnsi="Arial Narrow"/>
                <w:noProof/>
                <w:color w:val="006100"/>
                <w:kern w:val="0"/>
                <w:sz w:val="20"/>
                <w:szCs w:val="20"/>
                <w:lang w:val="en-IE"/>
              </w:rPr>
              <w:t>)</w:t>
            </w:r>
            <w:r w:rsidRPr="00E02EF5">
              <w:rPr>
                <w:rFonts w:ascii="Arial Narrow" w:eastAsiaTheme="minorEastAsia" w:hAnsi="Arial Narrow"/>
                <w:noProof/>
                <w:color w:val="006100"/>
                <w:kern w:val="0"/>
                <w:sz w:val="20"/>
                <w:szCs w:val="20"/>
                <w:lang w:val="en-IE"/>
              </w:rPr>
              <w:t>, as specified below.</w:t>
            </w:r>
          </w:p>
          <w:p w14:paraId="44DBB0D4" w14:textId="77777777" w:rsidR="00957E8F" w:rsidRPr="00E02EF5" w:rsidRDefault="00957E8F" w:rsidP="00E66B74">
            <w:pPr>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u w:val="single"/>
                <w:lang w:val="en-IE"/>
              </w:rPr>
              <w:t>Part 1 - Efficiency and performance of public investment</w:t>
            </w:r>
            <w:r w:rsidRPr="00E02EF5">
              <w:rPr>
                <w:rFonts w:ascii="Arial Narrow" w:eastAsiaTheme="minorEastAsia" w:hAnsi="Arial Narrow"/>
                <w:noProof/>
                <w:color w:val="006100"/>
                <w:kern w:val="0"/>
                <w:sz w:val="20"/>
                <w:szCs w:val="20"/>
                <w:lang w:val="en-IE"/>
              </w:rPr>
              <w:t xml:space="preserve">: </w:t>
            </w:r>
          </w:p>
          <w:p w14:paraId="3B1B9586" w14:textId="77777777" w:rsidR="00957E8F" w:rsidRPr="00E02EF5" w:rsidRDefault="00957E8F" w:rsidP="00E66B74">
            <w:pPr>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The legislation shall envisage the adoption of a multi-annual strategic document by the Ministry of Infrastructure and Transport to steer Italy’s multi-annual infrastructural planning for at least 10 years. The document shall promote multimodal transport, and fully integrate the industrial needs of the corporate sector into infrastructural planning (for example, by prioritizing investments which link key industrial areas and logistic hubs to the transport network).</w:t>
            </w:r>
          </w:p>
          <w:p w14:paraId="2C440DB9" w14:textId="77777777" w:rsidR="00957E8F" w:rsidRPr="00E02EF5" w:rsidRDefault="00957E8F" w:rsidP="00E66B74">
            <w:pPr>
              <w:jc w:val="both"/>
              <w:rPr>
                <w:rFonts w:ascii="Arial Narrow" w:eastAsiaTheme="minorEastAsia" w:hAnsi="Arial Narrow"/>
                <w:noProof/>
                <w:color w:val="006100"/>
                <w:kern w:val="0"/>
                <w:sz w:val="20"/>
                <w:szCs w:val="20"/>
                <w:lang w:val="en-GB"/>
              </w:rPr>
            </w:pPr>
            <w:r w:rsidRPr="00E02EF5">
              <w:rPr>
                <w:rFonts w:ascii="Arial Narrow" w:eastAsiaTheme="minorEastAsia" w:hAnsi="Arial Narrow"/>
                <w:noProof/>
                <w:color w:val="006100"/>
                <w:kern w:val="0"/>
                <w:sz w:val="20"/>
                <w:szCs w:val="20"/>
                <w:lang w:val="en-IE"/>
              </w:rPr>
              <w:t xml:space="preserve">The reform provides for the review of the infrastructural planning documents. </w:t>
            </w:r>
            <w:r w:rsidRPr="00E02EF5">
              <w:rPr>
                <w:rFonts w:ascii="Arial Narrow" w:eastAsiaTheme="minorEastAsia" w:hAnsi="Arial Narrow"/>
                <w:noProof/>
                <w:color w:val="006100"/>
                <w:kern w:val="0"/>
                <w:sz w:val="20"/>
                <w:szCs w:val="20"/>
                <w:lang w:val="en-GB"/>
              </w:rPr>
              <w:t xml:space="preserve">More specifically, the legislation shall: </w:t>
            </w:r>
          </w:p>
          <w:p w14:paraId="49CF3617" w14:textId="77777777" w:rsidR="00957E8F" w:rsidRPr="00E02EF5" w:rsidRDefault="00957E8F" w:rsidP="00E66B74">
            <w:pPr>
              <w:numPr>
                <w:ilvl w:val="1"/>
                <w:numId w:val="135"/>
              </w:numPr>
              <w:spacing w:before="120" w:after="120"/>
              <w:ind w:left="360"/>
              <w:contextualSpacing/>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Ensure that the Contratto di Programma, the rail infrastructure development strategy and the infrastructural manager’s business plan are drafted in line with the objectives of the Ministry of Infrastructure and Transport’s multi-annual strategic document and are compliant with the Directive 34/2012/EU.</w:t>
            </w:r>
          </w:p>
          <w:p w14:paraId="2D5AFFED" w14:textId="77777777" w:rsidR="00957E8F" w:rsidRPr="00E02EF5" w:rsidRDefault="00957E8F" w:rsidP="00E66B74">
            <w:pPr>
              <w:numPr>
                <w:ilvl w:val="1"/>
                <w:numId w:val="135"/>
              </w:numPr>
              <w:spacing w:before="120" w:after="120"/>
              <w:ind w:left="360"/>
              <w:contextualSpacing/>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Introduce as a part of the Contratto di Programma approval process an opinion - according to the national law - of the regulatory body (Autorità di regolazione dei trasporti, ART) on the Mobility Strategic Document (Documento strategico della mobilità ferroviaria di passeggeri e merci) (as defined by the Italian law. no. 233 of 2021 - Art. 5 comma 1, lett. a). The opinion shall also assess the consistency of planned investments with market needs gathered with the coordination mechanisms referred to in article 7e of Directive 2012/34/EU.</w:t>
            </w:r>
          </w:p>
          <w:p w14:paraId="1718EC56" w14:textId="77777777" w:rsidR="00957E8F" w:rsidRPr="00E02EF5" w:rsidRDefault="00957E8F" w:rsidP="00E66B74">
            <w:pPr>
              <w:numPr>
                <w:ilvl w:val="1"/>
                <w:numId w:val="135"/>
              </w:numPr>
              <w:spacing w:before="120" w:after="120"/>
              <w:ind w:left="360"/>
              <w:contextualSpacing/>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Introduce for the new Contratto di Programma a system of milestones and targets and corresponding deadlines, as well as performance indicators and quality criteria. Indicators and quality criteria shall be set in accordance with Annex V of Directive 2012/34/EU. The bonus identification system for the managers of Rete Ferroviaria Italiana (RFI) shall be compliant with article 7 (4) of Directive 2012/34/EU and must take into consideration the achievement of milestones and targets and the results obtained with respect to performance indicators included in the Contratto di Programma.</w:t>
            </w:r>
          </w:p>
          <w:p w14:paraId="322F4C6D" w14:textId="77777777" w:rsidR="00957E8F" w:rsidRPr="00E02EF5" w:rsidRDefault="00957E8F" w:rsidP="00E66B74">
            <w:pPr>
              <w:numPr>
                <w:ilvl w:val="1"/>
                <w:numId w:val="135"/>
              </w:numPr>
              <w:spacing w:before="120" w:after="120"/>
              <w:ind w:left="360"/>
              <w:contextualSpacing/>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 xml:space="preserve">Empower the regulatory body (ART) with the identification, in agreement with MIT, of the performance indicators that shall be attached to the Contratto di Programma. </w:t>
            </w:r>
          </w:p>
          <w:p w14:paraId="5B93B961" w14:textId="77777777" w:rsidR="00957E8F" w:rsidRPr="00E02EF5" w:rsidRDefault="00957E8F" w:rsidP="00E66B74">
            <w:pPr>
              <w:numPr>
                <w:ilvl w:val="1"/>
                <w:numId w:val="135"/>
              </w:numPr>
              <w:spacing w:after="120"/>
              <w:ind w:left="357" w:hanging="357"/>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Empower the regulatory body (ART) to monitor the achievement of the milestones and targets, and the fulfilment of performance indicators contained in the Contratto di Programma</w:t>
            </w:r>
          </w:p>
          <w:p w14:paraId="4D3B9887" w14:textId="77777777" w:rsidR="00957E8F" w:rsidRPr="00E02EF5" w:rsidRDefault="00957E8F" w:rsidP="00E66B74">
            <w:pPr>
              <w:spacing w:before="120" w:after="120"/>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 xml:space="preserve">Require the Ministry of Infrastructure and Transport to carry out an in-depth cost benefit analysis of major investments (investments larger than EUR 50 million) included in the Contratto di Programma. The unit costs used in the analysis shall be benchmarked against international benchmarks for different categories of infrastructural railway investments and shall be in line with the EU and national guidelines on cost benefit analysis. The results of the analysis shall be open for consultation of interested parties before the adoption of the contractual agreements, and shall be published once adopted. </w:t>
            </w:r>
          </w:p>
          <w:p w14:paraId="0257482A" w14:textId="77777777" w:rsidR="00957E8F" w:rsidRPr="00E02EF5" w:rsidRDefault="00957E8F" w:rsidP="00E66B74">
            <w:pPr>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u w:val="single"/>
                <w:lang w:val="en-IE"/>
              </w:rPr>
              <w:t>Part 2 - Competition</w:t>
            </w:r>
            <w:r w:rsidRPr="00E02EF5">
              <w:rPr>
                <w:rFonts w:ascii="Arial Narrow" w:eastAsiaTheme="minorEastAsia" w:hAnsi="Arial Narrow"/>
                <w:noProof/>
                <w:color w:val="006100"/>
                <w:kern w:val="0"/>
                <w:sz w:val="20"/>
                <w:szCs w:val="20"/>
                <w:lang w:val="en-IE"/>
              </w:rPr>
              <w:t xml:space="preserve">: </w:t>
            </w:r>
          </w:p>
          <w:p w14:paraId="697833EB" w14:textId="77777777" w:rsidR="00957E8F" w:rsidRPr="00E02EF5" w:rsidRDefault="00957E8F" w:rsidP="00E66B74">
            <w:pPr>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 xml:space="preserve">The legislation shall strengthen the powers of the regulatory body (ART) as regards public service contracts in the railways sector. ART shall be empowered to monitor and issue opinions on the scoping and awards (for direct and in-house awards and awards to internal operators) of public service contracts in the railways sector, including as regards the identification of the optimal dimension of efficient lots within and between Regional borders. </w:t>
            </w:r>
          </w:p>
          <w:p w14:paraId="436CB536" w14:textId="77777777" w:rsidR="00957E8F" w:rsidRPr="00E02EF5" w:rsidRDefault="00957E8F" w:rsidP="00E66B74">
            <w:pPr>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The legislation shall extend the application of Article 9 of Law 118/2022 (Competition Law), including conformity with ART regulatory acts, and of Article 27, par. 2, let c) of Decree-Law n. 50 of 24/04/2017 to all direct and in-house awards and awards to internal operators according to Regulation 1370/2007. For intercity services, in case of direct or in-house awards and awards to internal operators according to Regulation 1370/2007, the legislation shall extend the principles included in Articles 17, 30 and 31 of Legislative Decree n. 201/2022. The legislation shall establish that any decision to prolong Public Service Obligations (PSO) contracts, properly reasoned in compliance with Regulation 1370/ 2007, shall be subject to principles of transparency obligations for in house awards included in Article 31 of Legislative Decree n. 201/2022.</w:t>
            </w:r>
          </w:p>
          <w:p w14:paraId="34D2A583" w14:textId="77777777" w:rsidR="00E02EF5" w:rsidRPr="00E02EF5" w:rsidRDefault="00E02EF5" w:rsidP="00E66B74">
            <w:pPr>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The legislation shall envisage the start of the competitive tender of the intercity public service contract(s). The legislation shall envisage that the tender shall include a redefinition of its scope in line with the methodology established by the rail regulatory body following a market test as explained in section 2.2.3 of the Commission Interpretative Guidelines on Regulation 1370/2007. The legislation shall also require that the contract shall be divided into appropriate, contestable lots based on the relevant criteria indicated by ART.</w:t>
            </w:r>
          </w:p>
          <w:p w14:paraId="5F7D73D9" w14:textId="77777777" w:rsidR="00E02EF5" w:rsidRPr="00E02EF5" w:rsidRDefault="00E02EF5" w:rsidP="00E66B74">
            <w:pPr>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For the intercity service, the legislation shall require the Ministry of Infrastructure and Transport to make rolling stock owned by the State available to incoming operators selected through competitive tendering procedures, under transparent and non-discriminatory access conditions.</w:t>
            </w:r>
          </w:p>
          <w:p w14:paraId="1DB689BC" w14:textId="77777777" w:rsidR="00E02EF5" w:rsidRPr="00E02EF5" w:rsidRDefault="00E02EF5" w:rsidP="00E66B74">
            <w:pPr>
              <w:jc w:val="both"/>
              <w:rPr>
                <w:rFonts w:ascii="Arial Narrow" w:eastAsiaTheme="minorEastAsia" w:hAnsi="Arial Narrow"/>
                <w:noProof/>
                <w:color w:val="006100"/>
                <w:kern w:val="0"/>
                <w:sz w:val="20"/>
                <w:szCs w:val="20"/>
                <w:lang w:val="en-IE"/>
              </w:rPr>
            </w:pPr>
            <w:r w:rsidRPr="00E02EF5">
              <w:rPr>
                <w:rFonts w:ascii="Arial Narrow" w:eastAsiaTheme="minorEastAsia" w:hAnsi="Arial Narrow"/>
                <w:noProof/>
                <w:color w:val="006100"/>
                <w:kern w:val="0"/>
                <w:sz w:val="20"/>
                <w:szCs w:val="20"/>
                <w:lang w:val="en-IE"/>
              </w:rPr>
              <w:t>For regional railway services, the legislation shall require regions to transmit to the Ministry of Infrastructure and Transport updated and complete data and information concerning the rolling stock available for public service contracts for rail transport, including the related state of maintenance. The legislation shall also envisage the publication of a yearly report by the Ministry of Infrastructure and Transport on the rolling stock available to the regional administrations.</w:t>
            </w:r>
          </w:p>
          <w:p w14:paraId="08A40ED7" w14:textId="57ED591A" w:rsidR="00957E8F" w:rsidRPr="00E02EF5" w:rsidDel="00807562" w:rsidRDefault="00E02EF5" w:rsidP="00E66B74">
            <w:pPr>
              <w:spacing w:before="120" w:after="120"/>
              <w:jc w:val="both"/>
              <w:rPr>
                <w:rFonts w:ascii="Times New Roman" w:eastAsiaTheme="minorEastAsia" w:hAnsi="Times New Roman" w:cs="Times New Roman"/>
                <w:noProof/>
                <w:kern w:val="0"/>
                <w:sz w:val="18"/>
                <w:szCs w:val="18"/>
                <w:lang w:val="en-GB"/>
              </w:rPr>
            </w:pPr>
            <w:r w:rsidRPr="00E02EF5">
              <w:rPr>
                <w:rFonts w:ascii="Arial Narrow" w:eastAsiaTheme="minorEastAsia" w:hAnsi="Arial Narrow"/>
                <w:noProof/>
                <w:color w:val="006100"/>
                <w:kern w:val="0"/>
                <w:sz w:val="20"/>
                <w:szCs w:val="20"/>
                <w:lang w:val="en-IE"/>
              </w:rPr>
              <w:t>The legislation shall encourage the carve-out and the competitive tendering of sub-lots from existing contracts (to the extent possible based on existing provisions in ongoing contracts).</w:t>
            </w:r>
          </w:p>
        </w:tc>
      </w:tr>
      <w:tr w:rsidR="00957E8F" w:rsidRPr="00957E8F" w14:paraId="693D93AB" w14:textId="77777777" w:rsidTr="00E66B74">
        <w:trPr>
          <w:trHeight w:val="540"/>
          <w:jc w:val="center"/>
        </w:trPr>
        <w:tc>
          <w:tcPr>
            <w:tcW w:w="1101" w:type="dxa"/>
            <w:tcBorders>
              <w:top w:val="single" w:sz="4" w:space="0" w:color="auto"/>
              <w:left w:val="single" w:sz="4" w:space="0" w:color="auto"/>
              <w:bottom w:val="single" w:sz="4" w:space="0" w:color="auto"/>
              <w:right w:val="single" w:sz="4" w:space="0" w:color="auto"/>
            </w:tcBorders>
            <w:shd w:val="clear" w:color="auto" w:fill="C6EFCE"/>
            <w:vAlign w:val="center"/>
          </w:tcPr>
          <w:p w14:paraId="7C287D91"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szCs w:val="20"/>
                <w:lang w:val="en-GB"/>
              </w:rPr>
              <w:t>M3C1-28</w:t>
            </w:r>
          </w:p>
        </w:tc>
        <w:tc>
          <w:tcPr>
            <w:tcW w:w="1843" w:type="dxa"/>
            <w:tcBorders>
              <w:top w:val="single" w:sz="4" w:space="0" w:color="auto"/>
              <w:left w:val="nil"/>
              <w:bottom w:val="single" w:sz="4" w:space="0" w:color="auto"/>
              <w:right w:val="single" w:sz="4" w:space="0" w:color="auto"/>
            </w:tcBorders>
            <w:shd w:val="clear" w:color="auto" w:fill="C6EFCE"/>
            <w:vAlign w:val="center"/>
          </w:tcPr>
          <w:p w14:paraId="38662C7F"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IE"/>
              </w:rPr>
              <w:t>Investment 1.10 Strengthening metropolitan nodes, inter-regional and regional railway lines</w:t>
            </w:r>
            <w:r w:rsidRPr="00957E8F" w:rsidDel="00F811F1">
              <w:rPr>
                <w:rFonts w:ascii="Arial Narrow" w:eastAsiaTheme="minorEastAsia" w:hAnsi="Arial Narrow"/>
                <w:noProof/>
                <w:color w:val="006100"/>
                <w:kern w:val="0"/>
                <w:sz w:val="20"/>
                <w:lang w:val="en-IE"/>
              </w:rPr>
              <w:t xml:space="preserve"> </w:t>
            </w:r>
          </w:p>
        </w:tc>
        <w:tc>
          <w:tcPr>
            <w:tcW w:w="1134" w:type="dxa"/>
            <w:tcBorders>
              <w:top w:val="single" w:sz="4" w:space="0" w:color="auto"/>
              <w:left w:val="nil"/>
              <w:bottom w:val="single" w:sz="4" w:space="0" w:color="auto"/>
              <w:right w:val="single" w:sz="4" w:space="0" w:color="auto"/>
            </w:tcBorders>
            <w:shd w:val="clear" w:color="auto" w:fill="C6EFCE"/>
            <w:vAlign w:val="center"/>
          </w:tcPr>
          <w:p w14:paraId="42C5D1B0"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Target</w:t>
            </w:r>
          </w:p>
        </w:tc>
        <w:tc>
          <w:tcPr>
            <w:tcW w:w="1560" w:type="dxa"/>
            <w:tcBorders>
              <w:top w:val="single" w:sz="4" w:space="0" w:color="auto"/>
              <w:left w:val="nil"/>
              <w:bottom w:val="single" w:sz="4" w:space="0" w:color="auto"/>
              <w:right w:val="single" w:sz="4" w:space="0" w:color="auto"/>
            </w:tcBorders>
            <w:shd w:val="clear" w:color="auto" w:fill="C6EFCE"/>
            <w:vAlign w:val="center"/>
          </w:tcPr>
          <w:p w14:paraId="3A0A26B4" w14:textId="77777777" w:rsidR="00957E8F" w:rsidRPr="00957E8F" w:rsidRDefault="00957E8F" w:rsidP="00E66B74">
            <w:pPr>
              <w:spacing w:after="120" w:line="240"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szCs w:val="20"/>
                <w:lang w:val="en-IE"/>
              </w:rPr>
              <w:t xml:space="preserve">3 309 km of upgraded railway lines </w:t>
            </w:r>
          </w:p>
        </w:tc>
        <w:tc>
          <w:tcPr>
            <w:tcW w:w="1701" w:type="dxa"/>
            <w:tcBorders>
              <w:top w:val="single" w:sz="4" w:space="0" w:color="auto"/>
              <w:left w:val="nil"/>
              <w:bottom w:val="single" w:sz="4" w:space="0" w:color="auto"/>
              <w:right w:val="single" w:sz="4" w:space="0" w:color="auto"/>
            </w:tcBorders>
            <w:shd w:val="clear" w:color="auto" w:fill="C6EFCE"/>
            <w:vAlign w:val="center"/>
          </w:tcPr>
          <w:p w14:paraId="327B9218"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N/A</w:t>
            </w:r>
          </w:p>
        </w:tc>
        <w:tc>
          <w:tcPr>
            <w:tcW w:w="992" w:type="dxa"/>
            <w:tcBorders>
              <w:top w:val="single" w:sz="4" w:space="0" w:color="auto"/>
              <w:left w:val="nil"/>
              <w:bottom w:val="single" w:sz="4" w:space="0" w:color="auto"/>
              <w:right w:val="single" w:sz="4" w:space="0" w:color="auto"/>
            </w:tcBorders>
            <w:shd w:val="clear" w:color="auto" w:fill="C6EFCE"/>
            <w:vAlign w:val="center"/>
          </w:tcPr>
          <w:p w14:paraId="49A0803B"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Number</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D642549" w14:textId="77777777" w:rsidR="00957E8F" w:rsidRPr="00957E8F" w:rsidRDefault="00957E8F" w:rsidP="00E66B74">
            <w:pPr>
              <w:spacing w:after="120" w:line="240" w:lineRule="auto"/>
              <w:jc w:val="center"/>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872</w:t>
            </w:r>
          </w:p>
        </w:tc>
        <w:tc>
          <w:tcPr>
            <w:tcW w:w="851" w:type="dxa"/>
            <w:tcBorders>
              <w:top w:val="single" w:sz="4" w:space="0" w:color="auto"/>
              <w:left w:val="nil"/>
              <w:bottom w:val="single" w:sz="4" w:space="0" w:color="auto"/>
              <w:right w:val="single" w:sz="4" w:space="0" w:color="auto"/>
            </w:tcBorders>
            <w:shd w:val="clear" w:color="auto" w:fill="C6EFCE"/>
            <w:vAlign w:val="center"/>
          </w:tcPr>
          <w:p w14:paraId="75F730CA" w14:textId="77777777" w:rsidR="00957E8F" w:rsidRPr="00957E8F" w:rsidRDefault="00957E8F" w:rsidP="00E66B74">
            <w:pPr>
              <w:spacing w:after="120" w:line="240" w:lineRule="auto"/>
              <w:jc w:val="center"/>
              <w:rPr>
                <w:rFonts w:ascii="Times New Roman" w:eastAsia="Times New Roman" w:hAnsi="Times New Roman" w:cs="Times New Roman"/>
                <w:noProof/>
                <w:kern w:val="0"/>
                <w:sz w:val="18"/>
                <w:szCs w:val="18"/>
                <w:lang w:val="en-GB"/>
              </w:rPr>
            </w:pPr>
            <w:r w:rsidRPr="00957E8F">
              <w:rPr>
                <w:rFonts w:ascii="Arial Narrow" w:eastAsiaTheme="minorEastAsia" w:hAnsi="Arial Narrow"/>
                <w:noProof/>
                <w:color w:val="006100"/>
                <w:kern w:val="0"/>
                <w:sz w:val="20"/>
                <w:lang w:val="en-GB"/>
              </w:rPr>
              <w:t>3 309</w:t>
            </w:r>
          </w:p>
        </w:tc>
        <w:tc>
          <w:tcPr>
            <w:tcW w:w="992" w:type="dxa"/>
            <w:tcBorders>
              <w:top w:val="single" w:sz="4" w:space="0" w:color="auto"/>
              <w:left w:val="nil"/>
              <w:bottom w:val="single" w:sz="4" w:space="0" w:color="auto"/>
              <w:right w:val="single" w:sz="4" w:space="0" w:color="auto"/>
            </w:tcBorders>
            <w:shd w:val="clear" w:color="auto" w:fill="C6EFCE"/>
            <w:vAlign w:val="center"/>
          </w:tcPr>
          <w:p w14:paraId="2717BC55"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Q2</w:t>
            </w:r>
          </w:p>
        </w:tc>
        <w:tc>
          <w:tcPr>
            <w:tcW w:w="709" w:type="dxa"/>
            <w:tcBorders>
              <w:top w:val="single" w:sz="4" w:space="0" w:color="auto"/>
              <w:left w:val="nil"/>
              <w:bottom w:val="single" w:sz="4" w:space="0" w:color="auto"/>
              <w:right w:val="single" w:sz="4" w:space="0" w:color="auto"/>
            </w:tcBorders>
            <w:shd w:val="clear" w:color="auto" w:fill="C6EFCE"/>
            <w:vAlign w:val="center"/>
          </w:tcPr>
          <w:p w14:paraId="54A0C199" w14:textId="77777777" w:rsidR="00957E8F" w:rsidRPr="00957E8F" w:rsidRDefault="00957E8F" w:rsidP="00E66B74">
            <w:pPr>
              <w:spacing w:after="120" w:line="240" w:lineRule="auto"/>
              <w:rPr>
                <w:rFonts w:ascii="Times New Roman" w:eastAsiaTheme="minorEastAsia" w:hAnsi="Times New Roman" w:cs="Times New Roman"/>
                <w:noProof/>
                <w:kern w:val="0"/>
                <w:sz w:val="18"/>
                <w:lang w:val="en-GB"/>
              </w:rPr>
            </w:pPr>
            <w:r w:rsidRPr="00957E8F">
              <w:rPr>
                <w:rFonts w:ascii="Arial Narrow" w:eastAsiaTheme="minorEastAsia" w:hAnsi="Arial Narrow"/>
                <w:noProof/>
                <w:color w:val="006100"/>
                <w:kern w:val="0"/>
                <w:sz w:val="20"/>
                <w:lang w:val="en-GB"/>
              </w:rPr>
              <w:t>2026</w:t>
            </w:r>
          </w:p>
        </w:tc>
        <w:tc>
          <w:tcPr>
            <w:tcW w:w="4569" w:type="dxa"/>
            <w:tcBorders>
              <w:top w:val="single" w:sz="4" w:space="0" w:color="auto"/>
              <w:left w:val="nil"/>
              <w:bottom w:val="single" w:sz="4" w:space="0" w:color="auto"/>
              <w:right w:val="single" w:sz="4" w:space="0" w:color="auto"/>
            </w:tcBorders>
            <w:shd w:val="clear" w:color="auto" w:fill="C6EFCE"/>
            <w:vAlign w:val="center"/>
          </w:tcPr>
          <w:p w14:paraId="362FF7AE" w14:textId="77777777" w:rsidR="00957E8F" w:rsidRPr="00957E8F" w:rsidDel="00807562" w:rsidRDefault="00957E8F" w:rsidP="00E66B74">
            <w:pPr>
              <w:spacing w:after="0" w:line="278" w:lineRule="auto"/>
              <w:rPr>
                <w:rFonts w:ascii="Times New Roman" w:eastAsiaTheme="minorEastAsia" w:hAnsi="Times New Roman" w:cs="Times New Roman"/>
                <w:noProof/>
                <w:kern w:val="0"/>
                <w:sz w:val="18"/>
                <w:szCs w:val="18"/>
                <w:lang w:val="en-GB"/>
              </w:rPr>
            </w:pPr>
            <w:r w:rsidRPr="00957E8F">
              <w:rPr>
                <w:rFonts w:ascii="Arial Narrow" w:eastAsiaTheme="minorEastAsia" w:hAnsi="Arial Narrow"/>
                <w:noProof/>
                <w:color w:val="006100"/>
                <w:kern w:val="0"/>
                <w:sz w:val="20"/>
                <w:szCs w:val="20"/>
                <w:lang w:val="en-IE"/>
              </w:rPr>
              <w:t>Certificates confirming the upgrade of at least 3 309 km for the railway lines indicated in the Interministerial Decree MIT/MEF 23 May 2024, n. 148.</w:t>
            </w:r>
          </w:p>
        </w:tc>
      </w:tr>
    </w:tbl>
    <w:p w14:paraId="4ADA3224" w14:textId="7DE4EDD5" w:rsidR="00957E8F" w:rsidRPr="00957E8F" w:rsidRDefault="00CE7E7F" w:rsidP="00957E8F">
      <w:pPr>
        <w:rPr>
          <w:noProof/>
          <w:lang w:val="en-IE"/>
        </w:rPr>
      </w:pPr>
      <w:r>
        <w:rPr>
          <w:noProof/>
          <w:lang w:val="en-IE"/>
        </w:rPr>
        <w:br w:type="textWrapping" w:clear="all"/>
      </w:r>
    </w:p>
    <w:p w14:paraId="566579DC" w14:textId="77777777" w:rsidR="0039681A" w:rsidRPr="00A36E36" w:rsidRDefault="0039681A" w:rsidP="00351087">
      <w:pPr>
        <w:spacing w:before="120" w:after="120"/>
        <w:jc w:val="both"/>
        <w:rPr>
          <w:b/>
          <w:bCs/>
          <w:noProof/>
          <w:u w:val="single"/>
          <w:lang w:val="en-IE"/>
        </w:rPr>
        <w:sectPr w:rsidR="0039681A" w:rsidRPr="00A36E36" w:rsidSect="0039681A">
          <w:headerReference w:type="even" r:id="rId129"/>
          <w:headerReference w:type="default" r:id="rId130"/>
          <w:footerReference w:type="default" r:id="rId131"/>
          <w:headerReference w:type="first" r:id="rId132"/>
          <w:pgSz w:w="16838" w:h="11907" w:orient="landscape" w:code="9"/>
          <w:pgMar w:top="1134" w:right="1134" w:bottom="1134" w:left="1134" w:header="567" w:footer="567" w:gutter="0"/>
          <w:cols w:space="720"/>
          <w:docGrid w:linePitch="360"/>
        </w:sectPr>
      </w:pPr>
    </w:p>
    <w:p w14:paraId="3260546B" w14:textId="58FF1505" w:rsidR="0039681A" w:rsidRPr="00A36E36" w:rsidRDefault="0039681A" w:rsidP="00351087">
      <w:pPr>
        <w:pStyle w:val="Heading2"/>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MISSION 3 COMPONENT 2- Intermodality and integrated logistics</w:t>
      </w:r>
    </w:p>
    <w:p w14:paraId="34935B66" w14:textId="77777777" w:rsidR="0039681A" w:rsidRPr="00A36E36" w:rsidRDefault="0039681A" w:rsidP="00351087">
      <w:pPr>
        <w:tabs>
          <w:tab w:val="left" w:pos="1134"/>
        </w:tabs>
        <w:spacing w:before="120" w:after="120"/>
        <w:jc w:val="both"/>
        <w:rPr>
          <w:rFonts w:ascii="Times New Roman" w:eastAsia="Calibri" w:hAnsi="Times New Roman" w:cs="Times New Roman"/>
          <w:iCs/>
          <w:noProof/>
          <w:lang w:val="en-IE"/>
        </w:rPr>
      </w:pPr>
      <w:r w:rsidRPr="00A36E36">
        <w:rPr>
          <w:rFonts w:ascii="Times New Roman" w:hAnsi="Times New Roman" w:cs="Times New Roman"/>
          <w:noProof/>
          <w:lang w:val="en-IE"/>
        </w:rPr>
        <w:t>The objective of this component of the Italian recovery and resilience plan is to make Italian ports more efficient and competitive, more energy efficient and better integrated to the logistic chain. It also aims to digitalise the air traffic management system.</w:t>
      </w:r>
    </w:p>
    <w:p w14:paraId="14261952" w14:textId="77777777" w:rsidR="0039681A" w:rsidRPr="00A36E36" w:rsidRDefault="0039681A" w:rsidP="00351087">
      <w:pPr>
        <w:tabs>
          <w:tab w:val="left" w:pos="1134"/>
        </w:tabs>
        <w:spacing w:before="120" w:after="120"/>
        <w:jc w:val="both"/>
        <w:rPr>
          <w:rFonts w:ascii="Times New Roman" w:eastAsia="Calibri" w:hAnsi="Times New Roman" w:cs="Times New Roman"/>
          <w:iCs/>
          <w:noProof/>
          <w:lang w:val="en-IE"/>
        </w:rPr>
      </w:pPr>
      <w:r w:rsidRPr="00A36E36">
        <w:rPr>
          <w:rFonts w:ascii="Times New Roman" w:hAnsi="Times New Roman" w:cs="Times New Roman"/>
          <w:noProof/>
          <w:lang w:val="en-IE"/>
        </w:rPr>
        <w:t>For that purpose, it includes on one hand important reforms to simplify processes, to update the port planning and to make concessions in Italian ports more competitive. On the other some investments designed to ensure intermodality with the broad lines of European communication developing links with ocean and inter-Mediterranean trafficking, increasing dynamism and the competitiveness of the Italian port system, also with a view to reducing greenhouse emissions. The investments linked to this component are expected to substantially increase passenger and freight volumes in Italian ports with a positive effect on the stimulating economic activities in the respective areas and on the national economy as a whole.</w:t>
      </w:r>
    </w:p>
    <w:p w14:paraId="14A61A49" w14:textId="77777777" w:rsidR="0039681A" w:rsidRPr="00A36E36" w:rsidRDefault="0039681A" w:rsidP="00351087">
      <w:pPr>
        <w:tabs>
          <w:tab w:val="left" w:pos="1134"/>
        </w:tabs>
        <w:spacing w:before="120" w:after="120"/>
        <w:jc w:val="both"/>
        <w:rPr>
          <w:rFonts w:ascii="Times New Roman" w:eastAsia="Calibri" w:hAnsi="Times New Roman" w:cs="Times New Roman"/>
          <w:iCs/>
          <w:noProof/>
          <w:lang w:val="en-IE"/>
        </w:rPr>
      </w:pPr>
      <w:r w:rsidRPr="00A36E36">
        <w:rPr>
          <w:rFonts w:ascii="Times New Roman" w:hAnsi="Times New Roman" w:cs="Times New Roman"/>
          <w:noProof/>
          <w:lang w:val="en-IE"/>
        </w:rPr>
        <w:t xml:space="preserve">On the other hand, this component relates to the digitalisation of logistics systems, including airport systems. It is expected to make these sectors more competitive by using innovative technological solutions to make the system more efficient and also to reduce their environmental impact. </w:t>
      </w:r>
    </w:p>
    <w:p w14:paraId="434B1E8A"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component addresses the 2019 country-specific recommendation 3 urging Italy to ‘Focus investment-related economic policy on the quality of infrastructure’ and the 2020 country-specific recommendation 3 recommending to ‘Focus investment on the green and digital transition, in particular on clean and efficient production and use of energy, research and innovation, sustainable public transport, waste and water management as well as reinforced digital infrastructure to ensure the provision of essential services’.</w:t>
      </w:r>
    </w:p>
    <w:p w14:paraId="33DF5A91"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AA23CA0" w14:textId="77777777" w:rsidR="0039681A" w:rsidRPr="00A36E36" w:rsidRDefault="0039681A" w:rsidP="00351087">
      <w:pPr>
        <w:pStyle w:val="Heading3"/>
        <w:ind w:left="850" w:hanging="850"/>
        <w:rPr>
          <w:rFonts w:ascii="Times New Roman" w:hAnsi="Times New Roman" w:cs="Times New Roman"/>
          <w:b/>
          <w:bCs/>
          <w:i/>
          <w:iCs/>
          <w:noProof/>
          <w:color w:val="156082" w:themeColor="accent1"/>
          <w:u w:val="single"/>
          <w:lang w:val="en-IE"/>
        </w:rPr>
      </w:pPr>
      <w:r w:rsidRPr="00A36E36">
        <w:rPr>
          <w:rFonts w:ascii="Times New Roman" w:hAnsi="Times New Roman" w:cs="Times New Roman"/>
          <w:b/>
          <w:noProof/>
          <w:u w:val="single"/>
          <w:lang w:val="en-IE"/>
        </w:rPr>
        <w:t xml:space="preserve">I.1. </w:t>
      </w:r>
      <w:r w:rsidRPr="00A36E36">
        <w:rPr>
          <w:rFonts w:ascii="Times New Roman" w:hAnsi="Times New Roman" w:cs="Times New Roman"/>
          <w:noProof/>
          <w:lang w:val="en-IE"/>
        </w:rPr>
        <w:tab/>
      </w:r>
      <w:r w:rsidRPr="00A36E36">
        <w:rPr>
          <w:rFonts w:ascii="Times New Roman" w:hAnsi="Times New Roman" w:cs="Times New Roman"/>
          <w:b/>
          <w:noProof/>
          <w:u w:val="single"/>
          <w:lang w:val="en-IE"/>
        </w:rPr>
        <w:t>Description of the reforms and investments for non-repayable financial support</w:t>
      </w:r>
    </w:p>
    <w:p w14:paraId="5CFC98B2" w14:textId="77777777"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noProof/>
          <w:lang w:val="en-IE"/>
        </w:rPr>
        <w:t>Reform 1.1- Simplification of procedures for the strategic planning process</w:t>
      </w:r>
    </w:p>
    <w:p w14:paraId="617AC4F2" w14:textId="77777777" w:rsidR="0039681A" w:rsidRPr="00A36E36" w:rsidRDefault="0039681A" w:rsidP="00351087">
      <w:pPr>
        <w:spacing w:before="120" w:after="120" w:line="257" w:lineRule="auto"/>
        <w:jc w:val="both"/>
        <w:rPr>
          <w:rFonts w:ascii="Times New Roman" w:hAnsi="Times New Roman" w:cs="Times New Roman"/>
          <w:bCs/>
          <w:noProof/>
          <w:lang w:val="en-IE"/>
        </w:rPr>
      </w:pPr>
      <w:r w:rsidRPr="00A36E36">
        <w:rPr>
          <w:rFonts w:ascii="Times New Roman" w:hAnsi="Times New Roman" w:cs="Times New Roman"/>
          <w:noProof/>
          <w:lang w:val="en-IE"/>
        </w:rPr>
        <w:t>This measure envisages the update of port planning to ensure a strategic vision of the Italian ports system. The reform shall regulate as a minimum the (i) the development objectives of the port system authorities; (ii) the areas identified and outlined intended for strictly port and rear-port functions, (iii) the last-mile infrastructural connections of road and rail with ports, (iv) the criteria followed in identifying the contents of the planning and (v) it shall make an unambiguous identification of the guidelines, the rules and the procedures for the preparation of the port regulatory plans.</w:t>
      </w:r>
    </w:p>
    <w:p w14:paraId="3DE2616A" w14:textId="77777777" w:rsidR="0039681A" w:rsidRPr="00A36E36" w:rsidRDefault="0039681A" w:rsidP="00351087">
      <w:pPr>
        <w:spacing w:before="120" w:after="120" w:line="257" w:lineRule="auto"/>
        <w:jc w:val="both"/>
        <w:rPr>
          <w:rFonts w:ascii="Times New Roman" w:hAnsi="Times New Roman" w:cs="Times New Roman"/>
          <w:b/>
          <w:bCs/>
          <w:noProof/>
          <w:lang w:val="en-IE"/>
        </w:rPr>
      </w:pPr>
      <w:r w:rsidRPr="00A36E36">
        <w:rPr>
          <w:rFonts w:ascii="Times New Roman" w:hAnsi="Times New Roman" w:cs="Times New Roman"/>
          <w:b/>
          <w:noProof/>
          <w:lang w:val="en-IE"/>
        </w:rPr>
        <w:t xml:space="preserve">Reform 1.2- Competitive award of concessions in Italian ports </w:t>
      </w:r>
    </w:p>
    <w:p w14:paraId="30BFEFC2" w14:textId="77777777" w:rsidR="0039681A" w:rsidRPr="00A36E36" w:rsidRDefault="0039681A" w:rsidP="00351087">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The aim of this measure is to define conditions relating to the duration of the concession, the supervisory and control powers of the granting authorities, the renewal procedures, the transfer of the facilities to the new concessionaire at the end of the concession and the identification of the minimum limits of the fees charged to the concessionaires.</w:t>
      </w:r>
    </w:p>
    <w:p w14:paraId="4E5DAD8F" w14:textId="77777777" w:rsidR="0039681A" w:rsidRDefault="0039681A" w:rsidP="00351087">
      <w:pPr>
        <w:rPr>
          <w:rFonts w:ascii="Times New Roman" w:hAnsi="Times New Roman" w:cs="Times New Roman"/>
          <w:b/>
          <w:noProof/>
          <w:lang w:val="en-IE"/>
        </w:rPr>
      </w:pPr>
    </w:p>
    <w:p w14:paraId="7AD816BF" w14:textId="77777777" w:rsidR="0039681A" w:rsidRPr="00A36E36" w:rsidRDefault="0039681A" w:rsidP="0035108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 xml:space="preserve">Reform 1.3- Simplification of authorisations for procedures of authorisation of cold ironing in Italian ports </w:t>
      </w:r>
    </w:p>
    <w:p w14:paraId="4EED8862" w14:textId="77777777" w:rsidR="0039681A" w:rsidRPr="00A36E36" w:rsidRDefault="0039681A" w:rsidP="00351087">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This measure is expected to simplify and reduce the authorization procedure concerning construction of the National Electricity Transmission Network plants to power the distribution systems for the supply of electricity to ships (</w:t>
      </w:r>
      <w:r w:rsidRPr="00A36E36">
        <w:rPr>
          <w:rFonts w:ascii="Times New Roman" w:hAnsi="Times New Roman" w:cs="Times New Roman"/>
          <w:i/>
          <w:noProof/>
          <w:lang w:val="en-IE"/>
        </w:rPr>
        <w:t>cold ironing</w:t>
      </w:r>
      <w:r w:rsidRPr="00A36E36">
        <w:rPr>
          <w:rFonts w:ascii="Times New Roman" w:hAnsi="Times New Roman" w:cs="Times New Roman"/>
          <w:noProof/>
          <w:lang w:val="en-IE"/>
        </w:rPr>
        <w:t>).</w:t>
      </w:r>
    </w:p>
    <w:p w14:paraId="09960021" w14:textId="77777777" w:rsidR="0039681A" w:rsidRPr="00A36E36" w:rsidRDefault="0039681A" w:rsidP="00351087">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The Ministry of Infrastructure and Transport shall make a proposal to streamline the authorization process. In particular, it shall be proposed to have the cold ironing projects evaluated by the territorial offices that report to the Ministry of Economic Development, which could, in a shorter time, study the projects and consequently authorize them. Moreover, in terms a regulatory intervention shall be envisaged to identify a single authorization process for projects involving a voltage higher than 132 kV and the rest, in order to exploit the process synergies. </w:t>
      </w:r>
    </w:p>
    <w:p w14:paraId="5A8FB460" w14:textId="77777777" w:rsidR="0039681A" w:rsidRPr="00A36E36" w:rsidRDefault="0039681A" w:rsidP="0035108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Reform 2.1: Implementation of a Single Customs Window (“Sportello Unico Doganale”)</w:t>
      </w:r>
    </w:p>
    <w:p w14:paraId="56079E2A"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is to create a dedicated portal for the Single Control Desk, which shall enable interoperability with national databases and coordination of control activities by customs.</w:t>
      </w:r>
    </w:p>
    <w:p w14:paraId="7D4BA28C"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2.1: Digitalisation of the logistic chain</w:t>
      </w:r>
    </w:p>
    <w:p w14:paraId="59A7C746"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increase the competitiveness of the national logistics by simplifying procedures, processes and controls and focusing on the de-materialisation of documents and the exchange of data and information. This investment consists in the creation of an interoperable digital system between public and private actors for freight and logistics.</w:t>
      </w:r>
    </w:p>
    <w:p w14:paraId="2085A97F" w14:textId="77777777" w:rsidR="0039681A" w:rsidRPr="00647572" w:rsidRDefault="0039681A" w:rsidP="00351087">
      <w:pPr>
        <w:pStyle w:val="paragraph"/>
        <w:spacing w:before="0" w:beforeAutospacing="0" w:after="0" w:afterAutospacing="0"/>
        <w:jc w:val="both"/>
        <w:textAlignment w:val="baseline"/>
        <w:rPr>
          <w:noProof/>
          <w:sz w:val="18"/>
          <w:szCs w:val="18"/>
          <w:lang w:val="en-GB"/>
        </w:rPr>
      </w:pPr>
      <w:r w:rsidRPr="00647572">
        <w:rPr>
          <w:rStyle w:val="normaltextrun"/>
          <w:b/>
          <w:noProof/>
          <w:lang w:val="en-GB"/>
        </w:rPr>
        <w:t>Investment 2.3: Cold ironing</w:t>
      </w:r>
      <w:r w:rsidRPr="00647572">
        <w:rPr>
          <w:rStyle w:val="eop"/>
          <w:noProof/>
          <w:lang w:val="en-GB"/>
        </w:rPr>
        <w:t xml:space="preserve"> </w:t>
      </w:r>
    </w:p>
    <w:p w14:paraId="42C43511" w14:textId="59E9E214" w:rsidR="0039681A" w:rsidRDefault="0039681A" w:rsidP="00351087">
      <w:pPr>
        <w:pStyle w:val="paragraph"/>
        <w:spacing w:line="278" w:lineRule="auto"/>
        <w:jc w:val="both"/>
        <w:rPr>
          <w:rStyle w:val="normaltextrun"/>
          <w:noProof/>
          <w:sz w:val="22"/>
          <w:szCs w:val="22"/>
          <w:lang w:val="en-GB"/>
        </w:rPr>
      </w:pPr>
      <w:r w:rsidRPr="3C8E4664">
        <w:rPr>
          <w:rStyle w:val="normaltextrun"/>
          <w:noProof/>
          <w:sz w:val="22"/>
          <w:szCs w:val="22"/>
          <w:lang w:val="en-GB"/>
        </w:rPr>
        <w:t xml:space="preserve">The objective of this investment is to reduce greenhouse gas emissions of the maritime sector. This investment consists in building cold ironing infrastructure for the supply of electricity in ports and the related connection infrastructure to the national transmission grid. </w:t>
      </w:r>
    </w:p>
    <w:p w14:paraId="7C34B566" w14:textId="77777777" w:rsidR="0039681A" w:rsidRPr="00647572" w:rsidRDefault="0039681A" w:rsidP="00351087">
      <w:pPr>
        <w:pStyle w:val="paragraph"/>
        <w:spacing w:line="278" w:lineRule="auto"/>
        <w:jc w:val="both"/>
        <w:rPr>
          <w:rStyle w:val="eop"/>
          <w:noProof/>
          <w:sz w:val="22"/>
          <w:szCs w:val="22"/>
          <w:lang w:val="en-GB"/>
        </w:rPr>
        <w:sectPr w:rsidR="0039681A" w:rsidRPr="00647572" w:rsidSect="0039681A">
          <w:headerReference w:type="even" r:id="rId133"/>
          <w:headerReference w:type="default" r:id="rId134"/>
          <w:footerReference w:type="default" r:id="rId135"/>
          <w:headerReference w:type="first" r:id="rId136"/>
          <w:pgSz w:w="11906" w:h="16838"/>
          <w:pgMar w:top="1440" w:right="1440" w:bottom="1440" w:left="1440" w:header="708" w:footer="708" w:gutter="0"/>
          <w:cols w:space="708"/>
          <w:docGrid w:linePitch="360"/>
        </w:sectPr>
      </w:pPr>
      <w:r w:rsidRPr="00647572">
        <w:rPr>
          <w:rStyle w:val="eop"/>
          <w:noProof/>
          <w:sz w:val="22"/>
          <w:szCs w:val="22"/>
          <w:lang w:val="en-GB"/>
        </w:rPr>
        <w:t xml:space="preserve"> </w:t>
      </w:r>
    </w:p>
    <w:p w14:paraId="0D1FFD4C"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I.2.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1366"/>
        <w:gridCol w:w="992"/>
        <w:gridCol w:w="1401"/>
        <w:gridCol w:w="1527"/>
        <w:gridCol w:w="1076"/>
        <w:gridCol w:w="957"/>
        <w:gridCol w:w="774"/>
        <w:gridCol w:w="1404"/>
        <w:gridCol w:w="639"/>
        <w:gridCol w:w="3583"/>
      </w:tblGrid>
      <w:tr w:rsidR="0039681A" w:rsidRPr="0070054C" w14:paraId="66612440" w14:textId="77777777" w:rsidTr="00351087">
        <w:trPr>
          <w:trHeight w:val="927"/>
          <w:tblHeader/>
          <w:jc w:val="center"/>
        </w:trPr>
        <w:tc>
          <w:tcPr>
            <w:tcW w:w="1051" w:type="dxa"/>
            <w:vMerge w:val="restart"/>
            <w:shd w:val="clear" w:color="auto" w:fill="BDD7EE"/>
            <w:vAlign w:val="center"/>
            <w:hideMark/>
          </w:tcPr>
          <w:p w14:paraId="1F450E2D" w14:textId="77777777" w:rsidR="0039681A" w:rsidRPr="00647572" w:rsidRDefault="0039681A">
            <w:pPr>
              <w:jc w:val="center"/>
              <w:rPr>
                <w:rFonts w:ascii="Arial Narrow" w:hAnsi="Arial Narrow"/>
                <w:b/>
                <w:noProof/>
                <w:sz w:val="20"/>
                <w:szCs w:val="20"/>
              </w:rPr>
            </w:pPr>
            <w:r>
              <w:rPr>
                <w:rFonts w:ascii="Arial Narrow" w:hAnsi="Arial Narrow"/>
                <w:b/>
                <w:noProof/>
                <w:sz w:val="20"/>
              </w:rPr>
              <w:t>S</w:t>
            </w:r>
            <w:r w:rsidRPr="00647572">
              <w:rPr>
                <w:rFonts w:ascii="Arial Narrow" w:hAnsi="Arial Narrow"/>
                <w:b/>
                <w:noProof/>
                <w:sz w:val="20"/>
              </w:rPr>
              <w:t>equential Number</w:t>
            </w:r>
          </w:p>
        </w:tc>
        <w:tc>
          <w:tcPr>
            <w:tcW w:w="1345" w:type="dxa"/>
            <w:vMerge w:val="restart"/>
            <w:shd w:val="clear" w:color="auto" w:fill="BDD7EE"/>
            <w:vAlign w:val="center"/>
            <w:hideMark/>
          </w:tcPr>
          <w:p w14:paraId="373D855A"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977" w:type="dxa"/>
            <w:vMerge w:val="restart"/>
            <w:shd w:val="clear" w:color="auto" w:fill="BDD7EE"/>
            <w:vAlign w:val="center"/>
            <w:hideMark/>
          </w:tcPr>
          <w:p w14:paraId="4E319F97"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Milestone / Target</w:t>
            </w:r>
          </w:p>
        </w:tc>
        <w:tc>
          <w:tcPr>
            <w:tcW w:w="1380" w:type="dxa"/>
            <w:vMerge w:val="restart"/>
            <w:shd w:val="clear" w:color="auto" w:fill="BDD7EE"/>
            <w:vAlign w:val="center"/>
            <w:hideMark/>
          </w:tcPr>
          <w:p w14:paraId="60C45226"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Name</w:t>
            </w:r>
          </w:p>
        </w:tc>
        <w:tc>
          <w:tcPr>
            <w:tcW w:w="1504" w:type="dxa"/>
            <w:vMerge w:val="restart"/>
            <w:shd w:val="clear" w:color="auto" w:fill="BDD7EE"/>
            <w:vAlign w:val="center"/>
            <w:hideMark/>
          </w:tcPr>
          <w:p w14:paraId="66906407"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2764" w:type="dxa"/>
            <w:gridSpan w:val="3"/>
            <w:shd w:val="clear" w:color="auto" w:fill="BDD7EE"/>
            <w:vAlign w:val="center"/>
            <w:hideMark/>
          </w:tcPr>
          <w:p w14:paraId="4C5A53C8"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2012" w:type="dxa"/>
            <w:gridSpan w:val="2"/>
            <w:shd w:val="clear" w:color="auto" w:fill="BDD7EE"/>
            <w:vAlign w:val="center"/>
            <w:hideMark/>
          </w:tcPr>
          <w:p w14:paraId="404D076F"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3528" w:type="dxa"/>
            <w:vMerge w:val="restart"/>
            <w:shd w:val="clear" w:color="auto" w:fill="BDD7EE"/>
            <w:vAlign w:val="center"/>
            <w:hideMark/>
          </w:tcPr>
          <w:p w14:paraId="6622F6C0"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10B73A91" w14:textId="77777777" w:rsidTr="00351087">
        <w:trPr>
          <w:trHeight w:val="1013"/>
          <w:tblHeader/>
          <w:jc w:val="center"/>
        </w:trPr>
        <w:tc>
          <w:tcPr>
            <w:tcW w:w="1051" w:type="dxa"/>
            <w:vMerge/>
            <w:vAlign w:val="center"/>
            <w:hideMark/>
          </w:tcPr>
          <w:p w14:paraId="37B898CC" w14:textId="77777777" w:rsidR="0039681A" w:rsidRPr="00A36E36" w:rsidRDefault="0039681A">
            <w:pPr>
              <w:jc w:val="center"/>
              <w:rPr>
                <w:rFonts w:ascii="Arial Narrow" w:hAnsi="Arial Narrow"/>
                <w:b/>
                <w:bCs/>
                <w:noProof/>
                <w:sz w:val="20"/>
                <w:szCs w:val="20"/>
                <w:lang w:val="en-IE"/>
              </w:rPr>
            </w:pPr>
          </w:p>
        </w:tc>
        <w:tc>
          <w:tcPr>
            <w:tcW w:w="1345" w:type="dxa"/>
            <w:vMerge/>
            <w:vAlign w:val="center"/>
            <w:hideMark/>
          </w:tcPr>
          <w:p w14:paraId="3FCA9304" w14:textId="77777777" w:rsidR="0039681A" w:rsidRPr="00A36E36" w:rsidRDefault="0039681A">
            <w:pPr>
              <w:jc w:val="center"/>
              <w:rPr>
                <w:rFonts w:ascii="Arial Narrow" w:hAnsi="Arial Narrow"/>
                <w:b/>
                <w:bCs/>
                <w:noProof/>
                <w:sz w:val="20"/>
                <w:szCs w:val="20"/>
                <w:lang w:val="en-IE"/>
              </w:rPr>
            </w:pPr>
          </w:p>
        </w:tc>
        <w:tc>
          <w:tcPr>
            <w:tcW w:w="977" w:type="dxa"/>
            <w:vMerge/>
            <w:vAlign w:val="center"/>
            <w:hideMark/>
          </w:tcPr>
          <w:p w14:paraId="5976D02D" w14:textId="77777777" w:rsidR="0039681A" w:rsidRPr="00A36E36" w:rsidRDefault="0039681A">
            <w:pPr>
              <w:jc w:val="center"/>
              <w:rPr>
                <w:rFonts w:ascii="Arial Narrow" w:hAnsi="Arial Narrow"/>
                <w:b/>
                <w:bCs/>
                <w:noProof/>
                <w:sz w:val="20"/>
                <w:szCs w:val="20"/>
                <w:lang w:val="en-IE"/>
              </w:rPr>
            </w:pPr>
          </w:p>
        </w:tc>
        <w:tc>
          <w:tcPr>
            <w:tcW w:w="1380" w:type="dxa"/>
            <w:vMerge/>
            <w:vAlign w:val="center"/>
            <w:hideMark/>
          </w:tcPr>
          <w:p w14:paraId="3E1D3261" w14:textId="77777777" w:rsidR="0039681A" w:rsidRPr="00A36E36" w:rsidRDefault="0039681A">
            <w:pPr>
              <w:jc w:val="center"/>
              <w:rPr>
                <w:rFonts w:ascii="Arial Narrow" w:hAnsi="Arial Narrow"/>
                <w:b/>
                <w:bCs/>
                <w:noProof/>
                <w:sz w:val="20"/>
                <w:szCs w:val="20"/>
                <w:lang w:val="en-IE"/>
              </w:rPr>
            </w:pPr>
          </w:p>
        </w:tc>
        <w:tc>
          <w:tcPr>
            <w:tcW w:w="1504" w:type="dxa"/>
            <w:vMerge/>
            <w:vAlign w:val="center"/>
            <w:hideMark/>
          </w:tcPr>
          <w:p w14:paraId="01227986" w14:textId="77777777" w:rsidR="0039681A" w:rsidRPr="00A36E36" w:rsidRDefault="0039681A">
            <w:pPr>
              <w:jc w:val="center"/>
              <w:rPr>
                <w:rFonts w:ascii="Arial Narrow" w:hAnsi="Arial Narrow"/>
                <w:b/>
                <w:bCs/>
                <w:noProof/>
                <w:sz w:val="20"/>
                <w:szCs w:val="20"/>
                <w:lang w:val="en-IE"/>
              </w:rPr>
            </w:pPr>
          </w:p>
        </w:tc>
        <w:tc>
          <w:tcPr>
            <w:tcW w:w="1060" w:type="dxa"/>
            <w:shd w:val="clear" w:color="auto" w:fill="BDD7EE"/>
            <w:vAlign w:val="center"/>
            <w:hideMark/>
          </w:tcPr>
          <w:p w14:paraId="229CCBB2"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Unit of measure</w:t>
            </w:r>
          </w:p>
        </w:tc>
        <w:tc>
          <w:tcPr>
            <w:tcW w:w="942" w:type="dxa"/>
            <w:shd w:val="clear" w:color="auto" w:fill="BDD7EE"/>
            <w:vAlign w:val="center"/>
            <w:hideMark/>
          </w:tcPr>
          <w:p w14:paraId="743F201D"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Baseline</w:t>
            </w:r>
          </w:p>
        </w:tc>
        <w:tc>
          <w:tcPr>
            <w:tcW w:w="762" w:type="dxa"/>
            <w:shd w:val="clear" w:color="auto" w:fill="BDD7EE"/>
            <w:vAlign w:val="center"/>
            <w:hideMark/>
          </w:tcPr>
          <w:p w14:paraId="34BFE392"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Goal</w:t>
            </w:r>
          </w:p>
        </w:tc>
        <w:tc>
          <w:tcPr>
            <w:tcW w:w="1383" w:type="dxa"/>
            <w:shd w:val="clear" w:color="auto" w:fill="BDD7EE"/>
            <w:vAlign w:val="center"/>
            <w:hideMark/>
          </w:tcPr>
          <w:p w14:paraId="408A30FB"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Quarter</w:t>
            </w:r>
          </w:p>
        </w:tc>
        <w:tc>
          <w:tcPr>
            <w:tcW w:w="629" w:type="dxa"/>
            <w:shd w:val="clear" w:color="auto" w:fill="BDD7EE"/>
            <w:vAlign w:val="center"/>
            <w:hideMark/>
          </w:tcPr>
          <w:p w14:paraId="1085D7F7"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Year</w:t>
            </w:r>
          </w:p>
        </w:tc>
        <w:tc>
          <w:tcPr>
            <w:tcW w:w="3528" w:type="dxa"/>
            <w:vMerge/>
            <w:vAlign w:val="center"/>
            <w:hideMark/>
          </w:tcPr>
          <w:p w14:paraId="79BADCD8" w14:textId="77777777" w:rsidR="0039681A" w:rsidRPr="00647572" w:rsidRDefault="0039681A">
            <w:pPr>
              <w:rPr>
                <w:rFonts w:ascii="Arial Narrow" w:hAnsi="Arial Narrow"/>
                <w:b/>
                <w:bCs/>
                <w:noProof/>
                <w:sz w:val="20"/>
                <w:szCs w:val="20"/>
              </w:rPr>
            </w:pPr>
          </w:p>
        </w:tc>
      </w:tr>
      <w:tr w:rsidR="0039681A" w:rsidRPr="0070054C" w14:paraId="6334CE7F" w14:textId="77777777" w:rsidTr="00351087">
        <w:trPr>
          <w:trHeight w:val="309"/>
          <w:jc w:val="center"/>
        </w:trPr>
        <w:tc>
          <w:tcPr>
            <w:tcW w:w="1051" w:type="dxa"/>
            <w:shd w:val="clear" w:color="auto" w:fill="C6EFCE"/>
            <w:noWrap/>
            <w:vAlign w:val="center"/>
            <w:hideMark/>
          </w:tcPr>
          <w:p w14:paraId="604E75F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M3C2-1</w:t>
            </w:r>
          </w:p>
        </w:tc>
        <w:tc>
          <w:tcPr>
            <w:tcW w:w="1345" w:type="dxa"/>
            <w:shd w:val="clear" w:color="auto" w:fill="C6EFCE"/>
            <w:noWrap/>
            <w:vAlign w:val="center"/>
          </w:tcPr>
          <w:p w14:paraId="3D103B6E" w14:textId="77777777" w:rsidR="0039681A" w:rsidRPr="00A36E36" w:rsidRDefault="0039681A">
            <w:pPr>
              <w:spacing w:line="257"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1.1- Simplification of procedures for the strategic planning process</w:t>
            </w:r>
          </w:p>
        </w:tc>
        <w:tc>
          <w:tcPr>
            <w:tcW w:w="977" w:type="dxa"/>
            <w:shd w:val="clear" w:color="auto" w:fill="C6EFCE"/>
            <w:noWrap/>
            <w:vAlign w:val="center"/>
          </w:tcPr>
          <w:p w14:paraId="32C4B55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80" w:type="dxa"/>
            <w:shd w:val="clear" w:color="auto" w:fill="C6EFCE"/>
            <w:noWrap/>
            <w:vAlign w:val="center"/>
          </w:tcPr>
          <w:p w14:paraId="3F6E98C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legislative modifications related to the simplification of the procedures for the strategic planning process</w:t>
            </w:r>
          </w:p>
        </w:tc>
        <w:tc>
          <w:tcPr>
            <w:tcW w:w="1504" w:type="dxa"/>
            <w:shd w:val="clear" w:color="auto" w:fill="C6EFCE"/>
            <w:noWrap/>
            <w:vAlign w:val="center"/>
          </w:tcPr>
          <w:p w14:paraId="10E8355C"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legal act(s) indicating the entry into force of the legislative modifications related to the simplification of the procedures for the strategic planning process</w:t>
            </w:r>
          </w:p>
        </w:tc>
        <w:tc>
          <w:tcPr>
            <w:tcW w:w="1060" w:type="dxa"/>
            <w:shd w:val="clear" w:color="auto" w:fill="C6EFCE"/>
            <w:noWrap/>
            <w:vAlign w:val="center"/>
          </w:tcPr>
          <w:p w14:paraId="3753B1D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2" w:type="dxa"/>
            <w:shd w:val="clear" w:color="auto" w:fill="C6EFCE"/>
            <w:noWrap/>
            <w:vAlign w:val="center"/>
          </w:tcPr>
          <w:p w14:paraId="20DA270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762" w:type="dxa"/>
            <w:shd w:val="clear" w:color="auto" w:fill="C6EFCE"/>
            <w:noWrap/>
            <w:vAlign w:val="center"/>
          </w:tcPr>
          <w:p w14:paraId="6C18DC1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383" w:type="dxa"/>
            <w:shd w:val="clear" w:color="auto" w:fill="C6EFCE"/>
            <w:noWrap/>
            <w:vAlign w:val="center"/>
          </w:tcPr>
          <w:p w14:paraId="10BF307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9" w:type="dxa"/>
            <w:shd w:val="clear" w:color="auto" w:fill="C6EFCE"/>
            <w:noWrap/>
            <w:vAlign w:val="center"/>
          </w:tcPr>
          <w:p w14:paraId="11B26F2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528" w:type="dxa"/>
            <w:shd w:val="clear" w:color="auto" w:fill="C6EFCE"/>
            <w:noWrap/>
            <w:vAlign w:val="center"/>
          </w:tcPr>
          <w:p w14:paraId="055E76DF"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revised legislative framework shall set out that,</w:t>
            </w:r>
          </w:p>
          <w:p w14:paraId="140304BC"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All port authorities shall adopt their System Strategic Planning Documents (DPSS) and their Port Regulatory Plans (PRP) fully taking into account the reform of Italian ports systems of 2016 as approved by the Legislative Decree N° 169 of 4 August 2016.</w:t>
            </w:r>
          </w:p>
          <w:p w14:paraId="52D94ADB"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DPSS shall as a minimum regulate the following elements:</w:t>
            </w:r>
          </w:p>
          <w:p w14:paraId="751993FD"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development of the objectives of the port system authorities;</w:t>
            </w:r>
          </w:p>
          <w:p w14:paraId="714F4858"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areas identified and outlined intended for strictly port and rear-port functions,</w:t>
            </w:r>
          </w:p>
          <w:p w14:paraId="0997467E"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last-mile infrastructural connections of road and rail with ports,</w:t>
            </w:r>
          </w:p>
          <w:p w14:paraId="0B780041"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criteria followed in identifying the contents of the planning,</w:t>
            </w:r>
          </w:p>
          <w:p w14:paraId="15AE8519"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-Make an unambiguous identification of the guidelines, the rules and the procedures for the preparation of the port regulatory plans.</w:t>
            </w:r>
          </w:p>
        </w:tc>
      </w:tr>
      <w:tr w:rsidR="0039681A" w:rsidRPr="0070054C" w14:paraId="0BC70F96" w14:textId="77777777" w:rsidTr="00351087">
        <w:trPr>
          <w:trHeight w:val="309"/>
          <w:jc w:val="center"/>
        </w:trPr>
        <w:tc>
          <w:tcPr>
            <w:tcW w:w="1051" w:type="dxa"/>
            <w:shd w:val="clear" w:color="auto" w:fill="C6EFCE"/>
            <w:noWrap/>
            <w:vAlign w:val="center"/>
          </w:tcPr>
          <w:p w14:paraId="7BE2C3B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M3C2-2</w:t>
            </w:r>
          </w:p>
        </w:tc>
        <w:tc>
          <w:tcPr>
            <w:tcW w:w="1345" w:type="dxa"/>
            <w:shd w:val="clear" w:color="auto" w:fill="C6EFCE"/>
            <w:noWrap/>
            <w:vAlign w:val="center"/>
          </w:tcPr>
          <w:p w14:paraId="457C0F3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1.2- Competitive award of concessions in Italian ports</w:t>
            </w:r>
          </w:p>
        </w:tc>
        <w:tc>
          <w:tcPr>
            <w:tcW w:w="977" w:type="dxa"/>
            <w:shd w:val="clear" w:color="auto" w:fill="C6EFCE"/>
            <w:noWrap/>
            <w:vAlign w:val="center"/>
          </w:tcPr>
          <w:p w14:paraId="435F831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80" w:type="dxa"/>
            <w:shd w:val="clear" w:color="auto" w:fill="C6EFCE"/>
            <w:noWrap/>
            <w:vAlign w:val="center"/>
          </w:tcPr>
          <w:p w14:paraId="4234333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Regulation on port concessions</w:t>
            </w:r>
          </w:p>
        </w:tc>
        <w:tc>
          <w:tcPr>
            <w:tcW w:w="1504" w:type="dxa"/>
            <w:shd w:val="clear" w:color="auto" w:fill="C6EFCE"/>
            <w:noWrap/>
            <w:vAlign w:val="center"/>
          </w:tcPr>
          <w:p w14:paraId="679C969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Regulation indicating the entry into force of the Regulation on port concessions</w:t>
            </w:r>
          </w:p>
        </w:tc>
        <w:tc>
          <w:tcPr>
            <w:tcW w:w="1060" w:type="dxa"/>
            <w:shd w:val="clear" w:color="auto" w:fill="C6EFCE"/>
            <w:noWrap/>
            <w:vAlign w:val="center"/>
          </w:tcPr>
          <w:p w14:paraId="7D4B37F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2" w:type="dxa"/>
            <w:shd w:val="clear" w:color="auto" w:fill="C6EFCE"/>
            <w:noWrap/>
            <w:vAlign w:val="center"/>
          </w:tcPr>
          <w:p w14:paraId="49AECF4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762" w:type="dxa"/>
            <w:shd w:val="clear" w:color="auto" w:fill="C6EFCE"/>
            <w:noWrap/>
            <w:vAlign w:val="center"/>
          </w:tcPr>
          <w:p w14:paraId="5252BAD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383" w:type="dxa"/>
            <w:shd w:val="clear" w:color="auto" w:fill="C6EFCE"/>
            <w:noWrap/>
            <w:vAlign w:val="center"/>
          </w:tcPr>
          <w:p w14:paraId="4AD5F6E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9" w:type="dxa"/>
            <w:shd w:val="clear" w:color="auto" w:fill="C6EFCE"/>
            <w:noWrap/>
            <w:vAlign w:val="center"/>
          </w:tcPr>
          <w:p w14:paraId="0D6F173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528" w:type="dxa"/>
            <w:shd w:val="clear" w:color="auto" w:fill="C6EFCE"/>
            <w:noWrap/>
            <w:vAlign w:val="center"/>
          </w:tcPr>
          <w:p w14:paraId="79D9DA5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new Regulation shall define the framework conditions for the award of the concessions in ports. The Regulation shall set out as a minimum:</w:t>
            </w:r>
          </w:p>
          <w:p w14:paraId="359A1B24"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conditions relating to the duration of the concession;</w:t>
            </w:r>
          </w:p>
          <w:p w14:paraId="740FFE54"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supervisory and control powers of the granting authorities;</w:t>
            </w:r>
          </w:p>
          <w:p w14:paraId="249CDCF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methods of renewal;</w:t>
            </w:r>
          </w:p>
          <w:p w14:paraId="30D4F047"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transfer of the plants to the new concession holder at the end of the concession;</w:t>
            </w:r>
          </w:p>
          <w:p w14:paraId="7412AEC1"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limits minimum fees to be paid by licensees.</w:t>
            </w:r>
          </w:p>
        </w:tc>
      </w:tr>
      <w:tr w:rsidR="0039681A" w:rsidRPr="0070054C" w14:paraId="37EB7F40" w14:textId="77777777" w:rsidTr="00351087">
        <w:trPr>
          <w:trHeight w:val="309"/>
          <w:jc w:val="center"/>
        </w:trPr>
        <w:tc>
          <w:tcPr>
            <w:tcW w:w="1051" w:type="dxa"/>
            <w:shd w:val="clear" w:color="auto" w:fill="C6EFCE"/>
            <w:noWrap/>
            <w:vAlign w:val="center"/>
          </w:tcPr>
          <w:p w14:paraId="6EADAF80"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M3C2-3</w:t>
            </w:r>
            <w:r w:rsidRPr="00647572">
              <w:rPr>
                <w:rStyle w:val="eop"/>
                <w:rFonts w:ascii="Arial Narrow" w:hAnsi="Arial Narrow"/>
                <w:noProof/>
                <w:color w:val="006100"/>
                <w:sz w:val="20"/>
              </w:rPr>
              <w:t xml:space="preserve"> </w:t>
            </w:r>
          </w:p>
        </w:tc>
        <w:tc>
          <w:tcPr>
            <w:tcW w:w="1345" w:type="dxa"/>
            <w:shd w:val="clear" w:color="auto" w:fill="C6EFCE"/>
            <w:noWrap/>
            <w:vAlign w:val="center"/>
          </w:tcPr>
          <w:p w14:paraId="1832C2A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2.1- Implementation of a Single Customs Window (“Sportello Unico Doganale”) </w:t>
            </w:r>
          </w:p>
        </w:tc>
        <w:tc>
          <w:tcPr>
            <w:tcW w:w="977" w:type="dxa"/>
            <w:shd w:val="clear" w:color="auto" w:fill="C6EFCE"/>
            <w:noWrap/>
            <w:vAlign w:val="center"/>
          </w:tcPr>
          <w:p w14:paraId="6E63466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 </w:t>
            </w:r>
          </w:p>
        </w:tc>
        <w:tc>
          <w:tcPr>
            <w:tcW w:w="1380" w:type="dxa"/>
            <w:shd w:val="clear" w:color="auto" w:fill="C6EFCE"/>
            <w:noWrap/>
            <w:vAlign w:val="center"/>
          </w:tcPr>
          <w:p w14:paraId="718FE7C7" w14:textId="77777777" w:rsidR="0039681A" w:rsidRPr="00647572" w:rsidRDefault="0039681A">
            <w:pPr>
              <w:pStyle w:val="paragraph"/>
              <w:spacing w:before="0" w:beforeAutospacing="0" w:after="0" w:afterAutospacing="0"/>
              <w:jc w:val="center"/>
              <w:textAlignment w:val="baseline"/>
              <w:rPr>
                <w:rFonts w:ascii="Arial Narrow" w:hAnsi="Arial Narrow"/>
                <w:noProof/>
                <w:color w:val="006100"/>
                <w:sz w:val="20"/>
                <w:szCs w:val="20"/>
                <w:lang w:val="en-GB"/>
              </w:rPr>
            </w:pPr>
            <w:r w:rsidRPr="00647572">
              <w:rPr>
                <w:rFonts w:ascii="Arial Narrow" w:hAnsi="Arial Narrow"/>
                <w:noProof/>
                <w:color w:val="006100"/>
                <w:sz w:val="20"/>
                <w:lang w:val="en-GB"/>
              </w:rPr>
              <w:t xml:space="preserve">Entry into force of the Decree on the Single Customs </w:t>
            </w:r>
          </w:p>
          <w:p w14:paraId="38BBB6E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Desk (Sportello Unico Doganale) </w:t>
            </w:r>
          </w:p>
        </w:tc>
        <w:tc>
          <w:tcPr>
            <w:tcW w:w="1504" w:type="dxa"/>
            <w:shd w:val="clear" w:color="auto" w:fill="C6EFCE"/>
            <w:noWrap/>
            <w:vAlign w:val="center"/>
          </w:tcPr>
          <w:p w14:paraId="14648E4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Decree on the Single Customs Desk (Sportello Unico Doganale) </w:t>
            </w:r>
          </w:p>
        </w:tc>
        <w:tc>
          <w:tcPr>
            <w:tcW w:w="1060" w:type="dxa"/>
            <w:shd w:val="clear" w:color="auto" w:fill="C6EFCE"/>
            <w:noWrap/>
            <w:vAlign w:val="center"/>
          </w:tcPr>
          <w:p w14:paraId="70B29214"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 </w:t>
            </w:r>
          </w:p>
        </w:tc>
        <w:tc>
          <w:tcPr>
            <w:tcW w:w="942" w:type="dxa"/>
            <w:shd w:val="clear" w:color="auto" w:fill="C6EFCE"/>
            <w:noWrap/>
            <w:vAlign w:val="center"/>
          </w:tcPr>
          <w:p w14:paraId="0D9AFF22"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 </w:t>
            </w:r>
          </w:p>
        </w:tc>
        <w:tc>
          <w:tcPr>
            <w:tcW w:w="762" w:type="dxa"/>
            <w:shd w:val="clear" w:color="auto" w:fill="C6EFCE"/>
            <w:noWrap/>
            <w:vAlign w:val="center"/>
          </w:tcPr>
          <w:p w14:paraId="0E3A6431"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 </w:t>
            </w:r>
          </w:p>
        </w:tc>
        <w:tc>
          <w:tcPr>
            <w:tcW w:w="1383" w:type="dxa"/>
            <w:shd w:val="clear" w:color="auto" w:fill="C6EFCE"/>
            <w:noWrap/>
            <w:vAlign w:val="center"/>
          </w:tcPr>
          <w:p w14:paraId="71225F0D"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Q4 </w:t>
            </w:r>
          </w:p>
        </w:tc>
        <w:tc>
          <w:tcPr>
            <w:tcW w:w="629" w:type="dxa"/>
            <w:shd w:val="clear" w:color="auto" w:fill="C6EFCE"/>
            <w:noWrap/>
            <w:vAlign w:val="center"/>
          </w:tcPr>
          <w:p w14:paraId="4EA558DA"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2021 </w:t>
            </w:r>
          </w:p>
        </w:tc>
        <w:tc>
          <w:tcPr>
            <w:tcW w:w="3528" w:type="dxa"/>
            <w:shd w:val="clear" w:color="auto" w:fill="C6EFCE"/>
            <w:noWrap/>
            <w:vAlign w:val="center"/>
          </w:tcPr>
          <w:p w14:paraId="384E890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Decree shall define the methods and specifications of the Single Customs Desk in compliance with Regulation (EU) 1239/2019 on the implementation of the European Maritime Single Window and with the Regulation (EU) 2020/1056 of the European Parliament and of the Council of 15 July 2020 on electronic freight transport information (eFTI). </w:t>
            </w:r>
          </w:p>
        </w:tc>
      </w:tr>
      <w:tr w:rsidR="0039681A" w:rsidRPr="0070054C" w14:paraId="0C139951" w14:textId="77777777" w:rsidTr="00351087">
        <w:trPr>
          <w:trHeight w:val="309"/>
          <w:jc w:val="center"/>
        </w:trPr>
        <w:tc>
          <w:tcPr>
            <w:tcW w:w="1051" w:type="dxa"/>
            <w:shd w:val="clear" w:color="auto" w:fill="C6EFCE"/>
            <w:noWrap/>
            <w:vAlign w:val="center"/>
          </w:tcPr>
          <w:p w14:paraId="607D8C7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M3C2-4</w:t>
            </w:r>
          </w:p>
        </w:tc>
        <w:tc>
          <w:tcPr>
            <w:tcW w:w="1345" w:type="dxa"/>
            <w:shd w:val="clear" w:color="auto" w:fill="C6EFCE"/>
            <w:noWrap/>
            <w:vAlign w:val="center"/>
          </w:tcPr>
          <w:p w14:paraId="4B81D538"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1.3- Simplification of authorisation procedures for cold ironing plants</w:t>
            </w:r>
          </w:p>
        </w:tc>
        <w:tc>
          <w:tcPr>
            <w:tcW w:w="977" w:type="dxa"/>
            <w:shd w:val="clear" w:color="auto" w:fill="C6EFCE"/>
            <w:noWrap/>
            <w:vAlign w:val="center"/>
          </w:tcPr>
          <w:p w14:paraId="4EDD9D1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80" w:type="dxa"/>
            <w:shd w:val="clear" w:color="auto" w:fill="C6EFCE"/>
            <w:noWrap/>
            <w:vAlign w:val="center"/>
          </w:tcPr>
          <w:p w14:paraId="26E0235E" w14:textId="2C43DE58" w:rsidR="0039681A" w:rsidRPr="00A36E36" w:rsidRDefault="0039681A">
            <w:pPr>
              <w:spacing w:line="257"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simplification of authorisation procedures for</w:t>
            </w:r>
            <w:r w:rsidR="00381DB1">
              <w:rPr>
                <w:rFonts w:ascii="Arial Narrow" w:hAnsi="Arial Narrow"/>
                <w:noProof/>
                <w:color w:val="006100"/>
                <w:sz w:val="20"/>
                <w:lang w:val="en-IE"/>
              </w:rPr>
              <w:t xml:space="preserve"> </w:t>
            </w:r>
            <w:r w:rsidRPr="00A36E36">
              <w:rPr>
                <w:rFonts w:ascii="Arial Narrow" w:hAnsi="Arial Narrow"/>
                <w:noProof/>
                <w:color w:val="006100"/>
                <w:sz w:val="20"/>
                <w:lang w:val="en-IE"/>
              </w:rPr>
              <w:t>cold ironing plants</w:t>
            </w:r>
          </w:p>
        </w:tc>
        <w:tc>
          <w:tcPr>
            <w:tcW w:w="1504" w:type="dxa"/>
            <w:shd w:val="clear" w:color="auto" w:fill="C6EFCE"/>
            <w:noWrap/>
            <w:vAlign w:val="center"/>
          </w:tcPr>
          <w:p w14:paraId="7FB9A6D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Legal provision indicating the entry into force of the simplification of authorisation procedures for cold ironing plants</w:t>
            </w:r>
          </w:p>
        </w:tc>
        <w:tc>
          <w:tcPr>
            <w:tcW w:w="1060" w:type="dxa"/>
            <w:shd w:val="clear" w:color="auto" w:fill="C6EFCE"/>
            <w:noWrap/>
            <w:vAlign w:val="center"/>
          </w:tcPr>
          <w:p w14:paraId="104249D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2" w:type="dxa"/>
            <w:shd w:val="clear" w:color="auto" w:fill="C6EFCE"/>
            <w:noWrap/>
            <w:vAlign w:val="center"/>
          </w:tcPr>
          <w:p w14:paraId="5A179EB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762" w:type="dxa"/>
            <w:shd w:val="clear" w:color="auto" w:fill="C6EFCE"/>
            <w:noWrap/>
            <w:vAlign w:val="center"/>
          </w:tcPr>
          <w:p w14:paraId="5731862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383" w:type="dxa"/>
            <w:shd w:val="clear" w:color="auto" w:fill="C6EFCE"/>
            <w:noWrap/>
            <w:vAlign w:val="center"/>
          </w:tcPr>
          <w:p w14:paraId="21F3BF8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29" w:type="dxa"/>
            <w:shd w:val="clear" w:color="auto" w:fill="C6EFCE"/>
            <w:noWrap/>
            <w:vAlign w:val="center"/>
          </w:tcPr>
          <w:p w14:paraId="1F06D36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528" w:type="dxa"/>
            <w:shd w:val="clear" w:color="auto" w:fill="C6EFCE"/>
            <w:noWrap/>
            <w:vAlign w:val="center"/>
          </w:tcPr>
          <w:p w14:paraId="63E966A4"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Streamline the authorisation process to reduce the authorisation time to a maximum of 12 months for the construction of energy transport infrastructures aimed at supplying electricity from land to ships during the mooring phase (in case of interventions not subjected to environmental assessment)</w:t>
            </w:r>
          </w:p>
        </w:tc>
      </w:tr>
      <w:tr w:rsidR="0039681A" w:rsidRPr="0070054C" w14:paraId="54A73140" w14:textId="77777777" w:rsidTr="00351087">
        <w:trPr>
          <w:trHeight w:val="309"/>
          <w:jc w:val="center"/>
        </w:trPr>
        <w:tc>
          <w:tcPr>
            <w:tcW w:w="1051" w:type="dxa"/>
            <w:shd w:val="clear" w:color="auto" w:fill="C6EFCE"/>
            <w:noWrap/>
            <w:vAlign w:val="center"/>
          </w:tcPr>
          <w:p w14:paraId="66ED75F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M3C2-5</w:t>
            </w:r>
          </w:p>
        </w:tc>
        <w:tc>
          <w:tcPr>
            <w:tcW w:w="1345" w:type="dxa"/>
            <w:shd w:val="clear" w:color="auto" w:fill="C6EFCE"/>
            <w:noWrap/>
            <w:vAlign w:val="center"/>
          </w:tcPr>
          <w:p w14:paraId="3ED27D43"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2.1- Digitalisation of the logistic chain</w:t>
            </w:r>
          </w:p>
        </w:tc>
        <w:tc>
          <w:tcPr>
            <w:tcW w:w="977" w:type="dxa"/>
            <w:shd w:val="clear" w:color="auto" w:fill="C6EFCE"/>
            <w:noWrap/>
            <w:vAlign w:val="center"/>
          </w:tcPr>
          <w:p w14:paraId="2C1C3D9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80" w:type="dxa"/>
            <w:shd w:val="clear" w:color="auto" w:fill="C6EFCE"/>
            <w:noWrap/>
            <w:vAlign w:val="center"/>
          </w:tcPr>
          <w:p w14:paraId="5273CA48" w14:textId="77777777" w:rsidR="0039681A" w:rsidRPr="00A36E36" w:rsidRDefault="0039681A">
            <w:pPr>
              <w:spacing w:line="257" w:lineRule="auto"/>
              <w:jc w:val="center"/>
              <w:rPr>
                <w:rFonts w:ascii="Arial Narrow" w:hAnsi="Arial Narrow"/>
                <w:noProof/>
                <w:color w:val="006100"/>
                <w:sz w:val="20"/>
                <w:szCs w:val="20"/>
                <w:lang w:val="en-IE"/>
              </w:rPr>
            </w:pPr>
            <w:r w:rsidRPr="00A36E36">
              <w:rPr>
                <w:rFonts w:ascii="Arial Narrow" w:hAnsi="Arial Narrow"/>
                <w:noProof/>
                <w:color w:val="006100"/>
                <w:sz w:val="20"/>
                <w:lang w:val="en-IE"/>
              </w:rPr>
              <w:t>Digitalisation of the logistic chain</w:t>
            </w:r>
          </w:p>
        </w:tc>
        <w:tc>
          <w:tcPr>
            <w:tcW w:w="1504" w:type="dxa"/>
            <w:shd w:val="clear" w:color="auto" w:fill="C6EFCE"/>
            <w:noWrap/>
            <w:vAlign w:val="center"/>
          </w:tcPr>
          <w:p w14:paraId="3F2412B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60" w:type="dxa"/>
            <w:shd w:val="clear" w:color="auto" w:fill="C6EFCE"/>
            <w:noWrap/>
            <w:vAlign w:val="center"/>
          </w:tcPr>
          <w:p w14:paraId="65EF835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42" w:type="dxa"/>
            <w:shd w:val="clear" w:color="auto" w:fill="C6EFCE"/>
            <w:noWrap/>
            <w:vAlign w:val="center"/>
          </w:tcPr>
          <w:p w14:paraId="308DD68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762" w:type="dxa"/>
            <w:shd w:val="clear" w:color="auto" w:fill="C6EFCE"/>
            <w:noWrap/>
            <w:vAlign w:val="center"/>
          </w:tcPr>
          <w:p w14:paraId="4C6AD40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12</w:t>
            </w:r>
          </w:p>
        </w:tc>
        <w:tc>
          <w:tcPr>
            <w:tcW w:w="1383" w:type="dxa"/>
            <w:shd w:val="clear" w:color="auto" w:fill="C6EFCE"/>
            <w:noWrap/>
            <w:vAlign w:val="center"/>
          </w:tcPr>
          <w:p w14:paraId="3955D19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629" w:type="dxa"/>
            <w:shd w:val="clear" w:color="auto" w:fill="C6EFCE"/>
            <w:noWrap/>
            <w:vAlign w:val="center"/>
          </w:tcPr>
          <w:p w14:paraId="2C57342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28" w:type="dxa"/>
            <w:shd w:val="clear" w:color="auto" w:fill="C6EFCE"/>
            <w:noWrap/>
            <w:vAlign w:val="center"/>
          </w:tcPr>
          <w:p w14:paraId="28796868"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At least 12 of the 16 Port System Authorities shall be equipped with Port Community Systems (PCS) services interoperable with </w:t>
            </w:r>
            <w:r w:rsidRPr="00A36E36">
              <w:rPr>
                <w:rFonts w:ascii="Arial Narrow" w:hAnsi="Arial Narrow"/>
                <w:i/>
                <w:noProof/>
                <w:color w:val="006100"/>
                <w:sz w:val="20"/>
                <w:lang w:val="en-IE"/>
              </w:rPr>
              <w:t>Comando Generale delle Capitanerie di Porto</w:t>
            </w:r>
            <w:r w:rsidRPr="00A36E36">
              <w:rPr>
                <w:rFonts w:ascii="Arial Narrow" w:hAnsi="Arial Narrow"/>
                <w:noProof/>
                <w:color w:val="006100"/>
                <w:sz w:val="20"/>
                <w:lang w:val="en-IE"/>
              </w:rPr>
              <w:t xml:space="preserve"> and/or </w:t>
            </w:r>
            <w:r w:rsidRPr="00A36E36">
              <w:rPr>
                <w:rFonts w:ascii="Arial Narrow" w:hAnsi="Arial Narrow"/>
                <w:i/>
                <w:noProof/>
                <w:color w:val="006100"/>
                <w:sz w:val="20"/>
                <w:lang w:val="en-IE"/>
              </w:rPr>
              <w:t>Agenzia delle Dogane e dei Monopoli</w:t>
            </w:r>
            <w:r w:rsidRPr="00A36E36">
              <w:rPr>
                <w:rFonts w:ascii="Arial Narrow" w:hAnsi="Arial Narrow"/>
                <w:noProof/>
                <w:color w:val="006100"/>
                <w:sz w:val="20"/>
                <w:lang w:val="en-IE"/>
              </w:rPr>
              <w:t xml:space="preserve"> and compatible with the new PLN (Piattaforma Logistica Nazionale). A Port System Authority shall be considered equipped with Port Community Systems (PCS) services if at least one port of that Port System Authority has been equipped with the Port Community Systems (PCS). </w:t>
            </w:r>
          </w:p>
        </w:tc>
      </w:tr>
      <w:tr w:rsidR="0039681A" w:rsidRPr="0070054C" w14:paraId="2346F9F3" w14:textId="77777777" w:rsidTr="00351087">
        <w:trPr>
          <w:trHeight w:val="309"/>
          <w:jc w:val="center"/>
        </w:trPr>
        <w:tc>
          <w:tcPr>
            <w:tcW w:w="1051" w:type="dxa"/>
            <w:shd w:val="clear" w:color="auto" w:fill="C6EFCE"/>
            <w:noWrap/>
            <w:vAlign w:val="center"/>
          </w:tcPr>
          <w:p w14:paraId="278396E9"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M3C2-7</w:t>
            </w:r>
            <w:r w:rsidRPr="00647572">
              <w:rPr>
                <w:rStyle w:val="eop"/>
                <w:rFonts w:ascii="Arial Narrow" w:hAnsi="Arial Narrow"/>
                <w:noProof/>
                <w:color w:val="006100"/>
                <w:sz w:val="20"/>
              </w:rPr>
              <w:t xml:space="preserve"> </w:t>
            </w:r>
          </w:p>
        </w:tc>
        <w:tc>
          <w:tcPr>
            <w:tcW w:w="1345" w:type="dxa"/>
            <w:shd w:val="clear" w:color="auto" w:fill="C6EFCE"/>
            <w:noWrap/>
            <w:vAlign w:val="center"/>
          </w:tcPr>
          <w:p w14:paraId="7E412AF4"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Investment 2.3: Cold ironing</w:t>
            </w:r>
            <w:r w:rsidRPr="00647572">
              <w:rPr>
                <w:rStyle w:val="eop"/>
                <w:rFonts w:ascii="Arial Narrow" w:hAnsi="Arial Narrow"/>
                <w:noProof/>
                <w:color w:val="006100"/>
                <w:sz w:val="20"/>
              </w:rPr>
              <w:t xml:space="preserve"> </w:t>
            </w:r>
          </w:p>
        </w:tc>
        <w:tc>
          <w:tcPr>
            <w:tcW w:w="977" w:type="dxa"/>
            <w:shd w:val="clear" w:color="auto" w:fill="C6EFCE"/>
            <w:noWrap/>
            <w:vAlign w:val="center"/>
          </w:tcPr>
          <w:p w14:paraId="2519C954"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Milestone</w:t>
            </w:r>
            <w:r w:rsidRPr="00647572">
              <w:rPr>
                <w:rStyle w:val="eop"/>
                <w:rFonts w:ascii="Arial Narrow" w:hAnsi="Arial Narrow"/>
                <w:noProof/>
                <w:color w:val="006100"/>
                <w:sz w:val="20"/>
              </w:rPr>
              <w:t xml:space="preserve"> </w:t>
            </w:r>
          </w:p>
        </w:tc>
        <w:tc>
          <w:tcPr>
            <w:tcW w:w="1380" w:type="dxa"/>
            <w:shd w:val="clear" w:color="auto" w:fill="C6EFCE"/>
            <w:noWrap/>
            <w:vAlign w:val="center"/>
          </w:tcPr>
          <w:p w14:paraId="694D6A90" w14:textId="77777777" w:rsidR="0039681A" w:rsidRPr="00A36E36" w:rsidRDefault="0039681A">
            <w:pPr>
              <w:jc w:val="center"/>
              <w:rPr>
                <w:rFonts w:ascii="Arial Narrow" w:hAnsi="Arial Narrow"/>
                <w:noProof/>
                <w:color w:val="006100"/>
                <w:sz w:val="20"/>
                <w:szCs w:val="20"/>
                <w:lang w:val="en-IE"/>
              </w:rPr>
            </w:pPr>
            <w:r w:rsidRPr="00A36E36">
              <w:rPr>
                <w:rStyle w:val="normaltextrun"/>
                <w:rFonts w:ascii="Arial Narrow" w:hAnsi="Arial Narrow"/>
                <w:noProof/>
                <w:color w:val="006100"/>
                <w:sz w:val="20"/>
                <w:lang w:val="en-IE"/>
              </w:rPr>
              <w:t>Award of all public contracts</w:t>
            </w:r>
            <w:r w:rsidRPr="00A36E36">
              <w:rPr>
                <w:rStyle w:val="eop"/>
                <w:rFonts w:ascii="Arial Narrow" w:hAnsi="Arial Narrow"/>
                <w:noProof/>
                <w:color w:val="006100"/>
                <w:sz w:val="20"/>
                <w:lang w:val="en-IE"/>
              </w:rPr>
              <w:t xml:space="preserve"> </w:t>
            </w:r>
          </w:p>
        </w:tc>
        <w:tc>
          <w:tcPr>
            <w:tcW w:w="1504" w:type="dxa"/>
            <w:shd w:val="clear" w:color="auto" w:fill="C6EFCE"/>
            <w:noWrap/>
            <w:vAlign w:val="center"/>
          </w:tcPr>
          <w:p w14:paraId="59FE085A" w14:textId="77777777" w:rsidR="0039681A" w:rsidRPr="00A36E36" w:rsidRDefault="0039681A">
            <w:pPr>
              <w:jc w:val="center"/>
              <w:rPr>
                <w:rFonts w:ascii="Arial Narrow" w:hAnsi="Arial Narrow"/>
                <w:noProof/>
                <w:color w:val="006100"/>
                <w:sz w:val="20"/>
                <w:szCs w:val="20"/>
                <w:lang w:val="en-IE"/>
              </w:rPr>
            </w:pPr>
            <w:r w:rsidRPr="00A36E36">
              <w:rPr>
                <w:rStyle w:val="normaltextrun"/>
                <w:rFonts w:ascii="Arial Narrow" w:hAnsi="Arial Narrow"/>
                <w:noProof/>
                <w:color w:val="006100"/>
                <w:sz w:val="20"/>
                <w:szCs w:val="20"/>
                <w:lang w:val="en-IE"/>
              </w:rPr>
              <w:t>Publication of the call for tender and award of all public contracts for the construction of at least 15 cold ironing plants</w:t>
            </w:r>
            <w:r w:rsidRPr="00A36E36">
              <w:rPr>
                <w:rStyle w:val="eop"/>
                <w:rFonts w:ascii="Arial Narrow" w:hAnsi="Arial Narrow"/>
                <w:noProof/>
                <w:color w:val="006100"/>
                <w:sz w:val="20"/>
                <w:szCs w:val="20"/>
                <w:lang w:val="en-IE"/>
              </w:rPr>
              <w:t xml:space="preserve"> </w:t>
            </w:r>
          </w:p>
        </w:tc>
        <w:tc>
          <w:tcPr>
            <w:tcW w:w="1060" w:type="dxa"/>
            <w:shd w:val="clear" w:color="auto" w:fill="C6EFCE"/>
            <w:noWrap/>
            <w:vAlign w:val="center"/>
          </w:tcPr>
          <w:p w14:paraId="01935012"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N/A</w:t>
            </w:r>
            <w:r w:rsidRPr="00647572">
              <w:rPr>
                <w:rStyle w:val="eop"/>
                <w:rFonts w:ascii="Arial Narrow" w:hAnsi="Arial Narrow"/>
                <w:noProof/>
                <w:color w:val="006100"/>
                <w:sz w:val="20"/>
              </w:rPr>
              <w:t xml:space="preserve"> </w:t>
            </w:r>
          </w:p>
        </w:tc>
        <w:tc>
          <w:tcPr>
            <w:tcW w:w="942" w:type="dxa"/>
            <w:shd w:val="clear" w:color="auto" w:fill="C6EFCE"/>
            <w:noWrap/>
            <w:vAlign w:val="center"/>
          </w:tcPr>
          <w:p w14:paraId="0B73812F"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N/A</w:t>
            </w:r>
            <w:r w:rsidRPr="00647572">
              <w:rPr>
                <w:rStyle w:val="eop"/>
                <w:rFonts w:ascii="Arial Narrow" w:hAnsi="Arial Narrow"/>
                <w:noProof/>
                <w:color w:val="006100"/>
                <w:sz w:val="20"/>
              </w:rPr>
              <w:t xml:space="preserve"> </w:t>
            </w:r>
          </w:p>
        </w:tc>
        <w:tc>
          <w:tcPr>
            <w:tcW w:w="762" w:type="dxa"/>
            <w:shd w:val="clear" w:color="auto" w:fill="C6EFCE"/>
            <w:noWrap/>
            <w:vAlign w:val="center"/>
          </w:tcPr>
          <w:p w14:paraId="692F95DB"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N/A</w:t>
            </w:r>
            <w:r w:rsidRPr="00647572">
              <w:rPr>
                <w:rStyle w:val="eop"/>
                <w:rFonts w:ascii="Arial Narrow" w:hAnsi="Arial Narrow"/>
                <w:noProof/>
                <w:color w:val="006100"/>
                <w:sz w:val="20"/>
              </w:rPr>
              <w:t xml:space="preserve"> </w:t>
            </w:r>
          </w:p>
        </w:tc>
        <w:tc>
          <w:tcPr>
            <w:tcW w:w="1383" w:type="dxa"/>
            <w:shd w:val="clear" w:color="auto" w:fill="C6EFCE"/>
            <w:noWrap/>
            <w:vAlign w:val="center"/>
          </w:tcPr>
          <w:p w14:paraId="6194D739"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Q3</w:t>
            </w:r>
            <w:r w:rsidRPr="00647572">
              <w:rPr>
                <w:rStyle w:val="eop"/>
                <w:rFonts w:ascii="Arial Narrow" w:hAnsi="Arial Narrow"/>
                <w:noProof/>
                <w:color w:val="006100"/>
                <w:sz w:val="20"/>
              </w:rPr>
              <w:t xml:space="preserve"> </w:t>
            </w:r>
          </w:p>
        </w:tc>
        <w:tc>
          <w:tcPr>
            <w:tcW w:w="629" w:type="dxa"/>
            <w:shd w:val="clear" w:color="auto" w:fill="C6EFCE"/>
            <w:noWrap/>
            <w:vAlign w:val="center"/>
          </w:tcPr>
          <w:p w14:paraId="26119401"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2024</w:t>
            </w:r>
            <w:r w:rsidRPr="00647572">
              <w:rPr>
                <w:rStyle w:val="eop"/>
                <w:rFonts w:ascii="Arial Narrow" w:hAnsi="Arial Narrow"/>
                <w:noProof/>
                <w:color w:val="006100"/>
                <w:sz w:val="20"/>
              </w:rPr>
              <w:t xml:space="preserve"> </w:t>
            </w:r>
          </w:p>
        </w:tc>
        <w:tc>
          <w:tcPr>
            <w:tcW w:w="3528" w:type="dxa"/>
            <w:shd w:val="clear" w:color="auto" w:fill="C6EFCE"/>
            <w:noWrap/>
            <w:vAlign w:val="center"/>
          </w:tcPr>
          <w:p w14:paraId="0B67AC3B" w14:textId="77777777" w:rsidR="0039681A" w:rsidRPr="00A36E36" w:rsidRDefault="0039681A">
            <w:pPr>
              <w:jc w:val="both"/>
              <w:rPr>
                <w:rFonts w:ascii="Arial Narrow" w:hAnsi="Arial Narrow"/>
                <w:noProof/>
                <w:color w:val="006100"/>
                <w:sz w:val="20"/>
                <w:szCs w:val="20"/>
                <w:lang w:val="en-IE"/>
              </w:rPr>
            </w:pPr>
            <w:r w:rsidRPr="00A36E36">
              <w:rPr>
                <w:rStyle w:val="normaltextrun"/>
                <w:rFonts w:ascii="Arial Narrow" w:hAnsi="Arial Narrow"/>
                <w:noProof/>
                <w:color w:val="006100"/>
                <w:sz w:val="20"/>
                <w:szCs w:val="20"/>
                <w:lang w:val="en-IE"/>
              </w:rPr>
              <w:t>Publication of the call for tender and award of all contracts for the construction of at least 15 cold ironing plants providing electrical power in at least 10 ports.</w:t>
            </w:r>
            <w:r w:rsidRPr="00A36E36">
              <w:rPr>
                <w:rStyle w:val="eop"/>
                <w:rFonts w:ascii="Arial Narrow" w:hAnsi="Arial Narrow"/>
                <w:noProof/>
                <w:color w:val="006100"/>
                <w:sz w:val="20"/>
                <w:szCs w:val="20"/>
                <w:lang w:val="en-IE"/>
              </w:rPr>
              <w:t xml:space="preserve"> </w:t>
            </w:r>
          </w:p>
        </w:tc>
      </w:tr>
      <w:tr w:rsidR="0039681A" w:rsidRPr="0070054C" w14:paraId="1E00E156" w14:textId="77777777" w:rsidTr="00351087">
        <w:trPr>
          <w:trHeight w:val="309"/>
          <w:jc w:val="center"/>
        </w:trPr>
        <w:tc>
          <w:tcPr>
            <w:tcW w:w="1051" w:type="dxa"/>
            <w:shd w:val="clear" w:color="auto" w:fill="C6EFCE"/>
            <w:noWrap/>
            <w:vAlign w:val="center"/>
          </w:tcPr>
          <w:p w14:paraId="74EFA0B0"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M3C2-12</w:t>
            </w:r>
          </w:p>
        </w:tc>
        <w:tc>
          <w:tcPr>
            <w:tcW w:w="1345" w:type="dxa"/>
            <w:shd w:val="clear" w:color="auto" w:fill="C6EFCE"/>
            <w:noWrap/>
            <w:vAlign w:val="center"/>
          </w:tcPr>
          <w:p w14:paraId="27F46FBB"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Investment 2.3: Cold ironing</w:t>
            </w:r>
            <w:r w:rsidRPr="00647572">
              <w:rPr>
                <w:rStyle w:val="eop"/>
                <w:rFonts w:ascii="Arial Narrow" w:hAnsi="Arial Narrow"/>
                <w:noProof/>
                <w:color w:val="006100"/>
                <w:sz w:val="20"/>
              </w:rPr>
              <w:t xml:space="preserve"> </w:t>
            </w:r>
          </w:p>
        </w:tc>
        <w:tc>
          <w:tcPr>
            <w:tcW w:w="977" w:type="dxa"/>
            <w:shd w:val="clear" w:color="auto" w:fill="C6EFCE"/>
            <w:noWrap/>
            <w:vAlign w:val="center"/>
          </w:tcPr>
          <w:p w14:paraId="676F3312"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Target</w:t>
            </w:r>
            <w:r w:rsidRPr="00647572">
              <w:rPr>
                <w:rStyle w:val="eop"/>
                <w:rFonts w:ascii="Arial Narrow" w:hAnsi="Arial Narrow"/>
                <w:noProof/>
                <w:color w:val="006100"/>
                <w:sz w:val="20"/>
              </w:rPr>
              <w:t xml:space="preserve"> </w:t>
            </w:r>
          </w:p>
        </w:tc>
        <w:tc>
          <w:tcPr>
            <w:tcW w:w="1380" w:type="dxa"/>
            <w:shd w:val="clear" w:color="auto" w:fill="C6EFCE"/>
            <w:noWrap/>
            <w:vAlign w:val="center"/>
          </w:tcPr>
          <w:p w14:paraId="3007271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Completion of works and acceptance of connection cost estimates by the developer</w:t>
            </w:r>
            <w:r w:rsidRPr="00A36E36">
              <w:rPr>
                <w:rStyle w:val="normaltextrun"/>
                <w:rFonts w:ascii="Arial Narrow" w:hAnsi="Arial Narrow"/>
                <w:noProof/>
                <w:color w:val="006100"/>
                <w:sz w:val="20"/>
                <w:lang w:val="en-IE"/>
              </w:rPr>
              <w:t xml:space="preserve"> for cold ironing infrastructures.</w:t>
            </w:r>
            <w:r w:rsidRPr="00A36E36">
              <w:rPr>
                <w:rStyle w:val="eop"/>
                <w:rFonts w:ascii="Arial Narrow" w:hAnsi="Arial Narrow"/>
                <w:noProof/>
                <w:color w:val="006100"/>
                <w:sz w:val="20"/>
                <w:lang w:val="en-IE"/>
              </w:rPr>
              <w:t xml:space="preserve"> </w:t>
            </w:r>
          </w:p>
        </w:tc>
        <w:tc>
          <w:tcPr>
            <w:tcW w:w="1504" w:type="dxa"/>
            <w:shd w:val="clear" w:color="auto" w:fill="C6EFCE"/>
            <w:noWrap/>
            <w:vAlign w:val="center"/>
          </w:tcPr>
          <w:p w14:paraId="1D733FE6" w14:textId="77777777" w:rsidR="0039681A" w:rsidRPr="00A36E36" w:rsidRDefault="0039681A">
            <w:pPr>
              <w:jc w:val="center"/>
              <w:rPr>
                <w:rFonts w:ascii="Arial Narrow" w:hAnsi="Arial Narrow"/>
                <w:noProof/>
                <w:color w:val="006100"/>
                <w:sz w:val="20"/>
                <w:szCs w:val="20"/>
                <w:lang w:val="en-IE"/>
              </w:rPr>
            </w:pPr>
            <w:r w:rsidRPr="00A36E36">
              <w:rPr>
                <w:rStyle w:val="eop"/>
                <w:rFonts w:ascii="Arial Narrow" w:hAnsi="Arial Narrow"/>
                <w:noProof/>
                <w:color w:val="006100"/>
                <w:sz w:val="20"/>
                <w:lang w:val="en-IE"/>
              </w:rPr>
              <w:t xml:space="preserve"> </w:t>
            </w:r>
          </w:p>
        </w:tc>
        <w:tc>
          <w:tcPr>
            <w:tcW w:w="1060" w:type="dxa"/>
            <w:shd w:val="clear" w:color="auto" w:fill="C6EFCE"/>
            <w:noWrap/>
            <w:vAlign w:val="center"/>
          </w:tcPr>
          <w:p w14:paraId="69672A47"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Number</w:t>
            </w:r>
            <w:r w:rsidRPr="00647572">
              <w:rPr>
                <w:rStyle w:val="eop"/>
                <w:rFonts w:ascii="Arial Narrow" w:hAnsi="Arial Narrow"/>
                <w:noProof/>
                <w:color w:val="006100"/>
                <w:sz w:val="20"/>
              </w:rPr>
              <w:t xml:space="preserve"> </w:t>
            </w:r>
          </w:p>
        </w:tc>
        <w:tc>
          <w:tcPr>
            <w:tcW w:w="942" w:type="dxa"/>
            <w:shd w:val="clear" w:color="auto" w:fill="C6EFCE"/>
            <w:noWrap/>
            <w:vAlign w:val="center"/>
          </w:tcPr>
          <w:p w14:paraId="35CDC9D3"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0</w:t>
            </w:r>
            <w:r w:rsidRPr="00647572">
              <w:rPr>
                <w:rStyle w:val="eop"/>
                <w:rFonts w:ascii="Arial Narrow" w:hAnsi="Arial Narrow"/>
                <w:noProof/>
                <w:color w:val="006100"/>
                <w:sz w:val="20"/>
              </w:rPr>
              <w:t xml:space="preserve"> </w:t>
            </w:r>
          </w:p>
        </w:tc>
        <w:tc>
          <w:tcPr>
            <w:tcW w:w="762" w:type="dxa"/>
            <w:shd w:val="clear" w:color="auto" w:fill="C6EFCE"/>
            <w:noWrap/>
            <w:vAlign w:val="center"/>
          </w:tcPr>
          <w:p w14:paraId="32C469F0"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15</w:t>
            </w:r>
            <w:r w:rsidRPr="00647572">
              <w:rPr>
                <w:rStyle w:val="eop"/>
                <w:rFonts w:ascii="Arial Narrow" w:hAnsi="Arial Narrow"/>
                <w:noProof/>
                <w:color w:val="006100"/>
                <w:sz w:val="20"/>
              </w:rPr>
              <w:t xml:space="preserve"> </w:t>
            </w:r>
          </w:p>
        </w:tc>
        <w:tc>
          <w:tcPr>
            <w:tcW w:w="1383" w:type="dxa"/>
            <w:shd w:val="clear" w:color="auto" w:fill="C6EFCE"/>
            <w:noWrap/>
            <w:vAlign w:val="center"/>
          </w:tcPr>
          <w:p w14:paraId="3420DE33"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Q2</w:t>
            </w:r>
          </w:p>
        </w:tc>
        <w:tc>
          <w:tcPr>
            <w:tcW w:w="629" w:type="dxa"/>
            <w:shd w:val="clear" w:color="auto" w:fill="C6EFCE"/>
            <w:noWrap/>
            <w:vAlign w:val="center"/>
          </w:tcPr>
          <w:p w14:paraId="6BF92557" w14:textId="77777777" w:rsidR="0039681A" w:rsidRPr="00647572" w:rsidRDefault="0039681A">
            <w:pPr>
              <w:jc w:val="center"/>
              <w:rPr>
                <w:rFonts w:ascii="Arial Narrow" w:hAnsi="Arial Narrow"/>
                <w:noProof/>
                <w:color w:val="006100"/>
                <w:sz w:val="20"/>
                <w:szCs w:val="20"/>
              </w:rPr>
            </w:pPr>
            <w:r w:rsidRPr="00647572">
              <w:rPr>
                <w:rStyle w:val="normaltextrun"/>
                <w:rFonts w:ascii="Arial Narrow" w:hAnsi="Arial Narrow"/>
                <w:noProof/>
                <w:color w:val="006100"/>
                <w:sz w:val="20"/>
              </w:rPr>
              <w:t>2026</w:t>
            </w:r>
            <w:r w:rsidRPr="00647572">
              <w:rPr>
                <w:rStyle w:val="eop"/>
                <w:rFonts w:ascii="Arial Narrow" w:hAnsi="Arial Narrow"/>
                <w:noProof/>
                <w:color w:val="006100"/>
                <w:sz w:val="20"/>
              </w:rPr>
              <w:t xml:space="preserve"> </w:t>
            </w:r>
          </w:p>
        </w:tc>
        <w:tc>
          <w:tcPr>
            <w:tcW w:w="3528" w:type="dxa"/>
            <w:shd w:val="clear" w:color="auto" w:fill="C6EFCE"/>
            <w:noWrap/>
            <w:vAlign w:val="center"/>
          </w:tcPr>
          <w:p w14:paraId="501A5A23" w14:textId="77777777" w:rsidR="0039681A" w:rsidRPr="00A36E36" w:rsidRDefault="0039681A">
            <w:pPr>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Certificates of completion of works and acceptance of connection cost estimates by the developer </w:t>
            </w:r>
            <w:r w:rsidRPr="00A36E36">
              <w:rPr>
                <w:rStyle w:val="normaltextrun"/>
                <w:rFonts w:ascii="Arial Narrow" w:hAnsi="Arial Narrow"/>
                <w:noProof/>
                <w:color w:val="006100"/>
                <w:sz w:val="20"/>
                <w:lang w:val="en-IE"/>
              </w:rPr>
              <w:t>for at least 15 cold ironing infrastructures in at least 10 ports.</w:t>
            </w:r>
          </w:p>
        </w:tc>
      </w:tr>
    </w:tbl>
    <w:p w14:paraId="22D153F2" w14:textId="77777777" w:rsidR="0039681A" w:rsidRPr="00A36E36" w:rsidRDefault="0039681A" w:rsidP="00351087">
      <w:pPr>
        <w:spacing w:before="120" w:after="120"/>
        <w:ind w:left="709"/>
        <w:jc w:val="both"/>
        <w:rPr>
          <w:noProof/>
          <w:lang w:val="en-IE"/>
        </w:rPr>
      </w:pPr>
    </w:p>
    <w:p w14:paraId="538E2B20" w14:textId="77777777" w:rsidR="0039681A" w:rsidRPr="00A36E36" w:rsidRDefault="0039681A" w:rsidP="00351087">
      <w:pPr>
        <w:spacing w:before="120" w:after="120"/>
        <w:ind w:left="709"/>
        <w:jc w:val="both"/>
        <w:rPr>
          <w:noProof/>
          <w:lang w:val="en-IE"/>
        </w:rPr>
        <w:sectPr w:rsidR="0039681A" w:rsidRPr="00A36E36" w:rsidSect="0039681A">
          <w:headerReference w:type="even" r:id="rId137"/>
          <w:headerReference w:type="default" r:id="rId138"/>
          <w:footerReference w:type="default" r:id="rId139"/>
          <w:headerReference w:type="first" r:id="rId140"/>
          <w:pgSz w:w="16839" w:h="11907" w:orient="landscape"/>
          <w:pgMar w:top="1134" w:right="1134" w:bottom="1134" w:left="1134" w:header="567" w:footer="567" w:gutter="0"/>
          <w:cols w:space="720"/>
          <w:docGrid w:linePitch="360"/>
        </w:sectPr>
      </w:pPr>
    </w:p>
    <w:p w14:paraId="10195E05" w14:textId="77777777" w:rsidR="0039681A" w:rsidRPr="00A36E36" w:rsidRDefault="0039681A" w:rsidP="00351087">
      <w:pPr>
        <w:pStyle w:val="Heading3"/>
        <w:ind w:left="850" w:hanging="850"/>
        <w:rPr>
          <w:rFonts w:ascii="Times New Roman" w:hAnsi="Times New Roman" w:cs="Times New Roman"/>
          <w:b/>
          <w:bCs/>
          <w:i/>
          <w:iCs/>
          <w:noProof/>
          <w:color w:val="auto"/>
          <w:sz w:val="24"/>
          <w:szCs w:val="24"/>
          <w:u w:val="single"/>
          <w:lang w:val="en-IE"/>
        </w:rPr>
      </w:pPr>
      <w:r w:rsidRPr="00A36E36">
        <w:rPr>
          <w:rFonts w:ascii="Times New Roman" w:hAnsi="Times New Roman" w:cs="Times New Roman"/>
          <w:b/>
          <w:noProof/>
          <w:color w:val="auto"/>
          <w:sz w:val="24"/>
          <w:szCs w:val="24"/>
          <w:u w:val="single"/>
          <w:lang w:val="en-IE"/>
        </w:rPr>
        <w:t xml:space="preserve">I.3. </w:t>
      </w:r>
      <w:r w:rsidRPr="00A36E36">
        <w:rPr>
          <w:rFonts w:ascii="Times New Roman" w:hAnsi="Times New Roman" w:cs="Times New Roman"/>
          <w:noProof/>
          <w:color w:val="auto"/>
          <w:sz w:val="24"/>
          <w:szCs w:val="24"/>
          <w:lang w:val="en-IE"/>
        </w:rPr>
        <w:tab/>
      </w:r>
      <w:r w:rsidRPr="00A36E36">
        <w:rPr>
          <w:rFonts w:ascii="Times New Roman" w:hAnsi="Times New Roman" w:cs="Times New Roman"/>
          <w:b/>
          <w:noProof/>
          <w:color w:val="auto"/>
          <w:sz w:val="24"/>
          <w:szCs w:val="24"/>
          <w:u w:val="single"/>
          <w:lang w:val="en-IE"/>
        </w:rPr>
        <w:t xml:space="preserve">Description of the reforms and investments for the loan </w:t>
      </w:r>
    </w:p>
    <w:p w14:paraId="38388ECE" w14:textId="77777777" w:rsidR="0039681A" w:rsidRPr="00A36E36" w:rsidRDefault="0039681A" w:rsidP="00351087">
      <w:pPr>
        <w:spacing w:before="120" w:after="120"/>
        <w:jc w:val="both"/>
        <w:rPr>
          <w:rFonts w:ascii="Times New Roman" w:eastAsia="Calibri" w:hAnsi="Times New Roman" w:cs="Times New Roman"/>
          <w:b/>
          <w:bCs/>
          <w:noProof/>
          <w:lang w:val="en-IE"/>
        </w:rPr>
      </w:pPr>
      <w:r w:rsidRPr="3C8E4664">
        <w:rPr>
          <w:rFonts w:ascii="Times New Roman" w:hAnsi="Times New Roman" w:cs="Times New Roman"/>
          <w:b/>
          <w:bCs/>
          <w:noProof/>
          <w:lang w:val="en-IE"/>
        </w:rPr>
        <w:t>Investment 1.1: Green ports: renewable energy and energy efficiency interventions at ports</w:t>
      </w:r>
    </w:p>
    <w:p w14:paraId="6CCB3605" w14:textId="77777777" w:rsidR="0039681A" w:rsidRPr="00AF5341" w:rsidRDefault="0039681A" w:rsidP="00351087">
      <w:pPr>
        <w:spacing w:before="120" w:after="120"/>
        <w:jc w:val="both"/>
        <w:rPr>
          <w:noProof/>
          <w:lang w:val="en-IE"/>
        </w:rPr>
      </w:pPr>
      <w:r w:rsidRPr="42F8011E">
        <w:rPr>
          <w:rFonts w:ascii="Times New Roman" w:hAnsi="Times New Roman" w:cs="Times New Roman"/>
          <w:noProof/>
          <w:lang w:val="en-IE"/>
        </w:rPr>
        <w:t>The objective of this measure is to reduce greenhouse gas emissions and improve air quality in ports and port cities. This investment consists in supporting initiatives which may include but are not limited to energy efficiency interventions, renewable energy development as well as the purchase of zero-emission vehicles and service boats or the transformation of fossil fuel vehicles and service boats into zero-emission ones.</w:t>
      </w:r>
    </w:p>
    <w:p w14:paraId="4AE45F11" w14:textId="77777777" w:rsidR="0039681A" w:rsidRDefault="0039681A" w:rsidP="00351087">
      <w:pPr>
        <w:spacing w:before="120" w:after="120"/>
        <w:jc w:val="both"/>
        <w:rPr>
          <w:rFonts w:ascii="Times New Roman" w:hAnsi="Times New Roman" w:cs="Times New Roman"/>
          <w:b/>
          <w:bCs/>
          <w:noProof/>
          <w:lang w:val="en-IE"/>
        </w:rPr>
      </w:pPr>
      <w:r w:rsidRPr="6D692C12">
        <w:rPr>
          <w:rFonts w:ascii="Times New Roman" w:hAnsi="Times New Roman" w:cs="Times New Roman"/>
          <w:b/>
          <w:bCs/>
          <w:noProof/>
          <w:lang w:val="en-IE"/>
        </w:rPr>
        <w:t>Investment 2.1: Digitalisation of the logistic chain</w:t>
      </w:r>
    </w:p>
    <w:p w14:paraId="361FF5C1" w14:textId="77777777" w:rsidR="0039681A" w:rsidRDefault="0039681A" w:rsidP="00351087">
      <w:pPr>
        <w:spacing w:before="120" w:after="120"/>
        <w:jc w:val="both"/>
        <w:rPr>
          <w:rFonts w:ascii="Times New Roman" w:hAnsi="Times New Roman" w:cs="Times New Roman"/>
          <w:noProof/>
          <w:lang w:val="en-IE"/>
        </w:rPr>
      </w:pPr>
      <w:r w:rsidRPr="6D692C12">
        <w:rPr>
          <w:rFonts w:ascii="Times New Roman" w:hAnsi="Times New Roman" w:cs="Times New Roman"/>
          <w:noProof/>
          <w:lang w:val="en-IE"/>
        </w:rPr>
        <w:t>The objective of this investment is to increase the competitiveness of the national logistics by simplifying procedures, processes and controls and focusing on the de-materialisation of documents and the exchange of data and information. This investment consists in the creation of an interoperable digital system between public and private actors for freight and logistics.</w:t>
      </w:r>
    </w:p>
    <w:p w14:paraId="0323BA25" w14:textId="77777777" w:rsidR="0039681A" w:rsidRDefault="0039681A" w:rsidP="00351087">
      <w:pPr>
        <w:rPr>
          <w:rFonts w:ascii="Times New Roman" w:hAnsi="Times New Roman" w:cs="Times New Roman"/>
          <w:b/>
          <w:bCs/>
          <w:noProof/>
          <w:lang w:val="en-IE"/>
        </w:rPr>
      </w:pPr>
      <w:r w:rsidRPr="6D692C12">
        <w:rPr>
          <w:rFonts w:ascii="Times New Roman" w:hAnsi="Times New Roman" w:cs="Times New Roman"/>
          <w:b/>
          <w:bCs/>
          <w:noProof/>
          <w:lang w:val="en-IE"/>
        </w:rPr>
        <w:t>Investment 2.2: Digitalization of air traffic management.</w:t>
      </w:r>
    </w:p>
    <w:p w14:paraId="0CA8C66E" w14:textId="77777777" w:rsidR="0039681A" w:rsidRDefault="0039681A" w:rsidP="00351087">
      <w:pPr>
        <w:spacing w:before="120" w:after="120"/>
        <w:jc w:val="both"/>
        <w:rPr>
          <w:rFonts w:ascii="Times New Roman" w:eastAsia="Calibri" w:hAnsi="Times New Roman" w:cs="Times New Roman"/>
          <w:noProof/>
          <w:lang w:val="en-IE"/>
        </w:rPr>
      </w:pPr>
      <w:r w:rsidRPr="6D692C12">
        <w:rPr>
          <w:rFonts w:ascii="Times New Roman" w:hAnsi="Times New Roman" w:cs="Times New Roman"/>
          <w:noProof/>
          <w:lang w:val="en-IE"/>
        </w:rPr>
        <w:t>This investment aims at developing new tools for the digitisation of aeronautical information and implementing unmanned aircraft platforms and services. The investment consists in the development and connectivity of the Unmanned Traffic Management System (UTMS), the digitalisation of aeronautical information and the definition of a new maintenance model.</w:t>
      </w:r>
    </w:p>
    <w:p w14:paraId="41D12B27"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2.2: Establishment of a National Digital Logistics Platform in order to introduce the digitalization of freight and/or passenger services</w:t>
      </w:r>
    </w:p>
    <w:p w14:paraId="107142B1"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aim of the reform is to make the Port Community Systems of individual Port System Authorities interoperable with the National Digital Logistics Platform. </w:t>
      </w:r>
    </w:p>
    <w:p w14:paraId="64182816" w14:textId="77777777" w:rsidR="0039681A" w:rsidRPr="00A36E36" w:rsidRDefault="0039681A" w:rsidP="00351087">
      <w:pPr>
        <w:spacing w:before="120" w:after="120"/>
        <w:jc w:val="both"/>
        <w:rPr>
          <w:rFonts w:ascii="Times New Roman" w:hAnsi="Times New Roman" w:cs="Times New Roman"/>
          <w:noProof/>
          <w:lang w:val="en-IE"/>
        </w:rPr>
        <w:sectPr w:rsidR="0039681A" w:rsidRPr="00A36E36" w:rsidSect="0039681A">
          <w:headerReference w:type="even" r:id="rId141"/>
          <w:headerReference w:type="default" r:id="rId142"/>
          <w:footerReference w:type="default" r:id="rId143"/>
          <w:headerReference w:type="first" r:id="rId144"/>
          <w:pgSz w:w="11907" w:h="16839"/>
          <w:pgMar w:top="1134" w:right="1134" w:bottom="1134" w:left="1134" w:header="567" w:footer="567" w:gutter="0"/>
          <w:cols w:space="720"/>
          <w:docGrid w:linePitch="360"/>
        </w:sectPr>
      </w:pPr>
    </w:p>
    <w:p w14:paraId="0DC6BF25"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I.4.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tbl>
      <w:tblPr>
        <w:tblW w:w="54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9"/>
        <w:gridCol w:w="1560"/>
        <w:gridCol w:w="1153"/>
        <w:gridCol w:w="1275"/>
        <w:gridCol w:w="1314"/>
        <w:gridCol w:w="954"/>
        <w:gridCol w:w="1134"/>
        <w:gridCol w:w="993"/>
        <w:gridCol w:w="992"/>
        <w:gridCol w:w="709"/>
        <w:gridCol w:w="3969"/>
      </w:tblGrid>
      <w:tr w:rsidR="0039681A" w:rsidRPr="0070054C" w14:paraId="7F942F7F" w14:textId="77777777" w:rsidTr="00D033E7">
        <w:trPr>
          <w:trHeight w:val="939"/>
          <w:tblHeader/>
          <w:jc w:val="center"/>
        </w:trPr>
        <w:tc>
          <w:tcPr>
            <w:tcW w:w="1399" w:type="dxa"/>
            <w:vMerge w:val="restart"/>
            <w:shd w:val="clear" w:color="auto" w:fill="BDD7EE"/>
            <w:vAlign w:val="center"/>
            <w:hideMark/>
          </w:tcPr>
          <w:p w14:paraId="1C9F982E"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Sequential Number</w:t>
            </w:r>
          </w:p>
        </w:tc>
        <w:tc>
          <w:tcPr>
            <w:tcW w:w="1560" w:type="dxa"/>
            <w:vMerge w:val="restart"/>
            <w:shd w:val="clear" w:color="auto" w:fill="BDD7EE"/>
            <w:vAlign w:val="center"/>
            <w:hideMark/>
          </w:tcPr>
          <w:p w14:paraId="319DD6DB"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153" w:type="dxa"/>
            <w:vMerge w:val="restart"/>
            <w:shd w:val="clear" w:color="auto" w:fill="BDD7EE"/>
            <w:vAlign w:val="center"/>
            <w:hideMark/>
          </w:tcPr>
          <w:p w14:paraId="0F48679A"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Milestone /Target</w:t>
            </w:r>
          </w:p>
        </w:tc>
        <w:tc>
          <w:tcPr>
            <w:tcW w:w="1275" w:type="dxa"/>
            <w:vMerge w:val="restart"/>
            <w:shd w:val="clear" w:color="auto" w:fill="BDD7EE"/>
            <w:vAlign w:val="center"/>
            <w:hideMark/>
          </w:tcPr>
          <w:p w14:paraId="67BB42D4"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Name</w:t>
            </w:r>
          </w:p>
        </w:tc>
        <w:tc>
          <w:tcPr>
            <w:tcW w:w="1314" w:type="dxa"/>
            <w:vMerge w:val="restart"/>
            <w:shd w:val="clear" w:color="auto" w:fill="BDD7EE"/>
            <w:vAlign w:val="center"/>
            <w:hideMark/>
          </w:tcPr>
          <w:p w14:paraId="15FFAE96"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081" w:type="dxa"/>
            <w:gridSpan w:val="3"/>
            <w:shd w:val="clear" w:color="auto" w:fill="BDD7EE"/>
            <w:vAlign w:val="center"/>
            <w:hideMark/>
          </w:tcPr>
          <w:p w14:paraId="0CD975BB"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701" w:type="dxa"/>
            <w:gridSpan w:val="2"/>
            <w:shd w:val="clear" w:color="auto" w:fill="BDD7EE"/>
            <w:vAlign w:val="center"/>
            <w:hideMark/>
          </w:tcPr>
          <w:p w14:paraId="0D86341E"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Indicative timeline for completion </w:t>
            </w:r>
          </w:p>
        </w:tc>
        <w:tc>
          <w:tcPr>
            <w:tcW w:w="3969" w:type="dxa"/>
            <w:vMerge w:val="restart"/>
            <w:shd w:val="clear" w:color="auto" w:fill="BDD7EE"/>
            <w:vAlign w:val="center"/>
            <w:hideMark/>
          </w:tcPr>
          <w:p w14:paraId="708A2AAD"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633FBFBC" w14:textId="77777777" w:rsidTr="00D033E7">
        <w:trPr>
          <w:trHeight w:val="1027"/>
          <w:tblHeader/>
          <w:jc w:val="center"/>
        </w:trPr>
        <w:tc>
          <w:tcPr>
            <w:tcW w:w="1399" w:type="dxa"/>
            <w:vMerge/>
            <w:vAlign w:val="center"/>
            <w:hideMark/>
          </w:tcPr>
          <w:p w14:paraId="72EF16B1" w14:textId="77777777" w:rsidR="0039681A" w:rsidRPr="00A36E36" w:rsidRDefault="0039681A">
            <w:pPr>
              <w:rPr>
                <w:rFonts w:ascii="Arial Narrow" w:hAnsi="Arial Narrow"/>
                <w:b/>
                <w:bCs/>
                <w:noProof/>
                <w:sz w:val="20"/>
                <w:szCs w:val="20"/>
                <w:lang w:val="en-IE"/>
              </w:rPr>
            </w:pPr>
          </w:p>
        </w:tc>
        <w:tc>
          <w:tcPr>
            <w:tcW w:w="1560" w:type="dxa"/>
            <w:vMerge/>
            <w:vAlign w:val="center"/>
            <w:hideMark/>
          </w:tcPr>
          <w:p w14:paraId="5946725F" w14:textId="77777777" w:rsidR="0039681A" w:rsidRPr="00A36E36" w:rsidRDefault="0039681A">
            <w:pPr>
              <w:rPr>
                <w:rFonts w:ascii="Arial Narrow" w:hAnsi="Arial Narrow"/>
                <w:b/>
                <w:bCs/>
                <w:noProof/>
                <w:sz w:val="20"/>
                <w:szCs w:val="20"/>
                <w:lang w:val="en-IE"/>
              </w:rPr>
            </w:pPr>
          </w:p>
        </w:tc>
        <w:tc>
          <w:tcPr>
            <w:tcW w:w="1153" w:type="dxa"/>
            <w:vMerge/>
            <w:vAlign w:val="center"/>
            <w:hideMark/>
          </w:tcPr>
          <w:p w14:paraId="7E9E79E7" w14:textId="77777777" w:rsidR="0039681A" w:rsidRPr="00A36E36" w:rsidRDefault="0039681A">
            <w:pPr>
              <w:rPr>
                <w:rFonts w:ascii="Arial Narrow" w:hAnsi="Arial Narrow"/>
                <w:b/>
                <w:bCs/>
                <w:noProof/>
                <w:sz w:val="20"/>
                <w:szCs w:val="20"/>
                <w:lang w:val="en-IE"/>
              </w:rPr>
            </w:pPr>
          </w:p>
        </w:tc>
        <w:tc>
          <w:tcPr>
            <w:tcW w:w="1275" w:type="dxa"/>
            <w:vMerge/>
            <w:vAlign w:val="center"/>
            <w:hideMark/>
          </w:tcPr>
          <w:p w14:paraId="20B7997E" w14:textId="77777777" w:rsidR="0039681A" w:rsidRPr="00A36E36" w:rsidRDefault="0039681A">
            <w:pPr>
              <w:rPr>
                <w:rFonts w:ascii="Arial Narrow" w:hAnsi="Arial Narrow"/>
                <w:b/>
                <w:bCs/>
                <w:noProof/>
                <w:sz w:val="20"/>
                <w:szCs w:val="20"/>
                <w:lang w:val="en-IE"/>
              </w:rPr>
            </w:pPr>
          </w:p>
        </w:tc>
        <w:tc>
          <w:tcPr>
            <w:tcW w:w="1314" w:type="dxa"/>
            <w:vMerge/>
            <w:vAlign w:val="center"/>
            <w:hideMark/>
          </w:tcPr>
          <w:p w14:paraId="3E8832F1" w14:textId="77777777" w:rsidR="0039681A" w:rsidRPr="00A36E36" w:rsidRDefault="0039681A">
            <w:pPr>
              <w:rPr>
                <w:rFonts w:ascii="Arial Narrow" w:hAnsi="Arial Narrow"/>
                <w:b/>
                <w:bCs/>
                <w:noProof/>
                <w:sz w:val="20"/>
                <w:szCs w:val="20"/>
                <w:lang w:val="en-IE"/>
              </w:rPr>
            </w:pPr>
          </w:p>
        </w:tc>
        <w:tc>
          <w:tcPr>
            <w:tcW w:w="954" w:type="dxa"/>
            <w:shd w:val="clear" w:color="auto" w:fill="BDD7EE"/>
            <w:vAlign w:val="center"/>
            <w:hideMark/>
          </w:tcPr>
          <w:p w14:paraId="0A171BEC"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Unit of measure</w:t>
            </w:r>
          </w:p>
        </w:tc>
        <w:tc>
          <w:tcPr>
            <w:tcW w:w="1134" w:type="dxa"/>
            <w:shd w:val="clear" w:color="auto" w:fill="BDD7EE"/>
            <w:vAlign w:val="center"/>
            <w:hideMark/>
          </w:tcPr>
          <w:p w14:paraId="3396F471"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Baseline </w:t>
            </w:r>
          </w:p>
        </w:tc>
        <w:tc>
          <w:tcPr>
            <w:tcW w:w="993" w:type="dxa"/>
            <w:shd w:val="clear" w:color="auto" w:fill="BDD7EE"/>
            <w:vAlign w:val="center"/>
            <w:hideMark/>
          </w:tcPr>
          <w:p w14:paraId="412C665F"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Goal </w:t>
            </w:r>
          </w:p>
        </w:tc>
        <w:tc>
          <w:tcPr>
            <w:tcW w:w="992" w:type="dxa"/>
            <w:shd w:val="clear" w:color="auto" w:fill="BDD7EE"/>
            <w:vAlign w:val="center"/>
            <w:hideMark/>
          </w:tcPr>
          <w:p w14:paraId="5F6023C0"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Quarter</w:t>
            </w:r>
          </w:p>
        </w:tc>
        <w:tc>
          <w:tcPr>
            <w:tcW w:w="709" w:type="dxa"/>
            <w:shd w:val="clear" w:color="auto" w:fill="BDD7EE"/>
            <w:vAlign w:val="center"/>
            <w:hideMark/>
          </w:tcPr>
          <w:p w14:paraId="06486368"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Year</w:t>
            </w:r>
          </w:p>
        </w:tc>
        <w:tc>
          <w:tcPr>
            <w:tcW w:w="3969" w:type="dxa"/>
            <w:vMerge/>
            <w:vAlign w:val="center"/>
            <w:hideMark/>
          </w:tcPr>
          <w:p w14:paraId="221A3A6A" w14:textId="77777777" w:rsidR="0039681A" w:rsidRPr="00647572" w:rsidRDefault="0039681A">
            <w:pPr>
              <w:rPr>
                <w:rFonts w:ascii="Arial Narrow" w:hAnsi="Arial Narrow"/>
                <w:b/>
                <w:bCs/>
                <w:noProof/>
                <w:sz w:val="20"/>
                <w:szCs w:val="20"/>
              </w:rPr>
            </w:pPr>
          </w:p>
        </w:tc>
      </w:tr>
      <w:tr w:rsidR="0039681A" w:rsidRPr="0070054C" w14:paraId="31834116" w14:textId="77777777" w:rsidTr="00D033E7">
        <w:trPr>
          <w:trHeight w:val="313"/>
          <w:jc w:val="center"/>
        </w:trPr>
        <w:tc>
          <w:tcPr>
            <w:tcW w:w="1399" w:type="dxa"/>
            <w:shd w:val="clear" w:color="auto" w:fill="C6EFCE"/>
            <w:noWrap/>
            <w:vAlign w:val="center"/>
          </w:tcPr>
          <w:p w14:paraId="1FAB773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M3C2-8</w:t>
            </w:r>
          </w:p>
        </w:tc>
        <w:tc>
          <w:tcPr>
            <w:tcW w:w="1560" w:type="dxa"/>
            <w:shd w:val="clear" w:color="auto" w:fill="C6EFCE"/>
            <w:noWrap/>
            <w:vAlign w:val="center"/>
          </w:tcPr>
          <w:p w14:paraId="10099D1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Green ports: renewable energy and energy efficiency interventions at ports</w:t>
            </w:r>
          </w:p>
        </w:tc>
        <w:tc>
          <w:tcPr>
            <w:tcW w:w="1153" w:type="dxa"/>
            <w:shd w:val="clear" w:color="auto" w:fill="C6EFCE"/>
            <w:noWrap/>
            <w:vAlign w:val="center"/>
          </w:tcPr>
          <w:p w14:paraId="5BDBB3C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275" w:type="dxa"/>
            <w:shd w:val="clear" w:color="auto" w:fill="C6EFCE"/>
            <w:noWrap/>
            <w:vAlign w:val="center"/>
          </w:tcPr>
          <w:p w14:paraId="168D8768"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Green ports: assignment of works</w:t>
            </w:r>
          </w:p>
        </w:tc>
        <w:tc>
          <w:tcPr>
            <w:tcW w:w="1314" w:type="dxa"/>
            <w:shd w:val="clear" w:color="auto" w:fill="C6EFCE"/>
            <w:noWrap/>
            <w:vAlign w:val="center"/>
          </w:tcPr>
          <w:p w14:paraId="4E9062A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4" w:type="dxa"/>
            <w:shd w:val="clear" w:color="auto" w:fill="C6EFCE"/>
            <w:noWrap/>
            <w:vAlign w:val="center"/>
          </w:tcPr>
          <w:p w14:paraId="142520D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34" w:type="dxa"/>
            <w:shd w:val="clear" w:color="auto" w:fill="C6EFCE"/>
            <w:noWrap/>
            <w:vAlign w:val="center"/>
          </w:tcPr>
          <w:p w14:paraId="6F68D9B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3" w:type="dxa"/>
            <w:shd w:val="clear" w:color="auto" w:fill="C6EFCE"/>
            <w:noWrap/>
            <w:vAlign w:val="center"/>
          </w:tcPr>
          <w:p w14:paraId="247497D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7</w:t>
            </w:r>
          </w:p>
        </w:tc>
        <w:tc>
          <w:tcPr>
            <w:tcW w:w="992" w:type="dxa"/>
            <w:shd w:val="clear" w:color="auto" w:fill="C6EFCE"/>
            <w:noWrap/>
            <w:vAlign w:val="center"/>
          </w:tcPr>
          <w:p w14:paraId="27F12D6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shd w:val="clear" w:color="auto" w:fill="C6EFCE"/>
            <w:noWrap/>
            <w:vAlign w:val="center"/>
          </w:tcPr>
          <w:p w14:paraId="6A689C2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969" w:type="dxa"/>
            <w:shd w:val="clear" w:color="auto" w:fill="C6EFCE"/>
            <w:noWrap/>
            <w:vAlign w:val="center"/>
          </w:tcPr>
          <w:p w14:paraId="4A3B0059" w14:textId="77777777" w:rsidR="0039681A" w:rsidRPr="00A36E36" w:rsidRDefault="0039681A">
            <w:pPr>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Assignment of the works to at least seven Port System Authorities. The selection procedure for the assignment of works shall include the following: </w:t>
            </w:r>
          </w:p>
          <w:p w14:paraId="5489260E" w14:textId="77777777" w:rsidR="0039681A" w:rsidRPr="00A36E36" w:rsidRDefault="0039681A">
            <w:pPr>
              <w:jc w:val="both"/>
              <w:rPr>
                <w:rFonts w:ascii="Arial Narrow" w:hAnsi="Arial Narrow"/>
                <w:noProof/>
                <w:color w:val="006100"/>
                <w:sz w:val="20"/>
                <w:szCs w:val="20"/>
                <w:lang w:val="en-IE"/>
              </w:rPr>
            </w:pPr>
            <w:r w:rsidRPr="00A36E36">
              <w:rPr>
                <w:rFonts w:ascii="Arial Narrow" w:hAnsi="Arial Narrow"/>
                <w:noProof/>
                <w:color w:val="006100"/>
                <w:sz w:val="20"/>
                <w:lang w:val="en-IE"/>
              </w:rPr>
              <w:t>a) Eligibility criteria that ensure that the works comply with the ‘Do no significant harm’ Technical Guidance (2021/C58/01) and with the relevant EU and national environmental legislation.</w:t>
            </w:r>
          </w:p>
          <w:p w14:paraId="2C85CB1E" w14:textId="77777777" w:rsidR="0039681A" w:rsidRPr="00A36E36" w:rsidRDefault="0039681A">
            <w:pPr>
              <w:jc w:val="both"/>
              <w:rPr>
                <w:rFonts w:ascii="Arial Narrow" w:hAnsi="Arial Narrow"/>
                <w:noProof/>
                <w:color w:val="006100"/>
                <w:sz w:val="20"/>
                <w:szCs w:val="20"/>
                <w:lang w:val="en-IE"/>
              </w:rPr>
            </w:pPr>
            <w:r w:rsidRPr="00A36E36">
              <w:rPr>
                <w:rFonts w:ascii="Arial Narrow" w:hAnsi="Arial Narrow"/>
                <w:noProof/>
                <w:color w:val="006100"/>
                <w:sz w:val="20"/>
                <w:lang w:val="en-IE"/>
              </w:rPr>
              <w:t>b) Commitment that the climate contribution of the investment as per the methodology in Annex VI of the Regulation (EU) 2021/241 shall account for at least 79% of the total cost of the investment supported by the RRF.</w:t>
            </w:r>
          </w:p>
          <w:p w14:paraId="23CE042F" w14:textId="77777777" w:rsidR="0039681A" w:rsidRPr="00A36E36" w:rsidRDefault="0039681A">
            <w:pPr>
              <w:jc w:val="both"/>
              <w:rPr>
                <w:rFonts w:ascii="Arial Narrow" w:hAnsi="Arial Narrow"/>
                <w:noProof/>
                <w:color w:val="006100"/>
                <w:sz w:val="20"/>
                <w:szCs w:val="20"/>
                <w:lang w:val="en-IE"/>
              </w:rPr>
            </w:pPr>
            <w:r w:rsidRPr="00A36E36">
              <w:rPr>
                <w:rFonts w:ascii="Arial Narrow" w:hAnsi="Arial Narrow"/>
                <w:noProof/>
                <w:color w:val="006100"/>
                <w:sz w:val="20"/>
                <w:lang w:val="en-IE"/>
              </w:rPr>
              <w:t>c) Commitment to report on the implementation of the measure halfway through the life of the scheme and the end of the scheme.</w:t>
            </w:r>
          </w:p>
        </w:tc>
      </w:tr>
      <w:tr w:rsidR="0039681A" w:rsidRPr="0070054C" w14:paraId="43D098A1" w14:textId="77777777" w:rsidTr="00D033E7">
        <w:trPr>
          <w:trHeight w:val="313"/>
          <w:jc w:val="center"/>
        </w:trPr>
        <w:tc>
          <w:tcPr>
            <w:tcW w:w="13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64C3CF"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M3C2-5bis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8955F" w14:textId="77777777" w:rsidR="0039681A" w:rsidRPr="00701126" w:rsidRDefault="0039681A" w:rsidP="00351087">
            <w:pPr>
              <w:jc w:val="center"/>
              <w:rPr>
                <w:rFonts w:ascii="Arial Narrow" w:hAnsi="Arial Narrow"/>
                <w:noProof/>
                <w:color w:val="006100"/>
                <w:sz w:val="20"/>
                <w:lang w:val="en-IE"/>
              </w:rPr>
            </w:pPr>
            <w:r w:rsidRPr="00701126">
              <w:rPr>
                <w:rFonts w:ascii="Arial Narrow" w:hAnsi="Arial Narrow"/>
                <w:noProof/>
                <w:color w:val="006100"/>
                <w:sz w:val="20"/>
                <w:lang w:val="en-IE"/>
              </w:rPr>
              <w:t>Investment 2.1- Digitalisation of the logistic chain </w:t>
            </w:r>
          </w:p>
        </w:tc>
        <w:tc>
          <w:tcPr>
            <w:tcW w:w="11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727B2"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Target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CA8466" w14:textId="4C188D0C" w:rsidR="0039681A" w:rsidRPr="00701126" w:rsidRDefault="0039681A" w:rsidP="00351087">
            <w:pPr>
              <w:jc w:val="center"/>
              <w:rPr>
                <w:rFonts w:ascii="Arial Narrow" w:hAnsi="Arial Narrow"/>
                <w:noProof/>
                <w:color w:val="006100"/>
                <w:sz w:val="20"/>
                <w:lang w:val="en-IE"/>
              </w:rPr>
            </w:pPr>
            <w:r w:rsidRPr="00701126">
              <w:rPr>
                <w:rFonts w:ascii="Arial Narrow" w:hAnsi="Arial Narrow"/>
                <w:noProof/>
                <w:color w:val="006100"/>
                <w:sz w:val="20"/>
                <w:lang w:val="en-IE"/>
              </w:rPr>
              <w:t>Digitalisation of the logistic chain</w:t>
            </w:r>
            <w:r w:rsidR="00381DB1">
              <w:rPr>
                <w:rFonts w:ascii="Arial Narrow" w:hAnsi="Arial Narrow"/>
                <w:noProof/>
                <w:color w:val="006100"/>
                <w:sz w:val="20"/>
                <w:lang w:val="en-IE"/>
              </w:rPr>
              <w:t xml:space="preserve"> </w:t>
            </w:r>
          </w:p>
        </w:tc>
        <w:tc>
          <w:tcPr>
            <w:tcW w:w="131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60164"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N/A </w:t>
            </w:r>
          </w:p>
        </w:tc>
        <w:tc>
          <w:tcPr>
            <w:tcW w:w="95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B025FA"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ADE10E"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0 </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FAC07"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3 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976F7E"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Q2 </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9D24A5"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2026 </w:t>
            </w:r>
          </w:p>
        </w:tc>
        <w:tc>
          <w:tcPr>
            <w:tcW w:w="39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9388AF" w14:textId="2F9B2B7E" w:rsidR="0039681A" w:rsidRPr="00701126" w:rsidRDefault="0039681A" w:rsidP="00351087">
            <w:pPr>
              <w:jc w:val="both"/>
              <w:rPr>
                <w:rFonts w:ascii="Arial Narrow" w:hAnsi="Arial Narrow"/>
                <w:noProof/>
                <w:color w:val="006100"/>
                <w:sz w:val="20"/>
                <w:lang w:val="en-IE"/>
              </w:rPr>
            </w:pPr>
            <w:r w:rsidRPr="00701126">
              <w:rPr>
                <w:rFonts w:ascii="Arial Narrow" w:hAnsi="Arial Narrow"/>
                <w:noProof/>
                <w:color w:val="006100"/>
                <w:sz w:val="20"/>
                <w:lang w:val="en-IE"/>
              </w:rPr>
              <w:t>The following 3 interventions shall be carried out:</w:t>
            </w:r>
            <w:r w:rsidR="00381DB1">
              <w:rPr>
                <w:rFonts w:ascii="Arial Narrow" w:hAnsi="Arial Narrow"/>
                <w:noProof/>
                <w:color w:val="006100"/>
                <w:sz w:val="20"/>
                <w:lang w:val="en-IE"/>
              </w:rPr>
              <w:t xml:space="preserve"> </w:t>
            </w:r>
          </w:p>
          <w:p w14:paraId="21B4485B" w14:textId="5A3B2E24" w:rsidR="0039681A" w:rsidRPr="00701126" w:rsidRDefault="0039681A" w:rsidP="00351087">
            <w:pPr>
              <w:jc w:val="both"/>
              <w:rPr>
                <w:rFonts w:ascii="Arial Narrow" w:eastAsia="Arial Narrow" w:hAnsi="Arial Narrow" w:cs="Arial Narrow"/>
                <w:noProof/>
                <w:sz w:val="20"/>
                <w:szCs w:val="20"/>
                <w:lang w:val="en-IE"/>
              </w:rPr>
            </w:pPr>
            <w:r w:rsidRPr="2F62B8FE">
              <w:rPr>
                <w:rFonts w:ascii="Arial Narrow" w:hAnsi="Arial Narrow"/>
                <w:noProof/>
                <w:color w:val="006100"/>
                <w:sz w:val="20"/>
                <w:szCs w:val="20"/>
                <w:lang w:val="en-IE"/>
              </w:rPr>
              <w:t xml:space="preserve">1) Log-IN Center: A digital platform (Piattaforma Logistica Nazionale - PLN) is available online and accessible to relevant operators </w:t>
            </w:r>
            <w:r w:rsidRPr="2F62B8FE">
              <w:rPr>
                <w:rFonts w:ascii="Arial Narrow" w:eastAsia="Arial Narrow" w:hAnsi="Arial Narrow" w:cs="Arial Narrow"/>
                <w:noProof/>
                <w:color w:val="006100"/>
                <w:sz w:val="20"/>
                <w:szCs w:val="20"/>
                <w:lang w:val="en-IE"/>
              </w:rPr>
              <w:t>(which may include, but are not limited to, Port System Authorities, freight villages, and freight and logistics enterprises).</w:t>
            </w:r>
          </w:p>
          <w:p w14:paraId="1C489E3B" w14:textId="2DB6A517" w:rsidR="0039681A" w:rsidRPr="00701126" w:rsidRDefault="0039681A" w:rsidP="00351087">
            <w:pPr>
              <w:jc w:val="both"/>
              <w:rPr>
                <w:rFonts w:ascii="Arial Narrow" w:hAnsi="Arial Narrow"/>
                <w:noProof/>
                <w:color w:val="006100"/>
                <w:sz w:val="20"/>
                <w:lang w:val="en-IE"/>
              </w:rPr>
            </w:pPr>
            <w:r w:rsidRPr="00701126">
              <w:rPr>
                <w:rFonts w:ascii="Arial Narrow" w:hAnsi="Arial Narrow"/>
                <w:noProof/>
                <w:color w:val="006100"/>
                <w:sz w:val="20"/>
                <w:lang w:val="en-IE"/>
              </w:rPr>
              <w:t>2) Ports network and freight villages:</w:t>
            </w:r>
            <w:r w:rsidR="00381DB1">
              <w:rPr>
                <w:rFonts w:ascii="Arial Narrow" w:hAnsi="Arial Narrow"/>
                <w:noProof/>
                <w:color w:val="006100"/>
                <w:sz w:val="20"/>
                <w:lang w:val="en-IE"/>
              </w:rPr>
              <w:t xml:space="preserve"> </w:t>
            </w:r>
          </w:p>
          <w:p w14:paraId="28EB08BD" w14:textId="77777777" w:rsidR="0039681A" w:rsidRPr="00701126" w:rsidRDefault="0039681A" w:rsidP="00351087">
            <w:pPr>
              <w:jc w:val="both"/>
              <w:rPr>
                <w:rFonts w:ascii="Arial Narrow" w:hAnsi="Arial Narrow"/>
                <w:noProof/>
                <w:color w:val="006100"/>
                <w:sz w:val="20"/>
                <w:lang w:val="en-IE"/>
              </w:rPr>
            </w:pPr>
            <w:r w:rsidRPr="00701126">
              <w:rPr>
                <w:rFonts w:ascii="Arial Narrow" w:hAnsi="Arial Narrow"/>
                <w:noProof/>
                <w:color w:val="006100"/>
                <w:sz w:val="20"/>
                <w:lang w:val="en-IE"/>
              </w:rPr>
              <w:t>All of the 16 Port System Authorities shall have PCS (Port Community System) services compatible with the Piattaforma Logistica Nazionale (PLN). A Port System Authority shall be considered equipped with Port Community Systems (PCS) services if at least one port of that Port System Authority has been equipped with the Port Community Systems (PCS). These PCS services shall be operational for all core ports as identified by Regulation (EU) 1679/2024. </w:t>
            </w:r>
          </w:p>
          <w:p w14:paraId="5BBB0330" w14:textId="77777777" w:rsidR="0039681A" w:rsidRPr="00701126" w:rsidRDefault="0039681A" w:rsidP="00351087">
            <w:pPr>
              <w:jc w:val="both"/>
              <w:rPr>
                <w:rFonts w:ascii="Arial Narrow" w:hAnsi="Arial Narrow"/>
                <w:noProof/>
                <w:color w:val="006100"/>
                <w:sz w:val="20"/>
                <w:lang w:val="en-IE"/>
              </w:rPr>
            </w:pPr>
            <w:r w:rsidRPr="00701126">
              <w:rPr>
                <w:rFonts w:ascii="Arial Narrow" w:hAnsi="Arial Narrow"/>
                <w:noProof/>
                <w:color w:val="006100"/>
                <w:sz w:val="20"/>
                <w:lang w:val="en-IE"/>
              </w:rPr>
              <w:t>At least 12 national freight villages shall have a Freight Village System (FVS) compatible with the PLN. </w:t>
            </w:r>
          </w:p>
          <w:p w14:paraId="3076420C" w14:textId="59F4F3F0" w:rsidR="0039681A" w:rsidRPr="00701126" w:rsidRDefault="0039681A" w:rsidP="00351087">
            <w:pPr>
              <w:jc w:val="both"/>
              <w:rPr>
                <w:rFonts w:ascii="Arial Narrow" w:hAnsi="Arial Narrow"/>
                <w:noProof/>
                <w:color w:val="006100"/>
                <w:sz w:val="20"/>
                <w:szCs w:val="20"/>
                <w:lang w:val="en-IE"/>
              </w:rPr>
            </w:pPr>
            <w:r w:rsidRPr="18363FA9">
              <w:rPr>
                <w:rFonts w:ascii="Arial Narrow" w:hAnsi="Arial Narrow"/>
                <w:noProof/>
                <w:color w:val="006100"/>
                <w:sz w:val="20"/>
                <w:szCs w:val="20"/>
                <w:lang w:val="en-IE"/>
              </w:rPr>
              <w:t>3) Log-IN Business: transfer of resources to at least</w:t>
            </w:r>
            <w:r w:rsidR="00381DB1">
              <w:rPr>
                <w:rFonts w:ascii="Arial Narrow" w:hAnsi="Arial Narrow"/>
                <w:noProof/>
                <w:color w:val="006100"/>
                <w:sz w:val="20"/>
                <w:szCs w:val="20"/>
                <w:lang w:val="en-IE"/>
              </w:rPr>
              <w:t xml:space="preserve"> </w:t>
            </w:r>
            <w:r w:rsidRPr="18363FA9">
              <w:rPr>
                <w:rFonts w:ascii="Arial Narrow" w:hAnsi="Arial Narrow"/>
                <w:noProof/>
                <w:color w:val="006100"/>
                <w:sz w:val="20"/>
                <w:szCs w:val="20"/>
                <w:lang w:val="en-IE"/>
              </w:rPr>
              <w:t>887</w:t>
            </w:r>
            <w:r w:rsidR="00381DB1">
              <w:rPr>
                <w:rFonts w:ascii="Arial Narrow" w:hAnsi="Arial Narrow"/>
                <w:noProof/>
                <w:color w:val="006100"/>
                <w:sz w:val="20"/>
                <w:szCs w:val="20"/>
                <w:lang w:val="en-IE"/>
              </w:rPr>
              <w:t xml:space="preserve"> </w:t>
            </w:r>
            <w:r w:rsidRPr="18363FA9">
              <w:rPr>
                <w:rFonts w:ascii="Arial Narrow" w:hAnsi="Arial Narrow"/>
                <w:noProof/>
                <w:color w:val="006100"/>
                <w:sz w:val="20"/>
                <w:szCs w:val="20"/>
                <w:lang w:val="en-IE"/>
              </w:rPr>
              <w:t>enterprises to acquire or set-up digital systems or digital infrastructures compliant, where applicable, with the national</w:t>
            </w:r>
            <w:r w:rsidR="00381DB1">
              <w:rPr>
                <w:rFonts w:ascii="Arial Narrow" w:hAnsi="Arial Narrow"/>
                <w:noProof/>
                <w:color w:val="006100"/>
                <w:sz w:val="20"/>
                <w:szCs w:val="20"/>
                <w:lang w:val="en-IE"/>
              </w:rPr>
              <w:t xml:space="preserve"> </w:t>
            </w:r>
            <w:r w:rsidRPr="18363FA9">
              <w:rPr>
                <w:rFonts w:ascii="Arial Narrow" w:hAnsi="Arial Narrow"/>
                <w:noProof/>
                <w:color w:val="006100"/>
                <w:sz w:val="20"/>
                <w:szCs w:val="20"/>
                <w:lang w:val="en-IE"/>
              </w:rPr>
              <w:t>eFTI</w:t>
            </w:r>
            <w:r w:rsidR="00381DB1">
              <w:rPr>
                <w:rFonts w:ascii="Arial Narrow" w:hAnsi="Arial Narrow"/>
                <w:noProof/>
                <w:color w:val="006100"/>
                <w:sz w:val="20"/>
                <w:szCs w:val="20"/>
                <w:lang w:val="en-IE"/>
              </w:rPr>
              <w:t xml:space="preserve"> </w:t>
            </w:r>
            <w:r w:rsidRPr="18363FA9">
              <w:rPr>
                <w:rFonts w:ascii="Arial Narrow" w:hAnsi="Arial Narrow"/>
                <w:noProof/>
                <w:color w:val="006100"/>
                <w:sz w:val="20"/>
                <w:szCs w:val="20"/>
                <w:lang w:val="en-IE"/>
              </w:rPr>
              <w:t>platform and supportive of the rollout of eCMR technology.</w:t>
            </w:r>
          </w:p>
        </w:tc>
      </w:tr>
      <w:tr w:rsidR="0039681A" w:rsidRPr="0070054C" w14:paraId="25E489DD" w14:textId="77777777" w:rsidTr="00D033E7">
        <w:trPr>
          <w:trHeight w:val="313"/>
          <w:jc w:val="center"/>
        </w:trPr>
        <w:tc>
          <w:tcPr>
            <w:tcW w:w="139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7C4343"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M3C2-6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2D34F6" w14:textId="77777777" w:rsidR="0039681A" w:rsidRPr="00701126" w:rsidRDefault="0039681A" w:rsidP="00351087">
            <w:pPr>
              <w:jc w:val="center"/>
              <w:rPr>
                <w:rFonts w:ascii="Arial Narrow" w:hAnsi="Arial Narrow"/>
                <w:noProof/>
                <w:color w:val="006100"/>
                <w:sz w:val="20"/>
                <w:lang w:val="en-IE"/>
              </w:rPr>
            </w:pPr>
            <w:r w:rsidRPr="00701126">
              <w:rPr>
                <w:rFonts w:ascii="Arial Narrow" w:hAnsi="Arial Narrow"/>
                <w:noProof/>
                <w:color w:val="006100"/>
                <w:sz w:val="20"/>
                <w:lang w:val="en-IE"/>
              </w:rPr>
              <w:t>Investment 2.2: Digitalization of air traffic management </w:t>
            </w:r>
          </w:p>
        </w:tc>
        <w:tc>
          <w:tcPr>
            <w:tcW w:w="115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5901E"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Milestone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86A511" w14:textId="77777777" w:rsidR="0039681A" w:rsidRPr="00701126" w:rsidRDefault="0039681A" w:rsidP="00351087">
            <w:pPr>
              <w:jc w:val="center"/>
              <w:rPr>
                <w:rFonts w:ascii="Arial Narrow" w:hAnsi="Arial Narrow"/>
                <w:noProof/>
                <w:color w:val="006100"/>
                <w:sz w:val="20"/>
                <w:szCs w:val="20"/>
                <w:lang w:val="en-IE"/>
              </w:rPr>
            </w:pPr>
            <w:r w:rsidRPr="085869A9">
              <w:rPr>
                <w:rFonts w:ascii="Arial Narrow" w:hAnsi="Arial Narrow"/>
                <w:noProof/>
                <w:color w:val="006100"/>
                <w:sz w:val="20"/>
                <w:szCs w:val="20"/>
                <w:lang w:val="en-IE"/>
              </w:rPr>
              <w:t>Digitalisation of air traffic management </w:t>
            </w:r>
          </w:p>
        </w:tc>
        <w:tc>
          <w:tcPr>
            <w:tcW w:w="131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7752AC" w14:textId="77777777" w:rsidR="0039681A" w:rsidRPr="00AF5341" w:rsidRDefault="0039681A" w:rsidP="00351087">
            <w:pPr>
              <w:jc w:val="center"/>
              <w:rPr>
                <w:rFonts w:ascii="Arial Narrow" w:hAnsi="Arial Narrow"/>
                <w:noProof/>
                <w:color w:val="006100"/>
                <w:sz w:val="20"/>
                <w:szCs w:val="20"/>
                <w:lang w:val="en-IE"/>
              </w:rPr>
            </w:pPr>
            <w:r w:rsidRPr="00AF5341">
              <w:rPr>
                <w:rFonts w:ascii="Arial Narrow" w:hAnsi="Arial Narrow"/>
                <w:noProof/>
                <w:color w:val="006100"/>
                <w:sz w:val="20"/>
                <w:szCs w:val="20"/>
                <w:lang w:val="en-IE"/>
              </w:rPr>
              <w:t>Final reports accepted by the Administration </w:t>
            </w:r>
          </w:p>
        </w:tc>
        <w:tc>
          <w:tcPr>
            <w:tcW w:w="95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AB4DA1"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N/A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DD55A" w14:textId="03E22FAE"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N/A</w:t>
            </w:r>
            <w:r w:rsidR="00381DB1">
              <w:rPr>
                <w:rFonts w:ascii="Arial Narrow" w:hAnsi="Arial Narrow"/>
                <w:noProof/>
                <w:color w:val="006100"/>
                <w:sz w:val="20"/>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7EE2EB"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 </w:t>
            </w:r>
          </w:p>
          <w:p w14:paraId="51510AE0" w14:textId="18CD04FA" w:rsidR="0039681A" w:rsidRPr="00701126" w:rsidRDefault="0039681A" w:rsidP="00E66B74">
            <w:pPr>
              <w:jc w:val="center"/>
              <w:rPr>
                <w:rFonts w:ascii="Arial Narrow" w:hAnsi="Arial Narrow"/>
                <w:noProof/>
                <w:color w:val="006100"/>
                <w:sz w:val="20"/>
              </w:rPr>
            </w:pPr>
            <w:r w:rsidRPr="00701126">
              <w:rPr>
                <w:rFonts w:ascii="Arial Narrow" w:hAnsi="Arial Narrow"/>
                <w:noProof/>
                <w:color w:val="006100"/>
                <w:sz w:val="20"/>
              </w:rPr>
              <w:t>N/A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1B1276"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Q1 </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9FFF9B" w14:textId="77777777" w:rsidR="0039681A" w:rsidRPr="00701126" w:rsidRDefault="0039681A" w:rsidP="00351087">
            <w:pPr>
              <w:jc w:val="center"/>
              <w:rPr>
                <w:rFonts w:ascii="Arial Narrow" w:hAnsi="Arial Narrow"/>
                <w:noProof/>
                <w:color w:val="006100"/>
                <w:sz w:val="20"/>
              </w:rPr>
            </w:pPr>
            <w:r w:rsidRPr="00701126">
              <w:rPr>
                <w:rFonts w:ascii="Arial Narrow" w:hAnsi="Arial Narrow"/>
                <w:noProof/>
                <w:color w:val="006100"/>
                <w:sz w:val="20"/>
              </w:rPr>
              <w:t>2026 </w:t>
            </w:r>
          </w:p>
        </w:tc>
        <w:tc>
          <w:tcPr>
            <w:tcW w:w="39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D7C67" w14:textId="690C52AF" w:rsidR="0039681A" w:rsidRPr="00701126" w:rsidRDefault="0039681A" w:rsidP="00351087">
            <w:pPr>
              <w:jc w:val="both"/>
              <w:rPr>
                <w:rFonts w:ascii="Arial Narrow" w:hAnsi="Arial Narrow"/>
                <w:noProof/>
                <w:color w:val="006100"/>
                <w:sz w:val="20"/>
                <w:szCs w:val="20"/>
                <w:lang w:val="en-IE"/>
              </w:rPr>
            </w:pPr>
            <w:r w:rsidRPr="085869A9">
              <w:rPr>
                <w:rFonts w:ascii="Arial Narrow" w:hAnsi="Arial Narrow"/>
                <w:noProof/>
                <w:color w:val="006100"/>
                <w:sz w:val="20"/>
                <w:szCs w:val="20"/>
                <w:lang w:val="en-IE"/>
              </w:rPr>
              <w:t>Final</w:t>
            </w:r>
            <w:r w:rsidR="00E66B74">
              <w:rPr>
                <w:rFonts w:ascii="Arial Narrow" w:hAnsi="Arial Narrow"/>
                <w:noProof/>
                <w:color w:val="006100"/>
                <w:sz w:val="20"/>
                <w:szCs w:val="20"/>
                <w:lang w:val="en-IE"/>
              </w:rPr>
              <w:t xml:space="preserve"> </w:t>
            </w:r>
            <w:r w:rsidRPr="085869A9">
              <w:rPr>
                <w:rFonts w:ascii="Arial Narrow" w:hAnsi="Arial Narrow"/>
                <w:noProof/>
                <w:color w:val="006100"/>
                <w:sz w:val="20"/>
                <w:szCs w:val="20"/>
                <w:lang w:val="en-IE"/>
              </w:rPr>
              <w:t>reports are</w:t>
            </w:r>
            <w:r w:rsidR="00E66B74">
              <w:rPr>
                <w:rFonts w:ascii="Arial Narrow" w:hAnsi="Arial Narrow"/>
                <w:noProof/>
                <w:color w:val="006100"/>
                <w:sz w:val="20"/>
                <w:szCs w:val="20"/>
                <w:lang w:val="en-IE"/>
              </w:rPr>
              <w:t xml:space="preserve"> </w:t>
            </w:r>
            <w:r w:rsidRPr="085869A9">
              <w:rPr>
                <w:rFonts w:ascii="Arial Narrow" w:hAnsi="Arial Narrow"/>
                <w:noProof/>
                <w:color w:val="006100"/>
                <w:sz w:val="20"/>
                <w:szCs w:val="20"/>
                <w:lang w:val="en-IE"/>
              </w:rPr>
              <w:t>accepted by the Administration for the following 3 projects:</w:t>
            </w:r>
            <w:r w:rsidR="00381DB1">
              <w:rPr>
                <w:rFonts w:ascii="Arial Narrow" w:hAnsi="Arial Narrow"/>
                <w:noProof/>
                <w:color w:val="006100"/>
                <w:sz w:val="20"/>
                <w:szCs w:val="20"/>
                <w:lang w:val="en-IE"/>
              </w:rPr>
              <w:t xml:space="preserve"> </w:t>
            </w:r>
          </w:p>
          <w:p w14:paraId="393A63DF" w14:textId="1136399C" w:rsidR="0039681A" w:rsidRPr="00701126" w:rsidRDefault="0039681A" w:rsidP="00351087">
            <w:pPr>
              <w:jc w:val="both"/>
              <w:rPr>
                <w:rFonts w:ascii="Arial Narrow" w:hAnsi="Arial Narrow"/>
                <w:noProof/>
                <w:color w:val="006100"/>
                <w:sz w:val="20"/>
                <w:szCs w:val="20"/>
                <w:lang w:val="en-IE"/>
              </w:rPr>
            </w:pPr>
            <w:r w:rsidRPr="085869A9">
              <w:rPr>
                <w:rFonts w:ascii="Arial Narrow" w:hAnsi="Arial Narrow"/>
                <w:noProof/>
                <w:color w:val="006100"/>
                <w:sz w:val="20"/>
                <w:szCs w:val="20"/>
                <w:lang w:val="en-IE"/>
              </w:rPr>
              <w:t>a)</w:t>
            </w:r>
            <w:r w:rsidR="00381DB1">
              <w:rPr>
                <w:rFonts w:ascii="Arial Narrow" w:hAnsi="Arial Narrow"/>
                <w:noProof/>
                <w:color w:val="006100"/>
                <w:sz w:val="20"/>
                <w:szCs w:val="20"/>
                <w:lang w:val="en-IE"/>
              </w:rPr>
              <w:t xml:space="preserve"> </w:t>
            </w:r>
            <w:r w:rsidRPr="085869A9">
              <w:rPr>
                <w:rFonts w:ascii="Arial Narrow" w:hAnsi="Arial Narrow"/>
                <w:noProof/>
                <w:color w:val="006100"/>
                <w:sz w:val="20"/>
                <w:szCs w:val="20"/>
                <w:lang w:val="en-IE"/>
              </w:rPr>
              <w:t>New maintenance model for traffic management systems </w:t>
            </w:r>
          </w:p>
          <w:p w14:paraId="10163470" w14:textId="63469A10" w:rsidR="0039681A" w:rsidRPr="00701126" w:rsidRDefault="0039681A" w:rsidP="00351087">
            <w:pPr>
              <w:jc w:val="both"/>
              <w:rPr>
                <w:rFonts w:ascii="Arial Narrow" w:hAnsi="Arial Narrow"/>
                <w:noProof/>
                <w:color w:val="006100"/>
                <w:sz w:val="20"/>
                <w:lang w:val="en-IE"/>
              </w:rPr>
            </w:pPr>
            <w:r w:rsidRPr="00701126">
              <w:rPr>
                <w:rFonts w:ascii="Arial Narrow" w:hAnsi="Arial Narrow"/>
                <w:noProof/>
                <w:color w:val="006100"/>
                <w:sz w:val="20"/>
                <w:lang w:val="en-IE"/>
              </w:rPr>
              <w:t>b) Digitalised Aeronautical Information</w:t>
            </w:r>
            <w:r w:rsidR="00381DB1">
              <w:rPr>
                <w:rFonts w:ascii="Arial Narrow" w:hAnsi="Arial Narrow"/>
                <w:noProof/>
                <w:color w:val="006100"/>
                <w:sz w:val="20"/>
                <w:lang w:val="en-IE"/>
              </w:rPr>
              <w:t xml:space="preserve"> </w:t>
            </w:r>
          </w:p>
          <w:p w14:paraId="3EE658AC" w14:textId="77777777" w:rsidR="0039681A" w:rsidRPr="00701126" w:rsidRDefault="0039681A" w:rsidP="00351087">
            <w:pPr>
              <w:jc w:val="both"/>
              <w:rPr>
                <w:rFonts w:ascii="Arial Narrow" w:hAnsi="Arial Narrow"/>
                <w:noProof/>
                <w:color w:val="006100"/>
                <w:sz w:val="20"/>
                <w:lang w:val="en-IE"/>
              </w:rPr>
            </w:pPr>
            <w:r w:rsidRPr="00701126">
              <w:rPr>
                <w:rFonts w:ascii="Arial Narrow" w:hAnsi="Arial Narrow"/>
                <w:noProof/>
                <w:color w:val="006100"/>
                <w:sz w:val="20"/>
                <w:lang w:val="en-IE"/>
              </w:rPr>
              <w:t>c) Unmanned Traffic Management System and connectivity (UTMS). </w:t>
            </w:r>
          </w:p>
        </w:tc>
      </w:tr>
      <w:tr w:rsidR="0039681A" w:rsidRPr="0070054C" w14:paraId="50C9F8DC" w14:textId="77777777" w:rsidTr="00D033E7">
        <w:trPr>
          <w:trHeight w:val="313"/>
          <w:jc w:val="center"/>
        </w:trPr>
        <w:tc>
          <w:tcPr>
            <w:tcW w:w="1399" w:type="dxa"/>
            <w:shd w:val="clear" w:color="auto" w:fill="C6EFCE"/>
            <w:noWrap/>
            <w:vAlign w:val="center"/>
          </w:tcPr>
          <w:p w14:paraId="4B89B2C9" w14:textId="77777777" w:rsidR="0039681A" w:rsidRPr="00647572" w:rsidRDefault="0039681A">
            <w:pPr>
              <w:jc w:val="center"/>
              <w:rPr>
                <w:rFonts w:ascii="Arial Narrow" w:hAnsi="Arial Narrow"/>
                <w:noProof/>
                <w:color w:val="006100"/>
                <w:sz w:val="20"/>
                <w:szCs w:val="20"/>
              </w:rPr>
            </w:pPr>
            <w:r w:rsidRPr="3C8E4664">
              <w:rPr>
                <w:rFonts w:ascii="Arial Narrow" w:hAnsi="Arial Narrow"/>
                <w:noProof/>
                <w:color w:val="006100"/>
                <w:sz w:val="20"/>
                <w:szCs w:val="20"/>
              </w:rPr>
              <w:t>M3C2-9 </w:t>
            </w:r>
          </w:p>
        </w:tc>
        <w:tc>
          <w:tcPr>
            <w:tcW w:w="1560" w:type="dxa"/>
            <w:shd w:val="clear" w:color="auto" w:fill="C6EFCE"/>
            <w:noWrap/>
            <w:vAlign w:val="center"/>
          </w:tcPr>
          <w:p w14:paraId="7C9C982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Green ports: renewable energy and energy efficiency interventions at ports </w:t>
            </w:r>
          </w:p>
        </w:tc>
        <w:tc>
          <w:tcPr>
            <w:tcW w:w="1153" w:type="dxa"/>
            <w:shd w:val="clear" w:color="auto" w:fill="C6EFCE"/>
            <w:noWrap/>
            <w:vAlign w:val="center"/>
          </w:tcPr>
          <w:p w14:paraId="1E85961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275" w:type="dxa"/>
            <w:shd w:val="clear" w:color="auto" w:fill="C6EFCE"/>
            <w:noWrap/>
            <w:vAlign w:val="center"/>
          </w:tcPr>
          <w:p w14:paraId="05DBB152" w14:textId="165DD1A4" w:rsidR="0039681A" w:rsidRPr="00A36E36" w:rsidRDefault="0039681A" w:rsidP="00351087">
            <w:pPr>
              <w:jc w:val="center"/>
              <w:rPr>
                <w:rFonts w:ascii="Arial Narrow" w:hAnsi="Arial Narrow"/>
                <w:noProof/>
                <w:color w:val="006100"/>
                <w:sz w:val="20"/>
                <w:szCs w:val="20"/>
                <w:lang w:val="en-IE"/>
              </w:rPr>
            </w:pPr>
            <w:r w:rsidRPr="3C8E4664">
              <w:rPr>
                <w:rFonts w:ascii="Arial Narrow" w:hAnsi="Arial Narrow"/>
                <w:noProof/>
                <w:color w:val="006100"/>
                <w:sz w:val="20"/>
                <w:szCs w:val="20"/>
                <w:lang w:val="en-IE"/>
              </w:rPr>
              <w:t xml:space="preserve"> Delivery of goods, works and services</w:t>
            </w:r>
          </w:p>
        </w:tc>
        <w:tc>
          <w:tcPr>
            <w:tcW w:w="1314" w:type="dxa"/>
            <w:shd w:val="clear" w:color="auto" w:fill="C6EFCE"/>
            <w:noWrap/>
            <w:vAlign w:val="center"/>
          </w:tcPr>
          <w:p w14:paraId="582E5CC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4" w:type="dxa"/>
            <w:shd w:val="clear" w:color="auto" w:fill="C6EFCE"/>
            <w:noWrap/>
            <w:vAlign w:val="center"/>
          </w:tcPr>
          <w:p w14:paraId="05A9E46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34" w:type="dxa"/>
            <w:shd w:val="clear" w:color="auto" w:fill="C6EFCE"/>
            <w:noWrap/>
            <w:vAlign w:val="center"/>
          </w:tcPr>
          <w:p w14:paraId="61AD3B4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3" w:type="dxa"/>
            <w:shd w:val="clear" w:color="auto" w:fill="C6EFCE"/>
            <w:noWrap/>
            <w:vAlign w:val="center"/>
          </w:tcPr>
          <w:p w14:paraId="4DC7310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75</w:t>
            </w:r>
          </w:p>
        </w:tc>
        <w:tc>
          <w:tcPr>
            <w:tcW w:w="992" w:type="dxa"/>
            <w:shd w:val="clear" w:color="auto" w:fill="C6EFCE"/>
            <w:noWrap/>
            <w:vAlign w:val="center"/>
          </w:tcPr>
          <w:p w14:paraId="6DB0185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 </w:t>
            </w:r>
          </w:p>
        </w:tc>
        <w:tc>
          <w:tcPr>
            <w:tcW w:w="709" w:type="dxa"/>
            <w:shd w:val="clear" w:color="auto" w:fill="C6EFCE"/>
            <w:noWrap/>
            <w:vAlign w:val="center"/>
          </w:tcPr>
          <w:p w14:paraId="17A333D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2026 </w:t>
            </w:r>
          </w:p>
        </w:tc>
        <w:tc>
          <w:tcPr>
            <w:tcW w:w="3969" w:type="dxa"/>
            <w:shd w:val="clear" w:color="auto" w:fill="C6EFCE"/>
            <w:noWrap/>
            <w:vAlign w:val="center"/>
          </w:tcPr>
          <w:p w14:paraId="6B08EF1C" w14:textId="2840419E" w:rsidR="0039681A" w:rsidRPr="00A36E36" w:rsidRDefault="0039681A">
            <w:pPr>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Delivery of goods, works and services related to at least 75 projects.</w:t>
            </w:r>
          </w:p>
        </w:tc>
      </w:tr>
      <w:tr w:rsidR="0039681A" w:rsidRPr="0070054C" w14:paraId="00E679C6" w14:textId="77777777" w:rsidTr="00D033E7">
        <w:trPr>
          <w:trHeight w:val="313"/>
          <w:jc w:val="center"/>
        </w:trPr>
        <w:tc>
          <w:tcPr>
            <w:tcW w:w="1399" w:type="dxa"/>
            <w:shd w:val="clear" w:color="auto" w:fill="C6EFCE"/>
            <w:noWrap/>
            <w:vAlign w:val="center"/>
          </w:tcPr>
          <w:p w14:paraId="6F5CFB2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M3C2-10</w:t>
            </w:r>
          </w:p>
        </w:tc>
        <w:tc>
          <w:tcPr>
            <w:tcW w:w="1560" w:type="dxa"/>
            <w:shd w:val="clear" w:color="auto" w:fill="C6EFCE"/>
            <w:noWrap/>
            <w:vAlign w:val="center"/>
          </w:tcPr>
          <w:p w14:paraId="5D1B9182"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2.2: Establishment of a National Digital Logistics Platform, in order to introduce the digitalization of freight and/or passenger services</w:t>
            </w:r>
          </w:p>
        </w:tc>
        <w:tc>
          <w:tcPr>
            <w:tcW w:w="1153" w:type="dxa"/>
            <w:shd w:val="clear" w:color="auto" w:fill="C6EFCE"/>
            <w:noWrap/>
            <w:vAlign w:val="center"/>
          </w:tcPr>
          <w:p w14:paraId="05AA04C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275" w:type="dxa"/>
            <w:shd w:val="clear" w:color="auto" w:fill="C6EFCE"/>
            <w:noWrap/>
            <w:vAlign w:val="center"/>
          </w:tcPr>
          <w:p w14:paraId="6685933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 xml:space="preserve">National Digital Logistics Platform </w:t>
            </w:r>
          </w:p>
        </w:tc>
        <w:tc>
          <w:tcPr>
            <w:tcW w:w="1314" w:type="dxa"/>
            <w:shd w:val="clear" w:color="auto" w:fill="C6EFCE"/>
            <w:noWrap/>
            <w:vAlign w:val="center"/>
          </w:tcPr>
          <w:p w14:paraId="2D6C9D49" w14:textId="2E9A3DC4"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legal act indicating the entry into force of the legal act</w:t>
            </w:r>
            <w:r w:rsidR="00381DB1">
              <w:rPr>
                <w:rFonts w:ascii="Arial Narrow" w:hAnsi="Arial Narrow"/>
                <w:noProof/>
                <w:color w:val="006100"/>
                <w:sz w:val="20"/>
                <w:lang w:val="en-IE"/>
              </w:rPr>
              <w:t xml:space="preserve"> </w:t>
            </w:r>
          </w:p>
        </w:tc>
        <w:tc>
          <w:tcPr>
            <w:tcW w:w="954" w:type="dxa"/>
            <w:shd w:val="clear" w:color="auto" w:fill="C6EFCE"/>
            <w:noWrap/>
            <w:vAlign w:val="center"/>
          </w:tcPr>
          <w:p w14:paraId="3ADAD53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78331ED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tcPr>
          <w:p w14:paraId="5C33C36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tcPr>
          <w:p w14:paraId="48DB119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shd w:val="clear" w:color="auto" w:fill="C6EFCE"/>
            <w:noWrap/>
            <w:vAlign w:val="center"/>
          </w:tcPr>
          <w:p w14:paraId="173FA8C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969" w:type="dxa"/>
            <w:shd w:val="clear" w:color="auto" w:fill="C6EFCE"/>
            <w:noWrap/>
            <w:vAlign w:val="center"/>
          </w:tcPr>
          <w:p w14:paraId="003A8DA0" w14:textId="77777777" w:rsidR="0039681A" w:rsidRPr="00A36E36" w:rsidRDefault="0039681A">
            <w:pPr>
              <w:jc w:val="both"/>
              <w:rPr>
                <w:rFonts w:ascii="Arial Narrow" w:hAnsi="Arial Narrow"/>
                <w:noProof/>
                <w:color w:val="006100"/>
                <w:sz w:val="20"/>
                <w:szCs w:val="20"/>
                <w:lang w:val="en-IE"/>
              </w:rPr>
            </w:pPr>
            <w:r w:rsidRPr="00A36E36">
              <w:rPr>
                <w:rFonts w:ascii="Arial Narrow" w:hAnsi="Arial Narrow"/>
                <w:noProof/>
                <w:color w:val="006100"/>
                <w:sz w:val="20"/>
                <w:lang w:val="en-IE"/>
              </w:rPr>
              <w:t>Entry into force of legal act that shall ensure the interoperability of the Port Community Systems with the National Digital Logistics Platform.</w:t>
            </w:r>
          </w:p>
          <w:p w14:paraId="6157D07F" w14:textId="77777777" w:rsidR="0039681A" w:rsidRPr="00A36E36" w:rsidRDefault="0039681A">
            <w:pPr>
              <w:jc w:val="both"/>
              <w:rPr>
                <w:rFonts w:ascii="Arial Narrow" w:hAnsi="Arial Narrow"/>
                <w:noProof/>
                <w:color w:val="006100"/>
                <w:sz w:val="20"/>
                <w:szCs w:val="20"/>
                <w:lang w:val="en-IE"/>
              </w:rPr>
            </w:pPr>
            <w:r w:rsidRPr="00A36E36">
              <w:rPr>
                <w:rFonts w:ascii="Arial Narrow" w:hAnsi="Arial Narrow"/>
                <w:noProof/>
                <w:color w:val="006100"/>
                <w:sz w:val="20"/>
                <w:lang w:val="en-IE"/>
              </w:rPr>
              <w:t>In addition, the legal act shall provide that Port System Authorities are equipped with PCS standard services (port community system) interoperable with public administrations involved and compatible with the EU Regulation 1056/2020 and with the National Digital Logistics Platform.</w:t>
            </w:r>
          </w:p>
        </w:tc>
      </w:tr>
    </w:tbl>
    <w:p w14:paraId="466645C5" w14:textId="77777777" w:rsidR="00D033E7" w:rsidRDefault="00D033E7" w:rsidP="00351087">
      <w:pPr>
        <w:rPr>
          <w:noProof/>
          <w:lang w:val="en-IE"/>
        </w:rPr>
        <w:sectPr w:rsidR="00D033E7" w:rsidSect="00D033E7">
          <w:headerReference w:type="default" r:id="rId145"/>
          <w:footerReference w:type="default" r:id="rId146"/>
          <w:pgSz w:w="16838" w:h="11906" w:orient="landscape"/>
          <w:pgMar w:top="1440" w:right="1440" w:bottom="1440" w:left="1440" w:header="708" w:footer="708" w:gutter="0"/>
          <w:cols w:space="708"/>
          <w:docGrid w:linePitch="360"/>
        </w:sectPr>
      </w:pPr>
    </w:p>
    <w:p w14:paraId="6550F6E1" w14:textId="77777777" w:rsidR="0039681A" w:rsidRPr="00A36E36" w:rsidRDefault="0039681A" w:rsidP="00351087">
      <w:pPr>
        <w:pStyle w:val="Heading2"/>
        <w:rPr>
          <w:rFonts w:ascii="Times New Roman" w:hAnsi="Times New Roman" w:cs="Times New Roman"/>
          <w:noProof/>
          <w:sz w:val="24"/>
          <w:szCs w:val="24"/>
          <w:lang w:val="en-IE"/>
        </w:rPr>
      </w:pPr>
      <w:r w:rsidRPr="00A36E36">
        <w:rPr>
          <w:rFonts w:ascii="Times New Roman" w:eastAsia="Times New Roman" w:hAnsi="Times New Roman" w:cs="Times New Roman"/>
          <w:b/>
          <w:noProof/>
          <w:color w:val="auto"/>
          <w:sz w:val="24"/>
          <w:szCs w:val="24"/>
          <w:lang w:val="en-IE"/>
        </w:rPr>
        <w:t>J. MISSION 4 COMPONENT 1: Strengthening the provision of education services: from nurseries to universities</w:t>
      </w:r>
      <w:r w:rsidRPr="00A36E36">
        <w:rPr>
          <w:rFonts w:ascii="Times New Roman" w:hAnsi="Times New Roman" w:cs="Times New Roman"/>
          <w:noProof/>
          <w:sz w:val="24"/>
          <w:szCs w:val="24"/>
          <w:lang w:val="en-IE"/>
        </w:rPr>
        <w:t xml:space="preserve"> </w:t>
      </w:r>
    </w:p>
    <w:p w14:paraId="6E1BFB0A"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component of the Italian recovery and resilience plan includes four intervention areas: i) Quality improvement and quantitative expansion of education and training services – from kindergartens to university; ii) Reform of the teaching profession, particularly concerning recruitment and training processes, with the scope of increasing teaching staff’s skills and addressing territorial mismatching; iii) Upskilling and upgrading of infrastructure to enhance digital, science, technology, engineering and mathematics (STEM) and multilingualism teaching while improving school buildings’ security and energy efficiency; iv) Reform of degree groups, enabling degrees and Ph.D programmes with the aim to boost applied research and extending the number of Ph.D scholarships. Measures under this component aim at addressing the weaknesses of the Italian education, training and research system with the goal of improving educational outcome and employability of Italian students. The investments and reforms under this component shall contribute addressing the country specific recommendations addressed to Italy in 2020 and 2019 on the need to “support women’s participation in the labour market through a comprehensive strategy, including through access to quality childcare” (country specific recommendation 2, 2019), to “improve educational outcomes, also through adequate and targeted investment, and foster upskilling, including by strengthening digital skills” (country specific recommendation 2, 2019), to “foster research and innovation” (country specific recommendation 3, 2019), to “strengthen distance learning and skills, including digital ones” (country specific recommendation 2, 2020) and to “focus investment on research and innovation” (country specific recommendation 3, 2020).</w:t>
      </w:r>
    </w:p>
    <w:p w14:paraId="427A9EA7" w14:textId="77777777" w:rsidR="0039681A" w:rsidRPr="00A36E36" w:rsidRDefault="0039681A" w:rsidP="0035108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J.1. </w:t>
      </w:r>
      <w:r w:rsidRPr="00A36E36">
        <w:rPr>
          <w:rFonts w:ascii="Times New Roman" w:hAnsi="Times New Roman" w:cs="Times New Roman"/>
          <w:b/>
          <w:noProof/>
          <w:sz w:val="24"/>
          <w:szCs w:val="24"/>
          <w:u w:val="single"/>
          <w:lang w:val="en-IE"/>
        </w:rPr>
        <w:tab/>
        <w:t>Description of the reforms and investments for non-repayable financial support</w:t>
      </w:r>
    </w:p>
    <w:p w14:paraId="7525356C"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Investment</w:t>
      </w:r>
      <w:r w:rsidRPr="00A36E36">
        <w:rPr>
          <w:rFonts w:ascii="Times New Roman" w:hAnsi="Times New Roman" w:cs="Times New Roman"/>
          <w:b/>
          <w:noProof/>
          <w:lang w:val="en-IE"/>
        </w:rPr>
        <w:t xml:space="preserve"> 1.1: Plan for nurseries and preschools and early childhood education and care services</w:t>
      </w:r>
    </w:p>
    <w:p w14:paraId="79AE307A" w14:textId="7C4DA435" w:rsidR="0039681A" w:rsidRPr="00A36E36" w:rsidRDefault="0039681A" w:rsidP="00351087">
      <w:pPr>
        <w:spacing w:before="120" w:after="120"/>
        <w:jc w:val="both"/>
        <w:rPr>
          <w:rFonts w:ascii="Times New Roman" w:hAnsi="Times New Roman" w:cs="Times New Roman"/>
          <w:noProof/>
          <w:lang w:val="en-IE"/>
        </w:rPr>
      </w:pPr>
      <w:r w:rsidRPr="3152799F">
        <w:rPr>
          <w:rFonts w:ascii="Times New Roman" w:hAnsi="Times New Roman" w:cs="Times New Roman"/>
          <w:noProof/>
          <w:lang w:val="en-IE"/>
        </w:rPr>
        <w:t>The objective of this investment is to increase and enhance educational facilities for children aged 0-6. The investment consists in building, and/or converting, and/or renovating childcare facilities</w:t>
      </w:r>
      <w:r w:rsidRPr="00A36E36">
        <w:rPr>
          <w:rFonts w:ascii="Times New Roman" w:hAnsi="Times New Roman" w:cs="Times New Roman"/>
          <w:b/>
          <w:noProof/>
          <w:lang w:val="en-IE"/>
        </w:rPr>
        <w:t>Investment 1.3: School Sports Infrastructure Enhancement Plan</w:t>
      </w:r>
    </w:p>
    <w:p w14:paraId="2A86BD18" w14:textId="49A170C7" w:rsidR="0039681A" w:rsidRPr="00A36E36" w:rsidRDefault="0039681A" w:rsidP="00351087">
      <w:pPr>
        <w:spacing w:before="120" w:after="120"/>
        <w:jc w:val="both"/>
        <w:rPr>
          <w:rFonts w:ascii="Times New Roman" w:hAnsi="Times New Roman" w:cs="Times New Roman"/>
          <w:noProof/>
          <w:lang w:val="en-IE"/>
        </w:rPr>
      </w:pPr>
      <w:r w:rsidRPr="3152799F">
        <w:rPr>
          <w:rFonts w:ascii="Times New Roman" w:hAnsi="Times New Roman" w:cs="Times New Roman"/>
          <w:noProof/>
          <w:lang w:val="en-IE"/>
        </w:rPr>
        <w:t>The objective of this measure is to promote sport activities in schools. This measure consists in renovating and/or constructing sports facilities for school use.</w:t>
      </w:r>
    </w:p>
    <w:p w14:paraId="0E111677" w14:textId="77777777" w:rsidR="0039681A" w:rsidRPr="00A36E36" w:rsidRDefault="0039681A" w:rsidP="00351087">
      <w:pPr>
        <w:spacing w:before="120" w:after="120"/>
        <w:rPr>
          <w:noProof/>
          <w:lang w:val="en-IE"/>
        </w:rPr>
      </w:pPr>
      <w:r w:rsidRPr="00A36E36">
        <w:rPr>
          <w:rFonts w:ascii="Times New Roman" w:hAnsi="Times New Roman" w:cs="Times New Roman"/>
          <w:b/>
          <w:bCs/>
          <w:noProof/>
          <w:lang w:val="en-IE"/>
        </w:rPr>
        <w:t>Investment</w:t>
      </w:r>
      <w:r w:rsidRPr="00A36E36">
        <w:rPr>
          <w:rFonts w:ascii="Times New Roman" w:hAnsi="Times New Roman" w:cs="Times New Roman"/>
          <w:b/>
          <w:noProof/>
          <w:lang w:val="en-IE"/>
        </w:rPr>
        <w:t xml:space="preserve"> 1.4: Extraordinary intervention aimed at the reduction of territorial gaps in I and II cycles of secondary school and at tackling school drop-out</w:t>
      </w:r>
    </w:p>
    <w:p w14:paraId="4097976A" w14:textId="77777777" w:rsidR="0039681A" w:rsidRPr="00A36E36" w:rsidRDefault="0039681A" w:rsidP="00351087">
      <w:pPr>
        <w:spacing w:before="120" w:after="120"/>
        <w:jc w:val="both"/>
        <w:rPr>
          <w:noProof/>
          <w:lang w:val="en-IE"/>
        </w:rPr>
      </w:pPr>
      <w:r w:rsidRPr="00A36E36">
        <w:rPr>
          <w:rFonts w:ascii="Times New Roman" w:hAnsi="Times New Roman" w:cs="Times New Roman"/>
          <w:noProof/>
          <w:lang w:val="en-IE"/>
        </w:rPr>
        <w:t>The measure aims to tackle existing gaps in students’ basic skills. The investment consists in mentoring and training activities for students at risk of early school leaving and young people who have already dropped out, also with the support of a national digital portal.</w:t>
      </w:r>
    </w:p>
    <w:p w14:paraId="1298A297" w14:textId="77777777" w:rsidR="0039681A" w:rsidRPr="00A36E36" w:rsidRDefault="0039681A" w:rsidP="00351087">
      <w:pPr>
        <w:rPr>
          <w:rFonts w:ascii="Times New Roman" w:hAnsi="Times New Roman" w:cs="Times New Roman"/>
          <w:b/>
          <w:bCs/>
          <w:noProof/>
          <w:lang w:val="en-IE"/>
        </w:rPr>
      </w:pPr>
      <w:r w:rsidRPr="00A36E36">
        <w:rPr>
          <w:rFonts w:ascii="Times New Roman" w:hAnsi="Times New Roman" w:cs="Times New Roman"/>
          <w:b/>
          <w:bCs/>
          <w:noProof/>
          <w:lang w:val="en-IE"/>
        </w:rPr>
        <w:br w:type="page"/>
      </w:r>
    </w:p>
    <w:p w14:paraId="04A22F9C" w14:textId="77777777" w:rsidR="0039681A" w:rsidRPr="00A36E36" w:rsidRDefault="0039681A" w:rsidP="00351087">
      <w:pPr>
        <w:spacing w:before="120" w:after="120"/>
        <w:jc w:val="both"/>
        <w:rPr>
          <w:noProof/>
          <w:lang w:val="en-IE"/>
        </w:rPr>
      </w:pPr>
      <w:r w:rsidRPr="00A36E36">
        <w:rPr>
          <w:rFonts w:ascii="Times New Roman" w:hAnsi="Times New Roman" w:cs="Times New Roman"/>
          <w:b/>
          <w:bCs/>
          <w:noProof/>
          <w:lang w:val="en-IE"/>
        </w:rPr>
        <w:t>Reform 1.1: Reform of Technical and Professional Institutes</w:t>
      </w:r>
    </w:p>
    <w:p w14:paraId="5D09225A" w14:textId="77777777" w:rsidR="0039681A" w:rsidRPr="00A36E36" w:rsidRDefault="0039681A" w:rsidP="00351087">
      <w:pPr>
        <w:spacing w:before="120" w:after="120"/>
        <w:jc w:val="both"/>
        <w:rPr>
          <w:noProof/>
          <w:lang w:val="en-IE"/>
        </w:rPr>
      </w:pPr>
      <w:r w:rsidRPr="00A36E36">
        <w:rPr>
          <w:rFonts w:ascii="Times New Roman" w:hAnsi="Times New Roman" w:cs="Times New Roman"/>
          <w:noProof/>
          <w:lang w:val="en-IE"/>
        </w:rPr>
        <w:t>The reform aims to align the curricula of technical and professional institutes with competences needed by the Italian production system, including at local level. In particular, the reform shall make technical and vocational education consistent with Industry 4.0 and embracing digital innovation.</w:t>
      </w:r>
    </w:p>
    <w:p w14:paraId="4277B6C1" w14:textId="77777777" w:rsidR="0039681A" w:rsidRPr="00A36E36" w:rsidRDefault="0039681A" w:rsidP="00351087">
      <w:pPr>
        <w:spacing w:before="120" w:after="120"/>
        <w:jc w:val="both"/>
        <w:rPr>
          <w:noProof/>
          <w:lang w:val="en-IE"/>
        </w:rPr>
      </w:pPr>
      <w:r w:rsidRPr="00A36E36">
        <w:rPr>
          <w:rFonts w:ascii="Times New Roman" w:hAnsi="Times New Roman" w:cs="Times New Roman"/>
          <w:b/>
          <w:bCs/>
          <w:noProof/>
          <w:lang w:val="en-IE"/>
        </w:rPr>
        <w:t>Reform 1.2: Reform of the tertiary vocational training (ITS)</w:t>
      </w:r>
    </w:p>
    <w:p w14:paraId="05AADEB6"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reform aims at strengthening the tertiary vocational training system by simplifying ITS governance in order to increase the number of institutes and enrolments with a view to the local territory. The reform is expected to bridge the mismatch between labour supply and demand. </w:t>
      </w:r>
    </w:p>
    <w:p w14:paraId="072EA25E"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b/>
          <w:noProof/>
          <w:lang w:val="en-IE"/>
        </w:rPr>
        <w:t>Investment 1.5: Development of the tertiary vocational training system (ITS)</w:t>
      </w:r>
    </w:p>
    <w:p w14:paraId="2317B71C"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increase the role of vocational training institutes (ITS) in the Italian education system. The investment consists in expanding student enrolment in ITSs and boosting enterprise involvement in education through the launch of a national digital platform that better connects training with the labour market. </w:t>
      </w:r>
    </w:p>
    <w:p w14:paraId="5FD8612C"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1.3: Reorganisation of the school system</w:t>
      </w:r>
    </w:p>
    <w:p w14:paraId="0B14B113" w14:textId="77777777" w:rsidR="0039681A" w:rsidRPr="004A4EDA" w:rsidRDefault="0039681A" w:rsidP="00351087">
      <w:pPr>
        <w:spacing w:before="120" w:after="120"/>
        <w:jc w:val="both"/>
        <w:rPr>
          <w:rFonts w:ascii="Times New Roman" w:hAnsi="Times New Roman" w:cs="Times New Roman"/>
          <w:noProof/>
          <w:lang w:val="en-IE"/>
        </w:rPr>
      </w:pPr>
      <w:r w:rsidRPr="004A4EDA">
        <w:rPr>
          <w:rFonts w:ascii="Times New Roman" w:hAnsi="Times New Roman" w:cs="Times New Roman"/>
          <w:noProof/>
          <w:lang w:val="en-IE"/>
        </w:rPr>
        <w:t xml:space="preserve">The objective of the reform is twofold: </w:t>
      </w:r>
    </w:p>
    <w:p w14:paraId="33D9E272" w14:textId="77777777" w:rsidR="0039681A" w:rsidRPr="00D1196E" w:rsidRDefault="0039681A" w:rsidP="0039681A">
      <w:pPr>
        <w:pStyle w:val="ListParagraph"/>
        <w:numPr>
          <w:ilvl w:val="0"/>
          <w:numId w:val="139"/>
        </w:numPr>
        <w:spacing w:before="120" w:after="120" w:line="240" w:lineRule="auto"/>
        <w:ind w:left="360"/>
        <w:jc w:val="both"/>
        <w:rPr>
          <w:rFonts w:ascii="Times New Roman" w:hAnsi="Times New Roman" w:cs="Times New Roman"/>
          <w:noProof/>
          <w:lang w:val="en-IE"/>
        </w:rPr>
      </w:pPr>
      <w:r w:rsidRPr="00D1196E">
        <w:rPr>
          <w:rFonts w:ascii="Times New Roman" w:hAnsi="Times New Roman" w:cs="Times New Roman"/>
          <w:noProof/>
          <w:lang w:val="en-IE"/>
        </w:rPr>
        <w:t xml:space="preserve">Adjustment of the number of pupils per class. </w:t>
      </w:r>
    </w:p>
    <w:p w14:paraId="48D10043" w14:textId="77777777" w:rsidR="0039681A" w:rsidRPr="00A36E36" w:rsidRDefault="0039681A" w:rsidP="00351087">
      <w:pPr>
        <w:spacing w:before="120" w:after="120"/>
        <w:jc w:val="both"/>
        <w:rPr>
          <w:rFonts w:ascii="Times New Roman" w:hAnsi="Times New Roman" w:cs="Times New Roman"/>
          <w:noProof/>
          <w:lang w:val="en-IE"/>
        </w:rPr>
      </w:pPr>
      <w:r w:rsidRPr="00D1196E">
        <w:rPr>
          <w:rFonts w:ascii="Times New Roman" w:hAnsi="Times New Roman" w:cs="Times New Roman"/>
          <w:noProof/>
          <w:lang w:val="en-IE"/>
        </w:rPr>
        <w:t>The number of teaching staff shall be set at the same level as in the 2020/2021 school year, in view of the population decline and in order to reduce the number of pupils per class and gradually improve the ratio between the number of pupils and the number of teachers on common positions. The implementation of the intervention shall not increment the number of buildings available. The initiative shall give personalised attention to individual pupils, particula ly to the most</w:t>
      </w:r>
      <w:r w:rsidRPr="00A36E36">
        <w:rPr>
          <w:rFonts w:ascii="Times New Roman" w:hAnsi="Times New Roman" w:cs="Times New Roman"/>
          <w:noProof/>
          <w:lang w:val="en-IE"/>
        </w:rPr>
        <w:t xml:space="preserve"> vulnerable and certainly pupils with disabilities. The improvement of the pupil/teacher ratio is expected to benefit teaching quality and the availability of resources for school buildings. Reviewing the rules on the</w:t>
      </w:r>
      <w:r w:rsidRPr="00A36E36">
        <w:rPr>
          <w:noProof/>
          <w:lang w:val="en-IE"/>
        </w:rPr>
        <w:t xml:space="preserve"> </w:t>
      </w:r>
      <w:r w:rsidRPr="00A36E36">
        <w:rPr>
          <w:rFonts w:ascii="Times New Roman" w:hAnsi="Times New Roman" w:cs="Times New Roman"/>
          <w:noProof/>
          <w:lang w:val="en-IE"/>
        </w:rPr>
        <w:t>size of school buildings.</w:t>
      </w:r>
      <w:r w:rsidRPr="00A36E36">
        <w:rPr>
          <w:noProof/>
          <w:lang w:val="en-IE"/>
        </w:rPr>
        <w:t xml:space="preserve"> </w:t>
      </w:r>
      <w:r w:rsidRPr="00A36E36">
        <w:rPr>
          <w:rFonts w:ascii="Times New Roman" w:hAnsi="Times New Roman" w:cs="Times New Roman"/>
          <w:noProof/>
          <w:lang w:val="en-IE"/>
        </w:rPr>
        <w:t xml:space="preserve">The regional school population shall be adopted as the "effective parameter" for identifying the educational institutions with a headmaster and a headmistress, rather than the population of the individual school, as provided for by current legislation. </w:t>
      </w:r>
    </w:p>
    <w:p w14:paraId="1503E3CF" w14:textId="77777777" w:rsidR="0039681A" w:rsidRPr="00A36E36" w:rsidRDefault="0039681A" w:rsidP="00351087">
      <w:pPr>
        <w:spacing w:before="120" w:after="120"/>
        <w:jc w:val="both"/>
        <w:rPr>
          <w:noProof/>
          <w:lang w:val="en-IE"/>
        </w:rPr>
      </w:pPr>
      <w:r w:rsidRPr="00A36E36">
        <w:rPr>
          <w:rFonts w:ascii="Times New Roman" w:hAnsi="Times New Roman" w:cs="Times New Roman"/>
          <w:b/>
          <w:noProof/>
          <w:lang w:val="en-IE"/>
        </w:rPr>
        <w:t>Reform 1.4: Reform of the “Orientation" system</w:t>
      </w:r>
      <w:r w:rsidRPr="00A36E36">
        <w:rPr>
          <w:noProof/>
          <w:lang w:val="en-IE"/>
        </w:rPr>
        <w:t xml:space="preserve"> </w:t>
      </w:r>
    </w:p>
    <w:p w14:paraId="51472B07" w14:textId="77777777" w:rsidR="0039681A" w:rsidRPr="00A36E36" w:rsidRDefault="0039681A" w:rsidP="00351087">
      <w:pPr>
        <w:spacing w:before="120" w:after="120"/>
        <w:jc w:val="both"/>
        <w:rPr>
          <w:noProof/>
          <w:lang w:val="en-IE"/>
        </w:rPr>
      </w:pPr>
      <w:r w:rsidRPr="00A36E36">
        <w:rPr>
          <w:rFonts w:ascii="Times New Roman" w:hAnsi="Times New Roman" w:cs="Times New Roman"/>
          <w:noProof/>
          <w:lang w:val="en-IE"/>
        </w:rPr>
        <w:t>The reform aims at introducing orientation modules (at least 30 hours per year) for the fourth and fifth classes of upper secondary school. The main objective is to support students in taking an informed choice between continuing their studies or further vocational training (ITS), prior to their integration into the labour market. The reform also envisages the creation of a digital orientation platform, related to the tertiary educational offer of Universities and Vocational Training Institutes (ITS).</w:t>
      </w:r>
      <w:r w:rsidRPr="00A36E36">
        <w:rPr>
          <w:noProof/>
          <w:lang w:val="en-IE"/>
        </w:rPr>
        <w:t xml:space="preserve"> </w:t>
      </w:r>
    </w:p>
    <w:p w14:paraId="324A998A" w14:textId="77777777" w:rsidR="0039681A" w:rsidRPr="00A36E36" w:rsidRDefault="0039681A" w:rsidP="00351087">
      <w:pPr>
        <w:spacing w:before="120" w:after="120"/>
        <w:rPr>
          <w:noProof/>
          <w:lang w:val="en-IE"/>
        </w:rPr>
      </w:pPr>
      <w:r w:rsidRPr="00A36E36">
        <w:rPr>
          <w:rFonts w:ascii="Times New Roman" w:hAnsi="Times New Roman" w:cs="Times New Roman"/>
          <w:b/>
          <w:bCs/>
          <w:noProof/>
          <w:lang w:val="en-IE"/>
        </w:rPr>
        <w:t>Investment 1.6: Active orientation in school-university transition</w:t>
      </w:r>
      <w:r w:rsidRPr="00A36E36">
        <w:rPr>
          <w:noProof/>
          <w:lang w:val="en-IE"/>
        </w:rPr>
        <w:t xml:space="preserve"> </w:t>
      </w:r>
    </w:p>
    <w:p w14:paraId="72F10F7B" w14:textId="37AA89E9" w:rsidR="0039681A" w:rsidRPr="00A36E36" w:rsidRDefault="0039681A" w:rsidP="00351087">
      <w:pPr>
        <w:spacing w:before="120" w:after="120"/>
        <w:rPr>
          <w:rFonts w:ascii="Times New Roman" w:hAnsi="Times New Roman" w:cs="Times New Roman"/>
          <w:noProof/>
          <w:lang w:val="en-IE"/>
        </w:rPr>
      </w:pPr>
      <w:r w:rsidRPr="302A67EE">
        <w:rPr>
          <w:rFonts w:ascii="Times New Roman" w:hAnsi="Times New Roman" w:cs="Times New Roman"/>
          <w:noProof/>
          <w:lang w:val="en-IE"/>
        </w:rPr>
        <w:t>The objective of this measure is to facilitate</w:t>
      </w:r>
      <w:r w:rsidR="00381DB1">
        <w:rPr>
          <w:rFonts w:ascii="Times New Roman" w:hAnsi="Times New Roman" w:cs="Times New Roman"/>
          <w:noProof/>
          <w:lang w:val="en-IE"/>
        </w:rPr>
        <w:t xml:space="preserve"> </w:t>
      </w:r>
      <w:r w:rsidRPr="302A67EE">
        <w:rPr>
          <w:rFonts w:ascii="Times New Roman" w:hAnsi="Times New Roman" w:cs="Times New Roman"/>
          <w:noProof/>
          <w:lang w:val="en-IE"/>
        </w:rPr>
        <w:t xml:space="preserve">the transition from upper secondary school to university . This measure consists in providing orientation courses to students in upper secondary school to support them in the choice of tertiary education. </w:t>
      </w:r>
    </w:p>
    <w:p w14:paraId="24EBE569" w14:textId="77777777" w:rsidR="0039681A" w:rsidRDefault="0039681A" w:rsidP="00351087">
      <w:pPr>
        <w:rPr>
          <w:rFonts w:ascii="Times New Roman" w:hAnsi="Times New Roman" w:cs="Times New Roman"/>
          <w:b/>
          <w:noProof/>
          <w:lang w:val="en-IE"/>
        </w:rPr>
      </w:pPr>
      <w:r>
        <w:rPr>
          <w:rFonts w:ascii="Times New Roman" w:hAnsi="Times New Roman" w:cs="Times New Roman"/>
          <w:b/>
          <w:noProof/>
          <w:lang w:val="en-IE"/>
        </w:rPr>
        <w:br w:type="page"/>
      </w:r>
    </w:p>
    <w:p w14:paraId="08CCAD36" w14:textId="77777777" w:rsidR="0039681A" w:rsidRPr="00A36E36" w:rsidRDefault="0039681A" w:rsidP="00351087">
      <w:pPr>
        <w:spacing w:before="120" w:after="120"/>
        <w:rPr>
          <w:noProof/>
          <w:lang w:val="en-IE"/>
        </w:rPr>
      </w:pPr>
      <w:r w:rsidRPr="00A36E36">
        <w:rPr>
          <w:rFonts w:ascii="Times New Roman" w:hAnsi="Times New Roman" w:cs="Times New Roman"/>
          <w:b/>
          <w:noProof/>
          <w:lang w:val="en-IE"/>
        </w:rPr>
        <w:t>Investment 1.7: Scholarships for University access</w:t>
      </w:r>
      <w:r w:rsidRPr="00A36E36">
        <w:rPr>
          <w:noProof/>
          <w:lang w:val="en-IE"/>
        </w:rPr>
        <w:t xml:space="preserve"> </w:t>
      </w:r>
    </w:p>
    <w:p w14:paraId="2F1DAFB5" w14:textId="77777777" w:rsidR="0039681A" w:rsidRPr="00A36E36" w:rsidRDefault="0039681A" w:rsidP="00351087">
      <w:pPr>
        <w:spacing w:before="120" w:after="120"/>
        <w:rPr>
          <w:noProof/>
          <w:lang w:val="en-IE"/>
        </w:rPr>
      </w:pPr>
      <w:r w:rsidRPr="00A36E36">
        <w:rPr>
          <w:rFonts w:ascii="Times New Roman" w:hAnsi="Times New Roman" w:cs="Times New Roman"/>
          <w:noProof/>
          <w:lang w:val="en-IE"/>
        </w:rPr>
        <w:t xml:space="preserve">The objective of this measure is to enhance equality in tertiary education access, by supporting students in socio-economic difficulties. The measure consists in increasing the number ofscholarships </w:t>
      </w:r>
      <w:r w:rsidRPr="00A36E36" w:rsidDel="003568D9">
        <w:rPr>
          <w:rFonts w:ascii="Times New Roman" w:hAnsi="Times New Roman" w:cs="Times New Roman"/>
          <w:noProof/>
          <w:lang w:val="en-IE"/>
        </w:rPr>
        <w:t>provided</w:t>
      </w:r>
      <w:r w:rsidRPr="00A36E36">
        <w:rPr>
          <w:rFonts w:ascii="Times New Roman" w:hAnsi="Times New Roman" w:cs="Times New Roman"/>
          <w:noProof/>
          <w:lang w:val="en-IE"/>
        </w:rPr>
        <w:t xml:space="preserve"> to university students.</w:t>
      </w:r>
      <w:r w:rsidRPr="00A36E36">
        <w:rPr>
          <w:noProof/>
          <w:lang w:val="en-IE"/>
        </w:rPr>
        <w:t xml:space="preserve"> </w:t>
      </w:r>
    </w:p>
    <w:p w14:paraId="20EA8A59" w14:textId="77777777" w:rsidR="0039681A" w:rsidRPr="00A36E36" w:rsidRDefault="0039681A" w:rsidP="00351087">
      <w:pPr>
        <w:spacing w:before="120" w:after="120"/>
        <w:jc w:val="both"/>
        <w:rPr>
          <w:noProof/>
          <w:lang w:val="en-IE"/>
        </w:rPr>
      </w:pPr>
      <w:r w:rsidRPr="00A36E36">
        <w:rPr>
          <w:rFonts w:ascii="Times New Roman" w:hAnsi="Times New Roman" w:cs="Times New Roman"/>
          <w:b/>
          <w:noProof/>
          <w:lang w:val="en-IE"/>
        </w:rPr>
        <w:t>Reform 1.5: University Degree groups reforms</w:t>
      </w:r>
      <w:r w:rsidRPr="00A36E36">
        <w:rPr>
          <w:noProof/>
          <w:lang w:val="en-IE"/>
        </w:rPr>
        <w:t xml:space="preserve"> </w:t>
      </w:r>
    </w:p>
    <w:p w14:paraId="60CA38C5" w14:textId="77777777" w:rsidR="0039681A" w:rsidRPr="00A36E36" w:rsidRDefault="0039681A" w:rsidP="00351087">
      <w:pPr>
        <w:spacing w:before="120" w:after="120"/>
        <w:jc w:val="both"/>
        <w:rPr>
          <w:noProof/>
          <w:lang w:val="en-IE"/>
        </w:rPr>
      </w:pPr>
      <w:r w:rsidRPr="00A36E36">
        <w:rPr>
          <w:rFonts w:ascii="Times New Roman" w:hAnsi="Times New Roman" w:cs="Times New Roman"/>
          <w:noProof/>
          <w:lang w:val="en-IE"/>
        </w:rPr>
        <w:t>The reform envisages the update of university curricula, reducing the existing rigid boundaries which severely limit the possibility of creating cross-disciplinary paths. The reform is also expected to expand the possibility to implement vocational training programs by introducing innovative job-oriented degree classes</w:t>
      </w:r>
      <w:r w:rsidRPr="00A36E36">
        <w:rPr>
          <w:rFonts w:ascii="Times New Roman" w:hAnsi="Times New Roman" w:cs="Times New Roman"/>
          <w:noProof/>
          <w:color w:val="006100"/>
          <w:lang w:val="en-IE"/>
        </w:rPr>
        <w:t>.</w:t>
      </w:r>
      <w:r w:rsidRPr="00A36E36">
        <w:rPr>
          <w:noProof/>
          <w:lang w:val="en-IE"/>
        </w:rPr>
        <w:t xml:space="preserve"> </w:t>
      </w:r>
    </w:p>
    <w:p w14:paraId="48F0BF7F"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Reform 1.6: Enabling University Degree Reform </w:t>
      </w:r>
    </w:p>
    <w:p w14:paraId="56EF547C"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reform envisages the simplification of the procedure for accessing professions which require the enrolment on professional orders through a dedicated professional exam. The measure shall contribute to harmonize each degree’s final national examination with the corresponding professional order exam, thereby providing general and clear rules and substitution. </w:t>
      </w:r>
    </w:p>
    <w:p w14:paraId="368901B9" w14:textId="77777777" w:rsidR="0039681A" w:rsidRPr="00A36E36" w:rsidRDefault="0039681A" w:rsidP="00351087">
      <w:pPr>
        <w:spacing w:before="120" w:after="120"/>
        <w:jc w:val="both"/>
        <w:rPr>
          <w:noProof/>
          <w:lang w:val="en-IE"/>
        </w:rPr>
      </w:pPr>
      <w:r w:rsidRPr="00A36E36">
        <w:rPr>
          <w:rFonts w:ascii="Times New Roman" w:hAnsi="Times New Roman" w:cs="Times New Roman"/>
          <w:b/>
          <w:noProof/>
          <w:lang w:val="en-IE"/>
        </w:rPr>
        <w:t>Reform 2.1: Teachers’ recruitment</w:t>
      </w:r>
      <w:r w:rsidRPr="00A36E36">
        <w:rPr>
          <w:noProof/>
          <w:lang w:val="en-IE"/>
        </w:rPr>
        <w:t xml:space="preserve"> </w:t>
      </w:r>
    </w:p>
    <w:p w14:paraId="4113E688" w14:textId="630149B8" w:rsidR="0039681A" w:rsidRPr="00A36E36" w:rsidRDefault="0039681A" w:rsidP="00351087">
      <w:pPr>
        <w:spacing w:before="120" w:after="120"/>
        <w:jc w:val="both"/>
        <w:rPr>
          <w:noProof/>
          <w:lang w:val="en-IE"/>
        </w:rPr>
      </w:pPr>
      <w:r w:rsidRPr="00A36E36">
        <w:rPr>
          <w:rFonts w:ascii="Times New Roman" w:hAnsi="Times New Roman" w:cs="Times New Roman"/>
          <w:noProof/>
          <w:lang w:val="en-IE"/>
        </w:rPr>
        <w:t>The objective of this reform is to boost educational outcomes by refining teachers’ qualification, recruiting, career, training and evaluation systems. This measure consists in the recruitment of teachers within the reformed recruitment system.</w:t>
      </w:r>
      <w:r w:rsidR="00381DB1">
        <w:rPr>
          <w:noProof/>
          <w:lang w:val="en-IE"/>
        </w:rPr>
        <w:t xml:space="preserve"> </w:t>
      </w:r>
    </w:p>
    <w:p w14:paraId="337FBE75"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Reform 2.2: Tertiary advanced school and compulsory training for school managers, teachers, administrative and technical staff</w:t>
      </w:r>
      <w:r w:rsidRPr="00A36E36">
        <w:rPr>
          <w:noProof/>
          <w:lang w:val="en-IE"/>
        </w:rPr>
        <w:t xml:space="preserve"> </w:t>
      </w:r>
    </w:p>
    <w:p w14:paraId="46BA5A2E"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reform aims at building a quality training system for school staff for the continuous professional and career development. It envisages the establishment of a qualified body in charge of releasing guidelines in line with European standards and of the selection and coordination of training initiatives, possibly linking them to career progressions, as provided for in the recruitment reform – the Reform 2.1: Teachers’ recruitment, included in the plan.</w:t>
      </w:r>
    </w:p>
    <w:p w14:paraId="76228215"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 xml:space="preserve">Investment 2.1: Integrated digital teaching and training on the digital transformation for school staff </w:t>
      </w:r>
    </w:p>
    <w:p w14:paraId="24E544A2" w14:textId="24011BFB"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establish a permanent system for fostering digital teaching skills among school staff. The investment consists in</w:t>
      </w:r>
      <w:r w:rsidR="00381DB1">
        <w:rPr>
          <w:noProof/>
          <w:lang w:val="en-IE"/>
        </w:rPr>
        <w:t xml:space="preserve"> </w:t>
      </w:r>
      <w:r w:rsidRPr="00A36E36">
        <w:rPr>
          <w:rFonts w:ascii="Times New Roman" w:hAnsi="Times New Roman" w:cs="Times New Roman"/>
          <w:noProof/>
          <w:lang w:val="en-IE"/>
        </w:rPr>
        <w:t>the training of school managers, teachers and administrative staff.</w:t>
      </w:r>
      <w:r w:rsidRPr="00A36E36">
        <w:rPr>
          <w:noProof/>
          <w:lang w:val="en-IE"/>
        </w:rPr>
        <w:t xml:space="preserve"> </w:t>
      </w:r>
    </w:p>
    <w:p w14:paraId="0A86CF00"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Investment 3.1: New skills and new languages</w:t>
      </w:r>
      <w:r w:rsidRPr="00A36E36">
        <w:rPr>
          <w:noProof/>
          <w:lang w:val="en-IE"/>
        </w:rPr>
        <w:t xml:space="preserve"> </w:t>
      </w:r>
    </w:p>
    <w:p w14:paraId="70BFE5CC" w14:textId="3472AA82"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enhance multilanguage, STEM, digital and innovation skills across all school levels. The measure consists in </w:t>
      </w:r>
      <w:r w:rsidRPr="00A36E36">
        <w:rPr>
          <w:rFonts w:ascii="Times New Roman" w:eastAsia="Times New Roman" w:hAnsi="Times New Roman" w:cs="Times New Roman"/>
          <w:noProof/>
          <w:color w:val="000000" w:themeColor="text1"/>
          <w:lang w:val="en-IE"/>
        </w:rPr>
        <w:t>activating interdisciplinary STEM guidance projects in schools and widening Erasmus+ program.</w:t>
      </w:r>
      <w:r w:rsidR="00381DB1">
        <w:rPr>
          <w:rFonts w:ascii="Times New Roman" w:eastAsia="Times New Roman" w:hAnsi="Times New Roman" w:cs="Times New Roman"/>
          <w:noProof/>
          <w:color w:val="000000" w:themeColor="text1"/>
          <w:lang w:val="en-IE"/>
        </w:rPr>
        <w:t xml:space="preserve"> </w:t>
      </w:r>
    </w:p>
    <w:p w14:paraId="0CDFC929"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3.2: School 4.0: innovative schools, wiring, new classrooms and workshops</w:t>
      </w:r>
    </w:p>
    <w:p w14:paraId="0034DBBA"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transform school facilities to allow digital learning. This measure consists in equipping at least 8000 primary and secondary schools with digital tools, covering at least 100 000 classrooms.</w:t>
      </w:r>
    </w:p>
    <w:p w14:paraId="44E5F05F"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3.4: Teaching and advanced university skills</w:t>
      </w:r>
    </w:p>
    <w:p w14:paraId="44434B55"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qualify and innovate university programs, including Ph.D studies, to reinforce digital skills and enhance higher education’s global engagement. The investment consists of awarding doctoral scholarships, creating networks of higher education institutions, establishing Digital Education Hubs, and boosting international cooperation and projects.</w:t>
      </w:r>
    </w:p>
    <w:p w14:paraId="64ADE3BA"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 xml:space="preserve">Reform 4.1: Ph.D. Programmes Reform </w:t>
      </w:r>
    </w:p>
    <w:p w14:paraId="7E064D54"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reform aims at updating the regulation on Ph.D. programmes, simplifying the procedures for the involvement of companies, research centres, in Ph.D. programmes, and strengthening applied research. The proposed reform has integrations with all the investments related to Ph.D. programmes in the target domain “Education and research”.</w:t>
      </w:r>
    </w:p>
    <w:p w14:paraId="52D18BE5"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 xml:space="preserve">Investment 4.1: Extension in number and career opportunities of PhDs (Research-oriented, Public Administration and Cultural Heritage) </w:t>
      </w:r>
    </w:p>
    <w:p w14:paraId="4BF0BE1C"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measure aims at increasing the stock of human capital dedicated to research-oriented activities, to public administration and cultural heritage. The investment envisages the allocation to students, by Universities and AFAM Institutions, of at least 3</w:t>
      </w:r>
      <w:r w:rsidRPr="00A36E36">
        <w:rPr>
          <w:rFonts w:ascii="Arial Narrow" w:hAnsi="Arial Narrow"/>
          <w:noProof/>
          <w:color w:val="006100"/>
          <w:sz w:val="20"/>
          <w:szCs w:val="20"/>
          <w:lang w:val="en-IE"/>
        </w:rPr>
        <w:t> </w:t>
      </w:r>
      <w:r w:rsidRPr="00A36E36">
        <w:rPr>
          <w:rFonts w:ascii="Times New Roman" w:hAnsi="Times New Roman" w:cs="Times New Roman"/>
          <w:noProof/>
          <w:lang w:val="en-IE"/>
        </w:rPr>
        <w:t>600 general doctoral scholarships, at least 3</w:t>
      </w:r>
      <w:r w:rsidRPr="00A36E36">
        <w:rPr>
          <w:rFonts w:ascii="Arial Narrow" w:hAnsi="Arial Narrow"/>
          <w:noProof/>
          <w:color w:val="006100"/>
          <w:sz w:val="20"/>
          <w:szCs w:val="20"/>
          <w:lang w:val="en-IE"/>
        </w:rPr>
        <w:t> </w:t>
      </w:r>
      <w:r w:rsidRPr="00A36E36">
        <w:rPr>
          <w:rFonts w:ascii="Times New Roman" w:hAnsi="Times New Roman" w:cs="Times New Roman"/>
          <w:noProof/>
          <w:lang w:val="en-IE"/>
        </w:rPr>
        <w:t>000 doctoral scholarships in the field of public administration, and at least 600 new doctoral scholarships dedicated to cultural heritage.</w:t>
      </w:r>
    </w:p>
    <w:p w14:paraId="6DBA23EB" w14:textId="77777777" w:rsidR="0039681A" w:rsidRPr="00A36E36" w:rsidRDefault="0039681A" w:rsidP="00351087">
      <w:pPr>
        <w:spacing w:before="120" w:after="120"/>
        <w:jc w:val="both"/>
        <w:rPr>
          <w:rFonts w:ascii="Times New Roman" w:hAnsi="Times New Roman" w:cs="Times New Roman"/>
          <w:noProof/>
          <w:lang w:val="en-IE"/>
        </w:rPr>
        <w:sectPr w:rsidR="0039681A" w:rsidRPr="00A36E36" w:rsidSect="00D033E7">
          <w:pgSz w:w="11906" w:h="16838"/>
          <w:pgMar w:top="1440" w:right="1440" w:bottom="1440" w:left="1440" w:header="708" w:footer="708" w:gutter="0"/>
          <w:cols w:space="708"/>
          <w:docGrid w:linePitch="360"/>
        </w:sectPr>
      </w:pPr>
    </w:p>
    <w:p w14:paraId="1900CFDB" w14:textId="77777777" w:rsidR="0039681A" w:rsidRPr="00A36E36" w:rsidRDefault="0039681A" w:rsidP="00351087">
      <w:pPr>
        <w:pStyle w:val="Heading3"/>
        <w:ind w:left="850" w:hanging="850"/>
        <w:rPr>
          <w:rFonts w:ascii="Times New Roman" w:hAnsi="Times New Roman" w:cs="Times New Roman"/>
          <w:b/>
          <w:i/>
          <w:noProof/>
          <w:sz w:val="24"/>
          <w:szCs w:val="24"/>
          <w:u w:val="single"/>
          <w:lang w:val="en-IE"/>
        </w:rPr>
      </w:pPr>
      <w:r w:rsidRPr="00A36E36">
        <w:rPr>
          <w:rFonts w:ascii="Times New Roman" w:hAnsi="Times New Roman" w:cs="Times New Roman"/>
          <w:b/>
          <w:noProof/>
          <w:sz w:val="24"/>
          <w:szCs w:val="24"/>
          <w:u w:val="single"/>
          <w:lang w:val="en-IE"/>
        </w:rPr>
        <w:t xml:space="preserve">J.2.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7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843"/>
        <w:gridCol w:w="1417"/>
        <w:gridCol w:w="1701"/>
        <w:gridCol w:w="1559"/>
        <w:gridCol w:w="1134"/>
        <w:gridCol w:w="1276"/>
        <w:gridCol w:w="992"/>
        <w:gridCol w:w="993"/>
        <w:gridCol w:w="850"/>
        <w:gridCol w:w="2721"/>
      </w:tblGrid>
      <w:tr w:rsidR="0039681A" w:rsidRPr="0070054C" w14:paraId="05228556" w14:textId="77777777" w:rsidTr="00351087">
        <w:trPr>
          <w:trHeight w:val="300"/>
          <w:tblHeader/>
          <w:jc w:val="center"/>
        </w:trPr>
        <w:tc>
          <w:tcPr>
            <w:tcW w:w="1277" w:type="dxa"/>
            <w:vMerge w:val="restart"/>
            <w:shd w:val="clear" w:color="auto" w:fill="BDD7EE"/>
            <w:vAlign w:val="center"/>
            <w:hideMark/>
          </w:tcPr>
          <w:p w14:paraId="4F32C42C" w14:textId="77777777" w:rsidR="0039681A" w:rsidRPr="00647572" w:rsidRDefault="0039681A">
            <w:pPr>
              <w:jc w:val="center"/>
              <w:rPr>
                <w:rFonts w:ascii="Arial Narrow" w:hAnsi="Arial Narrow"/>
                <w:b/>
                <w:noProof/>
                <w:sz w:val="20"/>
                <w:szCs w:val="20"/>
              </w:rPr>
            </w:pPr>
            <w:bookmarkStart w:id="21" w:name="_Hlk222817975"/>
            <w:r w:rsidRPr="00647572">
              <w:rPr>
                <w:rFonts w:ascii="Arial Narrow" w:hAnsi="Arial Narrow"/>
                <w:b/>
                <w:noProof/>
                <w:sz w:val="20"/>
              </w:rPr>
              <w:t>Sequential Number</w:t>
            </w:r>
          </w:p>
        </w:tc>
        <w:tc>
          <w:tcPr>
            <w:tcW w:w="1843" w:type="dxa"/>
            <w:vMerge w:val="restart"/>
            <w:shd w:val="clear" w:color="auto" w:fill="BDD7EE"/>
            <w:vAlign w:val="center"/>
            <w:hideMark/>
          </w:tcPr>
          <w:p w14:paraId="699CADFD"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417" w:type="dxa"/>
            <w:vMerge w:val="restart"/>
            <w:shd w:val="clear" w:color="auto" w:fill="BDD7EE"/>
            <w:vAlign w:val="center"/>
            <w:hideMark/>
          </w:tcPr>
          <w:p w14:paraId="3ACBB33A"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Milestone / Target</w:t>
            </w:r>
          </w:p>
        </w:tc>
        <w:tc>
          <w:tcPr>
            <w:tcW w:w="1701" w:type="dxa"/>
            <w:vMerge w:val="restart"/>
            <w:shd w:val="clear" w:color="auto" w:fill="BDD7EE"/>
            <w:vAlign w:val="center"/>
            <w:hideMark/>
          </w:tcPr>
          <w:p w14:paraId="33A79CA0"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Name</w:t>
            </w:r>
          </w:p>
        </w:tc>
        <w:tc>
          <w:tcPr>
            <w:tcW w:w="1559" w:type="dxa"/>
            <w:vMerge w:val="restart"/>
            <w:shd w:val="clear" w:color="auto" w:fill="BDD7EE"/>
            <w:vAlign w:val="center"/>
            <w:hideMark/>
          </w:tcPr>
          <w:p w14:paraId="403076D3"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402" w:type="dxa"/>
            <w:gridSpan w:val="3"/>
            <w:shd w:val="clear" w:color="auto" w:fill="BDD7EE"/>
            <w:vAlign w:val="center"/>
            <w:hideMark/>
          </w:tcPr>
          <w:p w14:paraId="1E4B482F"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843" w:type="dxa"/>
            <w:gridSpan w:val="2"/>
            <w:shd w:val="clear" w:color="auto" w:fill="BDD7EE"/>
            <w:vAlign w:val="center"/>
            <w:hideMark/>
          </w:tcPr>
          <w:p w14:paraId="491CEA25"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2721" w:type="dxa"/>
            <w:vMerge w:val="restart"/>
            <w:shd w:val="clear" w:color="auto" w:fill="BDD7EE"/>
            <w:vAlign w:val="center"/>
            <w:hideMark/>
          </w:tcPr>
          <w:p w14:paraId="754F7AAF"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6760804E" w14:textId="77777777" w:rsidTr="00351087">
        <w:trPr>
          <w:trHeight w:val="300"/>
          <w:tblHeader/>
          <w:jc w:val="center"/>
        </w:trPr>
        <w:tc>
          <w:tcPr>
            <w:tcW w:w="1277" w:type="dxa"/>
            <w:vMerge/>
            <w:vAlign w:val="center"/>
            <w:hideMark/>
          </w:tcPr>
          <w:p w14:paraId="1861EE2A" w14:textId="77777777" w:rsidR="0039681A" w:rsidRPr="00A36E36" w:rsidRDefault="0039681A">
            <w:pPr>
              <w:jc w:val="center"/>
              <w:rPr>
                <w:rFonts w:ascii="Arial Narrow" w:hAnsi="Arial Narrow"/>
                <w:b/>
                <w:noProof/>
                <w:sz w:val="20"/>
                <w:szCs w:val="20"/>
                <w:lang w:val="en-IE"/>
              </w:rPr>
            </w:pPr>
          </w:p>
        </w:tc>
        <w:tc>
          <w:tcPr>
            <w:tcW w:w="1843" w:type="dxa"/>
            <w:vMerge/>
            <w:vAlign w:val="center"/>
            <w:hideMark/>
          </w:tcPr>
          <w:p w14:paraId="7FFA8464" w14:textId="77777777" w:rsidR="0039681A" w:rsidRPr="00A36E36" w:rsidRDefault="0039681A">
            <w:pPr>
              <w:jc w:val="center"/>
              <w:rPr>
                <w:rFonts w:ascii="Arial Narrow" w:hAnsi="Arial Narrow"/>
                <w:b/>
                <w:noProof/>
                <w:sz w:val="20"/>
                <w:szCs w:val="20"/>
                <w:lang w:val="en-IE"/>
              </w:rPr>
            </w:pPr>
          </w:p>
        </w:tc>
        <w:tc>
          <w:tcPr>
            <w:tcW w:w="1417" w:type="dxa"/>
            <w:vMerge/>
            <w:vAlign w:val="center"/>
            <w:hideMark/>
          </w:tcPr>
          <w:p w14:paraId="48B5E6F0" w14:textId="77777777" w:rsidR="0039681A" w:rsidRPr="00A36E36" w:rsidRDefault="0039681A">
            <w:pPr>
              <w:jc w:val="center"/>
              <w:rPr>
                <w:rFonts w:ascii="Arial Narrow" w:hAnsi="Arial Narrow"/>
                <w:b/>
                <w:noProof/>
                <w:sz w:val="20"/>
                <w:szCs w:val="20"/>
                <w:lang w:val="en-IE"/>
              </w:rPr>
            </w:pPr>
          </w:p>
        </w:tc>
        <w:tc>
          <w:tcPr>
            <w:tcW w:w="1701" w:type="dxa"/>
            <w:vMerge/>
            <w:vAlign w:val="center"/>
            <w:hideMark/>
          </w:tcPr>
          <w:p w14:paraId="056973B6" w14:textId="77777777" w:rsidR="0039681A" w:rsidRPr="00A36E36" w:rsidRDefault="0039681A">
            <w:pPr>
              <w:jc w:val="center"/>
              <w:rPr>
                <w:rFonts w:ascii="Arial Narrow" w:hAnsi="Arial Narrow"/>
                <w:b/>
                <w:noProof/>
                <w:sz w:val="20"/>
                <w:szCs w:val="20"/>
                <w:lang w:val="en-IE"/>
              </w:rPr>
            </w:pPr>
          </w:p>
        </w:tc>
        <w:tc>
          <w:tcPr>
            <w:tcW w:w="1559" w:type="dxa"/>
            <w:vMerge/>
            <w:vAlign w:val="center"/>
            <w:hideMark/>
          </w:tcPr>
          <w:p w14:paraId="3988BD86" w14:textId="77777777" w:rsidR="0039681A" w:rsidRPr="00A36E36" w:rsidRDefault="0039681A">
            <w:pPr>
              <w:jc w:val="center"/>
              <w:rPr>
                <w:rFonts w:ascii="Arial Narrow" w:hAnsi="Arial Narrow"/>
                <w:b/>
                <w:noProof/>
                <w:sz w:val="20"/>
                <w:szCs w:val="20"/>
                <w:lang w:val="en-IE"/>
              </w:rPr>
            </w:pPr>
          </w:p>
        </w:tc>
        <w:tc>
          <w:tcPr>
            <w:tcW w:w="1134" w:type="dxa"/>
            <w:shd w:val="clear" w:color="auto" w:fill="BDD7EE"/>
            <w:vAlign w:val="center"/>
            <w:hideMark/>
          </w:tcPr>
          <w:p w14:paraId="4DDB7E31"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Unit of measure</w:t>
            </w:r>
          </w:p>
        </w:tc>
        <w:tc>
          <w:tcPr>
            <w:tcW w:w="1276" w:type="dxa"/>
            <w:shd w:val="clear" w:color="auto" w:fill="BDD7EE"/>
            <w:vAlign w:val="center"/>
            <w:hideMark/>
          </w:tcPr>
          <w:p w14:paraId="788506B2"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Baseline</w:t>
            </w:r>
          </w:p>
        </w:tc>
        <w:tc>
          <w:tcPr>
            <w:tcW w:w="992" w:type="dxa"/>
            <w:shd w:val="clear" w:color="auto" w:fill="BDD7EE"/>
            <w:vAlign w:val="center"/>
            <w:hideMark/>
          </w:tcPr>
          <w:p w14:paraId="225EE642"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Goal</w:t>
            </w:r>
          </w:p>
        </w:tc>
        <w:tc>
          <w:tcPr>
            <w:tcW w:w="993" w:type="dxa"/>
            <w:shd w:val="clear" w:color="auto" w:fill="BDD7EE"/>
            <w:vAlign w:val="center"/>
            <w:hideMark/>
          </w:tcPr>
          <w:p w14:paraId="2DB434BD"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Quarter</w:t>
            </w:r>
          </w:p>
        </w:tc>
        <w:tc>
          <w:tcPr>
            <w:tcW w:w="850" w:type="dxa"/>
            <w:shd w:val="clear" w:color="auto" w:fill="BDD7EE"/>
            <w:vAlign w:val="center"/>
            <w:hideMark/>
          </w:tcPr>
          <w:p w14:paraId="75580A6D"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Year</w:t>
            </w:r>
          </w:p>
        </w:tc>
        <w:tc>
          <w:tcPr>
            <w:tcW w:w="2721" w:type="dxa"/>
            <w:vMerge/>
            <w:vAlign w:val="center"/>
            <w:hideMark/>
          </w:tcPr>
          <w:p w14:paraId="4D94FAA6" w14:textId="77777777" w:rsidR="0039681A" w:rsidRPr="00647572" w:rsidRDefault="0039681A">
            <w:pPr>
              <w:rPr>
                <w:rFonts w:ascii="Arial Narrow" w:hAnsi="Arial Narrow"/>
                <w:b/>
                <w:noProof/>
                <w:sz w:val="20"/>
                <w:szCs w:val="20"/>
              </w:rPr>
            </w:pPr>
          </w:p>
        </w:tc>
      </w:tr>
      <w:tr w:rsidR="0039681A" w:rsidRPr="0070054C" w14:paraId="05C430C5"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270D8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3F8C3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1.5: University degree groups reform; Reform 1.6: Enabling university degrees reform; Reform 4.1: Ph.D. Programmes Reform</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F2605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678F7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reforms of the tertiary education system to improve educational outcomes (primary legislation) on: a) enabling university degrees; b) university degree groups; c) reform of PhD programs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DF80978"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reforms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902BB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EAE82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D7CDC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FDD69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1EE28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3E65128" w14:textId="79000BCD"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reforms shall include at least the following key elements:</w:t>
            </w:r>
            <w:r w:rsidR="00381DB1">
              <w:rPr>
                <w:rFonts w:ascii="Arial Narrow" w:hAnsi="Arial Narrow"/>
                <w:noProof/>
                <w:color w:val="006100"/>
                <w:sz w:val="20"/>
                <w:lang w:val="en-IE"/>
              </w:rPr>
              <w:t xml:space="preserve"> </w:t>
            </w:r>
            <w:r w:rsidRPr="00A36E36">
              <w:rPr>
                <w:noProof/>
                <w:lang w:val="en-IE"/>
              </w:rPr>
              <w:br/>
            </w:r>
            <w:r w:rsidRPr="00A36E36">
              <w:rPr>
                <w:rFonts w:ascii="Arial Narrow" w:hAnsi="Arial Narrow"/>
                <w:noProof/>
                <w:color w:val="006100"/>
                <w:sz w:val="20"/>
                <w:lang w:val="en-IE"/>
              </w:rPr>
              <w:t>i) Initiatives to reform the university degree groups introducing a higher degree of flexibility to meet the evolving skills demand of the labour market;</w:t>
            </w:r>
            <w:r w:rsidR="00381DB1">
              <w:rPr>
                <w:rFonts w:ascii="Arial Narrow" w:hAnsi="Arial Narrow"/>
                <w:noProof/>
                <w:color w:val="006100"/>
                <w:sz w:val="20"/>
                <w:lang w:val="en-IE"/>
              </w:rPr>
              <w:t xml:space="preserve"> </w:t>
            </w:r>
            <w:r w:rsidRPr="00A36E36">
              <w:rPr>
                <w:noProof/>
                <w:lang w:val="en-IE"/>
              </w:rPr>
              <w:br/>
            </w:r>
            <w:r w:rsidRPr="00A36E36">
              <w:rPr>
                <w:rFonts w:ascii="Arial Narrow" w:hAnsi="Arial Narrow"/>
                <w:noProof/>
                <w:color w:val="006100"/>
                <w:sz w:val="20"/>
                <w:lang w:val="en-IE"/>
              </w:rPr>
              <w:t>ii) Initiatives to reform the enabling university degrees, to simplify and speed up the access to professions;</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iii) Initiatives to reform the PHD programmes to better involve firms and boost applied research;</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Measures to reform the tertiary vocational training system, including strengthening links and possible transitions with professional degrees (lauree professionalizzanti), to meet the labour market demand for technical competences</w:t>
            </w:r>
          </w:p>
        </w:tc>
      </w:tr>
      <w:tr w:rsidR="0039681A" w:rsidRPr="0070054C" w14:paraId="288B79F6"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8FA2B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63678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1.7: Scholarships for University access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87A6B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12CFD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ministerial decrees for reform on scholarships to enhance access to tertiary education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BCF28D"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reform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B1FDF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67BD8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DF8A2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3383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510F4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389D5"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ministerial decrees adopted by the Ministry of University and Research on the reform on scholarships shall enhance access to tertiary education for talented students in socio-economic difficulties, Increase the amount of the scholarships and the number of beneficiaries until 31 December 2024. These students are identified based on the ISEE – Indicatore della Situazione Economica Equivalente.</w:t>
            </w:r>
          </w:p>
        </w:tc>
      </w:tr>
      <w:tr w:rsidR="0039681A" w:rsidRPr="0070054C" w14:paraId="2DA57091"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D2A27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AF8FB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Reform 2.1: Teachers’ recruitment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2A1DB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C2465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reform on teaching profession.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411BAD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reform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3ABE2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9CA58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87B01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F7C5AF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B9CCE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F6B5B3" w14:textId="1CDF3DBF"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revised legal framework shall attract, recruit and motivate quality teachers, in particular through:</w:t>
            </w:r>
            <w:r w:rsidR="00381DB1">
              <w:rPr>
                <w:rFonts w:ascii="Arial Narrow" w:hAnsi="Arial Narrow"/>
                <w:noProof/>
                <w:color w:val="006100"/>
                <w:sz w:val="20"/>
                <w:lang w:val="en-IE"/>
              </w:rPr>
              <w:t xml:space="preserve"> </w:t>
            </w:r>
            <w:r w:rsidRPr="00A36E36">
              <w:rPr>
                <w:noProof/>
                <w:lang w:val="en-IE"/>
              </w:rPr>
              <w:br/>
            </w:r>
            <w:r w:rsidRPr="00A36E36">
              <w:rPr>
                <w:rFonts w:ascii="Arial Narrow" w:hAnsi="Arial Narrow"/>
                <w:noProof/>
                <w:color w:val="006100"/>
                <w:sz w:val="20"/>
                <w:lang w:val="en-IE"/>
              </w:rPr>
              <w:t>i) improving the recruitment system</w:t>
            </w:r>
            <w:r w:rsidR="00381DB1">
              <w:rPr>
                <w:rFonts w:ascii="Arial Narrow" w:hAnsi="Arial Narrow"/>
                <w:noProof/>
                <w:color w:val="006100"/>
                <w:sz w:val="20"/>
                <w:lang w:val="en-IE"/>
              </w:rPr>
              <w:t xml:space="preserve"> </w:t>
            </w:r>
            <w:r w:rsidRPr="00A36E36">
              <w:rPr>
                <w:noProof/>
                <w:lang w:val="en-IE"/>
              </w:rPr>
              <w:br/>
            </w:r>
            <w:r w:rsidRPr="00A36E36">
              <w:rPr>
                <w:rFonts w:ascii="Arial Narrow" w:hAnsi="Arial Narrow"/>
                <w:noProof/>
                <w:color w:val="006100"/>
                <w:sz w:val="20"/>
                <w:lang w:val="en-IE"/>
              </w:rPr>
              <w:t>ii) introducing higher qualification in teaching to access the profession in secondary school ;</w:t>
            </w:r>
            <w:r w:rsidR="00381DB1">
              <w:rPr>
                <w:rFonts w:ascii="Arial Narrow" w:hAnsi="Arial Narrow"/>
                <w:noProof/>
                <w:color w:val="006100"/>
                <w:sz w:val="20"/>
                <w:lang w:val="en-IE"/>
              </w:rPr>
              <w:t xml:space="preserve"> </w:t>
            </w:r>
            <w:r w:rsidRPr="00A36E36">
              <w:rPr>
                <w:noProof/>
                <w:lang w:val="en-IE"/>
              </w:rPr>
              <w:br/>
            </w:r>
            <w:r w:rsidRPr="00A36E36">
              <w:rPr>
                <w:rFonts w:ascii="Arial Narrow" w:hAnsi="Arial Narrow"/>
                <w:noProof/>
                <w:color w:val="006100"/>
                <w:sz w:val="20"/>
                <w:lang w:val="en-IE"/>
              </w:rPr>
              <w:t>iii) limiting excessive teacher mobility (in the interest of teaching continuity);</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iv) setting a career progression clearly linked to the performance evaluation and continuous professional development.</w:t>
            </w:r>
          </w:p>
        </w:tc>
      </w:tr>
      <w:tr w:rsidR="0039681A" w:rsidRPr="0070054C" w14:paraId="1EE30461"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EDC2AA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5D9A3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3.2: School 4.0: innovative schools, wiring, new classrooms and workshops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F3183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F59C3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School 4.0 Plan to foster the digital transition of the Italian school system is adopted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771C2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Ministry of Education - Decree adopting the School 4.0 plan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80287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9E03D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067DC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138B3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DCF991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31BDDB"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"School 4.0" plan adopted by the Ministry of Education to foster the digital transition of the Italian school system shall include:</w:t>
            </w:r>
          </w:p>
          <w:p w14:paraId="3F4D6FF9"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 transformation of 100 000 classrooms into innovative learning environments</w:t>
            </w:r>
          </w:p>
          <w:p w14:paraId="18CD6F3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b) creation of laboratories for the new digital professions in all high schools.</w:t>
            </w:r>
          </w:p>
          <w:p w14:paraId="1C303699"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Action a) shall transform school spaces intended for traditional classrooms into innovative, adaptive and flexible learning environments, connected, integrated with digital, physical and virtual technologies together. The investment in school facilities shall bring the most innovative teaching technologies (coding and robotics devices, virtual reality devices, advanced digital devices for inclusive education, etc. to at least 100 000 classrooms of primary and secondary schools used for lessons).</w:t>
            </w:r>
          </w:p>
          <w:p w14:paraId="00AB461B"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Action b) shall establish at least one laboratory for digital professions in every high school, a laboratory strictly interconnected with companies and innovative start-ups for the creation of new jobs in the sector of new digital professions (such as artificial intelligence, robotics, big data, and cybersecurity, blue and green economy).</w:t>
            </w:r>
          </w:p>
          <w:p w14:paraId="45AD27F7"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At least 40% of the beneficiary schools shall be located in the South of Italy.</w:t>
            </w:r>
          </w:p>
        </w:tc>
      </w:tr>
      <w:tr w:rsidR="0039681A" w:rsidRPr="0070054C" w14:paraId="27BC7C58"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2BAD6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A8B3D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1.3: Reorganisation of the school system; Reform 1.2: Reform of the tertiary vocational training system (ITS); Reform 1.1: Reform of Technical and Professional Institutes; Reform 1.4: Reform of the “Orientation” system</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08345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Milestones</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CDDE41"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reforms of the primary and secondary education system to improve educational outcomes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D430D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reforms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63728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12DF35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DC6CC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46D06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B6211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E212EA0" w14:textId="71FA3953"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primary legislation reforms of the primary and secondary education system to improve educational outcomes (by mean of primary legislation) shall include at least the following key elements:</w:t>
            </w:r>
            <w:r w:rsidR="00381DB1">
              <w:rPr>
                <w:rFonts w:ascii="Arial Narrow" w:hAnsi="Arial Narrow"/>
                <w:noProof/>
                <w:color w:val="006100"/>
                <w:sz w:val="20"/>
                <w:lang w:val="en-IE"/>
              </w:rPr>
              <w:t xml:space="preserve"> </w:t>
            </w:r>
            <w:r w:rsidRPr="00A36E36">
              <w:rPr>
                <w:noProof/>
                <w:lang w:val="en-IE"/>
              </w:rPr>
              <w:br/>
            </w:r>
            <w:r w:rsidRPr="00A36E36">
              <w:rPr>
                <w:rFonts w:ascii="Arial Narrow" w:hAnsi="Arial Narrow"/>
                <w:noProof/>
                <w:color w:val="006100"/>
                <w:sz w:val="20"/>
                <w:lang w:val="en-IE"/>
              </w:rPr>
              <w:t>i) Initiatives to reform the organisation of the education system to adapt to demographic developments (such as number of schools and pupils/teachers ratio)</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ii) Initiatives to reform the orientation system to minimise the drop-out rate in tertiary education;</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iii) Initiatives to strengthen secondary vocational education (Istituti tecnico-professionali) including adoption of the new curriculum and their orientation towards the innovation output of the National Industry 4.0 Plan (Ministero dello Sviluppo economico, Decreto 26 Maggio 2020);</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iv) Initiatives for the training of school managers, teachers and administrative/technical staff and the creation of the Tertiary Advanced School for training to improve teaching quality;</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v) Initiatives for the for the integration of activities, methodologies and contents aimed at developing and strengthening Science, Technology, Engineering and Mathematics (STEM) curricula, digital and innovation skills, in all cycles of education, from kindergarten to upper secondary school, with the aim to boost enrolment in tertiary STEM curricula, particularly for women.</w:t>
            </w:r>
          </w:p>
          <w:p w14:paraId="3A0688D7"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In order to satisfactory fulfil the milestone, the legislation shall include mandatory deadlines for the issuance of the secondary legislation, guidelines and all necessary regulatory provisions (monitoring by the Ministry of Education Database) to ensure a smooth implementation.</w:t>
            </w:r>
          </w:p>
        </w:tc>
      </w:tr>
      <w:tr w:rsidR="0039681A" w:rsidRPr="0070054C" w14:paraId="37F30BE1"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FB067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33262"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2.2: Tertiary advanced school and continuous training for school managers, teachers, administrative and technical staff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20B3D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9F271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legislation aimed at building a quality training system for school.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AEF0C"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legislation.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195D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FD79D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93F0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3388F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19757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BD4B00"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legislation shall include provisions aimed at building a quality training system for school staff in line with continuous professional and career development, the establishment of a qualified body in charge of school staff training guidelines, the selection and coordination of training initiatives, and shall link them to career progressions, as provided for in the recruitment reform. The implementation of a system of initial and continuous training should make it possible to overcome the current fragmentation of training paths, which currently lack a unified national strategy.</w:t>
            </w:r>
          </w:p>
        </w:tc>
      </w:tr>
      <w:tr w:rsidR="0039681A" w:rsidRPr="0070054C" w14:paraId="219589EE"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1B782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DD3998"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 Extraordinary intervention aimed at the reduction of territorial gaps in I and II cycles of secondary school and at tackling school drop-out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77CB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8A36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Students or young people who have participated in mentoring activities or training courses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21198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DD46F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7E29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BCC70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820</w:t>
            </w:r>
            <w:r w:rsidRPr="00647572">
              <w:rPr>
                <w:rFonts w:ascii="Arial Narrow" w:hAnsi="Arial Narrow"/>
                <w:noProof/>
                <w:color w:val="006100"/>
                <w:sz w:val="20"/>
                <w:szCs w:val="20"/>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2CEB6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50AD2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FBB6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Certificates of attendance for mentoring and training activities delivered to at least 820 000 beneficiaries, shall be issued. </w:t>
            </w:r>
            <w:r w:rsidRPr="00A36E36">
              <w:rPr>
                <w:noProof/>
                <w:lang w:val="en-IE"/>
              </w:rPr>
              <w:br/>
            </w:r>
            <w:r w:rsidRPr="00A36E36">
              <w:rPr>
                <w:noProof/>
                <w:lang w:val="en-IE"/>
              </w:rPr>
              <w:br/>
            </w:r>
            <w:r w:rsidRPr="00A36E36">
              <w:rPr>
                <w:rFonts w:ascii="Arial Narrow" w:hAnsi="Arial Narrow"/>
                <w:noProof/>
                <w:color w:val="006100"/>
                <w:sz w:val="20"/>
                <w:szCs w:val="20"/>
                <w:lang w:val="en-IE"/>
              </w:rPr>
              <w:t xml:space="preserve">The gap in drop-out rate in secondary education is reduced to reach the EU average 2019 (10,2%), as evidenced by ISTAT. </w:t>
            </w:r>
          </w:p>
        </w:tc>
      </w:tr>
      <w:tr w:rsidR="0039681A" w:rsidRPr="0070054C" w14:paraId="1848163B"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34F85" w14:textId="0C44B8E6" w:rsidR="0039681A" w:rsidRPr="00647572" w:rsidRDefault="0039681A" w:rsidP="00E66B74">
            <w:pPr>
              <w:jc w:val="center"/>
              <w:rPr>
                <w:rFonts w:ascii="Arial Narrow" w:hAnsi="Arial Narrow"/>
                <w:noProof/>
                <w:color w:val="006100"/>
                <w:sz w:val="20"/>
                <w:szCs w:val="20"/>
              </w:rPr>
            </w:pPr>
            <w:r w:rsidRPr="00647572">
              <w:rPr>
                <w:rFonts w:ascii="Arial Narrow" w:hAnsi="Arial Narrow"/>
                <w:noProof/>
                <w:color w:val="006100"/>
                <w:sz w:val="20"/>
              </w:rPr>
              <w:t>M4C1-8</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5E61E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Investment 1.3: School Sports Infrastructure Enhancement Plan</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DED64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CF9E4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contracts for interventions to build and renovate sports facilities and gyms for school use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F7CD44" w14:textId="77777777" w:rsidR="0039681A" w:rsidRPr="00A36E36" w:rsidRDefault="0039681A">
            <w:pPr>
              <w:jc w:val="center"/>
              <w:rPr>
                <w:rFonts w:ascii="Arial Narrow" w:hAnsi="Arial Narrow"/>
                <w:b/>
                <w:noProof/>
                <w:color w:val="006100"/>
                <w:sz w:val="20"/>
                <w:szCs w:val="20"/>
                <w:lang w:val="en-IE"/>
              </w:rPr>
            </w:pPr>
            <w:r w:rsidRPr="00A36E36">
              <w:rPr>
                <w:rFonts w:ascii="Arial Narrow" w:hAnsi="Arial Narrow"/>
                <w:noProof/>
                <w:color w:val="006100"/>
                <w:sz w:val="20"/>
                <w:lang w:val="en-IE"/>
              </w:rPr>
              <w:t>Notification of the award of public contracts for the eligible interventions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8A862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9D8A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08EE2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65C6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34121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A6F66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Award of contracts for the interventions to build and renovate sports facilities and gyms for school use, following a public tendering procedure.</w:t>
            </w:r>
          </w:p>
        </w:tc>
      </w:tr>
      <w:tr w:rsidR="0039681A" w:rsidRPr="0070054C" w14:paraId="1DF54F08"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89811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2B31C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Plan for nurseries and preschools and early childhood education and care services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210C2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DD5B1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 contracts for building, renovating and ensuring the safety of nurseries, preschools and early childhood education and care services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FB558C"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by the local authorities beneficiaries of the financing of the award of public contracts for the first set of eligible interventions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DA27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DA6E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9A0F8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21BF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08750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D74C4"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Award of contracts and territorial distribution, for the nursery, preschool, early childhood education and care services. The award shall be done in compliance with the “Do no significant harm” Technical Guidance (2021/C58/01) through the use of an exclusion list and the requirement of compliance with the relevant EU and national environmental legislation.</w:t>
            </w:r>
          </w:p>
        </w:tc>
      </w:tr>
      <w:tr w:rsidR="0039681A" w:rsidRPr="0070054C" w14:paraId="4D1210A0"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5B8D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M4C1-10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F15FF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2.1: Teachers’ recruitment; Reform 1.3: Reorganisation of the school system; Reform 1.2: Reform of the tertiary vocational training system (ITS); Reform 1.4: Reform of the “Orientation” system; Reform 1.5: University degree groups reform; Reform 1.6: Enabling university degrees reform</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FB0EE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775FA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regulations for the effective implementation and application of all the measures concerning the reforms of primary, secondary and tertiary education, where needed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E4CAE" w14:textId="77777777" w:rsidR="0039681A" w:rsidRPr="00A36E36" w:rsidRDefault="0039681A">
            <w:pPr>
              <w:jc w:val="center"/>
              <w:rPr>
                <w:rFonts w:ascii="Arial Narrow" w:hAnsi="Arial Narrow"/>
                <w:noProof/>
                <w:color w:val="375623"/>
                <w:sz w:val="20"/>
                <w:szCs w:val="20"/>
                <w:lang w:val="en-IE"/>
              </w:rPr>
            </w:pPr>
            <w:r w:rsidRPr="00A36E36">
              <w:rPr>
                <w:rFonts w:ascii="Arial Narrow" w:hAnsi="Arial Narrow"/>
                <w:noProof/>
                <w:color w:val="006100"/>
                <w:sz w:val="20"/>
                <w:lang w:val="en-IE"/>
              </w:rPr>
              <w:t>Provision in the law indicating the entry into force of the regulations.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F0B17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D3E3D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873E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E2C21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3C415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A3C321"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secondary legislation shall include all necessary regulations for the effective implementation and application of all the measures concerning the reforms of primary, secondary and tertiary education:</w:t>
            </w:r>
          </w:p>
          <w:p w14:paraId="3481B3FD"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The reforms of the tertiary education system to improve educational outcomes (primary legislation) on: a) enabling university degrees; b) university degree groups; c) reform of PhD programs;</w:t>
            </w:r>
          </w:p>
          <w:p w14:paraId="6EE2B31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The ministerial decrees for reform on scholarships to enhance access to tertiary education;</w:t>
            </w:r>
          </w:p>
          <w:p w14:paraId="09FCA24B"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The reform on teaching profession;</w:t>
            </w:r>
          </w:p>
          <w:p w14:paraId="3BEAC853" w14:textId="77777777" w:rsidR="0039681A" w:rsidRPr="00A36E36" w:rsidRDefault="0039681A">
            <w:pPr>
              <w:rPr>
                <w:rFonts w:ascii="Arial Narrow" w:hAnsi="Arial Narrow"/>
                <w:noProof/>
                <w:color w:val="006100"/>
                <w:sz w:val="20"/>
                <w:lang w:val="en-IE"/>
              </w:rPr>
            </w:pPr>
            <w:r w:rsidRPr="00A36E36">
              <w:rPr>
                <w:rFonts w:ascii="Arial Narrow" w:hAnsi="Arial Narrow"/>
                <w:noProof/>
                <w:color w:val="006100"/>
                <w:sz w:val="20"/>
                <w:lang w:val="en-IE"/>
              </w:rPr>
              <w:t>- The reforms of the primary and secondary education system to improve educational outcomes;</w:t>
            </w:r>
          </w:p>
          <w:p w14:paraId="3913F105"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 The legislation aimed at building a quality training system for school. </w:t>
            </w:r>
          </w:p>
        </w:tc>
      </w:tr>
      <w:tr w:rsidR="0039681A" w:rsidRPr="0070054C" w14:paraId="7AB0EB79"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14B2B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M4C1-10 bis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1952ED"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1.1: Reform of technical and professional Institutes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8F214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C1F5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secondary legislation.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4C481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secondary legislation.</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77811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103B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173BB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5AF84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 xml:space="preserve">Q4 </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4A8D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FE3E8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secondary legislation on the reform of technical and professional Institutes entered into force.</w:t>
            </w:r>
          </w:p>
        </w:tc>
      </w:tr>
      <w:tr w:rsidR="0039681A" w:rsidRPr="0070054C" w14:paraId="1D7559F0"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46879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CD088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1.7: Scholarships for University access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CCAD9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2D049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University scholarship awarded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653F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1457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39CC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D3873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55</w:t>
            </w:r>
            <w:r w:rsidRPr="00647572">
              <w:rPr>
                <w:rFonts w:hint="eastAsia"/>
                <w:noProof/>
                <w:sz w:val="23"/>
                <w:szCs w:val="23"/>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F736E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2016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BA853" w14:textId="77777777" w:rsidR="0039681A" w:rsidRPr="00A36E36" w:rsidRDefault="0039681A">
            <w:pPr>
              <w:rPr>
                <w:rStyle w:val="normaltextrun"/>
                <w:rFonts w:ascii="Arial Narrow" w:eastAsiaTheme="majorEastAsia" w:hAnsi="Arial Narrow"/>
                <w:noProof/>
                <w:sz w:val="20"/>
                <w:szCs w:val="20"/>
                <w:lang w:val="en-IE"/>
              </w:rPr>
            </w:pPr>
            <w:r w:rsidRPr="00A36E36">
              <w:rPr>
                <w:rFonts w:ascii="Arial Narrow" w:hAnsi="Arial Narrow"/>
                <w:noProof/>
                <w:color w:val="006100"/>
                <w:sz w:val="20"/>
                <w:szCs w:val="20"/>
                <w:lang w:val="en-IE"/>
              </w:rPr>
              <w:t>At least 55</w:t>
            </w:r>
            <w:r w:rsidRPr="00A36E36">
              <w:rPr>
                <w:rFonts w:hint="eastAsia"/>
                <w:noProof/>
                <w:sz w:val="23"/>
                <w:szCs w:val="23"/>
                <w:lang w:val="en-IE"/>
              </w:rPr>
              <w:t> </w:t>
            </w:r>
            <w:r w:rsidRPr="00A36E36">
              <w:rPr>
                <w:rFonts w:ascii="Arial Narrow" w:hAnsi="Arial Narrow"/>
                <w:noProof/>
                <w:color w:val="006100"/>
                <w:sz w:val="20"/>
                <w:szCs w:val="20"/>
                <w:lang w:val="en-IE"/>
              </w:rPr>
              <w:t>000 students are awarded with scholarships financed exclusively by RRF funds.</w:t>
            </w:r>
          </w:p>
        </w:tc>
      </w:tr>
      <w:tr w:rsidR="0039681A" w:rsidRPr="0070054C" w14:paraId="64125D81"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8013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44BB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4.1: Extension in number and career opportunities of PhDs (Research-oriented, Public Administration and Cultural Heritage)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97B0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729E2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 xml:space="preserve">PhD fellowships programmes awarded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B194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76DA4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A14CFC" w14:textId="77777777" w:rsidR="0039681A" w:rsidRPr="00647572" w:rsidRDefault="0039681A">
            <w:pPr>
              <w:jc w:val="center"/>
              <w:rPr>
                <w:rFonts w:ascii="Arial Narrow" w:eastAsia="Arial Narrow" w:hAnsi="Arial Narrow" w:cs="Arial Narrow"/>
                <w:noProof/>
                <w:sz w:val="20"/>
                <w:szCs w:val="20"/>
              </w:rPr>
            </w:pPr>
            <w:r w:rsidRPr="00647572">
              <w:rPr>
                <w:rFonts w:ascii="Arial Narrow" w:hAnsi="Arial Narrow"/>
                <w:noProof/>
                <w:color w:val="006100"/>
                <w:sz w:val="20"/>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31BF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7 200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3AF7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0F239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D492D9"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3</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600 general doctoral scholarships, at least 3</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 doctoral scholarships in the field of public administration, and at least 600 doctoral scholarships on cultural heritage are awarded over three years.</w:t>
            </w:r>
          </w:p>
        </w:tc>
      </w:tr>
      <w:tr w:rsidR="0039681A" w:rsidRPr="0070054C" w14:paraId="5867D41D"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9A136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E8163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2.1: Integrated digital teaching and training on the digital transformation for school staff</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A8F8C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5B9D23"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Training of school managers, teachers and administrative staff</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A83B2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F32A1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A311D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F0629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650</w:t>
            </w:r>
            <w:r w:rsidRPr="00647572">
              <w:rPr>
                <w:rFonts w:hint="eastAsia"/>
                <w:noProof/>
                <w:sz w:val="23"/>
                <w:szCs w:val="23"/>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03DE1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C66B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AD10BC" w14:textId="796A327A"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attendance for training courses on digital teaching and digital transformation delivered to at least 650</w:t>
            </w:r>
            <w:r w:rsidRPr="00A36E36">
              <w:rPr>
                <w:noProof/>
                <w:sz w:val="23"/>
                <w:szCs w:val="23"/>
                <w:lang w:val="en-IE"/>
              </w:rPr>
              <w:t> </w:t>
            </w:r>
            <w:r w:rsidRPr="00A36E36">
              <w:rPr>
                <w:rFonts w:ascii="Arial Narrow" w:hAnsi="Arial Narrow"/>
                <w:noProof/>
                <w:color w:val="006100"/>
                <w:sz w:val="20"/>
                <w:szCs w:val="20"/>
                <w:lang w:val="en-IE"/>
              </w:rPr>
              <w:t>000 beneficiaries</w:t>
            </w:r>
            <w:r w:rsidR="00381DB1">
              <w:rPr>
                <w:rFonts w:ascii="Arial Narrow" w:hAnsi="Arial Narrow"/>
                <w:noProof/>
                <w:color w:val="006100"/>
                <w:sz w:val="20"/>
                <w:szCs w:val="20"/>
                <w:lang w:val="en-IE"/>
              </w:rPr>
              <w:t xml:space="preserve"> </w:t>
            </w:r>
            <w:r w:rsidRPr="00A36E36">
              <w:rPr>
                <w:rFonts w:ascii="Arial Narrow" w:hAnsi="Arial Narrow"/>
                <w:noProof/>
                <w:color w:val="006100"/>
                <w:sz w:val="20"/>
                <w:szCs w:val="20"/>
                <w:lang w:val="en-IE"/>
              </w:rPr>
              <w:t>shall be issued.</w:t>
            </w:r>
          </w:p>
        </w:tc>
      </w:tr>
      <w:tr w:rsidR="0039681A" w:rsidRPr="0070054C" w14:paraId="29558C95"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4131E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M4C1-14</w:t>
            </w:r>
          </w:p>
          <w:p w14:paraId="3A235A4F" w14:textId="77777777" w:rsidR="0039681A" w:rsidRPr="00647572" w:rsidRDefault="0039681A">
            <w:pPr>
              <w:jc w:val="center"/>
              <w:rPr>
                <w:rFonts w:ascii="Arial Narrow" w:hAnsi="Arial Narrow"/>
                <w:noProof/>
                <w:color w:val="006100"/>
                <w:sz w:val="20"/>
                <w:szCs w:val="20"/>
              </w:rPr>
            </w:pP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4C4CC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Reform 2.1: Teachers’ recruitment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2B7F4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BFD8E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Teachers recruited with the reformed recruitment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F21D9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652E3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AB25C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D56B2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w:t>
            </w:r>
            <w:r w:rsidRPr="00647572">
              <w:rPr>
                <w:rFonts w:hint="eastAsia"/>
                <w:noProof/>
                <w:sz w:val="23"/>
                <w:szCs w:val="23"/>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7BCC6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5D1EC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718057"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At least 20</w:t>
            </w:r>
            <w:r w:rsidRPr="00A36E36">
              <w:rPr>
                <w:rFonts w:hint="eastAsia"/>
                <w:noProof/>
                <w:sz w:val="23"/>
                <w:szCs w:val="23"/>
                <w:lang w:val="en-IE"/>
              </w:rPr>
              <w:t> </w:t>
            </w:r>
            <w:r w:rsidRPr="00A36E36">
              <w:rPr>
                <w:rFonts w:ascii="Arial Narrow" w:hAnsi="Arial Narrow"/>
                <w:noProof/>
                <w:color w:val="006100"/>
                <w:sz w:val="20"/>
                <w:lang w:val="en-IE"/>
              </w:rPr>
              <w:t>000 teachers recruited with the reformed recruitment system</w:t>
            </w:r>
          </w:p>
        </w:tc>
      </w:tr>
      <w:tr w:rsidR="0039681A" w:rsidRPr="0070054C" w14:paraId="2ACA2052"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FEF716" w14:textId="77777777" w:rsidR="0039681A" w:rsidRPr="00647572" w:rsidRDefault="0039681A">
            <w:pPr>
              <w:jc w:val="center"/>
              <w:rPr>
                <w:rFonts w:ascii="Arial Narrow" w:hAnsi="Arial Narrow"/>
                <w:noProof/>
                <w:color w:val="006100"/>
                <w:sz w:val="20"/>
                <w:szCs w:val="20"/>
              </w:rPr>
            </w:pPr>
            <w:r w:rsidRPr="4F7357D5">
              <w:rPr>
                <w:rFonts w:ascii="Arial Narrow" w:hAnsi="Arial Narrow"/>
                <w:noProof/>
                <w:color w:val="006100"/>
                <w:sz w:val="20"/>
                <w:szCs w:val="20"/>
              </w:rPr>
              <w:t>M4C1-14 bis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59E15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 xml:space="preserve">Reform 2.1: Teachers’ recruitment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73C2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 xml:space="preserve">Target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3B3A5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Teachers recruited within the reformed recruitment system</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3A392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 xml:space="preserve">N/A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B0732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 xml:space="preserve">Number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3F5A8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 xml:space="preserve">0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814E2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w:t>
            </w:r>
            <w:r w:rsidRPr="00647572">
              <w:rPr>
                <w:rFonts w:hint="eastAsia"/>
                <w:noProof/>
                <w:sz w:val="23"/>
                <w:szCs w:val="23"/>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9F145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C2AF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 xml:space="preserve">2025 </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92C0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20</w:t>
            </w:r>
            <w:r w:rsidRPr="00A36E36">
              <w:rPr>
                <w:noProof/>
                <w:sz w:val="23"/>
                <w:szCs w:val="23"/>
                <w:lang w:val="en-IE"/>
              </w:rPr>
              <w:t> </w:t>
            </w:r>
            <w:r w:rsidRPr="00A36E36">
              <w:rPr>
                <w:rFonts w:ascii="Arial Narrow" w:hAnsi="Arial Narrow"/>
                <w:noProof/>
                <w:color w:val="006100"/>
                <w:sz w:val="20"/>
                <w:szCs w:val="20"/>
                <w:lang w:val="en-IE"/>
              </w:rPr>
              <w:t>000 teachers recruited within the reformed recruitment system</w:t>
            </w:r>
          </w:p>
        </w:tc>
      </w:tr>
      <w:tr w:rsidR="0039681A" w:rsidRPr="0070054C" w14:paraId="7DD5E03C"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46AA3B" w14:textId="77777777" w:rsidR="0039681A" w:rsidRPr="00647572" w:rsidRDefault="0039681A">
            <w:pPr>
              <w:jc w:val="center"/>
              <w:rPr>
                <w:rFonts w:ascii="Arial Narrow" w:hAnsi="Arial Narrow"/>
                <w:noProof/>
                <w:color w:val="006100"/>
                <w:sz w:val="20"/>
                <w:szCs w:val="20"/>
              </w:rPr>
            </w:pPr>
            <w:r w:rsidRPr="3152799F">
              <w:rPr>
                <w:rFonts w:ascii="Arial Narrow" w:hAnsi="Arial Narrow"/>
                <w:noProof/>
                <w:color w:val="006100"/>
                <w:sz w:val="20"/>
                <w:szCs w:val="20"/>
              </w:rPr>
              <w:t>M4C1-14ter</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FD550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Reform 2.1: Teachers’ recruitment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B2CA5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09A102" w14:textId="0B15C19F" w:rsidR="0039681A" w:rsidRPr="00A36E36" w:rsidRDefault="0039681A">
            <w:pPr>
              <w:jc w:val="center"/>
              <w:rPr>
                <w:rFonts w:ascii="Arial Narrow" w:hAnsi="Arial Narrow"/>
                <w:noProof/>
                <w:color w:val="006100"/>
                <w:sz w:val="20"/>
                <w:szCs w:val="20"/>
                <w:lang w:val="en-IE"/>
              </w:rPr>
            </w:pPr>
            <w:r w:rsidRPr="22CC6A78">
              <w:rPr>
                <w:rFonts w:ascii="Arial Narrow" w:hAnsi="Arial Narrow"/>
                <w:noProof/>
                <w:color w:val="006100"/>
                <w:sz w:val="20"/>
                <w:szCs w:val="20"/>
                <w:lang w:val="en-IE"/>
              </w:rPr>
              <w:t>Decrees approving teachers public competition lists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8F93A5" w14:textId="0F52B13F" w:rsidR="0039681A" w:rsidRPr="00AF5341" w:rsidRDefault="0039681A" w:rsidP="0030508A">
            <w:pPr>
              <w:jc w:val="center"/>
              <w:rPr>
                <w:rFonts w:ascii="Arial Narrow" w:hAnsi="Arial Narrow"/>
                <w:noProof/>
                <w:color w:val="006100"/>
                <w:sz w:val="20"/>
                <w:szCs w:val="20"/>
                <w:lang w:val="en-IE"/>
              </w:rPr>
            </w:pPr>
            <w:r w:rsidRPr="00AF5341">
              <w:rPr>
                <w:rFonts w:ascii="Arial Narrow" w:hAnsi="Arial Narrow"/>
                <w:noProof/>
                <w:color w:val="006100"/>
                <w:sz w:val="20"/>
                <w:szCs w:val="20"/>
                <w:lang w:val="en-IE"/>
              </w:rPr>
              <w:t>Adoption of d</w:t>
            </w:r>
            <w:r w:rsidRPr="3152799F">
              <w:rPr>
                <w:rFonts w:ascii="Arial Narrow" w:hAnsi="Arial Narrow"/>
                <w:noProof/>
                <w:color w:val="006100"/>
                <w:sz w:val="20"/>
                <w:szCs w:val="20"/>
                <w:lang w:val="en-IE"/>
              </w:rPr>
              <w:t>ecrees approving teachers public competition lists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1FE87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273BE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312E9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4F00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 xml:space="preserve">Q2 </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093DF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9A3AFC" w14:textId="2929C4FA" w:rsidR="0039681A" w:rsidRPr="00A36E36" w:rsidRDefault="0039681A">
            <w:pPr>
              <w:rPr>
                <w:rFonts w:ascii="Arial Narrow" w:hAnsi="Arial Narrow"/>
                <w:noProof/>
                <w:color w:val="006100"/>
                <w:sz w:val="20"/>
                <w:szCs w:val="20"/>
                <w:lang w:val="en-IE"/>
              </w:rPr>
            </w:pPr>
            <w:r w:rsidRPr="3152799F">
              <w:rPr>
                <w:rFonts w:ascii="Arial Narrow" w:hAnsi="Arial Narrow"/>
                <w:noProof/>
                <w:color w:val="006100"/>
                <w:sz w:val="20"/>
                <w:szCs w:val="20"/>
                <w:lang w:val="en-IE"/>
              </w:rPr>
              <w:t>Decrees approving the lists for at least 70</w:t>
            </w:r>
            <w:r w:rsidRPr="3152799F">
              <w:rPr>
                <w:noProof/>
                <w:sz w:val="23"/>
                <w:szCs w:val="23"/>
                <w:lang w:val="en-IE"/>
              </w:rPr>
              <w:t> </w:t>
            </w:r>
            <w:r w:rsidRPr="3152799F">
              <w:rPr>
                <w:rFonts w:ascii="Arial Narrow" w:hAnsi="Arial Narrow"/>
                <w:noProof/>
                <w:color w:val="006100"/>
                <w:sz w:val="20"/>
                <w:szCs w:val="20"/>
                <w:lang w:val="en-IE"/>
              </w:rPr>
              <w:t>000 candidates who have successfully passed the public competition to become teachers following the reformed recruitment system, including 40 000 teachers hired under targets M4C1-14 and M4C1-14bis.</w:t>
            </w:r>
          </w:p>
        </w:tc>
      </w:tr>
      <w:tr w:rsidR="0039681A" w:rsidRPr="0070054C" w14:paraId="32ED55E4"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8666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4CE94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1.7: Scholarships for University access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D8E80" w14:textId="77777777" w:rsidR="0039681A" w:rsidRPr="00647572" w:rsidRDefault="0039681A">
            <w:pP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70923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Scholarships for university access awarded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A5963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117E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7E8A7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924AF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55</w:t>
            </w:r>
            <w:r w:rsidRPr="00647572">
              <w:rPr>
                <w:rFonts w:hint="eastAsia"/>
                <w:noProof/>
                <w:sz w:val="23"/>
                <w:szCs w:val="23"/>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218B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8A95B8" w14:textId="77777777" w:rsidR="0039681A" w:rsidRPr="00647572" w:rsidRDefault="0039681A">
            <w:pPr>
              <w:rPr>
                <w:rFonts w:ascii="Arial Narrow" w:hAnsi="Arial Narrow"/>
                <w:noProof/>
                <w:color w:val="006100"/>
                <w:sz w:val="20"/>
                <w:szCs w:val="20"/>
              </w:rPr>
            </w:pPr>
            <w:r w:rsidRPr="00647572">
              <w:rPr>
                <w:rFonts w:ascii="Arial Narrow" w:hAnsi="Arial Narrow"/>
                <w:noProof/>
                <w:color w:val="006100"/>
                <w:sz w:val="20"/>
              </w:rPr>
              <w:t>2024</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9E95FF" w14:textId="0D72AB2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At least 55</w:t>
            </w:r>
            <w:r w:rsidR="00E66B74" w:rsidRPr="00A36E36">
              <w:rPr>
                <w:rFonts w:ascii="Arial Narrow" w:hAnsi="Arial Narrow"/>
                <w:noProof/>
                <w:color w:val="006100"/>
                <w:sz w:val="20"/>
                <w:lang w:val="en-IE"/>
              </w:rPr>
              <w:t> </w:t>
            </w:r>
            <w:r w:rsidRPr="00A36E36">
              <w:rPr>
                <w:rFonts w:ascii="Arial Narrow" w:hAnsi="Arial Narrow"/>
                <w:noProof/>
                <w:color w:val="006100"/>
                <w:sz w:val="20"/>
                <w:lang w:val="en-IE"/>
              </w:rPr>
              <w:t>000 students are awarded with scholarships financed exclusively by RRF funds</w:t>
            </w:r>
          </w:p>
        </w:tc>
      </w:tr>
      <w:tr w:rsidR="0039681A" w:rsidRPr="0070054C" w14:paraId="3DADB98C"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04E82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M4C1-15 bis</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4A7E8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1.7: Scholarships for University access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4C58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7AA6A2"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Scholarships for university access awarded</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75F7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F6C83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6C2B0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C140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83</w:t>
            </w:r>
            <w:r w:rsidRPr="00647572">
              <w:rPr>
                <w:rFonts w:hint="eastAsia"/>
                <w:noProof/>
                <w:sz w:val="23"/>
                <w:szCs w:val="23"/>
              </w:rPr>
              <w:t> </w:t>
            </w:r>
            <w:r w:rsidRPr="00647572">
              <w:rPr>
                <w:rFonts w:ascii="Arial Narrow" w:hAnsi="Arial Narrow"/>
                <w:noProof/>
                <w:color w:val="006100"/>
                <w:sz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9DC0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5B3C1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1DB4CB"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83</w:t>
            </w:r>
            <w:r w:rsidRPr="00A36E36">
              <w:rPr>
                <w:rFonts w:hint="eastAsia"/>
                <w:noProof/>
                <w:sz w:val="23"/>
                <w:szCs w:val="23"/>
                <w:lang w:val="en-IE"/>
              </w:rPr>
              <w:t> </w:t>
            </w:r>
            <w:r w:rsidRPr="00A36E36">
              <w:rPr>
                <w:rFonts w:ascii="Arial Narrow" w:hAnsi="Arial Narrow"/>
                <w:noProof/>
                <w:color w:val="006100"/>
                <w:sz w:val="20"/>
                <w:szCs w:val="20"/>
                <w:lang w:val="en-IE"/>
              </w:rPr>
              <w:t>000 students are awarded with scholarships financed exclusively by RRF funds.</w:t>
            </w:r>
          </w:p>
        </w:tc>
      </w:tr>
      <w:tr w:rsidR="0039681A" w:rsidRPr="0070054C" w14:paraId="0533F25A" w14:textId="77777777" w:rsidTr="00351087">
        <w:trPr>
          <w:trHeight w:val="1455"/>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B3F59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E28C5C"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3.1: New skills and new languages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2F76B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A4DC1"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grant award decision(s) for the activation of STEM projects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B5C7F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grant award decision(s)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C458D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2213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10989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BAA46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41210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9D4384"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Adoption of grant award decision(s) for the activation of STEM projects in at least 8 000 schools.</w:t>
            </w:r>
          </w:p>
        </w:tc>
      </w:tr>
      <w:tr w:rsidR="0039681A" w:rsidRPr="0070054C" w14:paraId="332D11AF"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5208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1E30AA"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3.1: New skills and new languages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3DBE2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3BFB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New Skills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CDE2FD"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Adoption of grant award decision(s)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89CDC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89BF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744DE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DDD52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4766D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4194D5"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Adoption of grant award decision(s) for: </w:t>
            </w:r>
          </w:p>
          <w:p w14:paraId="7DF78EE9" w14:textId="77777777" w:rsidR="0039681A" w:rsidRPr="00A36E36" w:rsidRDefault="0039681A" w:rsidP="0039681A">
            <w:pPr>
              <w:pStyle w:val="ListParagraph"/>
              <w:numPr>
                <w:ilvl w:val="0"/>
                <w:numId w:val="140"/>
              </w:numPr>
              <w:spacing w:before="120" w:after="120" w:line="240" w:lineRule="auto"/>
              <w:ind w:left="604"/>
              <w:jc w:val="both"/>
              <w:rPr>
                <w:rFonts w:ascii="Arial Narrow" w:hAnsi="Arial Narrow"/>
                <w:noProof/>
                <w:color w:val="006100"/>
                <w:lang w:val="en-IE"/>
              </w:rPr>
            </w:pPr>
            <w:r w:rsidRPr="00A36E36">
              <w:rPr>
                <w:rFonts w:ascii="Arial Narrow" w:hAnsi="Arial Narrow"/>
                <w:noProof/>
                <w:color w:val="006100"/>
                <w:sz w:val="20"/>
                <w:szCs w:val="20"/>
                <w:lang w:val="en-IE"/>
              </w:rPr>
              <w:t xml:space="preserve">The activation of language and/or methodological courses, destined to school staff, in at least 8 000 schools. </w:t>
            </w:r>
          </w:p>
          <w:p w14:paraId="1D327130" w14:textId="21BBC466" w:rsidR="0039681A" w:rsidRPr="00A36E36" w:rsidRDefault="0039681A" w:rsidP="0039681A">
            <w:pPr>
              <w:pStyle w:val="ListParagraph"/>
              <w:numPr>
                <w:ilvl w:val="0"/>
                <w:numId w:val="140"/>
              </w:numPr>
              <w:spacing w:before="120" w:after="120" w:line="240" w:lineRule="auto"/>
              <w:ind w:left="604"/>
              <w:jc w:val="both"/>
              <w:rPr>
                <w:rFonts w:ascii="Arial Narrow" w:hAnsi="Arial Narrow"/>
                <w:noProof/>
                <w:color w:val="006100"/>
                <w:lang w:val="en-IE"/>
              </w:rPr>
            </w:pPr>
            <w:r w:rsidRPr="00A36E36">
              <w:rPr>
                <w:rFonts w:ascii="Arial Narrow" w:hAnsi="Arial Narrow"/>
                <w:noProof/>
                <w:color w:val="006100"/>
                <w:sz w:val="20"/>
                <w:szCs w:val="20"/>
                <w:lang w:val="en-IE"/>
              </w:rPr>
              <w:t>The strengthening of the Erasmus+ program, addressed to students and/or school staff, for the years 2023, 2024, and 2025.</w:t>
            </w:r>
            <w:r w:rsidR="00381DB1">
              <w:rPr>
                <w:rFonts w:ascii="Arial Narrow" w:hAnsi="Arial Narrow"/>
                <w:noProof/>
                <w:color w:val="006100"/>
                <w:sz w:val="20"/>
                <w:szCs w:val="20"/>
                <w:lang w:val="en-IE"/>
              </w:rPr>
              <w:t xml:space="preserve"> </w:t>
            </w:r>
          </w:p>
        </w:tc>
      </w:tr>
      <w:tr w:rsidR="0039681A" w:rsidRPr="0070054C" w14:paraId="0DA428CA"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0C38D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M4C1-19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EDA13D"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3.2: School 4.0: innovative schools, wiring, new classrooms and workshops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4F9B2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FFA932"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Adoption of grant award decision(s) for the purchase of digital devices and/or the creation of digital laboratories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0A92F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Adoption of grant award decision(s)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B5099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3DA30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3008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5735F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BE548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BD3B9A" w14:textId="77777777" w:rsidR="0039681A" w:rsidRPr="00A36E36" w:rsidRDefault="0039681A">
            <w:pPr>
              <w:rPr>
                <w:rFonts w:ascii="Arial Narrow" w:eastAsia="Arial Narrow" w:hAnsi="Arial Narrow" w:cs="Arial Narrow"/>
                <w:noProof/>
                <w:sz w:val="20"/>
                <w:szCs w:val="20"/>
                <w:lang w:val="en-IE"/>
              </w:rPr>
            </w:pPr>
            <w:r w:rsidRPr="00A36E36">
              <w:rPr>
                <w:rFonts w:ascii="Arial Narrow" w:hAnsi="Arial Narrow"/>
                <w:noProof/>
                <w:color w:val="006100"/>
                <w:sz w:val="20"/>
                <w:szCs w:val="20"/>
                <w:lang w:val="en-IE"/>
              </w:rPr>
              <w:t>Adoption of grant award decision(s) for the transformation of classrooms into innovative environments and/or the creation of digital laboratories in at least 8 000 schools.</w:t>
            </w:r>
          </w:p>
        </w:tc>
      </w:tr>
      <w:tr w:rsidR="0039681A" w:rsidRPr="0070054C" w14:paraId="33D2CC2F"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BD767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M4C1-20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75BB93"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1.5: Development of the tertiary vocational training system (ITS)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A9A6E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73F395" w14:textId="77777777" w:rsidR="0039681A" w:rsidRPr="00A36E36" w:rsidRDefault="0039681A">
            <w:pPr>
              <w:jc w:val="center"/>
              <w:rPr>
                <w:rFonts w:ascii="Arial Narrow" w:hAnsi="Arial Narrow"/>
                <w:noProof/>
                <w:color w:val="006100"/>
                <w:sz w:val="20"/>
                <w:szCs w:val="20"/>
                <w:lang w:val="en-IE"/>
              </w:rPr>
            </w:pPr>
            <w:r w:rsidRPr="00A36E36" w:rsidDel="7107AC06">
              <w:rPr>
                <w:rFonts w:ascii="Arial Narrow" w:hAnsi="Arial Narrow"/>
                <w:noProof/>
                <w:color w:val="006100"/>
                <w:sz w:val="20"/>
                <w:szCs w:val="20"/>
                <w:lang w:val="en-IE"/>
              </w:rPr>
              <w:t xml:space="preserve">Number of </w:t>
            </w:r>
            <w:r w:rsidRPr="00A36E36">
              <w:rPr>
                <w:rFonts w:ascii="Arial Narrow" w:hAnsi="Arial Narrow"/>
                <w:noProof/>
                <w:color w:val="006100"/>
                <w:sz w:val="20"/>
                <w:szCs w:val="20"/>
                <w:lang w:val="en-IE"/>
              </w:rPr>
              <w:t xml:space="preserve">students enrolled in vocational training system (ITS)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54800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C18CA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CB39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C1623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11 000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E0EB8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Q1</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B9AD2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4BA10" w14:textId="5ABC49D0" w:rsidR="0039681A" w:rsidRPr="00A36E36" w:rsidRDefault="0039681A">
            <w:pPr>
              <w:rPr>
                <w:rFonts w:ascii="Arial Narrow" w:hAnsi="Arial Narrow"/>
                <w:noProof/>
                <w:color w:val="006100"/>
                <w:sz w:val="20"/>
                <w:szCs w:val="20"/>
                <w:lang w:val="en-IE"/>
              </w:rPr>
            </w:pPr>
            <w:r w:rsidRPr="3152799F">
              <w:rPr>
                <w:rFonts w:ascii="Arial Narrow" w:eastAsia="MS Mincho" w:hAnsi="Arial Narrow" w:cs="Arial"/>
                <w:noProof/>
                <w:color w:val="006100"/>
                <w:sz w:val="20"/>
                <w:szCs w:val="20"/>
                <w:lang w:val="en-IE"/>
              </w:rPr>
              <w:t>At least 11 000 students enrolled in the ITS Academy National Registry for the vocational training system in school years 2024/2025 and 2025/2026. T</w:t>
            </w:r>
            <w:r w:rsidRPr="3152799F">
              <w:rPr>
                <w:rFonts w:ascii="Arial Narrow" w:hAnsi="Arial Narrow"/>
                <w:noProof/>
                <w:color w:val="006100"/>
                <w:sz w:val="20"/>
                <w:szCs w:val="20"/>
                <w:lang w:val="en-IE"/>
              </w:rPr>
              <w:t>he national digital platform of the ITS system is online and accessible as confirmed by the “</w:t>
            </w:r>
            <w:r w:rsidRPr="3152799F">
              <w:rPr>
                <w:rFonts w:ascii="Arial Narrow" w:hAnsi="Arial Narrow"/>
                <w:i/>
                <w:iCs/>
                <w:noProof/>
                <w:color w:val="006100"/>
                <w:sz w:val="20"/>
                <w:szCs w:val="20"/>
                <w:lang w:val="en-IE"/>
              </w:rPr>
              <w:t>Verbale di collaudo”</w:t>
            </w:r>
            <w:r w:rsidRPr="3152799F">
              <w:rPr>
                <w:rFonts w:ascii="Arial Narrow" w:hAnsi="Arial Narrow"/>
                <w:noProof/>
                <w:color w:val="006100"/>
                <w:sz w:val="20"/>
                <w:szCs w:val="20"/>
                <w:lang w:val="en-IE"/>
              </w:rPr>
              <w:t>.</w:t>
            </w:r>
          </w:p>
        </w:tc>
      </w:tr>
      <w:tr w:rsidR="0039681A" w:rsidRPr="0070054C" w14:paraId="260F2BC3" w14:textId="77777777" w:rsidTr="00351087">
        <w:trPr>
          <w:trHeight w:val="300"/>
          <w:jc w:val="center"/>
        </w:trPr>
        <w:tc>
          <w:tcPr>
            <w:tcW w:w="127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FEEC8"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M4C1-22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841F9"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Investment 1.3: School Sports Infrastructure Enhancement Plan</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F7ED0F"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4E3F1B" w14:textId="277161F4" w:rsidR="0039681A" w:rsidRPr="00A36E36" w:rsidRDefault="0039681A" w:rsidP="00351087">
            <w:pPr>
              <w:jc w:val="center"/>
              <w:rPr>
                <w:rFonts w:ascii="Arial Narrow" w:hAnsi="Arial Narrow"/>
                <w:noProof/>
                <w:color w:val="006100"/>
                <w:sz w:val="20"/>
                <w:szCs w:val="20"/>
                <w:lang w:val="en-IE"/>
              </w:rPr>
            </w:pPr>
            <w:r w:rsidRPr="3152799F">
              <w:rPr>
                <w:rFonts w:ascii="Arial Narrow" w:hAnsi="Arial Narrow"/>
                <w:noProof/>
                <w:color w:val="006100"/>
                <w:sz w:val="20"/>
                <w:szCs w:val="20"/>
                <w:lang w:val="en-IE"/>
              </w:rPr>
              <w:t>Construction or renovation of sports facilities for school use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D79C7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99664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F599B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16FF4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300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4C6C6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6D5C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72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A3F587" w14:textId="778378A8" w:rsidR="0039681A" w:rsidRPr="00A36E36" w:rsidRDefault="0039681A">
            <w:pPr>
              <w:rPr>
                <w:rFonts w:ascii="Arial Narrow" w:hAnsi="Arial Narrow"/>
                <w:noProof/>
                <w:color w:val="006100"/>
                <w:sz w:val="20"/>
                <w:szCs w:val="20"/>
                <w:lang w:val="en-IE"/>
              </w:rPr>
            </w:pPr>
            <w:r w:rsidRPr="3152799F">
              <w:rPr>
                <w:rFonts w:ascii="Arial Narrow" w:hAnsi="Arial Narrow"/>
                <w:noProof/>
                <w:color w:val="006100"/>
                <w:sz w:val="20"/>
                <w:szCs w:val="20"/>
                <w:lang w:val="en-IE"/>
              </w:rPr>
              <w:t>Administrative certificates</w:t>
            </w:r>
            <w:r w:rsidR="00381DB1">
              <w:rPr>
                <w:rFonts w:ascii="Arial Narrow" w:hAnsi="Arial Narrow"/>
                <w:noProof/>
                <w:color w:val="006100"/>
                <w:sz w:val="20"/>
                <w:szCs w:val="20"/>
                <w:lang w:val="en-IE"/>
              </w:rPr>
              <w:t xml:space="preserve"> </w:t>
            </w:r>
            <w:r w:rsidRPr="3152799F">
              <w:rPr>
                <w:rFonts w:ascii="Arial Narrow" w:hAnsi="Arial Narrow"/>
                <w:noProof/>
                <w:color w:val="006100"/>
                <w:sz w:val="20"/>
                <w:szCs w:val="20"/>
                <w:lang w:val="en-IE"/>
              </w:rPr>
              <w:t>confirming the construction or renovation of at least 300 sports facilities for school use.</w:t>
            </w:r>
          </w:p>
        </w:tc>
      </w:tr>
      <w:bookmarkEnd w:id="21"/>
    </w:tbl>
    <w:p w14:paraId="2F0EAB03" w14:textId="77777777" w:rsidR="0039681A" w:rsidRPr="00A36E36" w:rsidRDefault="0039681A" w:rsidP="00351087">
      <w:pPr>
        <w:jc w:val="center"/>
        <w:rPr>
          <w:rFonts w:ascii="Arial Narrow" w:hAnsi="Arial Narrow"/>
          <w:noProof/>
          <w:color w:val="006100"/>
          <w:sz w:val="20"/>
          <w:lang w:val="en-IE"/>
        </w:rPr>
        <w:sectPr w:rsidR="0039681A" w:rsidRPr="00A36E36" w:rsidSect="0039681A">
          <w:headerReference w:type="even" r:id="rId147"/>
          <w:headerReference w:type="default" r:id="rId148"/>
          <w:footerReference w:type="default" r:id="rId149"/>
          <w:headerReference w:type="first" r:id="rId150"/>
          <w:pgSz w:w="16838" w:h="11906" w:orient="landscape"/>
          <w:pgMar w:top="1134" w:right="1134" w:bottom="1134" w:left="1134" w:header="567" w:footer="567" w:gutter="0"/>
          <w:cols w:space="708"/>
          <w:docGrid w:linePitch="360"/>
        </w:sectPr>
      </w:pPr>
    </w:p>
    <w:tbl>
      <w:tblPr>
        <w:tblW w:w="1548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985"/>
        <w:gridCol w:w="1324"/>
        <w:gridCol w:w="1511"/>
        <w:gridCol w:w="1276"/>
        <w:gridCol w:w="1275"/>
        <w:gridCol w:w="1134"/>
        <w:gridCol w:w="993"/>
        <w:gridCol w:w="850"/>
        <w:gridCol w:w="709"/>
        <w:gridCol w:w="3148"/>
      </w:tblGrid>
      <w:tr w:rsidR="0039681A" w:rsidRPr="0070054C" w14:paraId="0D5A5054" w14:textId="77777777" w:rsidTr="00351087">
        <w:trPr>
          <w:trHeight w:val="300"/>
          <w:tblHeader/>
        </w:trPr>
        <w:tc>
          <w:tcPr>
            <w:tcW w:w="1276" w:type="dxa"/>
            <w:vMerge w:val="restart"/>
            <w:shd w:val="clear" w:color="auto" w:fill="BDD7EE"/>
            <w:vAlign w:val="center"/>
            <w:hideMark/>
          </w:tcPr>
          <w:p w14:paraId="60C35D64"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Sequential Number</w:t>
            </w:r>
          </w:p>
        </w:tc>
        <w:tc>
          <w:tcPr>
            <w:tcW w:w="1985" w:type="dxa"/>
            <w:vMerge w:val="restart"/>
            <w:shd w:val="clear" w:color="auto" w:fill="BDD7EE"/>
            <w:vAlign w:val="center"/>
            <w:hideMark/>
          </w:tcPr>
          <w:p w14:paraId="41E2B439"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324" w:type="dxa"/>
            <w:vMerge w:val="restart"/>
            <w:shd w:val="clear" w:color="auto" w:fill="BDD7EE"/>
            <w:vAlign w:val="center"/>
            <w:hideMark/>
          </w:tcPr>
          <w:p w14:paraId="3128C1F4"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Milestone / Target</w:t>
            </w:r>
          </w:p>
        </w:tc>
        <w:tc>
          <w:tcPr>
            <w:tcW w:w="1511" w:type="dxa"/>
            <w:vMerge w:val="restart"/>
            <w:shd w:val="clear" w:color="auto" w:fill="BDD7EE"/>
            <w:vAlign w:val="center"/>
            <w:hideMark/>
          </w:tcPr>
          <w:p w14:paraId="03A57FEA"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Name</w:t>
            </w:r>
          </w:p>
        </w:tc>
        <w:tc>
          <w:tcPr>
            <w:tcW w:w="1276" w:type="dxa"/>
            <w:vMerge w:val="restart"/>
            <w:shd w:val="clear" w:color="auto" w:fill="BDD7EE"/>
            <w:vAlign w:val="center"/>
            <w:hideMark/>
          </w:tcPr>
          <w:p w14:paraId="7F28F86A"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402" w:type="dxa"/>
            <w:gridSpan w:val="3"/>
            <w:shd w:val="clear" w:color="auto" w:fill="BDD7EE"/>
            <w:vAlign w:val="center"/>
            <w:hideMark/>
          </w:tcPr>
          <w:p w14:paraId="61CEF47D"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59" w:type="dxa"/>
            <w:gridSpan w:val="2"/>
            <w:shd w:val="clear" w:color="auto" w:fill="BDD7EE"/>
            <w:vAlign w:val="center"/>
            <w:hideMark/>
          </w:tcPr>
          <w:p w14:paraId="5B865486"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3148" w:type="dxa"/>
            <w:vMerge w:val="restart"/>
            <w:shd w:val="clear" w:color="auto" w:fill="BDD7EE"/>
            <w:vAlign w:val="center"/>
            <w:hideMark/>
          </w:tcPr>
          <w:p w14:paraId="4B656ED9"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53C00923" w14:textId="77777777" w:rsidTr="00351087">
        <w:trPr>
          <w:trHeight w:val="300"/>
          <w:tblHeader/>
        </w:trPr>
        <w:tc>
          <w:tcPr>
            <w:tcW w:w="1276" w:type="dxa"/>
            <w:vMerge/>
            <w:vAlign w:val="center"/>
            <w:hideMark/>
          </w:tcPr>
          <w:p w14:paraId="5CC863A8" w14:textId="77777777" w:rsidR="0039681A" w:rsidRPr="00A36E36" w:rsidRDefault="0039681A">
            <w:pPr>
              <w:jc w:val="center"/>
              <w:rPr>
                <w:rFonts w:ascii="Arial Narrow" w:hAnsi="Arial Narrow"/>
                <w:b/>
                <w:noProof/>
                <w:sz w:val="20"/>
                <w:szCs w:val="20"/>
                <w:lang w:val="en-IE"/>
              </w:rPr>
            </w:pPr>
          </w:p>
        </w:tc>
        <w:tc>
          <w:tcPr>
            <w:tcW w:w="1985" w:type="dxa"/>
            <w:vMerge/>
            <w:vAlign w:val="center"/>
            <w:hideMark/>
          </w:tcPr>
          <w:p w14:paraId="0EA40644" w14:textId="77777777" w:rsidR="0039681A" w:rsidRPr="00A36E36" w:rsidRDefault="0039681A">
            <w:pPr>
              <w:jc w:val="center"/>
              <w:rPr>
                <w:rFonts w:ascii="Arial Narrow" w:hAnsi="Arial Narrow"/>
                <w:b/>
                <w:noProof/>
                <w:sz w:val="20"/>
                <w:szCs w:val="20"/>
                <w:lang w:val="en-IE"/>
              </w:rPr>
            </w:pPr>
          </w:p>
        </w:tc>
        <w:tc>
          <w:tcPr>
            <w:tcW w:w="1324" w:type="dxa"/>
            <w:vMerge/>
            <w:vAlign w:val="center"/>
            <w:hideMark/>
          </w:tcPr>
          <w:p w14:paraId="45911733" w14:textId="77777777" w:rsidR="0039681A" w:rsidRPr="00A36E36" w:rsidRDefault="0039681A">
            <w:pPr>
              <w:jc w:val="center"/>
              <w:rPr>
                <w:rFonts w:ascii="Arial Narrow" w:hAnsi="Arial Narrow"/>
                <w:b/>
                <w:noProof/>
                <w:sz w:val="20"/>
                <w:szCs w:val="20"/>
                <w:lang w:val="en-IE"/>
              </w:rPr>
            </w:pPr>
          </w:p>
        </w:tc>
        <w:tc>
          <w:tcPr>
            <w:tcW w:w="1511" w:type="dxa"/>
            <w:vMerge/>
            <w:vAlign w:val="center"/>
            <w:hideMark/>
          </w:tcPr>
          <w:p w14:paraId="6A33D7B7" w14:textId="77777777" w:rsidR="0039681A" w:rsidRPr="00A36E36" w:rsidRDefault="0039681A">
            <w:pPr>
              <w:jc w:val="center"/>
              <w:rPr>
                <w:rFonts w:ascii="Arial Narrow" w:hAnsi="Arial Narrow"/>
                <w:b/>
                <w:noProof/>
                <w:sz w:val="20"/>
                <w:szCs w:val="20"/>
                <w:lang w:val="en-IE"/>
              </w:rPr>
            </w:pPr>
          </w:p>
        </w:tc>
        <w:tc>
          <w:tcPr>
            <w:tcW w:w="1276" w:type="dxa"/>
            <w:vMerge/>
            <w:vAlign w:val="center"/>
            <w:hideMark/>
          </w:tcPr>
          <w:p w14:paraId="61E77FAA" w14:textId="77777777" w:rsidR="0039681A" w:rsidRPr="00A36E36" w:rsidRDefault="0039681A">
            <w:pPr>
              <w:jc w:val="center"/>
              <w:rPr>
                <w:rFonts w:ascii="Arial Narrow" w:hAnsi="Arial Narrow"/>
                <w:b/>
                <w:noProof/>
                <w:sz w:val="20"/>
                <w:szCs w:val="20"/>
                <w:lang w:val="en-IE"/>
              </w:rPr>
            </w:pPr>
          </w:p>
        </w:tc>
        <w:tc>
          <w:tcPr>
            <w:tcW w:w="1275" w:type="dxa"/>
            <w:shd w:val="clear" w:color="auto" w:fill="BDD7EE"/>
            <w:vAlign w:val="center"/>
            <w:hideMark/>
          </w:tcPr>
          <w:p w14:paraId="09198416"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Unit of measure</w:t>
            </w:r>
          </w:p>
        </w:tc>
        <w:tc>
          <w:tcPr>
            <w:tcW w:w="1134" w:type="dxa"/>
            <w:shd w:val="clear" w:color="auto" w:fill="BDD7EE"/>
            <w:vAlign w:val="center"/>
            <w:hideMark/>
          </w:tcPr>
          <w:p w14:paraId="32ED05FA"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Baseline</w:t>
            </w:r>
          </w:p>
        </w:tc>
        <w:tc>
          <w:tcPr>
            <w:tcW w:w="993" w:type="dxa"/>
            <w:shd w:val="clear" w:color="auto" w:fill="BDD7EE"/>
            <w:vAlign w:val="center"/>
            <w:hideMark/>
          </w:tcPr>
          <w:p w14:paraId="4A0B1452"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Goal</w:t>
            </w:r>
          </w:p>
        </w:tc>
        <w:tc>
          <w:tcPr>
            <w:tcW w:w="850" w:type="dxa"/>
            <w:shd w:val="clear" w:color="auto" w:fill="BDD7EE"/>
            <w:vAlign w:val="center"/>
            <w:hideMark/>
          </w:tcPr>
          <w:p w14:paraId="26177917"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Quarter</w:t>
            </w:r>
          </w:p>
        </w:tc>
        <w:tc>
          <w:tcPr>
            <w:tcW w:w="709" w:type="dxa"/>
            <w:shd w:val="clear" w:color="auto" w:fill="BDD7EE"/>
            <w:vAlign w:val="center"/>
            <w:hideMark/>
          </w:tcPr>
          <w:p w14:paraId="6D8D1F06"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Year</w:t>
            </w:r>
          </w:p>
        </w:tc>
        <w:tc>
          <w:tcPr>
            <w:tcW w:w="3148" w:type="dxa"/>
            <w:vMerge/>
            <w:vAlign w:val="center"/>
            <w:hideMark/>
          </w:tcPr>
          <w:p w14:paraId="59EC27CF" w14:textId="77777777" w:rsidR="0039681A" w:rsidRPr="00647572" w:rsidRDefault="0039681A">
            <w:pPr>
              <w:rPr>
                <w:rFonts w:ascii="Arial Narrow" w:hAnsi="Arial Narrow"/>
                <w:b/>
                <w:noProof/>
                <w:sz w:val="20"/>
                <w:szCs w:val="20"/>
              </w:rPr>
            </w:pPr>
          </w:p>
        </w:tc>
      </w:tr>
      <w:tr w:rsidR="0039681A" w:rsidRPr="0070054C" w14:paraId="290F3323" w14:textId="77777777" w:rsidTr="00351087">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2B74DC" w14:textId="77777777" w:rsidR="0039681A" w:rsidRPr="00BE27D9" w:rsidRDefault="0039681A">
            <w:pPr>
              <w:spacing w:line="254" w:lineRule="auto"/>
              <w:jc w:val="center"/>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rPr>
              <w:t>M4C1-23</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32EDA09" w14:textId="77777777" w:rsidR="0039681A" w:rsidRPr="00BE27D9" w:rsidRDefault="0039681A">
            <w:pPr>
              <w:spacing w:line="254" w:lineRule="auto"/>
              <w:jc w:val="center"/>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lang w:val="en-IE"/>
              </w:rPr>
              <w:t>Investment 3.4: Teaching and advanced university skills</w:t>
            </w:r>
          </w:p>
        </w:tc>
        <w:tc>
          <w:tcPr>
            <w:tcW w:w="132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6F7B5D" w14:textId="77777777" w:rsidR="0039681A" w:rsidRPr="00BE27D9" w:rsidRDefault="0039681A">
            <w:pPr>
              <w:spacing w:line="254" w:lineRule="auto"/>
              <w:jc w:val="center"/>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rPr>
              <w:t>Milestone</w:t>
            </w:r>
          </w:p>
        </w:tc>
        <w:tc>
          <w:tcPr>
            <w:tcW w:w="15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DC6E70" w14:textId="77777777" w:rsidR="0039681A" w:rsidRPr="00BE27D9" w:rsidRDefault="0039681A">
            <w:pPr>
              <w:spacing w:line="254" w:lineRule="auto"/>
              <w:jc w:val="center"/>
              <w:rPr>
                <w:rFonts w:ascii="Arial Narrow" w:eastAsia="Aptos" w:hAnsi="Arial Narrow" w:cs="Times New Roman"/>
                <w:noProof/>
                <w:color w:val="006100"/>
                <w:sz w:val="20"/>
                <w:szCs w:val="20"/>
                <w:lang w:val="en-IE"/>
              </w:rPr>
            </w:pPr>
            <w:r w:rsidRPr="3152799F">
              <w:rPr>
                <w:rFonts w:ascii="Arial Narrow" w:eastAsia="Aptos" w:hAnsi="Arial Narrow" w:cs="Times New Roman"/>
                <w:noProof/>
                <w:color w:val="006100"/>
                <w:sz w:val="20"/>
                <w:szCs w:val="20"/>
                <w:lang w:val="en-IE"/>
              </w:rPr>
              <w:t>Actions to qualify and innovate secondary schools and university programmes, including PhDs.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F5215E" w14:textId="7266794D" w:rsidR="0039681A" w:rsidRPr="00BE27D9" w:rsidRDefault="0039681A" w:rsidP="0030508A">
            <w:pPr>
              <w:spacing w:line="254" w:lineRule="auto"/>
              <w:jc w:val="center"/>
              <w:rPr>
                <w:rFonts w:ascii="Arial Narrow" w:eastAsia="Aptos" w:hAnsi="Arial Narrow" w:cs="Times New Roman"/>
                <w:noProof/>
                <w:color w:val="006100"/>
                <w:sz w:val="20"/>
                <w:szCs w:val="20"/>
              </w:rPr>
            </w:pPr>
            <w:r w:rsidRPr="32DC427B">
              <w:rPr>
                <w:rFonts w:ascii="Arial Narrow" w:eastAsia="Aptos" w:hAnsi="Arial Narrow" w:cs="Times New Roman"/>
                <w:noProof/>
                <w:color w:val="006100"/>
                <w:sz w:val="20"/>
                <w:szCs w:val="20"/>
                <w:lang w:val="en-IE"/>
              </w:rPr>
              <w:t xml:space="preserve"> Decree, agreements, partnerships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0DFB27" w14:textId="77777777" w:rsidR="0039681A" w:rsidRPr="00BE27D9" w:rsidRDefault="0039681A">
            <w:pPr>
              <w:spacing w:line="254" w:lineRule="auto"/>
              <w:jc w:val="center"/>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68BF24" w14:textId="77777777" w:rsidR="0039681A" w:rsidRPr="00BE27D9" w:rsidRDefault="0039681A">
            <w:pPr>
              <w:spacing w:line="254" w:lineRule="auto"/>
              <w:rPr>
                <w:rFonts w:ascii="Arial Narrow" w:eastAsia="Aptos" w:hAnsi="Arial Narrow" w:cs="Times New Roman"/>
                <w:noProof/>
                <w:color w:val="006100"/>
                <w:sz w:val="20"/>
                <w:szCs w:val="20"/>
              </w:rPr>
            </w:pPr>
            <w:r w:rsidRPr="24ADCC25">
              <w:rPr>
                <w:rFonts w:ascii="Arial Narrow" w:eastAsia="Aptos" w:hAnsi="Arial Narrow" w:cs="Times New Roman"/>
                <w:noProof/>
                <w:color w:val="006100"/>
                <w:sz w:val="20"/>
                <w:szCs w:val="20"/>
              </w:rPr>
              <w:t>N/A</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A7995DB" w14:textId="77777777" w:rsidR="0039681A" w:rsidRPr="00AF5341" w:rsidRDefault="0039681A" w:rsidP="00AF5341">
            <w:pPr>
              <w:spacing w:line="254" w:lineRule="auto"/>
              <w:rPr>
                <w:rFonts w:ascii="Arial Narrow" w:eastAsia="Aptos" w:hAnsi="Arial Narrow" w:cs="Times New Roman"/>
                <w:noProof/>
                <w:color w:val="006100"/>
                <w:sz w:val="20"/>
                <w:szCs w:val="20"/>
                <w:lang w:val="en-IE"/>
              </w:rPr>
            </w:pPr>
            <w:r w:rsidRPr="00AF5341">
              <w:rPr>
                <w:rFonts w:ascii="Arial Narrow" w:eastAsia="Aptos" w:hAnsi="Arial Narrow" w:cs="Times New Roman"/>
                <w:noProof/>
                <w:color w:val="006100"/>
                <w:sz w:val="20"/>
                <w:szCs w:val="20"/>
                <w:lang w:val="en-IE"/>
              </w:rPr>
              <w:t>N/A</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576BADD" w14:textId="77777777" w:rsidR="0039681A" w:rsidRPr="00BE27D9" w:rsidRDefault="0039681A">
            <w:pPr>
              <w:spacing w:line="254" w:lineRule="auto"/>
              <w:jc w:val="center"/>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EB94FC" w14:textId="77777777" w:rsidR="0039681A" w:rsidRPr="00BE27D9" w:rsidRDefault="0039681A">
            <w:pPr>
              <w:spacing w:line="254" w:lineRule="auto"/>
              <w:jc w:val="center"/>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rPr>
              <w:t>2026</w:t>
            </w:r>
          </w:p>
        </w:tc>
        <w:tc>
          <w:tcPr>
            <w:tcW w:w="3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BF8C8B" w14:textId="77777777" w:rsidR="0039681A" w:rsidRPr="00BE27D9" w:rsidRDefault="0039681A">
            <w:pPr>
              <w:spacing w:line="254" w:lineRule="auto"/>
              <w:rPr>
                <w:rFonts w:ascii="Arial Narrow" w:eastAsia="Aptos" w:hAnsi="Arial Narrow" w:cs="Times New Roman"/>
                <w:noProof/>
                <w:color w:val="006100"/>
                <w:sz w:val="20"/>
                <w:szCs w:val="20"/>
                <w:lang w:val="en-IE"/>
              </w:rPr>
            </w:pPr>
            <w:r w:rsidRPr="3152799F">
              <w:rPr>
                <w:rFonts w:ascii="Arial Narrow" w:eastAsia="Aptos" w:hAnsi="Arial Narrow" w:cs="Times New Roman"/>
                <w:noProof/>
                <w:color w:val="006100"/>
                <w:sz w:val="20"/>
                <w:szCs w:val="20"/>
                <w:lang w:val="en-IE"/>
              </w:rPr>
              <w:t>Awarding decree for at least 500 new PhDs in programmes activated by Universities focused on digital and environmental transitions.</w:t>
            </w:r>
          </w:p>
          <w:p w14:paraId="3D7F9A38" w14:textId="77777777" w:rsidR="0039681A" w:rsidRPr="00BE27D9" w:rsidRDefault="0039681A">
            <w:pPr>
              <w:spacing w:line="254" w:lineRule="auto"/>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 xml:space="preserve">The agreements </w:t>
            </w:r>
            <w:r w:rsidRPr="00BE27D9">
              <w:rPr>
                <w:rFonts w:ascii="Arial Narrow" w:eastAsia="Aptos" w:hAnsi="Arial Narrow" w:cs="Times New Roman"/>
                <w:i/>
                <w:iCs/>
                <w:noProof/>
                <w:color w:val="006100"/>
                <w:sz w:val="20"/>
                <w:szCs w:val="20"/>
                <w:lang w:val="en-IE"/>
              </w:rPr>
              <w:t>(‘Atti d’obbligo’)</w:t>
            </w:r>
            <w:r w:rsidRPr="00BE27D9">
              <w:rPr>
                <w:rFonts w:ascii="Arial Narrow" w:eastAsia="Aptos" w:hAnsi="Arial Narrow" w:cs="Times New Roman"/>
                <w:noProof/>
                <w:color w:val="006100"/>
                <w:sz w:val="20"/>
                <w:szCs w:val="20"/>
                <w:lang w:val="en-IE"/>
              </w:rPr>
              <w:t xml:space="preserve"> to financially support 3 Digital Education Hubs (DEH) shall be signed. </w:t>
            </w:r>
          </w:p>
          <w:p w14:paraId="634C3B7F" w14:textId="21F7FC6C" w:rsidR="0039681A" w:rsidRPr="00BE27D9" w:rsidRDefault="0039681A">
            <w:pPr>
              <w:spacing w:line="254" w:lineRule="auto"/>
              <w:rPr>
                <w:rFonts w:ascii="Arial Narrow" w:eastAsia="Aptos" w:hAnsi="Arial Narrow" w:cs="Times New Roman"/>
                <w:noProof/>
                <w:color w:val="006100"/>
                <w:sz w:val="20"/>
                <w:szCs w:val="20"/>
                <w:lang w:val="en-IE"/>
              </w:rPr>
            </w:pPr>
            <w:r w:rsidRPr="56915D0A">
              <w:rPr>
                <w:rFonts w:ascii="Arial Narrow" w:eastAsia="Aptos" w:hAnsi="Arial Narrow" w:cs="Times New Roman"/>
                <w:noProof/>
                <w:color w:val="006100"/>
                <w:sz w:val="20"/>
                <w:szCs w:val="20"/>
                <w:lang w:val="en-IE"/>
              </w:rPr>
              <w:t xml:space="preserve">The agreements </w:t>
            </w:r>
            <w:r w:rsidRPr="56915D0A">
              <w:rPr>
                <w:rFonts w:ascii="Arial Narrow" w:eastAsia="Aptos" w:hAnsi="Arial Narrow" w:cs="Times New Roman"/>
                <w:i/>
                <w:iCs/>
                <w:noProof/>
                <w:color w:val="006100"/>
                <w:sz w:val="20"/>
                <w:szCs w:val="20"/>
                <w:lang w:val="en-IE"/>
              </w:rPr>
              <w:t>(‘Atti d’obbligo’)</w:t>
            </w:r>
            <w:r w:rsidRPr="56915D0A">
              <w:rPr>
                <w:rFonts w:ascii="Arial Narrow" w:eastAsia="Aptos" w:hAnsi="Arial Narrow" w:cs="Times New Roman"/>
                <w:noProof/>
                <w:color w:val="006100"/>
                <w:sz w:val="20"/>
                <w:szCs w:val="20"/>
                <w:lang w:val="en-IE"/>
              </w:rPr>
              <w:t xml:space="preserve"> for 3 networks of higher education institutions shall be signed.</w:t>
            </w:r>
          </w:p>
          <w:p w14:paraId="7E935937" w14:textId="77777777" w:rsidR="0039681A" w:rsidRPr="00BE27D9" w:rsidRDefault="0039681A">
            <w:pPr>
              <w:spacing w:line="254" w:lineRule="auto"/>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 xml:space="preserve">At least 10 partnerships evidenced by the </w:t>
            </w:r>
            <w:r w:rsidRPr="00BE27D9">
              <w:rPr>
                <w:rFonts w:ascii="Arial Narrow" w:eastAsia="Aptos" w:hAnsi="Arial Narrow" w:cs="Times New Roman"/>
                <w:i/>
                <w:iCs/>
                <w:noProof/>
                <w:color w:val="006100"/>
                <w:sz w:val="20"/>
                <w:szCs w:val="20"/>
                <w:lang w:val="en-IE"/>
              </w:rPr>
              <w:t>“Atti d’obbligo</w:t>
            </w:r>
            <w:r w:rsidRPr="00BE27D9">
              <w:rPr>
                <w:rFonts w:ascii="Arial Narrow" w:eastAsia="Aptos" w:hAnsi="Arial Narrow" w:cs="Times New Roman"/>
                <w:noProof/>
                <w:color w:val="006100"/>
                <w:sz w:val="20"/>
                <w:szCs w:val="20"/>
                <w:lang w:val="en-IE"/>
              </w:rPr>
              <w:t xml:space="preserve">” establishing transnational educational initiatives shall be signed. </w:t>
            </w:r>
          </w:p>
          <w:p w14:paraId="75D28A43" w14:textId="77777777" w:rsidR="0039681A" w:rsidRPr="00BE27D9" w:rsidRDefault="0039681A">
            <w:pPr>
              <w:spacing w:line="254" w:lineRule="auto"/>
              <w:rPr>
                <w:rFonts w:ascii="Arial Narrow" w:eastAsia="Calibri"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The agreements (</w:t>
            </w:r>
            <w:r w:rsidRPr="00BE27D9">
              <w:rPr>
                <w:rFonts w:ascii="Arial Narrow" w:eastAsia="Aptos" w:hAnsi="Arial Narrow" w:cs="Times New Roman"/>
                <w:i/>
                <w:iCs/>
                <w:noProof/>
                <w:color w:val="006100"/>
                <w:sz w:val="20"/>
                <w:szCs w:val="20"/>
                <w:lang w:val="en-IE"/>
              </w:rPr>
              <w:t>“Atti d’obbligo</w:t>
            </w:r>
            <w:r w:rsidRPr="00BE27D9">
              <w:rPr>
                <w:rFonts w:ascii="Arial Narrow" w:eastAsia="Aptos" w:hAnsi="Arial Narrow" w:cs="Times New Roman"/>
                <w:noProof/>
                <w:color w:val="006100"/>
                <w:sz w:val="20"/>
                <w:szCs w:val="20"/>
                <w:lang w:val="en-IE"/>
              </w:rPr>
              <w:t>”) to financially support at least 15 internationalisation projects of AFAM institutions shall be signed.</w:t>
            </w:r>
          </w:p>
        </w:tc>
      </w:tr>
      <w:tr w:rsidR="0039681A" w:rsidRPr="0070054C" w14:paraId="67C3338A" w14:textId="77777777" w:rsidTr="00351087">
        <w:trPr>
          <w:trHeight w:val="300"/>
        </w:trPr>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2996DD" w14:textId="77777777" w:rsidR="0039681A" w:rsidRPr="00BE27D9" w:rsidRDefault="0039681A">
            <w:pPr>
              <w:spacing w:line="254" w:lineRule="auto"/>
              <w:jc w:val="center"/>
              <w:rPr>
                <w:rFonts w:ascii="Arial Narrow" w:eastAsia="Aptos" w:hAnsi="Arial Narrow" w:cs="Times New Roman"/>
                <w:noProof/>
                <w:color w:val="006100"/>
                <w:sz w:val="20"/>
              </w:rPr>
            </w:pPr>
            <w:r w:rsidRPr="00BE27D9">
              <w:rPr>
                <w:rFonts w:ascii="Arial Narrow" w:eastAsia="Aptos" w:hAnsi="Arial Narrow" w:cs="Times New Roman"/>
                <w:noProof/>
                <w:color w:val="006100"/>
                <w:sz w:val="20"/>
              </w:rPr>
              <w:t>M4C1-24</w:t>
            </w:r>
          </w:p>
        </w:tc>
        <w:tc>
          <w:tcPr>
            <w:tcW w:w="198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8D6B43" w14:textId="77777777" w:rsidR="0039681A" w:rsidRPr="00BE27D9" w:rsidRDefault="0039681A">
            <w:pPr>
              <w:spacing w:line="254" w:lineRule="auto"/>
              <w:jc w:val="center"/>
              <w:rPr>
                <w:rFonts w:ascii="Arial Narrow" w:eastAsia="Aptos" w:hAnsi="Arial Narrow" w:cs="Times New Roman"/>
                <w:noProof/>
                <w:color w:val="006100"/>
                <w:sz w:val="20"/>
                <w:lang w:val="en-IE"/>
              </w:rPr>
            </w:pPr>
            <w:r w:rsidRPr="00BE27D9">
              <w:rPr>
                <w:rFonts w:ascii="Arial Narrow" w:eastAsia="Aptos" w:hAnsi="Arial Narrow" w:cs="Times New Roman"/>
                <w:noProof/>
                <w:color w:val="006100"/>
                <w:sz w:val="20"/>
                <w:lang w:val="en-IE"/>
              </w:rPr>
              <w:t>Investment 1.6: Active orientation in school-university transition.</w:t>
            </w:r>
          </w:p>
        </w:tc>
        <w:tc>
          <w:tcPr>
            <w:tcW w:w="132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58AE0D" w14:textId="77777777" w:rsidR="0039681A" w:rsidRPr="00BE27D9" w:rsidRDefault="0039681A">
            <w:pPr>
              <w:spacing w:line="254" w:lineRule="auto"/>
              <w:jc w:val="center"/>
              <w:rPr>
                <w:rFonts w:ascii="Arial Narrow" w:eastAsia="Aptos" w:hAnsi="Arial Narrow" w:cs="Times New Roman"/>
                <w:noProof/>
                <w:color w:val="006100"/>
                <w:sz w:val="20"/>
              </w:rPr>
            </w:pPr>
            <w:r w:rsidRPr="00BE27D9">
              <w:rPr>
                <w:rFonts w:ascii="Arial Narrow" w:eastAsia="Aptos" w:hAnsi="Arial Narrow" w:cs="Times New Roman"/>
                <w:noProof/>
                <w:color w:val="006100"/>
                <w:sz w:val="20"/>
              </w:rPr>
              <w:t>Target</w:t>
            </w:r>
          </w:p>
        </w:tc>
        <w:tc>
          <w:tcPr>
            <w:tcW w:w="151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19F1DA" w14:textId="77777777" w:rsidR="0039681A" w:rsidRPr="00BE27D9" w:rsidRDefault="0039681A">
            <w:pPr>
              <w:spacing w:line="254" w:lineRule="auto"/>
              <w:jc w:val="center"/>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Attendance certificates that have been issued for school-university transition courses</w:t>
            </w:r>
          </w:p>
        </w:tc>
        <w:tc>
          <w:tcPr>
            <w:tcW w:w="1276"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0601CD4" w14:textId="77777777" w:rsidR="0039681A" w:rsidRPr="00BE27D9" w:rsidRDefault="0039681A">
            <w:pPr>
              <w:spacing w:line="254" w:lineRule="auto"/>
              <w:jc w:val="center"/>
              <w:rPr>
                <w:rFonts w:ascii="Arial Narrow" w:eastAsia="Aptos" w:hAnsi="Arial Narrow" w:cs="Times New Roman"/>
                <w:noProof/>
                <w:color w:val="006100"/>
                <w:sz w:val="20"/>
              </w:rPr>
            </w:pPr>
            <w:r w:rsidRPr="00BE27D9">
              <w:rPr>
                <w:rFonts w:ascii="Arial Narrow" w:eastAsia="Aptos" w:hAnsi="Arial Narrow" w:cs="Times New Roman"/>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3EA253" w14:textId="77777777" w:rsidR="0039681A" w:rsidRPr="00BE27D9" w:rsidRDefault="0039681A">
            <w:pPr>
              <w:spacing w:line="254" w:lineRule="auto"/>
              <w:jc w:val="center"/>
              <w:rPr>
                <w:rFonts w:ascii="Arial Narrow" w:eastAsia="Aptos" w:hAnsi="Arial Narrow" w:cs="Times New Roman"/>
                <w:noProof/>
                <w:color w:val="006100"/>
                <w:sz w:val="20"/>
              </w:rPr>
            </w:pPr>
            <w:r w:rsidRPr="00BE27D9">
              <w:rPr>
                <w:rFonts w:ascii="Arial Narrow" w:eastAsia="Aptos" w:hAnsi="Arial Narrow" w:cs="Times New Roman"/>
                <w:noProof/>
                <w:color w:val="006100"/>
                <w:sz w:val="20"/>
              </w:rPr>
              <w:t>Number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E5EB33" w14:textId="77777777" w:rsidR="0039681A" w:rsidRPr="00BE27D9" w:rsidRDefault="0039681A">
            <w:pPr>
              <w:spacing w:line="254" w:lineRule="auto"/>
              <w:rPr>
                <w:rFonts w:ascii="Arial Narrow" w:eastAsia="Aptos" w:hAnsi="Arial Narrow" w:cs="Times New Roman"/>
                <w:noProof/>
                <w:color w:val="006100"/>
                <w:sz w:val="20"/>
                <w:szCs w:val="20"/>
              </w:rPr>
            </w:pPr>
            <w:r w:rsidRPr="00BE27D9">
              <w:rPr>
                <w:rFonts w:ascii="Arial Narrow" w:eastAsia="Aptos" w:hAnsi="Arial Narrow" w:cs="Times New Roman"/>
                <w:noProof/>
                <w:color w:val="006100"/>
                <w:sz w:val="20"/>
                <w:szCs w:val="20"/>
              </w:rPr>
              <w:t>0</w:t>
            </w:r>
          </w:p>
        </w:tc>
        <w:tc>
          <w:tcPr>
            <w:tcW w:w="99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A7CC95A" w14:textId="77777777" w:rsidR="0039681A" w:rsidRPr="00BE27D9" w:rsidRDefault="0039681A">
            <w:pPr>
              <w:spacing w:after="0" w:line="240" w:lineRule="auto"/>
              <w:rPr>
                <w:rFonts w:ascii="Aptos" w:eastAsia="Aptos" w:hAnsi="Aptos" w:cs="Times New Roman"/>
                <w:noProof/>
                <w:kern w:val="0"/>
                <w:sz w:val="20"/>
                <w:szCs w:val="20"/>
                <w:lang w:val="en-IE" w:eastAsia="en-IE"/>
                <w14:ligatures w14:val="none"/>
              </w:rPr>
            </w:pPr>
            <w:r w:rsidRPr="00BE27D9">
              <w:rPr>
                <w:rFonts w:ascii="Arial Narrow" w:eastAsia="Aptos" w:hAnsi="Arial Narrow" w:cs="Times New Roman"/>
                <w:noProof/>
                <w:color w:val="006100"/>
                <w:sz w:val="20"/>
                <w:szCs w:val="20"/>
                <w:lang w:val="en-IE"/>
              </w:rPr>
              <w:t>1 000 000</w:t>
            </w:r>
          </w:p>
        </w:tc>
        <w:tc>
          <w:tcPr>
            <w:tcW w:w="85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454055" w14:textId="77777777" w:rsidR="0039681A" w:rsidRPr="00BE27D9" w:rsidRDefault="0039681A">
            <w:pPr>
              <w:spacing w:line="254" w:lineRule="auto"/>
              <w:jc w:val="center"/>
              <w:rPr>
                <w:rFonts w:ascii="Arial Narrow" w:eastAsia="Aptos" w:hAnsi="Arial Narrow" w:cs="Times New Roman"/>
                <w:noProof/>
                <w:color w:val="006100"/>
                <w:sz w:val="20"/>
              </w:rPr>
            </w:pPr>
            <w:r w:rsidRPr="00BE27D9">
              <w:rPr>
                <w:rFonts w:ascii="Arial Narrow" w:eastAsia="Aptos" w:hAnsi="Arial Narrow" w:cs="Times New Roman"/>
                <w:noProof/>
                <w:color w:val="006100"/>
                <w:sz w:val="20"/>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C1F763" w14:textId="77777777" w:rsidR="0039681A" w:rsidRPr="00BE27D9" w:rsidRDefault="0039681A">
            <w:pPr>
              <w:spacing w:line="254" w:lineRule="auto"/>
              <w:jc w:val="center"/>
              <w:rPr>
                <w:rFonts w:ascii="Arial Narrow" w:eastAsia="Aptos" w:hAnsi="Arial Narrow" w:cs="Times New Roman"/>
                <w:noProof/>
                <w:color w:val="006100"/>
                <w:sz w:val="20"/>
              </w:rPr>
            </w:pPr>
            <w:r w:rsidRPr="00BE27D9">
              <w:rPr>
                <w:rFonts w:ascii="Arial Narrow" w:eastAsia="Aptos" w:hAnsi="Arial Narrow" w:cs="Times New Roman"/>
                <w:noProof/>
                <w:color w:val="006100"/>
                <w:sz w:val="20"/>
              </w:rPr>
              <w:t>2026</w:t>
            </w:r>
          </w:p>
        </w:tc>
        <w:tc>
          <w:tcPr>
            <w:tcW w:w="3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3C6A34" w14:textId="77777777" w:rsidR="0039681A" w:rsidRPr="00BE27D9" w:rsidRDefault="0039681A">
            <w:pPr>
              <w:spacing w:line="254" w:lineRule="auto"/>
              <w:rPr>
                <w:rFonts w:ascii="Arial Narrow" w:eastAsia="Aptos" w:hAnsi="Arial Narrow" w:cs="Times New Roman"/>
                <w:noProof/>
                <w:color w:val="006100"/>
                <w:sz w:val="20"/>
                <w:szCs w:val="20"/>
                <w:lang w:val="en-IE"/>
              </w:rPr>
            </w:pPr>
            <w:r w:rsidRPr="00BE27D9">
              <w:rPr>
                <w:rFonts w:ascii="Arial Narrow" w:eastAsia="Aptos" w:hAnsi="Arial Narrow" w:cs="Times New Roman"/>
                <w:noProof/>
                <w:color w:val="006100"/>
                <w:sz w:val="20"/>
                <w:szCs w:val="20"/>
                <w:lang w:val="en-IE"/>
              </w:rPr>
              <w:t>At least 1 000 000 attendance certificates have been issued for school-university transition courses to secondary school students enrolled in academic school years from 2022/2023 to 2025/2026.</w:t>
            </w:r>
          </w:p>
        </w:tc>
      </w:tr>
    </w:tbl>
    <w:p w14:paraId="469D2F7E" w14:textId="77777777" w:rsidR="0039681A" w:rsidRPr="00A36E36" w:rsidRDefault="0039681A" w:rsidP="00351087">
      <w:pPr>
        <w:rPr>
          <w:noProof/>
          <w:lang w:val="en-IE"/>
        </w:rPr>
        <w:sectPr w:rsidR="0039681A" w:rsidRPr="00A36E36" w:rsidSect="0039681A">
          <w:headerReference w:type="even" r:id="rId151"/>
          <w:headerReference w:type="default" r:id="rId152"/>
          <w:footerReference w:type="default" r:id="rId153"/>
          <w:headerReference w:type="first" r:id="rId154"/>
          <w:pgSz w:w="16838" w:h="11906" w:orient="landscape"/>
          <w:pgMar w:top="1134" w:right="1134" w:bottom="1134" w:left="1134" w:header="567" w:footer="567" w:gutter="0"/>
          <w:cols w:space="708"/>
          <w:docGrid w:linePitch="360"/>
        </w:sectPr>
      </w:pPr>
    </w:p>
    <w:p w14:paraId="1733C001" w14:textId="77777777" w:rsidR="0039681A" w:rsidRPr="00A36E36" w:rsidRDefault="0039681A" w:rsidP="00351087">
      <w:pPr>
        <w:pStyle w:val="Heading3"/>
        <w:rPr>
          <w:rFonts w:ascii="Times New Roman" w:hAnsi="Times New Roman" w:cs="Times New Roman"/>
          <w:i/>
          <w:noProof/>
          <w:sz w:val="24"/>
          <w:szCs w:val="24"/>
          <w:lang w:val="en-IE"/>
        </w:rPr>
      </w:pPr>
      <w:r w:rsidRPr="00A36E36">
        <w:rPr>
          <w:rStyle w:val="normaltextrun"/>
          <w:rFonts w:ascii="Times New Roman" w:hAnsi="Times New Roman" w:cs="Times New Roman"/>
          <w:b/>
          <w:noProof/>
          <w:sz w:val="24"/>
          <w:szCs w:val="24"/>
          <w:u w:val="single"/>
          <w:lang w:val="en-IE"/>
        </w:rPr>
        <w:t>J.3. Description of the reforms and investments for the loan</w:t>
      </w:r>
      <w:r w:rsidRPr="00A36E36">
        <w:rPr>
          <w:rStyle w:val="eop"/>
          <w:rFonts w:ascii="Times New Roman" w:hAnsi="Times New Roman" w:cs="Times New Roman"/>
          <w:noProof/>
          <w:sz w:val="24"/>
          <w:szCs w:val="24"/>
          <w:lang w:val="en-IE"/>
        </w:rPr>
        <w:t xml:space="preserve"> </w:t>
      </w:r>
    </w:p>
    <w:p w14:paraId="3759A7ED" w14:textId="77777777" w:rsidR="0039681A" w:rsidRPr="00647572" w:rsidRDefault="0039681A" w:rsidP="00351087">
      <w:pPr>
        <w:pStyle w:val="paragraph"/>
        <w:spacing w:before="0" w:beforeAutospacing="0" w:after="0" w:afterAutospacing="0"/>
        <w:jc w:val="both"/>
        <w:textAlignment w:val="baseline"/>
        <w:rPr>
          <w:rStyle w:val="normaltextrun"/>
          <w:rFonts w:ascii="Segoe UI" w:hAnsi="Segoe UI" w:cs="Segoe UI"/>
          <w:noProof/>
          <w:sz w:val="18"/>
          <w:szCs w:val="18"/>
          <w:lang w:val="en-GB"/>
        </w:rPr>
      </w:pPr>
      <w:r w:rsidRPr="00647572">
        <w:rPr>
          <w:rStyle w:val="eop"/>
          <w:noProof/>
          <w:lang w:val="en-GB"/>
        </w:rPr>
        <w:t xml:space="preserve"> </w:t>
      </w:r>
    </w:p>
    <w:p w14:paraId="058C0678" w14:textId="77777777" w:rsidR="0039681A" w:rsidRPr="00647572" w:rsidRDefault="0039681A" w:rsidP="00351087">
      <w:pPr>
        <w:pStyle w:val="paragraph"/>
        <w:spacing w:before="0" w:beforeAutospacing="0" w:after="0" w:afterAutospacing="0"/>
        <w:jc w:val="both"/>
        <w:textAlignment w:val="baseline"/>
        <w:rPr>
          <w:rFonts w:ascii="Segoe UI" w:hAnsi="Segoe UI" w:cs="Segoe UI"/>
          <w:noProof/>
          <w:sz w:val="18"/>
          <w:szCs w:val="18"/>
          <w:lang w:val="en-GB"/>
        </w:rPr>
      </w:pPr>
      <w:r w:rsidRPr="00647572">
        <w:rPr>
          <w:rStyle w:val="normaltextrun"/>
          <w:b/>
          <w:noProof/>
          <w:lang w:val="en-GB"/>
        </w:rPr>
        <w:t xml:space="preserve">Reform 1.7: Reform of student housing regulation and investment in student housing </w:t>
      </w:r>
    </w:p>
    <w:p w14:paraId="67E0D520" w14:textId="77777777" w:rsidR="0039681A" w:rsidRPr="00647572" w:rsidRDefault="0039681A" w:rsidP="00351087">
      <w:pPr>
        <w:pStyle w:val="paragraph"/>
        <w:spacing w:before="0" w:beforeAutospacing="0" w:after="0" w:afterAutospacing="0"/>
        <w:jc w:val="both"/>
        <w:textAlignment w:val="baseline"/>
        <w:rPr>
          <w:rStyle w:val="normaltextrun"/>
          <w:noProof/>
          <w:sz w:val="22"/>
          <w:szCs w:val="22"/>
          <w:lang w:val="en-GB"/>
        </w:rPr>
      </w:pPr>
    </w:p>
    <w:p w14:paraId="375D1AEC" w14:textId="77777777" w:rsidR="0039681A" w:rsidRPr="00647572" w:rsidRDefault="0039681A" w:rsidP="00351087">
      <w:pPr>
        <w:pStyle w:val="paragraph"/>
        <w:spacing w:before="0" w:beforeAutospacing="0" w:after="120" w:afterAutospacing="0"/>
        <w:jc w:val="both"/>
        <w:rPr>
          <w:rFonts w:ascii="Segoe UI" w:hAnsi="Segoe UI" w:cs="Segoe UI"/>
          <w:noProof/>
          <w:sz w:val="22"/>
          <w:szCs w:val="22"/>
          <w:lang w:val="en-GB"/>
        </w:rPr>
      </w:pPr>
      <w:r w:rsidRPr="00647572">
        <w:rPr>
          <w:rStyle w:val="normaltextrun"/>
          <w:noProof/>
          <w:sz w:val="22"/>
          <w:szCs w:val="22"/>
          <w:lang w:val="en-GB"/>
        </w:rPr>
        <w:t xml:space="preserve">The reform aims to increase university students’ accommodations by encouraging private and public investments in facilities, with the contribution of the Ministry of University and Research. </w:t>
      </w:r>
    </w:p>
    <w:p w14:paraId="09DE919A" w14:textId="77777777" w:rsidR="0039681A" w:rsidRPr="00647572" w:rsidRDefault="0039681A" w:rsidP="00351087">
      <w:pPr>
        <w:pStyle w:val="paragraph"/>
        <w:spacing w:before="0" w:beforeAutospacing="0" w:after="120" w:afterAutospacing="0"/>
        <w:jc w:val="both"/>
        <w:textAlignment w:val="baseline"/>
        <w:rPr>
          <w:rFonts w:ascii="Segoe UI" w:hAnsi="Segoe UI" w:cs="Segoe UI"/>
          <w:noProof/>
          <w:sz w:val="22"/>
          <w:szCs w:val="22"/>
          <w:lang w:val="en-GB"/>
        </w:rPr>
      </w:pPr>
      <w:r w:rsidRPr="00647572">
        <w:rPr>
          <w:rStyle w:val="normaltextrun"/>
          <w:noProof/>
          <w:sz w:val="22"/>
          <w:szCs w:val="22"/>
          <w:lang w:val="en-GB"/>
        </w:rPr>
        <w:t xml:space="preserve">The investment consists in providing additional students accommodations. </w:t>
      </w:r>
    </w:p>
    <w:p w14:paraId="3A846776"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Investment</w:t>
      </w:r>
      <w:r w:rsidRPr="00A36E36">
        <w:rPr>
          <w:rFonts w:ascii="Times New Roman" w:hAnsi="Times New Roman" w:cs="Times New Roman"/>
          <w:b/>
          <w:noProof/>
          <w:lang w:val="en-IE"/>
        </w:rPr>
        <w:t xml:space="preserve"> 1.1: Plan for nurseries and preschools and early childhood education and care services</w:t>
      </w:r>
    </w:p>
    <w:p w14:paraId="04C62297" w14:textId="37850C22" w:rsidR="0039681A" w:rsidRPr="00A36E36" w:rsidRDefault="0039681A" w:rsidP="00351087">
      <w:pPr>
        <w:spacing w:before="120" w:after="120"/>
        <w:jc w:val="both"/>
        <w:rPr>
          <w:rFonts w:ascii="Times New Roman" w:hAnsi="Times New Roman" w:cs="Times New Roman"/>
          <w:noProof/>
          <w:lang w:val="en-IE"/>
        </w:rPr>
      </w:pPr>
      <w:r w:rsidRPr="3152799F">
        <w:rPr>
          <w:rFonts w:ascii="Times New Roman" w:hAnsi="Times New Roman" w:cs="Times New Roman"/>
          <w:noProof/>
          <w:lang w:val="en-IE"/>
        </w:rPr>
        <w:t xml:space="preserve">The objective of this investment is to increase and enhance educational facilities for children aged 0-6. The investment consists in building, and/or converting, and/or renovating childcare facilities. </w:t>
      </w:r>
      <w:r w:rsidRPr="00A36E36">
        <w:rPr>
          <w:rFonts w:ascii="Times New Roman" w:hAnsi="Times New Roman" w:cs="Times New Roman"/>
          <w:b/>
          <w:noProof/>
          <w:lang w:val="en-IE"/>
        </w:rPr>
        <w:t>Investment 1.2: Plan for the extension of full-time</w:t>
      </w:r>
    </w:p>
    <w:p w14:paraId="4029AEA2" w14:textId="5EF1A0D2" w:rsidR="0039681A" w:rsidRPr="00A36E36" w:rsidRDefault="0039681A" w:rsidP="00351087">
      <w:pPr>
        <w:spacing w:before="120" w:after="120"/>
        <w:jc w:val="both"/>
        <w:rPr>
          <w:rFonts w:ascii="Times New Roman" w:hAnsi="Times New Roman" w:cs="Times New Roman"/>
          <w:b/>
          <w:bCs/>
          <w:noProof/>
          <w:lang w:val="en-IE"/>
        </w:rPr>
      </w:pPr>
      <w:r w:rsidRPr="3152799F">
        <w:rPr>
          <w:rFonts w:ascii="Times New Roman" w:hAnsi="Times New Roman" w:cs="Times New Roman"/>
          <w:noProof/>
          <w:lang w:val="en-IE"/>
        </w:rPr>
        <w:t>The objective of this measure is to enable school facilities to extend school hours by refurbishing or building apposite infrastructures. The investment consists in renovating or building canteen spaces in school facilities.</w:t>
      </w:r>
      <w:r w:rsidRPr="3152799F">
        <w:rPr>
          <w:rFonts w:ascii="Times New Roman" w:hAnsi="Times New Roman" w:cs="Times New Roman"/>
          <w:b/>
          <w:bCs/>
          <w:noProof/>
          <w:lang w:val="en-IE"/>
        </w:rPr>
        <w:t xml:space="preserve"> </w:t>
      </w:r>
    </w:p>
    <w:p w14:paraId="1A1D4409"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3.3: School building security and structural rehabilitation plan</w:t>
      </w:r>
    </w:p>
    <w:p w14:paraId="6FC7D62C" w14:textId="5F2AF6C5" w:rsidR="0039681A" w:rsidRPr="00A36E36" w:rsidRDefault="0039681A" w:rsidP="00351087">
      <w:pPr>
        <w:spacing w:before="120" w:after="120"/>
        <w:jc w:val="both"/>
        <w:rPr>
          <w:rStyle w:val="eop"/>
          <w:noProof/>
          <w:lang w:val="en-IE"/>
        </w:rPr>
      </w:pPr>
      <w:r w:rsidRPr="3152799F">
        <w:rPr>
          <w:rFonts w:ascii="Times New Roman" w:hAnsi="Times New Roman" w:cs="Times New Roman"/>
          <w:noProof/>
          <w:lang w:val="en-IE"/>
        </w:rPr>
        <w:t>The objective of the measure is to increase the safety and energy performance of school buildings and/or facilities. This measure consists in interventions aimed at increasing the safety or energy efficiency of school buildings and/or facilities.</w:t>
      </w:r>
    </w:p>
    <w:p w14:paraId="60704C12" w14:textId="77777777" w:rsidR="0039681A" w:rsidRPr="00A36E36" w:rsidRDefault="0039681A" w:rsidP="00351087">
      <w:pPr>
        <w:jc w:val="both"/>
        <w:rPr>
          <w:rFonts w:ascii="Times New Roman" w:hAnsi="Times New Roman" w:cs="Times New Roman"/>
          <w:b/>
          <w:bCs/>
          <w:noProof/>
          <w:lang w:val="en-IE"/>
        </w:rPr>
      </w:pPr>
      <w:r w:rsidRPr="00A36E36">
        <w:rPr>
          <w:rFonts w:ascii="Times New Roman" w:hAnsi="Times New Roman" w:cs="Times New Roman"/>
          <w:b/>
          <w:bCs/>
          <w:noProof/>
          <w:lang w:val="en-IE"/>
        </w:rPr>
        <w:t>Investment 5: Student housing fund</w:t>
      </w:r>
    </w:p>
    <w:p w14:paraId="4F233291" w14:textId="77777777" w:rsidR="0039681A" w:rsidRPr="00A36E36" w:rsidRDefault="0039681A" w:rsidP="00351087">
      <w:p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This measure shall consist of a </w:t>
      </w:r>
      <w:r w:rsidRPr="00A36E36">
        <w:rPr>
          <w:rFonts w:ascii="Times New Roman" w:eastAsia="@MS Mincho" w:hAnsi="Times New Roman" w:cs="Times New Roman"/>
          <w:noProof/>
          <w:lang w:val="en-IE"/>
        </w:rPr>
        <w:t>public investment</w:t>
      </w:r>
      <w:r w:rsidRPr="00A36E36">
        <w:rPr>
          <w:rFonts w:ascii="Times New Roman" w:hAnsi="Times New Roman" w:cs="Times New Roman"/>
          <w:noProof/>
          <w:lang w:val="en-IE"/>
        </w:rPr>
        <w:t xml:space="preserve"> in a Grant Scheme, </w:t>
      </w:r>
      <w:r w:rsidRPr="00A36E36">
        <w:rPr>
          <w:rFonts w:ascii="Times New Roman" w:eastAsia="@MS Mincho" w:hAnsi="Times New Roman" w:cs="Times New Roman"/>
          <w:noProof/>
          <w:lang w:val="en-IE"/>
        </w:rPr>
        <w:t>in order to incentivise private investment and improve access to finance in Italy in the student housing sector</w:t>
      </w:r>
      <w:r w:rsidRPr="00A36E36">
        <w:rPr>
          <w:rFonts w:ascii="Times New Roman" w:hAnsi="Times New Roman" w:cs="Times New Roman"/>
          <w:noProof/>
          <w:lang w:val="en-IE"/>
        </w:rPr>
        <w:t xml:space="preserve">. The Scheme shall operate by providing grants directly to the private sector as well as to public sector entities engaged in similar activities. </w:t>
      </w:r>
    </w:p>
    <w:p w14:paraId="1457D153" w14:textId="77777777" w:rsidR="0039681A" w:rsidRPr="00647572" w:rsidRDefault="0039681A" w:rsidP="00351087">
      <w:pPr>
        <w:spacing w:line="240" w:lineRule="auto"/>
        <w:jc w:val="both"/>
        <w:rPr>
          <w:rFonts w:ascii="Times New Roman" w:hAnsi="Times New Roman" w:cs="Times New Roman"/>
          <w:noProof/>
        </w:rPr>
      </w:pPr>
      <w:r w:rsidRPr="00A36E36">
        <w:rPr>
          <w:rFonts w:ascii="Times New Roman" w:hAnsi="Times New Roman" w:cs="Times New Roman"/>
          <w:noProof/>
          <w:lang w:val="en-IE"/>
        </w:rPr>
        <w:t xml:space="preserve">The Scheme shall be managed by Cassa Depositi e Prestiti S.p.A. (CDP S.p.A.) as the implementing partner. </w:t>
      </w:r>
      <w:r w:rsidRPr="00647572">
        <w:rPr>
          <w:rFonts w:ascii="Times New Roman" w:hAnsi="Times New Roman" w:cs="Times New Roman"/>
          <w:noProof/>
        </w:rPr>
        <w:t>The Scheme shall include the following product line:</w:t>
      </w:r>
    </w:p>
    <w:p w14:paraId="08061F2B" w14:textId="77777777" w:rsidR="0039681A" w:rsidRPr="00A36E36" w:rsidRDefault="0039681A" w:rsidP="0039681A">
      <w:pPr>
        <w:pStyle w:val="ListParagraph"/>
        <w:keepNext/>
        <w:numPr>
          <w:ilvl w:val="0"/>
          <w:numId w:val="43"/>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A lump sum grant of maximum EUR 20 000 for student bed created. </w:t>
      </w:r>
    </w:p>
    <w:p w14:paraId="6DE66912" w14:textId="77777777" w:rsidR="0039681A" w:rsidRPr="00A36E36" w:rsidRDefault="0039681A" w:rsidP="00351087">
      <w:p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Scheme, Italy and CDP S.p.A. shall sign an Implementing Agreement that shall include the following content:</w:t>
      </w:r>
    </w:p>
    <w:p w14:paraId="3B59B713" w14:textId="77777777" w:rsidR="0039681A" w:rsidRPr="00384DBE" w:rsidRDefault="0039681A" w:rsidP="00384DBE">
      <w:pPr>
        <w:pStyle w:val="LegalNumPar"/>
        <w:numPr>
          <w:ilvl w:val="0"/>
          <w:numId w:val="172"/>
        </w:numPr>
        <w:spacing w:line="259" w:lineRule="auto"/>
        <w:jc w:val="both"/>
        <w:rPr>
          <w:rFonts w:ascii="Times New Roman" w:eastAsia="Times New Roman" w:hAnsi="Times New Roman" w:cs="Times New Roman"/>
          <w:noProof/>
          <w:lang w:val="en-GB"/>
        </w:rPr>
      </w:pPr>
      <w:r w:rsidRPr="00384DBE">
        <w:rPr>
          <w:rFonts w:ascii="Times New Roman" w:hAnsi="Times New Roman" w:cs="Times New Roman"/>
          <w:noProof/>
          <w:lang w:val="en-GB"/>
        </w:rPr>
        <w:t xml:space="preserve">Description of the decision-making process of the </w:t>
      </w:r>
      <w:r w:rsidRPr="00384DBE">
        <w:rPr>
          <w:rFonts w:ascii="Times New Roman" w:hAnsi="Times New Roman" w:cs="Times New Roman"/>
          <w:bCs/>
          <w:noProof/>
          <w:lang w:val="en-GB"/>
        </w:rPr>
        <w:t>Scheme</w:t>
      </w:r>
      <w:r w:rsidRPr="00384DBE">
        <w:rPr>
          <w:rFonts w:ascii="Times New Roman" w:hAnsi="Times New Roman" w:cs="Times New Roman"/>
          <w:noProof/>
          <w:lang w:val="en-GB"/>
        </w:rPr>
        <w:t>: The final award decision of the Scheme shall be taken by an investment committee or other relevant equivalent governing body and approved by a majority of votes from members who are independent from the government.</w:t>
      </w:r>
    </w:p>
    <w:p w14:paraId="7BD11E27" w14:textId="77777777" w:rsidR="0039681A" w:rsidRPr="00647572" w:rsidRDefault="0039681A" w:rsidP="0039681A">
      <w:pPr>
        <w:pStyle w:val="LegalNumPar"/>
        <w:spacing w:line="259" w:lineRule="auto"/>
        <w:ind w:left="901" w:hanging="476"/>
        <w:jc w:val="both"/>
        <w:rPr>
          <w:rFonts w:ascii="Times New Roman" w:hAnsi="Times New Roman" w:cs="Times New Roman"/>
          <w:noProof/>
          <w:lang w:val="en-GB"/>
        </w:rPr>
      </w:pPr>
      <w:r w:rsidRPr="00647572">
        <w:rPr>
          <w:rFonts w:ascii="Times New Roman" w:hAnsi="Times New Roman" w:cs="Times New Roman"/>
          <w:noProof/>
          <w:lang w:val="en-GB"/>
        </w:rPr>
        <w:t>Key requirements of the associated grant policy,</w:t>
      </w:r>
      <w:r w:rsidRPr="00647572">
        <w:rPr>
          <w:rFonts w:ascii="Times New Roman" w:hAnsi="Times New Roman" w:cs="Times New Roman"/>
          <w:b/>
          <w:noProof/>
          <w:lang w:val="en-GB"/>
        </w:rPr>
        <w:t xml:space="preserve"> </w:t>
      </w:r>
      <w:r w:rsidRPr="00647572">
        <w:rPr>
          <w:rFonts w:ascii="Times New Roman" w:hAnsi="Times New Roman" w:cs="Times New Roman"/>
          <w:noProof/>
          <w:lang w:val="en-GB"/>
        </w:rPr>
        <w:t>which shall include:</w:t>
      </w:r>
    </w:p>
    <w:p w14:paraId="207EBE99" w14:textId="77777777" w:rsidR="0039681A" w:rsidRPr="00647572" w:rsidRDefault="0039681A" w:rsidP="0039681A">
      <w:pPr>
        <w:pStyle w:val="LegalNumPar2"/>
        <w:spacing w:line="259" w:lineRule="auto"/>
        <w:ind w:left="953" w:hanging="477"/>
        <w:jc w:val="both"/>
        <w:rPr>
          <w:rFonts w:ascii="Times New Roman" w:hAnsi="Times New Roman" w:cs="Times New Roman"/>
          <w:bCs/>
          <w:noProof/>
          <w:lang w:val="en-GB"/>
        </w:rPr>
      </w:pPr>
      <w:r w:rsidRPr="00647572">
        <w:rPr>
          <w:rFonts w:ascii="Times New Roman" w:hAnsi="Times New Roman" w:cs="Times New Roman"/>
          <w:bCs/>
          <w:noProof/>
          <w:lang w:val="en-GB"/>
        </w:rPr>
        <w:t>The social requirements of the investment including:</w:t>
      </w:r>
    </w:p>
    <w:p w14:paraId="3962B3F2" w14:textId="77777777" w:rsidR="0039681A" w:rsidRPr="00647572" w:rsidRDefault="0039681A" w:rsidP="0039681A">
      <w:pPr>
        <w:pStyle w:val="LegalNumPar3"/>
        <w:spacing w:line="259" w:lineRule="auto"/>
        <w:ind w:left="1429" w:hanging="476"/>
        <w:jc w:val="both"/>
        <w:rPr>
          <w:rFonts w:ascii="Times New Roman" w:eastAsia="Calibri" w:hAnsi="Times New Roman" w:cs="Times New Roman"/>
          <w:noProof/>
          <w:lang w:val="en-GB"/>
        </w:rPr>
      </w:pPr>
      <w:r w:rsidRPr="00647572">
        <w:rPr>
          <w:rFonts w:ascii="Times New Roman" w:hAnsi="Times New Roman" w:cs="Times New Roman"/>
          <w:noProof/>
          <w:lang w:val="en-GB"/>
        </w:rPr>
        <w:t>The requirement that the rental fee for university students shall be set, at least, at a 15% below local market prices.</w:t>
      </w:r>
    </w:p>
    <w:p w14:paraId="1A9E25E1" w14:textId="77777777" w:rsidR="0039681A" w:rsidRPr="00647572" w:rsidRDefault="0039681A" w:rsidP="0039681A">
      <w:pPr>
        <w:pStyle w:val="LegalNumPar3"/>
        <w:spacing w:line="259" w:lineRule="auto"/>
        <w:ind w:left="1429" w:hanging="476"/>
        <w:jc w:val="both"/>
        <w:rPr>
          <w:rFonts w:ascii="Times New Roman" w:hAnsi="Times New Roman" w:cs="Times New Roman"/>
          <w:noProof/>
          <w:lang w:val="en-GB"/>
        </w:rPr>
      </w:pPr>
      <w:r w:rsidRPr="00647572">
        <w:rPr>
          <w:rFonts w:ascii="Times New Roman" w:hAnsi="Times New Roman" w:cs="Times New Roman"/>
          <w:noProof/>
          <w:lang w:val="en-GB"/>
        </w:rPr>
        <w:t>The requirement that 30% of the new places shall be reserved for students facing socio-economic difficulties as defined by “Diritto allo Studio” organizations (right to study organizations).</w:t>
      </w:r>
    </w:p>
    <w:p w14:paraId="401FEFD8" w14:textId="77777777" w:rsidR="0039681A" w:rsidRPr="00647572" w:rsidRDefault="0039681A" w:rsidP="0039681A">
      <w:pPr>
        <w:pStyle w:val="LegalNumPar3"/>
        <w:spacing w:line="259" w:lineRule="auto"/>
        <w:ind w:left="1429" w:hanging="476"/>
        <w:jc w:val="both"/>
        <w:rPr>
          <w:rFonts w:ascii="Times New Roman" w:hAnsi="Times New Roman" w:cs="Times New Roman"/>
          <w:noProof/>
          <w:lang w:val="en-GB"/>
        </w:rPr>
      </w:pPr>
      <w:r w:rsidRPr="00647572">
        <w:rPr>
          <w:rFonts w:ascii="Times New Roman" w:hAnsi="Times New Roman" w:cs="Times New Roman"/>
          <w:noProof/>
          <w:lang w:val="en-GB"/>
        </w:rPr>
        <w:t>The requirement that existing accommodations used for student housing purposes at the time of the launch of the relative call for projects cannot be financed.</w:t>
      </w:r>
    </w:p>
    <w:p w14:paraId="244119C5" w14:textId="77777777" w:rsidR="0039681A" w:rsidRPr="00647572" w:rsidRDefault="0039681A" w:rsidP="0039681A">
      <w:pPr>
        <w:pStyle w:val="LegalNumPar2"/>
        <w:spacing w:line="259" w:lineRule="auto"/>
        <w:ind w:left="953" w:hanging="477"/>
        <w:jc w:val="both"/>
        <w:rPr>
          <w:rFonts w:ascii="Times New Roman" w:hAnsi="Times New Roman" w:cs="Times New Roman"/>
          <w:noProof/>
          <w:lang w:val="en-GB"/>
        </w:rPr>
      </w:pPr>
      <w:r w:rsidRPr="00647572">
        <w:rPr>
          <w:rFonts w:ascii="Times New Roman" w:hAnsi="Times New Roman" w:cs="Times New Roman"/>
          <w:noProof/>
          <w:lang w:val="en-GB"/>
        </w:rPr>
        <w:t xml:space="preserve">The description of the grants provided and eligible final beneficiaries. </w:t>
      </w:r>
    </w:p>
    <w:p w14:paraId="70866E69" w14:textId="77777777" w:rsidR="0039681A" w:rsidRPr="00647572" w:rsidRDefault="0039681A" w:rsidP="0039681A">
      <w:pPr>
        <w:pStyle w:val="LegalNumPar2"/>
        <w:spacing w:line="259" w:lineRule="auto"/>
        <w:ind w:left="953" w:hanging="477"/>
        <w:jc w:val="both"/>
        <w:rPr>
          <w:rFonts w:ascii="Times New Roman" w:hAnsi="Times New Roman" w:cs="Times New Roman"/>
          <w:noProof/>
          <w:lang w:val="en-GB"/>
        </w:rPr>
      </w:pPr>
      <w:r w:rsidRPr="00647572">
        <w:rPr>
          <w:rFonts w:ascii="Times New Roman" w:hAnsi="Times New Roman" w:cs="Times New Roman"/>
          <w:noProof/>
          <w:lang w:val="en-GB"/>
        </w:rPr>
        <w:t>The requirement that all investments supported are economically viable</w:t>
      </w:r>
      <w:r w:rsidRPr="00647572">
        <w:rPr>
          <w:rFonts w:ascii="Times New Roman" w:hAnsi="Times New Roman" w:cs="Times New Roman"/>
          <w:b/>
          <w:bCs/>
          <w:noProof/>
          <w:lang w:val="en-GB"/>
        </w:rPr>
        <w:t>.</w:t>
      </w:r>
    </w:p>
    <w:p w14:paraId="704695CC" w14:textId="77777777" w:rsidR="0039681A" w:rsidRPr="00647572" w:rsidRDefault="0039681A" w:rsidP="0039681A">
      <w:pPr>
        <w:pStyle w:val="LegalNumPar2"/>
        <w:numPr>
          <w:ilvl w:val="1"/>
          <w:numId w:val="104"/>
        </w:numPr>
        <w:spacing w:line="259" w:lineRule="auto"/>
        <w:jc w:val="both"/>
        <w:rPr>
          <w:rFonts w:ascii="Times New Roman" w:hAnsi="Times New Roman" w:cs="Times New Roman"/>
          <w:noProof/>
          <w:lang w:val="en-GB"/>
        </w:rPr>
      </w:pPr>
      <w:r w:rsidRPr="00647572">
        <w:rPr>
          <w:rFonts w:ascii="Times New Roman" w:hAnsi="Times New Roman" w:cs="Times New Roman"/>
          <w:noProof/>
          <w:lang w:val="en-GB"/>
        </w:rPr>
        <w:t>The requirement to comply with the ‘Do no significant harm’ (DNSH) principle as set out in the DNSH Technical Guidance (2021/C58/01). In particular, the grant policy shall exclude the following list of activities and assets from eligibility: (i) activities and assets related to fossil fuels, including downstream use</w:t>
      </w:r>
      <w:r w:rsidRPr="00647572">
        <w:rPr>
          <w:rFonts w:ascii="Times New Roman" w:hAnsi="Times New Roman" w:cs="Times New Roman"/>
          <w:noProof/>
          <w:vertAlign w:val="superscript"/>
          <w:lang w:val="en-GB"/>
        </w:rPr>
        <w:footnoteReference w:id="73"/>
      </w:r>
      <w:r w:rsidRPr="00647572">
        <w:rPr>
          <w:rFonts w:ascii="Times New Roman" w:hAnsi="Times New Roman" w:cs="Times New Roman"/>
          <w:noProof/>
          <w:lang w:val="en-GB"/>
        </w:rPr>
        <w:t>, (ii) activities and assets under the EU Emission Trading System (ETS) achieving projected greenhouse gas emissions that are not lower than the relevant benchmarks</w:t>
      </w:r>
      <w:r w:rsidRPr="00647572">
        <w:rPr>
          <w:rFonts w:ascii="Times New Roman" w:hAnsi="Times New Roman" w:cs="Times New Roman"/>
          <w:noProof/>
          <w:vertAlign w:val="superscript"/>
          <w:lang w:val="en-GB"/>
        </w:rPr>
        <w:footnoteReference w:id="74"/>
      </w:r>
      <w:r w:rsidRPr="00647572">
        <w:rPr>
          <w:rFonts w:ascii="Times New Roman" w:hAnsi="Times New Roman" w:cs="Times New Roman"/>
          <w:noProof/>
          <w:lang w:val="en-GB"/>
        </w:rPr>
        <w:t>, (iii) activities and assets related to waste landfills, incinerators</w:t>
      </w:r>
      <w:r w:rsidRPr="00647572">
        <w:rPr>
          <w:rStyle w:val="FootnoteReference"/>
          <w:rFonts w:ascii="Times New Roman" w:hAnsi="Times New Roman" w:cs="Times New Roman"/>
          <w:noProof/>
          <w:lang w:val="en-GB"/>
        </w:rPr>
        <w:footnoteReference w:id="75"/>
      </w:r>
      <w:r w:rsidRPr="00647572">
        <w:rPr>
          <w:rFonts w:ascii="Times New Roman" w:hAnsi="Times New Roman" w:cs="Times New Roman"/>
          <w:noProof/>
          <w:lang w:val="en-GB"/>
        </w:rPr>
        <w:t xml:space="preserve"> and mechanical biological treatment plants</w:t>
      </w:r>
      <w:r w:rsidRPr="00647572">
        <w:rPr>
          <w:rStyle w:val="FootnoteReference"/>
          <w:rFonts w:ascii="Times New Roman" w:hAnsi="Times New Roman" w:cs="Times New Roman"/>
          <w:noProof/>
          <w:lang w:val="en-GB"/>
        </w:rPr>
        <w:footnoteReference w:id="76"/>
      </w:r>
      <w:r w:rsidRPr="00647572">
        <w:rPr>
          <w:rFonts w:ascii="Times New Roman" w:hAnsi="Times New Roman" w:cs="Times New Roman"/>
          <w:noProof/>
          <w:lang w:val="en-GB"/>
        </w:rPr>
        <w:t>. For the avoidance of doubt, gas boilers shall not be eligible for support under this measure.</w:t>
      </w:r>
    </w:p>
    <w:p w14:paraId="5EEDA36D" w14:textId="77777777" w:rsidR="0039681A" w:rsidRPr="00647572" w:rsidRDefault="0039681A" w:rsidP="0039681A">
      <w:pPr>
        <w:pStyle w:val="LegalNumPar2"/>
        <w:spacing w:line="259" w:lineRule="auto"/>
        <w:ind w:left="953" w:hanging="477"/>
        <w:jc w:val="both"/>
        <w:rPr>
          <w:rFonts w:ascii="Times New Roman" w:hAnsi="Times New Roman" w:cs="Times New Roman"/>
          <w:bCs/>
          <w:noProof/>
          <w:lang w:val="en-GB"/>
        </w:rPr>
      </w:pPr>
      <w:r w:rsidRPr="00647572">
        <w:rPr>
          <w:rFonts w:ascii="Times New Roman" w:hAnsi="Times New Roman" w:cs="Times New Roman"/>
          <w:bCs/>
          <w:noProof/>
          <w:lang w:val="en-GB"/>
        </w:rPr>
        <w:t>The requirement</w:t>
      </w:r>
      <w:r w:rsidRPr="00647572" w:rsidDel="00E46B3C">
        <w:rPr>
          <w:rFonts w:ascii="Times New Roman" w:hAnsi="Times New Roman" w:cs="Times New Roman"/>
          <w:bCs/>
          <w:noProof/>
          <w:lang w:val="en-GB"/>
        </w:rPr>
        <w:t xml:space="preserve"> </w:t>
      </w:r>
      <w:r w:rsidRPr="00647572">
        <w:rPr>
          <w:rFonts w:ascii="Times New Roman" w:hAnsi="Times New Roman" w:cs="Times New Roman"/>
          <w:bCs/>
          <w:noProof/>
          <w:lang w:val="en-GB"/>
        </w:rPr>
        <w:t>that final beneficiaries of the Scheme shall not receive support from other Union instruments to cover the same cost.</w:t>
      </w:r>
    </w:p>
    <w:p w14:paraId="5DA3713A" w14:textId="77777777" w:rsidR="0039681A" w:rsidRPr="00647572" w:rsidRDefault="0039681A" w:rsidP="0039681A">
      <w:pPr>
        <w:pStyle w:val="LegalNumPar"/>
        <w:spacing w:line="259" w:lineRule="auto"/>
        <w:ind w:left="901" w:hanging="476"/>
        <w:jc w:val="both"/>
        <w:rPr>
          <w:rFonts w:ascii="Times New Roman" w:hAnsi="Times New Roman" w:cs="Times New Roman"/>
          <w:noProof/>
          <w:lang w:val="en-GB"/>
        </w:rPr>
      </w:pPr>
      <w:r w:rsidRPr="00647572">
        <w:rPr>
          <w:rFonts w:ascii="Times New Roman" w:hAnsi="Times New Roman" w:cs="Times New Roman"/>
          <w:noProof/>
          <w:lang w:val="en-GB"/>
        </w:rPr>
        <w:t>The amount covered by the Implementing Agreement, the fee structure for the Implementing Partner and the requirement to use any unused proceeds of the scheme, including beyond 2026, for the same policy purposes.</w:t>
      </w:r>
    </w:p>
    <w:p w14:paraId="623B95BC" w14:textId="77777777" w:rsidR="0039681A" w:rsidRPr="00647572" w:rsidRDefault="0039681A" w:rsidP="0039681A">
      <w:pPr>
        <w:pStyle w:val="LegalNumPar"/>
        <w:spacing w:line="259" w:lineRule="auto"/>
        <w:ind w:left="901" w:hanging="476"/>
        <w:jc w:val="both"/>
        <w:rPr>
          <w:rFonts w:ascii="Times New Roman" w:hAnsi="Times New Roman" w:cs="Times New Roman"/>
          <w:noProof/>
          <w:lang w:val="en-GB"/>
        </w:rPr>
      </w:pPr>
      <w:r w:rsidRPr="00647572">
        <w:rPr>
          <w:rFonts w:ascii="Times New Roman" w:hAnsi="Times New Roman" w:cs="Times New Roman"/>
          <w:bCs/>
          <w:noProof/>
          <w:lang w:val="en-GB"/>
        </w:rPr>
        <w:t>Monitoring</w:t>
      </w:r>
      <w:r w:rsidRPr="00647572">
        <w:rPr>
          <w:rFonts w:ascii="Times New Roman" w:hAnsi="Times New Roman" w:cs="Times New Roman"/>
          <w:noProof/>
          <w:lang w:val="en-GB"/>
        </w:rPr>
        <w:t>, audit, and control requirements, including:</w:t>
      </w:r>
    </w:p>
    <w:p w14:paraId="22EC3B12" w14:textId="77777777" w:rsidR="0039681A" w:rsidRPr="00A36E36" w:rsidRDefault="0039681A" w:rsidP="0039681A">
      <w:pPr>
        <w:numPr>
          <w:ilvl w:val="0"/>
          <w:numId w:val="141"/>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partner’s monitoring system to report on the grants mobilized.</w:t>
      </w:r>
    </w:p>
    <w:p w14:paraId="5BA2D8FC" w14:textId="77777777" w:rsidR="0039681A" w:rsidRPr="00A36E36" w:rsidRDefault="0039681A" w:rsidP="0039681A">
      <w:pPr>
        <w:numPr>
          <w:ilvl w:val="0"/>
          <w:numId w:val="141"/>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partner’s procedures that will ensure the prevention, detection and correction of fraud, corruption, and conflicts of interests.</w:t>
      </w:r>
    </w:p>
    <w:p w14:paraId="116B2546" w14:textId="77777777" w:rsidR="0039681A" w:rsidRDefault="0039681A" w:rsidP="0039681A">
      <w:pPr>
        <w:numPr>
          <w:ilvl w:val="0"/>
          <w:numId w:val="141"/>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awarding a grant to an operation.</w:t>
      </w:r>
    </w:p>
    <w:p w14:paraId="5681AD38" w14:textId="77777777" w:rsidR="0039681A" w:rsidRPr="00A36E36" w:rsidRDefault="0039681A" w:rsidP="0039681A">
      <w:pPr>
        <w:numPr>
          <w:ilvl w:val="0"/>
          <w:numId w:val="141"/>
        </w:numPr>
        <w:spacing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obligation of carrying out risk-based ex-post audits in accordance with an audit plan of CDP S.p.A. These audits shall verify i) that the control systems are effective, including the detection of fraud, corruption, and conflict of interests; ii) compliance with the DNSH principle, the State Aid rules;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Grant Agreements are being respected. </w:t>
      </w:r>
    </w:p>
    <w:p w14:paraId="47DF1F6D" w14:textId="77777777" w:rsidR="0039681A" w:rsidRPr="00A36E36" w:rsidRDefault="0039681A" w:rsidP="00351087">
      <w:pPr>
        <w:rPr>
          <w:rFonts w:ascii="Times New Roman" w:hAnsi="Times New Roman" w:cs="Times New Roman"/>
          <w:noProof/>
          <w:lang w:val="en-IE"/>
        </w:rPr>
        <w:sectPr w:rsidR="0039681A" w:rsidRPr="00A36E36" w:rsidSect="0039681A">
          <w:headerReference w:type="even" r:id="rId155"/>
          <w:headerReference w:type="default" r:id="rId156"/>
          <w:footerReference w:type="default" r:id="rId157"/>
          <w:headerReference w:type="first" r:id="rId158"/>
          <w:pgSz w:w="11906" w:h="16838"/>
          <w:pgMar w:top="1134" w:right="1134" w:bottom="1134" w:left="1134" w:header="567" w:footer="567" w:gutter="0"/>
          <w:cols w:space="708"/>
          <w:docGrid w:linePitch="360"/>
        </w:sectPr>
      </w:pPr>
    </w:p>
    <w:p w14:paraId="55C56985" w14:textId="77777777" w:rsidR="0039681A" w:rsidRPr="00A36E36" w:rsidRDefault="0039681A" w:rsidP="00351087">
      <w:pPr>
        <w:pStyle w:val="Heading3"/>
        <w:ind w:left="850" w:hanging="850"/>
        <w:rPr>
          <w:rFonts w:ascii="Times New Roman" w:hAnsi="Times New Roman" w:cs="Times New Roman"/>
          <w:i/>
          <w:iCs/>
          <w:noProof/>
          <w:sz w:val="24"/>
          <w:szCs w:val="24"/>
          <w:lang w:val="en-IE"/>
        </w:rPr>
      </w:pPr>
      <w:r w:rsidRPr="00A36E36">
        <w:rPr>
          <w:rStyle w:val="normaltextrun"/>
          <w:rFonts w:ascii="Times New Roman" w:hAnsi="Times New Roman" w:cs="Times New Roman"/>
          <w:b/>
          <w:bCs/>
          <w:noProof/>
          <w:sz w:val="24"/>
          <w:szCs w:val="24"/>
          <w:u w:val="single"/>
          <w:lang w:val="en-IE"/>
        </w:rPr>
        <w:t>J.4. Milestones, targets, indicators, and timetable for monitoring and implementation for the loan</w:t>
      </w:r>
      <w:r w:rsidRPr="00A36E36">
        <w:rPr>
          <w:rStyle w:val="eop"/>
          <w:rFonts w:ascii="Times New Roman" w:hAnsi="Times New Roman" w:cs="Times New Roman"/>
          <w:noProof/>
          <w:sz w:val="24"/>
          <w:szCs w:val="24"/>
          <w:lang w:val="en-IE"/>
        </w:rPr>
        <w:t xml:space="preserve"> </w:t>
      </w:r>
    </w:p>
    <w:tbl>
      <w:tblPr>
        <w:tblW w:w="15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8"/>
        <w:gridCol w:w="1701"/>
        <w:gridCol w:w="1135"/>
        <w:gridCol w:w="1814"/>
        <w:gridCol w:w="1578"/>
        <w:gridCol w:w="1148"/>
        <w:gridCol w:w="1133"/>
        <w:gridCol w:w="848"/>
        <w:gridCol w:w="900"/>
        <w:gridCol w:w="710"/>
        <w:gridCol w:w="3208"/>
      </w:tblGrid>
      <w:tr w:rsidR="0039681A" w:rsidRPr="0070054C" w14:paraId="4F2088A9" w14:textId="77777777" w:rsidTr="00351087">
        <w:trPr>
          <w:trHeight w:val="300"/>
          <w:tblHeader/>
          <w:jc w:val="center"/>
        </w:trPr>
        <w:tc>
          <w:tcPr>
            <w:tcW w:w="1078" w:type="dxa"/>
            <w:vMerge w:val="restart"/>
            <w:shd w:val="clear" w:color="auto" w:fill="BDD7EE"/>
            <w:vAlign w:val="center"/>
            <w:hideMark/>
          </w:tcPr>
          <w:p w14:paraId="116DF3C1" w14:textId="77777777" w:rsidR="0039681A" w:rsidRPr="00647572" w:rsidRDefault="0039681A">
            <w:pPr>
              <w:jc w:val="center"/>
              <w:rPr>
                <w:rFonts w:ascii="Arial Narrow" w:hAnsi="Arial Narrow"/>
                <w:b/>
                <w:bCs/>
                <w:noProof/>
                <w:sz w:val="20"/>
                <w:szCs w:val="20"/>
              </w:rPr>
            </w:pPr>
            <w:r w:rsidRPr="00647572">
              <w:rPr>
                <w:rFonts w:ascii="Arial Narrow" w:hAnsi="Arial Narrow"/>
                <w:b/>
                <w:bCs/>
                <w:noProof/>
                <w:sz w:val="20"/>
                <w:szCs w:val="20"/>
              </w:rPr>
              <w:t>Sequential Number</w:t>
            </w:r>
          </w:p>
        </w:tc>
        <w:tc>
          <w:tcPr>
            <w:tcW w:w="1701" w:type="dxa"/>
            <w:vMerge w:val="restart"/>
            <w:shd w:val="clear" w:color="auto" w:fill="BDD7EE"/>
            <w:vAlign w:val="center"/>
            <w:hideMark/>
          </w:tcPr>
          <w:p w14:paraId="422CDDD3" w14:textId="77777777" w:rsidR="0039681A" w:rsidRPr="00A36E36" w:rsidRDefault="0039681A">
            <w:pPr>
              <w:jc w:val="center"/>
              <w:rPr>
                <w:rFonts w:ascii="Arial Narrow" w:hAnsi="Arial Narrow"/>
                <w:b/>
                <w:bCs/>
                <w:noProof/>
                <w:sz w:val="20"/>
                <w:szCs w:val="20"/>
                <w:lang w:val="en-IE"/>
              </w:rPr>
            </w:pPr>
            <w:r w:rsidRPr="00A36E36">
              <w:rPr>
                <w:rFonts w:ascii="Arial Narrow" w:hAnsi="Arial Narrow"/>
                <w:b/>
                <w:bCs/>
                <w:noProof/>
                <w:sz w:val="20"/>
                <w:szCs w:val="20"/>
                <w:lang w:val="en-IE"/>
              </w:rPr>
              <w:t>Related Measure (Reform or Investment)</w:t>
            </w:r>
          </w:p>
        </w:tc>
        <w:tc>
          <w:tcPr>
            <w:tcW w:w="1135" w:type="dxa"/>
            <w:vMerge w:val="restart"/>
            <w:shd w:val="clear" w:color="auto" w:fill="BDD7EE"/>
            <w:vAlign w:val="center"/>
            <w:hideMark/>
          </w:tcPr>
          <w:p w14:paraId="4E46AFA8" w14:textId="77777777" w:rsidR="0039681A" w:rsidRPr="00647572" w:rsidRDefault="0039681A">
            <w:pPr>
              <w:jc w:val="center"/>
              <w:rPr>
                <w:rFonts w:ascii="Arial Narrow" w:hAnsi="Arial Narrow"/>
                <w:b/>
                <w:bCs/>
                <w:noProof/>
                <w:sz w:val="20"/>
                <w:szCs w:val="20"/>
              </w:rPr>
            </w:pPr>
            <w:r w:rsidRPr="00647572">
              <w:rPr>
                <w:rFonts w:ascii="Arial Narrow" w:hAnsi="Arial Narrow"/>
                <w:b/>
                <w:bCs/>
                <w:noProof/>
                <w:sz w:val="20"/>
                <w:szCs w:val="20"/>
              </w:rPr>
              <w:t>Milestone /Target</w:t>
            </w:r>
          </w:p>
        </w:tc>
        <w:tc>
          <w:tcPr>
            <w:tcW w:w="1814" w:type="dxa"/>
            <w:vMerge w:val="restart"/>
            <w:shd w:val="clear" w:color="auto" w:fill="BDD7EE"/>
            <w:vAlign w:val="center"/>
            <w:hideMark/>
          </w:tcPr>
          <w:p w14:paraId="08CDAF3B" w14:textId="77777777" w:rsidR="0039681A" w:rsidRPr="00647572" w:rsidRDefault="0039681A">
            <w:pPr>
              <w:jc w:val="center"/>
              <w:rPr>
                <w:rFonts w:ascii="Arial Narrow" w:hAnsi="Arial Narrow"/>
                <w:b/>
                <w:bCs/>
                <w:noProof/>
                <w:sz w:val="20"/>
                <w:szCs w:val="20"/>
              </w:rPr>
            </w:pPr>
            <w:r w:rsidRPr="00647572">
              <w:rPr>
                <w:rFonts w:ascii="Arial Narrow" w:hAnsi="Arial Narrow"/>
                <w:b/>
                <w:bCs/>
                <w:noProof/>
                <w:sz w:val="20"/>
                <w:szCs w:val="20"/>
              </w:rPr>
              <w:t>Name</w:t>
            </w:r>
          </w:p>
        </w:tc>
        <w:tc>
          <w:tcPr>
            <w:tcW w:w="1578" w:type="dxa"/>
            <w:vMerge w:val="restart"/>
            <w:shd w:val="clear" w:color="auto" w:fill="BDD7EE"/>
            <w:vAlign w:val="center"/>
            <w:hideMark/>
          </w:tcPr>
          <w:p w14:paraId="55C80CD3" w14:textId="77777777" w:rsidR="0039681A" w:rsidRPr="00647572" w:rsidRDefault="0039681A">
            <w:pPr>
              <w:jc w:val="center"/>
              <w:rPr>
                <w:rFonts w:ascii="Arial Narrow" w:hAnsi="Arial Narrow"/>
                <w:b/>
                <w:bCs/>
                <w:noProof/>
                <w:sz w:val="20"/>
                <w:szCs w:val="20"/>
              </w:rPr>
            </w:pPr>
            <w:r w:rsidRPr="00647572">
              <w:rPr>
                <w:rFonts w:ascii="Arial Narrow" w:hAnsi="Arial Narrow"/>
                <w:b/>
                <w:bCs/>
                <w:noProof/>
                <w:sz w:val="20"/>
                <w:szCs w:val="20"/>
              </w:rPr>
              <w:t xml:space="preserve">Qualitative indicators </w:t>
            </w:r>
            <w:r w:rsidRPr="00647572">
              <w:rPr>
                <w:noProof/>
              </w:rPr>
              <w:br/>
            </w:r>
            <w:r w:rsidRPr="00647572">
              <w:rPr>
                <w:rFonts w:ascii="Arial Narrow" w:hAnsi="Arial Narrow"/>
                <w:b/>
                <w:bCs/>
                <w:noProof/>
                <w:sz w:val="20"/>
                <w:szCs w:val="20"/>
              </w:rPr>
              <w:t>(for milestones)</w:t>
            </w:r>
          </w:p>
        </w:tc>
        <w:tc>
          <w:tcPr>
            <w:tcW w:w="3129" w:type="dxa"/>
            <w:gridSpan w:val="3"/>
            <w:shd w:val="clear" w:color="auto" w:fill="BDD7EE"/>
            <w:vAlign w:val="center"/>
            <w:hideMark/>
          </w:tcPr>
          <w:p w14:paraId="76A0E2CD" w14:textId="77777777" w:rsidR="0039681A" w:rsidRPr="00647572" w:rsidRDefault="0039681A">
            <w:pPr>
              <w:jc w:val="center"/>
              <w:rPr>
                <w:rFonts w:ascii="Arial Narrow" w:hAnsi="Arial Narrow"/>
                <w:b/>
                <w:bCs/>
                <w:noProof/>
                <w:sz w:val="20"/>
                <w:szCs w:val="20"/>
              </w:rPr>
            </w:pPr>
            <w:r w:rsidRPr="00647572">
              <w:rPr>
                <w:rFonts w:ascii="Arial Narrow" w:hAnsi="Arial Narrow"/>
                <w:b/>
                <w:bCs/>
                <w:noProof/>
                <w:sz w:val="20"/>
                <w:szCs w:val="20"/>
              </w:rPr>
              <w:t xml:space="preserve">Quantitative indicators </w:t>
            </w:r>
            <w:r w:rsidRPr="00647572">
              <w:rPr>
                <w:noProof/>
              </w:rPr>
              <w:br/>
            </w:r>
            <w:r w:rsidRPr="00647572">
              <w:rPr>
                <w:rFonts w:ascii="Arial Narrow" w:hAnsi="Arial Narrow"/>
                <w:b/>
                <w:bCs/>
                <w:noProof/>
                <w:sz w:val="20"/>
                <w:szCs w:val="20"/>
              </w:rPr>
              <w:t>(for targets)</w:t>
            </w:r>
          </w:p>
        </w:tc>
        <w:tc>
          <w:tcPr>
            <w:tcW w:w="1610" w:type="dxa"/>
            <w:gridSpan w:val="2"/>
            <w:shd w:val="clear" w:color="auto" w:fill="BDD7EE"/>
            <w:vAlign w:val="center"/>
            <w:hideMark/>
          </w:tcPr>
          <w:p w14:paraId="1529BEBF" w14:textId="77777777" w:rsidR="0039681A" w:rsidRPr="00647572" w:rsidRDefault="0039681A">
            <w:pPr>
              <w:jc w:val="center"/>
              <w:rPr>
                <w:rFonts w:ascii="Arial Narrow" w:hAnsi="Arial Narrow"/>
                <w:b/>
                <w:bCs/>
                <w:noProof/>
                <w:sz w:val="20"/>
                <w:szCs w:val="20"/>
              </w:rPr>
            </w:pPr>
            <w:r w:rsidRPr="00647572">
              <w:rPr>
                <w:rFonts w:ascii="Arial Narrow" w:hAnsi="Arial Narrow"/>
                <w:b/>
                <w:bCs/>
                <w:noProof/>
                <w:sz w:val="20"/>
                <w:szCs w:val="20"/>
              </w:rPr>
              <w:t>Indicative timeline for completion</w:t>
            </w:r>
          </w:p>
        </w:tc>
        <w:tc>
          <w:tcPr>
            <w:tcW w:w="3208" w:type="dxa"/>
            <w:vMerge w:val="restart"/>
            <w:shd w:val="clear" w:color="auto" w:fill="BDD7EE"/>
            <w:vAlign w:val="center"/>
            <w:hideMark/>
          </w:tcPr>
          <w:p w14:paraId="7D876AFE" w14:textId="77777777" w:rsidR="0039681A" w:rsidRPr="00A36E36" w:rsidRDefault="0039681A">
            <w:pPr>
              <w:jc w:val="center"/>
              <w:rPr>
                <w:rFonts w:ascii="Arial Narrow" w:hAnsi="Arial Narrow"/>
                <w:b/>
                <w:bCs/>
                <w:noProof/>
                <w:sz w:val="20"/>
                <w:szCs w:val="20"/>
                <w:lang w:val="en-IE"/>
              </w:rPr>
            </w:pPr>
            <w:r w:rsidRPr="00A36E36">
              <w:rPr>
                <w:rFonts w:ascii="Arial Narrow" w:hAnsi="Arial Narrow"/>
                <w:b/>
                <w:bCs/>
                <w:noProof/>
                <w:sz w:val="20"/>
                <w:szCs w:val="20"/>
                <w:lang w:val="en-IE"/>
              </w:rPr>
              <w:t>Description of each milestone and target</w:t>
            </w:r>
          </w:p>
        </w:tc>
      </w:tr>
      <w:tr w:rsidR="0039681A" w:rsidRPr="00647572" w14:paraId="554993E8" w14:textId="77777777" w:rsidTr="00351087">
        <w:trPr>
          <w:trHeight w:val="300"/>
          <w:tblHeader/>
          <w:jc w:val="center"/>
        </w:trPr>
        <w:tc>
          <w:tcPr>
            <w:tcW w:w="1078" w:type="dxa"/>
            <w:vMerge/>
            <w:vAlign w:val="center"/>
            <w:hideMark/>
          </w:tcPr>
          <w:p w14:paraId="2E2794EF" w14:textId="77777777" w:rsidR="0039681A" w:rsidRPr="00A36E36" w:rsidRDefault="0039681A">
            <w:pPr>
              <w:jc w:val="center"/>
              <w:rPr>
                <w:rFonts w:ascii="Arial Narrow" w:hAnsi="Arial Narrow"/>
                <w:b/>
                <w:noProof/>
                <w:sz w:val="20"/>
                <w:szCs w:val="20"/>
                <w:lang w:val="en-IE"/>
              </w:rPr>
            </w:pPr>
          </w:p>
        </w:tc>
        <w:tc>
          <w:tcPr>
            <w:tcW w:w="1701" w:type="dxa"/>
            <w:vMerge/>
            <w:vAlign w:val="center"/>
            <w:hideMark/>
          </w:tcPr>
          <w:p w14:paraId="3F8970FD" w14:textId="77777777" w:rsidR="0039681A" w:rsidRPr="00A36E36" w:rsidRDefault="0039681A">
            <w:pPr>
              <w:jc w:val="center"/>
              <w:rPr>
                <w:rFonts w:ascii="Arial Narrow" w:hAnsi="Arial Narrow"/>
                <w:b/>
                <w:noProof/>
                <w:sz w:val="20"/>
                <w:szCs w:val="20"/>
                <w:lang w:val="en-IE"/>
              </w:rPr>
            </w:pPr>
          </w:p>
        </w:tc>
        <w:tc>
          <w:tcPr>
            <w:tcW w:w="1135" w:type="dxa"/>
            <w:vMerge/>
            <w:vAlign w:val="center"/>
            <w:hideMark/>
          </w:tcPr>
          <w:p w14:paraId="16C05D6C" w14:textId="77777777" w:rsidR="0039681A" w:rsidRPr="00A36E36" w:rsidRDefault="0039681A">
            <w:pPr>
              <w:jc w:val="center"/>
              <w:rPr>
                <w:rFonts w:ascii="Arial Narrow" w:hAnsi="Arial Narrow"/>
                <w:b/>
                <w:noProof/>
                <w:sz w:val="20"/>
                <w:szCs w:val="20"/>
                <w:lang w:val="en-IE"/>
              </w:rPr>
            </w:pPr>
          </w:p>
        </w:tc>
        <w:tc>
          <w:tcPr>
            <w:tcW w:w="1814" w:type="dxa"/>
            <w:vMerge/>
            <w:vAlign w:val="center"/>
            <w:hideMark/>
          </w:tcPr>
          <w:p w14:paraId="6CCCC4F5" w14:textId="77777777" w:rsidR="0039681A" w:rsidRPr="00A36E36" w:rsidRDefault="0039681A">
            <w:pPr>
              <w:jc w:val="center"/>
              <w:rPr>
                <w:rFonts w:ascii="Arial Narrow" w:hAnsi="Arial Narrow"/>
                <w:b/>
                <w:noProof/>
                <w:sz w:val="20"/>
                <w:szCs w:val="20"/>
                <w:lang w:val="en-IE"/>
              </w:rPr>
            </w:pPr>
          </w:p>
        </w:tc>
        <w:tc>
          <w:tcPr>
            <w:tcW w:w="1578" w:type="dxa"/>
            <w:vMerge/>
            <w:vAlign w:val="center"/>
            <w:hideMark/>
          </w:tcPr>
          <w:p w14:paraId="06ACEB36" w14:textId="77777777" w:rsidR="0039681A" w:rsidRPr="00A36E36" w:rsidRDefault="0039681A">
            <w:pPr>
              <w:jc w:val="center"/>
              <w:rPr>
                <w:rFonts w:ascii="Arial Narrow" w:hAnsi="Arial Narrow"/>
                <w:b/>
                <w:noProof/>
                <w:sz w:val="20"/>
                <w:szCs w:val="20"/>
                <w:lang w:val="en-IE"/>
              </w:rPr>
            </w:pPr>
          </w:p>
        </w:tc>
        <w:tc>
          <w:tcPr>
            <w:tcW w:w="1148" w:type="dxa"/>
            <w:shd w:val="clear" w:color="auto" w:fill="BDD7EE"/>
            <w:vAlign w:val="center"/>
            <w:hideMark/>
          </w:tcPr>
          <w:p w14:paraId="32C82200" w14:textId="77777777" w:rsidR="0039681A" w:rsidRPr="00647572" w:rsidRDefault="0039681A">
            <w:pPr>
              <w:jc w:val="center"/>
              <w:rPr>
                <w:rFonts w:ascii="Arial Narrow" w:hAnsi="Arial Narrow"/>
                <w:b/>
                <w:bCs/>
                <w:noProof/>
                <w:sz w:val="20"/>
                <w:szCs w:val="20"/>
              </w:rPr>
            </w:pPr>
            <w:r w:rsidRPr="00647572">
              <w:rPr>
                <w:rFonts w:ascii="Arial Narrow" w:hAnsi="Arial Narrow"/>
                <w:b/>
                <w:bCs/>
                <w:noProof/>
                <w:sz w:val="20"/>
                <w:szCs w:val="20"/>
              </w:rPr>
              <w:t>Unit of measure</w:t>
            </w:r>
          </w:p>
        </w:tc>
        <w:tc>
          <w:tcPr>
            <w:tcW w:w="1133" w:type="dxa"/>
            <w:shd w:val="clear" w:color="auto" w:fill="BDD7EE"/>
            <w:vAlign w:val="center"/>
            <w:hideMark/>
          </w:tcPr>
          <w:p w14:paraId="42CD3A5C" w14:textId="77777777" w:rsidR="0039681A" w:rsidRPr="00647572" w:rsidRDefault="0039681A">
            <w:pPr>
              <w:jc w:val="center"/>
              <w:rPr>
                <w:rFonts w:ascii="Arial Narrow" w:hAnsi="Arial Narrow"/>
                <w:b/>
                <w:bCs/>
                <w:noProof/>
                <w:sz w:val="20"/>
                <w:szCs w:val="20"/>
              </w:rPr>
            </w:pPr>
            <w:r w:rsidRPr="00647572">
              <w:rPr>
                <w:rFonts w:ascii="Arial Narrow" w:hAnsi="Arial Narrow"/>
                <w:b/>
                <w:bCs/>
                <w:noProof/>
                <w:sz w:val="20"/>
                <w:szCs w:val="20"/>
              </w:rPr>
              <w:t>Baseline</w:t>
            </w:r>
          </w:p>
        </w:tc>
        <w:tc>
          <w:tcPr>
            <w:tcW w:w="848" w:type="dxa"/>
            <w:shd w:val="clear" w:color="auto" w:fill="BDD7EE"/>
            <w:vAlign w:val="center"/>
            <w:hideMark/>
          </w:tcPr>
          <w:p w14:paraId="5644A586" w14:textId="77777777" w:rsidR="0039681A" w:rsidRPr="00647572" w:rsidRDefault="0039681A">
            <w:pPr>
              <w:jc w:val="center"/>
              <w:rPr>
                <w:rFonts w:ascii="Arial Narrow" w:hAnsi="Arial Narrow"/>
                <w:b/>
                <w:bCs/>
                <w:noProof/>
                <w:sz w:val="20"/>
                <w:szCs w:val="20"/>
              </w:rPr>
            </w:pPr>
            <w:r w:rsidRPr="00647572">
              <w:rPr>
                <w:rFonts w:ascii="Arial Narrow" w:hAnsi="Arial Narrow"/>
                <w:b/>
                <w:bCs/>
                <w:noProof/>
                <w:sz w:val="20"/>
                <w:szCs w:val="20"/>
              </w:rPr>
              <w:t>Goal</w:t>
            </w:r>
          </w:p>
        </w:tc>
        <w:tc>
          <w:tcPr>
            <w:tcW w:w="900" w:type="dxa"/>
            <w:shd w:val="clear" w:color="auto" w:fill="BDD7EE"/>
            <w:vAlign w:val="center"/>
            <w:hideMark/>
          </w:tcPr>
          <w:p w14:paraId="228EF82C" w14:textId="77777777" w:rsidR="0039681A" w:rsidRPr="00647572" w:rsidRDefault="0039681A">
            <w:pPr>
              <w:jc w:val="center"/>
              <w:rPr>
                <w:rFonts w:ascii="Arial Narrow" w:hAnsi="Arial Narrow"/>
                <w:b/>
                <w:bCs/>
                <w:noProof/>
                <w:sz w:val="20"/>
                <w:szCs w:val="20"/>
              </w:rPr>
            </w:pPr>
            <w:r w:rsidRPr="00647572">
              <w:rPr>
                <w:rFonts w:ascii="Arial Narrow" w:hAnsi="Arial Narrow"/>
                <w:b/>
                <w:bCs/>
                <w:noProof/>
                <w:sz w:val="20"/>
                <w:szCs w:val="20"/>
              </w:rPr>
              <w:t>Quarter</w:t>
            </w:r>
          </w:p>
        </w:tc>
        <w:tc>
          <w:tcPr>
            <w:tcW w:w="710" w:type="dxa"/>
            <w:shd w:val="clear" w:color="auto" w:fill="BDD7EE"/>
            <w:vAlign w:val="center"/>
            <w:hideMark/>
          </w:tcPr>
          <w:p w14:paraId="61D37870" w14:textId="77777777" w:rsidR="0039681A" w:rsidRPr="00647572" w:rsidRDefault="0039681A">
            <w:pPr>
              <w:jc w:val="center"/>
              <w:rPr>
                <w:rFonts w:ascii="Arial Narrow" w:hAnsi="Arial Narrow"/>
                <w:b/>
                <w:bCs/>
                <w:noProof/>
                <w:sz w:val="20"/>
                <w:szCs w:val="20"/>
              </w:rPr>
            </w:pPr>
            <w:r w:rsidRPr="00647572">
              <w:rPr>
                <w:rFonts w:ascii="Arial Narrow" w:hAnsi="Arial Narrow"/>
                <w:b/>
                <w:bCs/>
                <w:noProof/>
                <w:sz w:val="20"/>
                <w:szCs w:val="20"/>
              </w:rPr>
              <w:t>Year</w:t>
            </w:r>
          </w:p>
        </w:tc>
        <w:tc>
          <w:tcPr>
            <w:tcW w:w="3208" w:type="dxa"/>
            <w:vMerge/>
            <w:vAlign w:val="center"/>
            <w:hideMark/>
          </w:tcPr>
          <w:p w14:paraId="08C05355" w14:textId="77777777" w:rsidR="0039681A" w:rsidRPr="00647572" w:rsidRDefault="0039681A">
            <w:pPr>
              <w:rPr>
                <w:rFonts w:ascii="Arial Narrow" w:hAnsi="Arial Narrow"/>
                <w:b/>
                <w:noProof/>
                <w:sz w:val="20"/>
                <w:szCs w:val="20"/>
              </w:rPr>
            </w:pPr>
          </w:p>
        </w:tc>
      </w:tr>
      <w:tr w:rsidR="0039681A" w:rsidRPr="0070054C" w14:paraId="6BE0D13B" w14:textId="77777777" w:rsidTr="00351087">
        <w:trPr>
          <w:trHeight w:val="300"/>
          <w:jc w:val="center"/>
        </w:trPr>
        <w:tc>
          <w:tcPr>
            <w:tcW w:w="107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BC15A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988B5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1.1: Plan for nurseries and preschools and early childhood education and care services</w:t>
            </w:r>
          </w:p>
        </w:tc>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B26DF0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81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47E103" w14:textId="3DD19201" w:rsidR="0039681A" w:rsidRPr="00A36E36" w:rsidRDefault="0039681A">
            <w:pPr>
              <w:jc w:val="center"/>
              <w:rPr>
                <w:rFonts w:ascii="Arial Narrow" w:hAnsi="Arial Narrow"/>
                <w:noProof/>
                <w:color w:val="006100"/>
                <w:sz w:val="20"/>
                <w:szCs w:val="20"/>
                <w:lang w:val="en-IE"/>
              </w:rPr>
            </w:pPr>
            <w:r w:rsidRPr="3152799F">
              <w:rPr>
                <w:rFonts w:ascii="Arial Narrow" w:hAnsi="Arial Narrow"/>
                <w:noProof/>
                <w:color w:val="006100"/>
                <w:sz w:val="20"/>
                <w:szCs w:val="20"/>
                <w:lang w:val="en-IE"/>
              </w:rPr>
              <w:t xml:space="preserve">Places for early childhood education and care for children aged 0-6. </w:t>
            </w:r>
          </w:p>
        </w:tc>
        <w:tc>
          <w:tcPr>
            <w:tcW w:w="157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8FFEF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48"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36140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113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AAAAB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84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639FA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150</w:t>
            </w:r>
            <w:r w:rsidRPr="00647572">
              <w:rPr>
                <w:rFonts w:ascii="Arial Narrow" w:hAnsi="Arial Narrow" w:hint="eastAsia"/>
                <w:noProof/>
                <w:color w:val="006100"/>
                <w:sz w:val="20"/>
                <w:szCs w:val="20"/>
              </w:rPr>
              <w:t> </w:t>
            </w:r>
            <w:r w:rsidRPr="00647572">
              <w:rPr>
                <w:rFonts w:ascii="Arial Narrow" w:hAnsi="Arial Narrow"/>
                <w:noProof/>
                <w:color w:val="006100"/>
                <w:sz w:val="20"/>
                <w:szCs w:val="20"/>
              </w:rPr>
              <w:t>480</w:t>
            </w:r>
          </w:p>
        </w:tc>
        <w:tc>
          <w:tcPr>
            <w:tcW w:w="90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F0582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71C5F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08" w:type="dxa"/>
            <w:shd w:val="clear" w:color="auto" w:fill="C6EFCE"/>
            <w:noWrap/>
            <w:vAlign w:val="center"/>
            <w:hideMark/>
          </w:tcPr>
          <w:p w14:paraId="11C5C9F1" w14:textId="6F0ABD33" w:rsidR="0039681A" w:rsidRPr="00A36E36" w:rsidRDefault="0039681A">
            <w:pPr>
              <w:rPr>
                <w:rFonts w:ascii="Arial Narrow" w:hAnsi="Arial Narrow"/>
                <w:noProof/>
                <w:color w:val="006100"/>
                <w:sz w:val="20"/>
                <w:szCs w:val="20"/>
                <w:lang w:val="en-IE"/>
              </w:rPr>
            </w:pPr>
            <w:r w:rsidRPr="3152799F">
              <w:rPr>
                <w:rFonts w:ascii="Arial Narrow" w:hAnsi="Arial Narrow"/>
                <w:noProof/>
                <w:color w:val="006100"/>
                <w:sz w:val="20"/>
                <w:szCs w:val="20"/>
                <w:lang w:val="en-IE"/>
              </w:rPr>
              <w:t>At least 150 480 places are newly built, renovated or resulting from change of use, building expansions, or demolitions and reconstructions, in early childhood education and care services for children aged 0-6, of which a maximum of 35 000 places resulting from demolition and reconstruction of existing places. The investment shall not include the procurement of natural gas boilers.</w:t>
            </w:r>
          </w:p>
        </w:tc>
      </w:tr>
      <w:tr w:rsidR="0039681A" w:rsidRPr="0070054C" w14:paraId="762003D0" w14:textId="77777777" w:rsidTr="00351087">
        <w:trPr>
          <w:trHeight w:val="300"/>
          <w:jc w:val="center"/>
        </w:trPr>
        <w:tc>
          <w:tcPr>
            <w:tcW w:w="1078" w:type="dxa"/>
            <w:shd w:val="clear" w:color="auto" w:fill="C6EFCE"/>
            <w:noWrap/>
            <w:vAlign w:val="center"/>
          </w:tcPr>
          <w:p w14:paraId="2AC7A47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M4C1-21</w:t>
            </w:r>
          </w:p>
        </w:tc>
        <w:tc>
          <w:tcPr>
            <w:tcW w:w="1701" w:type="dxa"/>
            <w:shd w:val="clear" w:color="auto" w:fill="C6EFCE"/>
            <w:noWrap/>
            <w:vAlign w:val="center"/>
          </w:tcPr>
          <w:p w14:paraId="47FE4A8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1.2: Plan for the extension of full-time</w:t>
            </w:r>
          </w:p>
        </w:tc>
        <w:tc>
          <w:tcPr>
            <w:tcW w:w="1135" w:type="dxa"/>
            <w:shd w:val="clear" w:color="auto" w:fill="C6EFCE"/>
            <w:noWrap/>
            <w:vAlign w:val="center"/>
          </w:tcPr>
          <w:p w14:paraId="017D948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814" w:type="dxa"/>
            <w:shd w:val="clear" w:color="auto" w:fill="C6EFCE"/>
            <w:noWrap/>
            <w:vAlign w:val="center"/>
          </w:tcPr>
          <w:p w14:paraId="49B6D794" w14:textId="7DCB86FA" w:rsidR="0039681A" w:rsidRPr="00A36E36" w:rsidRDefault="0039681A">
            <w:pPr>
              <w:jc w:val="center"/>
              <w:rPr>
                <w:rFonts w:ascii="Arial Narrow" w:hAnsi="Arial Narrow"/>
                <w:noProof/>
                <w:color w:val="006100"/>
                <w:sz w:val="20"/>
                <w:szCs w:val="20"/>
                <w:lang w:val="en-IE"/>
              </w:rPr>
            </w:pPr>
            <w:r w:rsidRPr="3152799F">
              <w:rPr>
                <w:rFonts w:ascii="Arial Narrow" w:hAnsi="Arial Narrow"/>
                <w:noProof/>
                <w:color w:val="006100"/>
                <w:sz w:val="20"/>
                <w:szCs w:val="20"/>
                <w:lang w:val="en-IE"/>
              </w:rPr>
              <w:t>Construction and/or renovation of canteen in schools</w:t>
            </w:r>
          </w:p>
        </w:tc>
        <w:tc>
          <w:tcPr>
            <w:tcW w:w="1578" w:type="dxa"/>
            <w:shd w:val="clear" w:color="auto" w:fill="C6EFCE"/>
            <w:noWrap/>
            <w:vAlign w:val="center"/>
          </w:tcPr>
          <w:p w14:paraId="067923E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48" w:type="dxa"/>
            <w:shd w:val="clear" w:color="auto" w:fill="C6EFCE"/>
            <w:noWrap/>
            <w:vAlign w:val="center"/>
          </w:tcPr>
          <w:p w14:paraId="70624F3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1133" w:type="dxa"/>
            <w:shd w:val="clear" w:color="auto" w:fill="C6EFCE"/>
            <w:noWrap/>
            <w:vAlign w:val="center"/>
          </w:tcPr>
          <w:p w14:paraId="0686FBE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848" w:type="dxa"/>
            <w:shd w:val="clear" w:color="auto" w:fill="C6EFCE"/>
            <w:noWrap/>
            <w:vAlign w:val="center"/>
          </w:tcPr>
          <w:p w14:paraId="037B9D6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1</w:t>
            </w:r>
            <w:r w:rsidRPr="00647572">
              <w:rPr>
                <w:rFonts w:ascii="Arial Narrow" w:hAnsi="Arial Narrow" w:hint="eastAsia"/>
                <w:noProof/>
                <w:color w:val="006100"/>
                <w:sz w:val="20"/>
                <w:szCs w:val="20"/>
              </w:rPr>
              <w:t> </w:t>
            </w:r>
            <w:r w:rsidRPr="00647572">
              <w:rPr>
                <w:rFonts w:ascii="Arial Narrow" w:hAnsi="Arial Narrow"/>
                <w:noProof/>
                <w:color w:val="006100"/>
                <w:sz w:val="20"/>
                <w:szCs w:val="20"/>
              </w:rPr>
              <w:t>000</w:t>
            </w:r>
          </w:p>
        </w:tc>
        <w:tc>
          <w:tcPr>
            <w:tcW w:w="900" w:type="dxa"/>
            <w:shd w:val="clear" w:color="auto" w:fill="C6EFCE"/>
            <w:noWrap/>
            <w:vAlign w:val="center"/>
          </w:tcPr>
          <w:p w14:paraId="3853086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0" w:type="dxa"/>
            <w:shd w:val="clear" w:color="auto" w:fill="C6EFCE"/>
            <w:noWrap/>
            <w:vAlign w:val="center"/>
          </w:tcPr>
          <w:p w14:paraId="6476654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08" w:type="dxa"/>
            <w:shd w:val="clear" w:color="auto" w:fill="C6EFCE"/>
            <w:noWrap/>
            <w:vAlign w:val="center"/>
          </w:tcPr>
          <w:p w14:paraId="2D1768E6" w14:textId="0221FA37" w:rsidR="0039681A" w:rsidRPr="00A36E36" w:rsidRDefault="0039681A">
            <w:pPr>
              <w:rPr>
                <w:rFonts w:ascii="Arial Narrow" w:hAnsi="Arial Narrow"/>
                <w:noProof/>
                <w:color w:val="006100"/>
                <w:sz w:val="20"/>
                <w:szCs w:val="20"/>
                <w:lang w:val="en-IE"/>
              </w:rPr>
            </w:pPr>
            <w:r w:rsidRPr="3AD2EE36">
              <w:rPr>
                <w:rFonts w:ascii="Arial Narrow" w:hAnsi="Arial Narrow"/>
                <w:noProof/>
                <w:color w:val="006100"/>
                <w:sz w:val="20"/>
                <w:szCs w:val="20"/>
                <w:lang w:val="en-IE"/>
              </w:rPr>
              <w:t>Administrative certificates confirming that</w:t>
            </w:r>
            <w:r w:rsidR="00381DB1">
              <w:rPr>
                <w:rFonts w:ascii="Arial Narrow" w:hAnsi="Arial Narrow"/>
                <w:noProof/>
                <w:color w:val="006100"/>
                <w:sz w:val="20"/>
                <w:szCs w:val="20"/>
                <w:lang w:val="en-IE"/>
              </w:rPr>
              <w:t xml:space="preserve"> </w:t>
            </w:r>
            <w:r w:rsidRPr="3AD2EE36">
              <w:rPr>
                <w:rFonts w:ascii="Arial Narrow" w:hAnsi="Arial Narrow"/>
                <w:noProof/>
                <w:color w:val="006100"/>
                <w:sz w:val="20"/>
                <w:szCs w:val="20"/>
                <w:lang w:val="en-IE"/>
              </w:rPr>
              <w:t>constructions and/or renovations of at least 1 000 canteens in schools have been carried out.</w:t>
            </w:r>
          </w:p>
        </w:tc>
      </w:tr>
      <w:tr w:rsidR="0039681A" w:rsidRPr="0070054C" w14:paraId="0091158E" w14:textId="77777777" w:rsidTr="00351087">
        <w:trPr>
          <w:trHeight w:val="300"/>
          <w:jc w:val="center"/>
        </w:trPr>
        <w:tc>
          <w:tcPr>
            <w:tcW w:w="1078" w:type="dxa"/>
            <w:shd w:val="clear" w:color="auto" w:fill="C6EFCE"/>
            <w:noWrap/>
            <w:vAlign w:val="center"/>
          </w:tcPr>
          <w:p w14:paraId="453F2E9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M4C1-26</w:t>
            </w:r>
          </w:p>
        </w:tc>
        <w:tc>
          <w:tcPr>
            <w:tcW w:w="1701" w:type="dxa"/>
            <w:shd w:val="clear" w:color="auto" w:fill="C6EFCE"/>
            <w:noWrap/>
            <w:vAlign w:val="center"/>
          </w:tcPr>
          <w:p w14:paraId="23EBEDD1" w14:textId="77777777" w:rsidR="0039681A" w:rsidRPr="00A36E36" w:rsidRDefault="0039681A">
            <w:pPr>
              <w:jc w:val="center"/>
              <w:rPr>
                <w:rFonts w:ascii="Arial Narrow" w:hAnsi="Arial Narrow"/>
                <w:noProof/>
                <w:color w:val="006100"/>
                <w:sz w:val="20"/>
                <w:szCs w:val="20"/>
                <w:lang w:val="en-IE"/>
              </w:rPr>
            </w:pPr>
            <w:r w:rsidRPr="3152799F">
              <w:rPr>
                <w:rFonts w:ascii="Arial Narrow" w:hAnsi="Arial Narrow"/>
                <w:noProof/>
                <w:color w:val="006100"/>
                <w:sz w:val="20"/>
                <w:szCs w:val="20"/>
                <w:lang w:val="en-IE"/>
              </w:rPr>
              <w:t>Investment 3.3: School building security and structural rehabilitation plan</w:t>
            </w:r>
          </w:p>
        </w:tc>
        <w:tc>
          <w:tcPr>
            <w:tcW w:w="1135" w:type="dxa"/>
            <w:shd w:val="clear" w:color="auto" w:fill="C6EFCE"/>
            <w:noWrap/>
            <w:vAlign w:val="center"/>
          </w:tcPr>
          <w:p w14:paraId="2D0F27E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814" w:type="dxa"/>
            <w:shd w:val="clear" w:color="auto" w:fill="C6EFCE"/>
            <w:noWrap/>
            <w:vAlign w:val="center"/>
          </w:tcPr>
          <w:p w14:paraId="397B36AB" w14:textId="57F85792" w:rsidR="0039681A" w:rsidRPr="00A36E36" w:rsidRDefault="0039681A">
            <w:pPr>
              <w:jc w:val="center"/>
              <w:rPr>
                <w:rFonts w:ascii="Arial Narrow" w:hAnsi="Arial Narrow"/>
                <w:noProof/>
                <w:color w:val="006100"/>
                <w:sz w:val="20"/>
                <w:szCs w:val="20"/>
                <w:lang w:val="en-IE"/>
              </w:rPr>
            </w:pPr>
            <w:r w:rsidRPr="3152799F">
              <w:rPr>
                <w:rFonts w:ascii="Arial Narrow" w:hAnsi="Arial Narrow"/>
                <w:noProof/>
                <w:color w:val="006100"/>
                <w:sz w:val="20"/>
                <w:szCs w:val="20"/>
                <w:lang w:val="en-IE"/>
              </w:rPr>
              <w:t xml:space="preserve"> Interventions</w:t>
            </w:r>
            <w:r w:rsidR="00381DB1">
              <w:rPr>
                <w:rFonts w:ascii="Arial Narrow" w:hAnsi="Arial Narrow"/>
                <w:noProof/>
                <w:color w:val="006100"/>
                <w:sz w:val="20"/>
                <w:szCs w:val="20"/>
                <w:lang w:val="en-IE"/>
              </w:rPr>
              <w:t xml:space="preserve"> </w:t>
            </w:r>
            <w:r w:rsidRPr="3152799F">
              <w:rPr>
                <w:rFonts w:ascii="Arial Narrow" w:hAnsi="Arial Narrow"/>
                <w:noProof/>
                <w:color w:val="006100"/>
                <w:sz w:val="20"/>
                <w:szCs w:val="20"/>
                <w:lang w:val="en-IE"/>
              </w:rPr>
              <w:t xml:space="preserve">enhancing the safety and/or energy efficiency </w:t>
            </w:r>
          </w:p>
        </w:tc>
        <w:tc>
          <w:tcPr>
            <w:tcW w:w="1578" w:type="dxa"/>
            <w:shd w:val="clear" w:color="auto" w:fill="C6EFCE"/>
            <w:noWrap/>
            <w:vAlign w:val="center"/>
          </w:tcPr>
          <w:p w14:paraId="46ECFED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48" w:type="dxa"/>
            <w:shd w:val="clear" w:color="auto" w:fill="C6EFCE"/>
            <w:noWrap/>
            <w:vAlign w:val="center"/>
          </w:tcPr>
          <w:p w14:paraId="0CFA155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1133" w:type="dxa"/>
            <w:shd w:val="clear" w:color="auto" w:fill="C6EFCE"/>
            <w:noWrap/>
            <w:vAlign w:val="center"/>
          </w:tcPr>
          <w:p w14:paraId="711269A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848" w:type="dxa"/>
            <w:shd w:val="clear" w:color="auto" w:fill="C6EFCE"/>
            <w:noWrap/>
            <w:vAlign w:val="center"/>
          </w:tcPr>
          <w:p w14:paraId="6A6BEF7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1 400</w:t>
            </w:r>
          </w:p>
        </w:tc>
        <w:tc>
          <w:tcPr>
            <w:tcW w:w="900" w:type="dxa"/>
            <w:shd w:val="clear" w:color="auto" w:fill="C6EFCE"/>
            <w:noWrap/>
            <w:vAlign w:val="center"/>
          </w:tcPr>
          <w:p w14:paraId="49CF03F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0" w:type="dxa"/>
            <w:shd w:val="clear" w:color="auto" w:fill="C6EFCE"/>
            <w:noWrap/>
            <w:vAlign w:val="center"/>
          </w:tcPr>
          <w:p w14:paraId="25D91DF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08" w:type="dxa"/>
            <w:shd w:val="clear" w:color="auto" w:fill="C6EFCE"/>
            <w:noWrap/>
            <w:vAlign w:val="center"/>
          </w:tcPr>
          <w:p w14:paraId="155F356B" w14:textId="2850B595" w:rsidR="0039681A" w:rsidRPr="00A36E36" w:rsidRDefault="0039681A">
            <w:pPr>
              <w:rPr>
                <w:rFonts w:ascii="Arial Narrow" w:hAnsi="Arial Narrow"/>
                <w:noProof/>
                <w:color w:val="006100"/>
                <w:sz w:val="20"/>
                <w:szCs w:val="20"/>
                <w:lang w:val="en-IE"/>
              </w:rPr>
            </w:pPr>
            <w:r w:rsidRPr="3152799F">
              <w:rPr>
                <w:rFonts w:ascii="Arial Narrow" w:hAnsi="Arial Narrow"/>
                <w:noProof/>
                <w:color w:val="006100"/>
                <w:sz w:val="20"/>
                <w:szCs w:val="20"/>
                <w:lang w:val="en-IE"/>
              </w:rPr>
              <w:t>Administrative certificates confirming that interventions enhancing the safety and/or energy efficiency in at least 1 400 school buildings and/or facilities have been carried out. The investment shall not include the procurement of natural gas boilers.</w:t>
            </w:r>
          </w:p>
        </w:tc>
      </w:tr>
      <w:tr w:rsidR="0039681A" w:rsidRPr="0070054C" w14:paraId="4A895AB0" w14:textId="77777777" w:rsidTr="00351087">
        <w:trPr>
          <w:trHeight w:val="300"/>
          <w:jc w:val="center"/>
        </w:trPr>
        <w:tc>
          <w:tcPr>
            <w:tcW w:w="1078" w:type="dxa"/>
            <w:shd w:val="clear" w:color="auto" w:fill="C6EFCE"/>
            <w:noWrap/>
            <w:vAlign w:val="center"/>
            <w:hideMark/>
          </w:tcPr>
          <w:p w14:paraId="58F4873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M4C1-27</w:t>
            </w:r>
          </w:p>
        </w:tc>
        <w:tc>
          <w:tcPr>
            <w:tcW w:w="1701" w:type="dxa"/>
            <w:shd w:val="clear" w:color="auto" w:fill="C6EFCE"/>
            <w:noWrap/>
            <w:vAlign w:val="center"/>
          </w:tcPr>
          <w:p w14:paraId="37F4C77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Reform 1.7: Reform of student housing regulation and investment in student housing</w:t>
            </w:r>
          </w:p>
        </w:tc>
        <w:tc>
          <w:tcPr>
            <w:tcW w:w="1135" w:type="dxa"/>
            <w:shd w:val="clear" w:color="auto" w:fill="C6EFCE"/>
            <w:noWrap/>
            <w:vAlign w:val="center"/>
            <w:hideMark/>
          </w:tcPr>
          <w:p w14:paraId="4493F34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814" w:type="dxa"/>
            <w:shd w:val="clear" w:color="auto" w:fill="C6EFCE"/>
            <w:noWrap/>
            <w:vAlign w:val="center"/>
          </w:tcPr>
          <w:p w14:paraId="7AE97BC1"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legislation to amend the current rules for student housing.</w:t>
            </w:r>
          </w:p>
        </w:tc>
        <w:tc>
          <w:tcPr>
            <w:tcW w:w="1578" w:type="dxa"/>
            <w:shd w:val="clear" w:color="auto" w:fill="C6EFCE"/>
            <w:noWrap/>
            <w:vAlign w:val="center"/>
            <w:hideMark/>
          </w:tcPr>
          <w:p w14:paraId="6A3D9073"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legislation.</w:t>
            </w:r>
          </w:p>
        </w:tc>
        <w:tc>
          <w:tcPr>
            <w:tcW w:w="1148" w:type="dxa"/>
            <w:shd w:val="clear" w:color="auto" w:fill="C6EFCE"/>
            <w:noWrap/>
            <w:vAlign w:val="center"/>
            <w:hideMark/>
          </w:tcPr>
          <w:p w14:paraId="56DB770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33" w:type="dxa"/>
            <w:shd w:val="clear" w:color="auto" w:fill="C6EFCE"/>
            <w:noWrap/>
            <w:vAlign w:val="center"/>
          </w:tcPr>
          <w:p w14:paraId="3C71121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48" w:type="dxa"/>
            <w:shd w:val="clear" w:color="auto" w:fill="C6EFCE"/>
            <w:noWrap/>
            <w:vAlign w:val="center"/>
          </w:tcPr>
          <w:p w14:paraId="58CEF29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00" w:type="dxa"/>
            <w:shd w:val="clear" w:color="auto" w:fill="C6EFCE"/>
            <w:noWrap/>
            <w:vAlign w:val="center"/>
            <w:hideMark/>
          </w:tcPr>
          <w:p w14:paraId="163C56B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710" w:type="dxa"/>
            <w:shd w:val="clear" w:color="auto" w:fill="C6EFCE"/>
            <w:noWrap/>
            <w:vAlign w:val="center"/>
            <w:hideMark/>
          </w:tcPr>
          <w:p w14:paraId="23D8044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2021</w:t>
            </w:r>
          </w:p>
        </w:tc>
        <w:tc>
          <w:tcPr>
            <w:tcW w:w="3208" w:type="dxa"/>
            <w:shd w:val="clear" w:color="auto" w:fill="C6EFCE"/>
            <w:noWrap/>
            <w:vAlign w:val="center"/>
            <w:hideMark/>
          </w:tcPr>
          <w:p w14:paraId="3129B293" w14:textId="7376D533"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revised legislation shall:</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szCs w:val="20"/>
                <w:lang w:val="en-IE"/>
              </w:rPr>
              <w:t>Amend the current rules for student housing (law 338/2000 and the Legislative Decree 68/2012) in order to:</w:t>
            </w:r>
          </w:p>
          <w:p w14:paraId="27B47883"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(1). Fostering the restructuring and renovation of structures instead of new green-field buildings (with a greater percentage of cofounding, currently at 50%), with the highest environmental standard to be ensured by the presented projects;</w:t>
            </w:r>
          </w:p>
          <w:p w14:paraId="517FFB87"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(2). Simplify, also thanks to the digitalization, the presentation and selection of projects and, therefore, the implementation timing;</w:t>
            </w:r>
          </w:p>
          <w:p w14:paraId="35E13DE3"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(3) Provide by law for a derogation from the criteria set out in Law no. 338/2000 with regard to the percentage of co-financing that can be Granted.</w:t>
            </w:r>
          </w:p>
          <w:p w14:paraId="1D10111F"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 reform will be implemented, by introducing in the Italian regulatory framework for student housing financing the following major changes:</w:t>
            </w:r>
          </w:p>
          <w:p w14:paraId="0C6D9C1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1. Opening up the participation to the funding also to private investors (according to the scheme described in the implementation), also allowing public-private partnerships where the university will make use of the available funding to support the financial equilibrium in real-estate investments for student housing;</w:t>
            </w:r>
          </w:p>
          <w:p w14:paraId="64090EC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2. Ensuring the long-term sustainability of the private investments by guaranteeing a change in the taxation scheme from the one applied for hotel services to the one applied for social housing, by constraining the use of the new accommodations for student housing purposes during the Academic Year, but allowing the use of the structures when they are not needed for student hospitality. This will, in turn, help the supply of a new range of accommodation at affordable rents. Conditioning the funding as well as additional tax allowances (e.g. the equal treatment with the social housing) on the use of the new accommodations for student housing during the overall investment horizon and the compliance with the agreed upper bound in the rents charged to students even beyond the expiration of special funding schemes that my contribute to trigger the investment by the private operators. Redefining the standards for student accommodations, by redetermining the law requirements regarding the common space per student available in the buildings in exchange for better equipped (single) rooms.</w:t>
            </w:r>
          </w:p>
        </w:tc>
      </w:tr>
      <w:tr w:rsidR="0039681A" w:rsidRPr="0070054C" w14:paraId="7EE49001" w14:textId="77777777" w:rsidTr="00351087">
        <w:trPr>
          <w:trHeight w:val="300"/>
          <w:jc w:val="center"/>
        </w:trPr>
        <w:tc>
          <w:tcPr>
            <w:tcW w:w="1078" w:type="dxa"/>
            <w:shd w:val="clear" w:color="auto" w:fill="C6EFCE"/>
            <w:noWrap/>
            <w:vAlign w:val="center"/>
            <w:hideMark/>
          </w:tcPr>
          <w:p w14:paraId="1268DCB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M4C1-28</w:t>
            </w:r>
          </w:p>
        </w:tc>
        <w:tc>
          <w:tcPr>
            <w:tcW w:w="1701" w:type="dxa"/>
            <w:shd w:val="clear" w:color="auto" w:fill="C6EFCE"/>
            <w:noWrap/>
            <w:vAlign w:val="center"/>
            <w:hideMark/>
          </w:tcPr>
          <w:p w14:paraId="5BE83CF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Reform 1.7: Reform of student housing regulation and investment in student housing</w:t>
            </w:r>
          </w:p>
        </w:tc>
        <w:tc>
          <w:tcPr>
            <w:tcW w:w="1135" w:type="dxa"/>
            <w:shd w:val="clear" w:color="auto" w:fill="C6EFCE"/>
            <w:noWrap/>
            <w:vAlign w:val="center"/>
            <w:hideMark/>
          </w:tcPr>
          <w:p w14:paraId="77777318"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szCs w:val="20"/>
              </w:rPr>
              <w:t>Milestone</w:t>
            </w:r>
          </w:p>
        </w:tc>
        <w:tc>
          <w:tcPr>
            <w:tcW w:w="1814" w:type="dxa"/>
            <w:shd w:val="clear" w:color="auto" w:fill="C6EFCE"/>
            <w:noWrap/>
            <w:vAlign w:val="center"/>
            <w:hideMark/>
          </w:tcPr>
          <w:p w14:paraId="3C8755B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Awards of initial contracts for the creation of additional sleeping accommodation units (beds)</w:t>
            </w:r>
          </w:p>
        </w:tc>
        <w:tc>
          <w:tcPr>
            <w:tcW w:w="1578" w:type="dxa"/>
            <w:shd w:val="clear" w:color="auto" w:fill="C6EFCE"/>
            <w:noWrap/>
            <w:vAlign w:val="center"/>
            <w:hideMark/>
          </w:tcPr>
          <w:p w14:paraId="2EF0C412"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Publication of the awards in the Ministry’s website</w:t>
            </w:r>
          </w:p>
        </w:tc>
        <w:tc>
          <w:tcPr>
            <w:tcW w:w="1148" w:type="dxa"/>
            <w:shd w:val="clear" w:color="auto" w:fill="C6EFCE"/>
            <w:noWrap/>
            <w:vAlign w:val="center"/>
            <w:hideMark/>
          </w:tcPr>
          <w:p w14:paraId="659EB7E9"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szCs w:val="20"/>
              </w:rPr>
              <w:t>N/A</w:t>
            </w:r>
          </w:p>
        </w:tc>
        <w:tc>
          <w:tcPr>
            <w:tcW w:w="1133" w:type="dxa"/>
            <w:shd w:val="clear" w:color="auto" w:fill="C6EFCE"/>
            <w:noWrap/>
            <w:vAlign w:val="center"/>
            <w:hideMark/>
          </w:tcPr>
          <w:p w14:paraId="15024987"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szCs w:val="20"/>
              </w:rPr>
              <w:t>N/A</w:t>
            </w:r>
          </w:p>
        </w:tc>
        <w:tc>
          <w:tcPr>
            <w:tcW w:w="848" w:type="dxa"/>
            <w:shd w:val="clear" w:color="auto" w:fill="C6EFCE"/>
            <w:noWrap/>
            <w:vAlign w:val="center"/>
            <w:hideMark/>
          </w:tcPr>
          <w:p w14:paraId="13CB7864"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szCs w:val="20"/>
              </w:rPr>
              <w:t>N/A</w:t>
            </w:r>
          </w:p>
        </w:tc>
        <w:tc>
          <w:tcPr>
            <w:tcW w:w="900" w:type="dxa"/>
            <w:shd w:val="clear" w:color="auto" w:fill="C6EFCE"/>
            <w:noWrap/>
            <w:vAlign w:val="center"/>
            <w:hideMark/>
          </w:tcPr>
          <w:p w14:paraId="7FD65E9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0" w:type="dxa"/>
            <w:shd w:val="clear" w:color="auto" w:fill="C6EFCE"/>
            <w:noWrap/>
            <w:vAlign w:val="center"/>
            <w:hideMark/>
          </w:tcPr>
          <w:p w14:paraId="5DF7543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2023</w:t>
            </w:r>
          </w:p>
        </w:tc>
        <w:tc>
          <w:tcPr>
            <w:tcW w:w="3208" w:type="dxa"/>
            <w:shd w:val="clear" w:color="auto" w:fill="C6EFCE"/>
            <w:noWrap/>
            <w:vAlign w:val="center"/>
            <w:hideMark/>
          </w:tcPr>
          <w:p w14:paraId="7465C28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Awards of initial contracts for the creation of additional sleeping accommodation units (beds)’;</w:t>
            </w:r>
          </w:p>
        </w:tc>
      </w:tr>
      <w:tr w:rsidR="0039681A" w:rsidRPr="0070054C" w14:paraId="659F7E9C" w14:textId="77777777" w:rsidTr="00351087">
        <w:trPr>
          <w:trHeight w:val="300"/>
          <w:jc w:val="center"/>
        </w:trPr>
        <w:tc>
          <w:tcPr>
            <w:tcW w:w="1078" w:type="dxa"/>
            <w:shd w:val="clear" w:color="auto" w:fill="C6EFCE"/>
            <w:noWrap/>
            <w:vAlign w:val="center"/>
            <w:hideMark/>
          </w:tcPr>
          <w:p w14:paraId="217563F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M4C1-29</w:t>
            </w:r>
          </w:p>
        </w:tc>
        <w:tc>
          <w:tcPr>
            <w:tcW w:w="1701" w:type="dxa"/>
            <w:shd w:val="clear" w:color="auto" w:fill="C6EFCE"/>
            <w:noWrap/>
            <w:vAlign w:val="center"/>
            <w:hideMark/>
          </w:tcPr>
          <w:p w14:paraId="2F898A7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Reform 1.7: Reform of student housing regulation and investment in student housing</w:t>
            </w:r>
          </w:p>
        </w:tc>
        <w:tc>
          <w:tcPr>
            <w:tcW w:w="1135" w:type="dxa"/>
            <w:shd w:val="clear" w:color="auto" w:fill="C6EFCE"/>
            <w:noWrap/>
            <w:vAlign w:val="center"/>
            <w:hideMark/>
          </w:tcPr>
          <w:p w14:paraId="4A92FCB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814" w:type="dxa"/>
            <w:shd w:val="clear" w:color="auto" w:fill="C6EFCE"/>
            <w:noWrap/>
            <w:vAlign w:val="center"/>
            <w:hideMark/>
          </w:tcPr>
          <w:p w14:paraId="03F58C0A"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reform on student housing legislation.</w:t>
            </w:r>
          </w:p>
        </w:tc>
        <w:tc>
          <w:tcPr>
            <w:tcW w:w="1578" w:type="dxa"/>
            <w:shd w:val="clear" w:color="auto" w:fill="C6EFCE"/>
            <w:noWrap/>
            <w:vAlign w:val="center"/>
            <w:hideMark/>
          </w:tcPr>
          <w:p w14:paraId="7E0A1EC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reform.</w:t>
            </w:r>
          </w:p>
        </w:tc>
        <w:tc>
          <w:tcPr>
            <w:tcW w:w="1148" w:type="dxa"/>
            <w:shd w:val="clear" w:color="auto" w:fill="C6EFCE"/>
            <w:noWrap/>
            <w:vAlign w:val="center"/>
            <w:hideMark/>
          </w:tcPr>
          <w:p w14:paraId="654B3BD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33" w:type="dxa"/>
            <w:shd w:val="clear" w:color="auto" w:fill="C6EFCE"/>
            <w:noWrap/>
            <w:vAlign w:val="center"/>
            <w:hideMark/>
          </w:tcPr>
          <w:p w14:paraId="1242891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48" w:type="dxa"/>
            <w:shd w:val="clear" w:color="auto" w:fill="C6EFCE"/>
            <w:noWrap/>
            <w:vAlign w:val="center"/>
            <w:hideMark/>
          </w:tcPr>
          <w:p w14:paraId="1D91C16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00" w:type="dxa"/>
            <w:shd w:val="clear" w:color="auto" w:fill="C6EFCE"/>
            <w:noWrap/>
            <w:vAlign w:val="center"/>
            <w:hideMark/>
          </w:tcPr>
          <w:p w14:paraId="7BB5269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710" w:type="dxa"/>
            <w:shd w:val="clear" w:color="auto" w:fill="C6EFCE"/>
            <w:noWrap/>
            <w:vAlign w:val="center"/>
            <w:hideMark/>
          </w:tcPr>
          <w:p w14:paraId="6F95719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2022</w:t>
            </w:r>
          </w:p>
        </w:tc>
        <w:tc>
          <w:tcPr>
            <w:tcW w:w="3208" w:type="dxa"/>
            <w:shd w:val="clear" w:color="auto" w:fill="C6EFCE"/>
            <w:noWrap/>
            <w:vAlign w:val="center"/>
            <w:hideMark/>
          </w:tcPr>
          <w:p w14:paraId="5332F9A1"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reform shall include: (1) Opening up the participation to the funding also to private investors, also allowing public-private partnerships where the university will make use of the available funding to support the financial equilibrium in real-estate investments for student housing; (2). Ensuring the long-term sustainability of the private investments by guaranteeing a change in the taxation scheme from the one applied for hotel services to the one applied for social housing, by constraining the use of the new accommodations for student housing purposes during the Academic Year, but allowing the use of the structures when they are not needed for student hospitality ; (3). Conditioning the funding as well as additional tax allowances (such as the equal treatment with the social housing) on the use of the new accommodations for student housing during the overall investment horizon and the compliance with the agreed upper bound in the rents charged to students even beyond the expiration of special funding schemes that my contribute to trigger the investment by the private operators; (4). Redefining the standards for student accommodations, by redetermining the law requirements regarding the common space per student available in the buildings in exchange for better equipped (single) rooms.</w:t>
            </w:r>
          </w:p>
        </w:tc>
      </w:tr>
      <w:tr w:rsidR="0039681A" w:rsidRPr="0070054C" w14:paraId="2D61FEA4" w14:textId="77777777" w:rsidTr="00351087">
        <w:trPr>
          <w:trHeight w:val="300"/>
          <w:jc w:val="center"/>
        </w:trPr>
        <w:tc>
          <w:tcPr>
            <w:tcW w:w="1078" w:type="dxa"/>
            <w:shd w:val="clear" w:color="auto" w:fill="C6EFCE"/>
            <w:noWrap/>
            <w:vAlign w:val="center"/>
            <w:hideMark/>
          </w:tcPr>
          <w:p w14:paraId="32C920C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M4C1-30</w:t>
            </w:r>
          </w:p>
        </w:tc>
        <w:tc>
          <w:tcPr>
            <w:tcW w:w="1701" w:type="dxa"/>
            <w:shd w:val="clear" w:color="auto" w:fill="C6EFCE"/>
            <w:noWrap/>
            <w:vAlign w:val="center"/>
            <w:hideMark/>
          </w:tcPr>
          <w:p w14:paraId="68FC5B8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Reform 1.7: Reform of student housing regulation and investment in student housing</w:t>
            </w:r>
          </w:p>
        </w:tc>
        <w:tc>
          <w:tcPr>
            <w:tcW w:w="1135" w:type="dxa"/>
            <w:shd w:val="clear" w:color="auto" w:fill="C6EFCE"/>
            <w:noWrap/>
            <w:vAlign w:val="center"/>
            <w:hideMark/>
          </w:tcPr>
          <w:p w14:paraId="344FF19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814" w:type="dxa"/>
            <w:shd w:val="clear" w:color="auto" w:fill="C6EFCE"/>
            <w:noWrap/>
            <w:vAlign w:val="center"/>
            <w:hideMark/>
          </w:tcPr>
          <w:p w14:paraId="79F49D8C"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Student sleeping accommodation units created </w:t>
            </w:r>
          </w:p>
        </w:tc>
        <w:tc>
          <w:tcPr>
            <w:tcW w:w="1578" w:type="dxa"/>
            <w:shd w:val="clear" w:color="auto" w:fill="C6EFCE"/>
            <w:noWrap/>
            <w:vAlign w:val="center"/>
            <w:hideMark/>
          </w:tcPr>
          <w:p w14:paraId="384D06A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48" w:type="dxa"/>
            <w:shd w:val="clear" w:color="auto" w:fill="C6EFCE"/>
            <w:noWrap/>
            <w:vAlign w:val="center"/>
            <w:hideMark/>
          </w:tcPr>
          <w:p w14:paraId="7E06471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Number</w:t>
            </w:r>
          </w:p>
        </w:tc>
        <w:tc>
          <w:tcPr>
            <w:tcW w:w="1133" w:type="dxa"/>
            <w:shd w:val="clear" w:color="auto" w:fill="C6EFCE"/>
            <w:noWrap/>
            <w:vAlign w:val="center"/>
            <w:hideMark/>
          </w:tcPr>
          <w:p w14:paraId="51E2C75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848" w:type="dxa"/>
            <w:shd w:val="clear" w:color="auto" w:fill="C6EFCE"/>
            <w:noWrap/>
            <w:vAlign w:val="center"/>
            <w:hideMark/>
          </w:tcPr>
          <w:p w14:paraId="04069AF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30</w:t>
            </w:r>
            <w:r w:rsidRPr="00647572">
              <w:rPr>
                <w:rFonts w:hint="eastAsia"/>
                <w:noProof/>
                <w:sz w:val="23"/>
                <w:szCs w:val="23"/>
              </w:rPr>
              <w:t> </w:t>
            </w:r>
            <w:r w:rsidRPr="00647572">
              <w:rPr>
                <w:rFonts w:ascii="Arial Narrow" w:hAnsi="Arial Narrow"/>
                <w:noProof/>
                <w:color w:val="006100"/>
                <w:sz w:val="20"/>
                <w:szCs w:val="20"/>
              </w:rPr>
              <w:t>000</w:t>
            </w:r>
          </w:p>
        </w:tc>
        <w:tc>
          <w:tcPr>
            <w:tcW w:w="900" w:type="dxa"/>
            <w:shd w:val="clear" w:color="auto" w:fill="C6EFCE"/>
            <w:noWrap/>
            <w:vAlign w:val="center"/>
            <w:hideMark/>
          </w:tcPr>
          <w:p w14:paraId="0C72E1D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0" w:type="dxa"/>
            <w:shd w:val="clear" w:color="auto" w:fill="C6EFCE"/>
            <w:noWrap/>
            <w:vAlign w:val="center"/>
            <w:hideMark/>
          </w:tcPr>
          <w:p w14:paraId="2E4E201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08" w:type="dxa"/>
            <w:shd w:val="clear" w:color="auto" w:fill="C6EFCE"/>
            <w:noWrap/>
            <w:vAlign w:val="center"/>
            <w:hideMark/>
          </w:tcPr>
          <w:p w14:paraId="0630D970" w14:textId="0B009943" w:rsidR="0039681A" w:rsidRPr="00647572" w:rsidRDefault="0039681A" w:rsidP="00351087">
            <w:pPr>
              <w:pStyle w:val="paragraph"/>
              <w:spacing w:before="0" w:beforeAutospacing="0" w:after="0" w:afterAutospacing="0"/>
              <w:textAlignment w:val="baseline"/>
              <w:rPr>
                <w:rStyle w:val="normaltextrun"/>
                <w:rFonts w:ascii="Arial Narrow" w:hAnsi="Arial Narrow"/>
                <w:noProof/>
                <w:color w:val="006100"/>
                <w:sz w:val="20"/>
                <w:szCs w:val="20"/>
                <w:lang w:val="en-GB"/>
              </w:rPr>
            </w:pPr>
            <w:r w:rsidRPr="3152799F">
              <w:rPr>
                <w:rStyle w:val="normaltextrun"/>
                <w:rFonts w:ascii="Arial Narrow" w:hAnsi="Arial Narrow"/>
                <w:noProof/>
                <w:color w:val="006100"/>
                <w:sz w:val="20"/>
                <w:szCs w:val="20"/>
                <w:lang w:val="en-GB"/>
              </w:rPr>
              <w:t>Certificates of completion of works issued in compliance with Ministerial Decree No. 481 of 26 February 2024, as amended by Ordinance No. 10 of 21 May 2026, confirming that</w:t>
            </w:r>
            <w:r w:rsidR="00381DB1">
              <w:rPr>
                <w:rStyle w:val="normaltextrun"/>
                <w:rFonts w:ascii="Arial Narrow" w:hAnsi="Arial Narrow"/>
                <w:noProof/>
                <w:color w:val="006100"/>
                <w:sz w:val="20"/>
                <w:szCs w:val="20"/>
                <w:lang w:val="en-GB"/>
              </w:rPr>
              <w:t xml:space="preserve"> </w:t>
            </w:r>
            <w:r w:rsidRPr="3152799F">
              <w:rPr>
                <w:rStyle w:val="normaltextrun"/>
                <w:rFonts w:ascii="Arial Narrow" w:hAnsi="Arial Narrow"/>
                <w:noProof/>
                <w:color w:val="006100"/>
                <w:sz w:val="20"/>
                <w:szCs w:val="20"/>
                <w:lang w:val="en-GB"/>
              </w:rPr>
              <w:t>at least 30 000 newly</w:t>
            </w:r>
            <w:r w:rsidR="00381DB1">
              <w:rPr>
                <w:rStyle w:val="normaltextrun"/>
                <w:rFonts w:ascii="Arial Narrow" w:hAnsi="Arial Narrow"/>
                <w:noProof/>
                <w:color w:val="006100"/>
                <w:sz w:val="20"/>
                <w:szCs w:val="20"/>
                <w:lang w:val="en-GB"/>
              </w:rPr>
              <w:t xml:space="preserve"> </w:t>
            </w:r>
            <w:r w:rsidRPr="3152799F">
              <w:rPr>
                <w:rStyle w:val="normaltextrun"/>
                <w:rFonts w:ascii="Arial Narrow" w:hAnsi="Arial Narrow"/>
                <w:noProof/>
                <w:color w:val="006100"/>
                <w:sz w:val="20"/>
                <w:szCs w:val="20"/>
                <w:lang w:val="en-GB"/>
              </w:rPr>
              <w:t xml:space="preserve">sleeping accommodation units have been created. </w:t>
            </w:r>
          </w:p>
          <w:p w14:paraId="1B124614" w14:textId="77777777" w:rsidR="0039681A" w:rsidRPr="00647572" w:rsidRDefault="0039681A">
            <w:pPr>
              <w:pStyle w:val="paragraph"/>
              <w:spacing w:before="0" w:beforeAutospacing="0" w:after="0" w:afterAutospacing="0"/>
              <w:rPr>
                <w:rStyle w:val="normaltextrun"/>
                <w:rFonts w:ascii="Arial Narrow" w:hAnsi="Arial Narrow"/>
                <w:noProof/>
                <w:color w:val="006100"/>
                <w:sz w:val="20"/>
                <w:szCs w:val="20"/>
                <w:lang w:val="en-GB"/>
              </w:rPr>
            </w:pPr>
          </w:p>
          <w:p w14:paraId="27171D12" w14:textId="51478236" w:rsidR="0039681A" w:rsidRPr="00647572" w:rsidRDefault="0039681A" w:rsidP="00351087">
            <w:pPr>
              <w:pStyle w:val="paragraph"/>
              <w:spacing w:before="0" w:beforeAutospacing="0" w:after="0" w:afterAutospacing="0"/>
              <w:textAlignment w:val="baseline"/>
              <w:rPr>
                <w:rStyle w:val="normaltextrun"/>
                <w:rFonts w:ascii="Arial Narrow" w:hAnsi="Arial Narrow" w:cs="Segoe UI"/>
                <w:noProof/>
                <w:sz w:val="20"/>
                <w:szCs w:val="20"/>
                <w:lang w:val="en-GB"/>
              </w:rPr>
            </w:pPr>
            <w:r w:rsidRPr="3152799F">
              <w:rPr>
                <w:rStyle w:val="normaltextrun"/>
                <w:rFonts w:ascii="Arial Narrow" w:hAnsi="Arial Narrow"/>
                <w:noProof/>
                <w:color w:val="006100"/>
                <w:sz w:val="20"/>
                <w:szCs w:val="20"/>
                <w:lang w:val="en-GB"/>
              </w:rPr>
              <w:t xml:space="preserve"> At the time of the launch of the related call for projects, existing accommodations used for student housing purposes cannot be accounted toward the target.</w:t>
            </w:r>
            <w:r w:rsidR="00381DB1">
              <w:rPr>
                <w:rStyle w:val="normaltextrun"/>
                <w:rFonts w:ascii="Arial Narrow" w:hAnsi="Arial Narrow"/>
                <w:noProof/>
                <w:color w:val="006100"/>
                <w:sz w:val="20"/>
                <w:szCs w:val="20"/>
                <w:lang w:val="en-GB"/>
              </w:rPr>
              <w:t xml:space="preserve"> </w:t>
            </w:r>
          </w:p>
          <w:p w14:paraId="3CC31108" w14:textId="77777777" w:rsidR="0039681A" w:rsidRPr="00647572" w:rsidRDefault="0039681A">
            <w:pPr>
              <w:pStyle w:val="paragraph"/>
              <w:spacing w:before="0" w:beforeAutospacing="0" w:after="0" w:afterAutospacing="0"/>
              <w:textAlignment w:val="baseline"/>
              <w:rPr>
                <w:rStyle w:val="normaltextrun"/>
                <w:rFonts w:ascii="Arial Narrow" w:hAnsi="Arial Narrow"/>
                <w:noProof/>
                <w:color w:val="006100"/>
                <w:sz w:val="20"/>
                <w:szCs w:val="20"/>
                <w:lang w:val="en-GB"/>
              </w:rPr>
            </w:pPr>
          </w:p>
          <w:p w14:paraId="2271436A" w14:textId="77777777" w:rsidR="0039681A" w:rsidRPr="00647572" w:rsidRDefault="0039681A">
            <w:pPr>
              <w:pStyle w:val="paragraph"/>
              <w:spacing w:before="0" w:beforeAutospacing="0" w:after="0" w:afterAutospacing="0"/>
              <w:textAlignment w:val="baseline"/>
              <w:rPr>
                <w:rStyle w:val="normaltextrun"/>
                <w:rFonts w:ascii="Arial Narrow" w:hAnsi="Arial Narrow"/>
                <w:noProof/>
                <w:color w:val="006100"/>
                <w:sz w:val="20"/>
                <w:szCs w:val="20"/>
                <w:lang w:val="en-GB"/>
              </w:rPr>
            </w:pPr>
            <w:r w:rsidRPr="00647572">
              <w:rPr>
                <w:rStyle w:val="normaltextrun"/>
                <w:rFonts w:ascii="Arial Narrow" w:hAnsi="Arial Narrow"/>
                <w:noProof/>
                <w:color w:val="006100"/>
                <w:sz w:val="20"/>
                <w:szCs w:val="20"/>
                <w:lang w:val="en-GB"/>
              </w:rPr>
              <w:t>The 2024 call shall require that 30% of the new places shall be reserved for students facing socio-economic difficulties, as defined by “Diritto allo Studio” organizations (</w:t>
            </w:r>
            <w:r w:rsidRPr="00647572">
              <w:rPr>
                <w:rStyle w:val="normaltextrun"/>
                <w:rFonts w:ascii="Arial Narrow" w:hAnsi="Arial Narrow"/>
                <w:i/>
                <w:iCs/>
                <w:noProof/>
                <w:color w:val="006100"/>
                <w:sz w:val="20"/>
                <w:szCs w:val="20"/>
                <w:lang w:val="en-GB"/>
              </w:rPr>
              <w:t>right to study organizations</w:t>
            </w:r>
            <w:r w:rsidRPr="00647572">
              <w:rPr>
                <w:rStyle w:val="normaltextrun"/>
                <w:rFonts w:ascii="Arial Narrow" w:hAnsi="Arial Narrow"/>
                <w:noProof/>
                <w:color w:val="006100"/>
                <w:sz w:val="20"/>
                <w:szCs w:val="20"/>
                <w:lang w:val="en-GB"/>
              </w:rPr>
              <w:t xml:space="preserve">). This call shall also require that rental fees for university students shall be set at least, at a 15% below local market prices. </w:t>
            </w:r>
          </w:p>
          <w:p w14:paraId="6E33F55F" w14:textId="77777777" w:rsidR="0039681A" w:rsidRPr="00647572" w:rsidRDefault="0039681A">
            <w:pPr>
              <w:pStyle w:val="paragraph"/>
              <w:spacing w:before="0" w:beforeAutospacing="0" w:after="0" w:afterAutospacing="0"/>
              <w:textAlignment w:val="baseline"/>
              <w:rPr>
                <w:rStyle w:val="normaltextrun"/>
                <w:rFonts w:ascii="Arial Narrow" w:hAnsi="Arial Narrow"/>
                <w:noProof/>
                <w:color w:val="006100"/>
                <w:sz w:val="20"/>
                <w:szCs w:val="20"/>
                <w:lang w:val="en-GB"/>
              </w:rPr>
            </w:pPr>
          </w:p>
          <w:p w14:paraId="5A5942BC" w14:textId="77777777" w:rsidR="0039681A" w:rsidRPr="00647572" w:rsidRDefault="0039681A">
            <w:pPr>
              <w:pStyle w:val="paragraph"/>
              <w:spacing w:before="0" w:beforeAutospacing="0" w:after="0" w:afterAutospacing="0"/>
              <w:textAlignment w:val="baseline"/>
              <w:rPr>
                <w:rFonts w:ascii="Arial Narrow" w:hAnsi="Arial Narrow" w:cs="Segoe UI"/>
                <w:noProof/>
                <w:sz w:val="20"/>
                <w:szCs w:val="20"/>
                <w:lang w:val="en-GB"/>
              </w:rPr>
            </w:pPr>
            <w:r w:rsidRPr="00647572">
              <w:rPr>
                <w:rStyle w:val="normaltextrun"/>
                <w:rFonts w:ascii="Arial Narrow" w:eastAsia="MS Mincho" w:hAnsi="Arial Narrow" w:cs="Arial"/>
                <w:noProof/>
                <w:color w:val="006100"/>
                <w:sz w:val="20"/>
                <w:szCs w:val="20"/>
                <w:lang w:val="en-GB"/>
              </w:rPr>
              <w:t>The investment shall not include the procurement of natural gas boilers.</w:t>
            </w:r>
          </w:p>
        </w:tc>
      </w:tr>
      <w:tr w:rsidR="0039681A" w:rsidRPr="0070054C" w14:paraId="3CF5B8BF" w14:textId="77777777" w:rsidTr="00351087">
        <w:trPr>
          <w:trHeight w:val="300"/>
          <w:jc w:val="center"/>
        </w:trPr>
        <w:tc>
          <w:tcPr>
            <w:tcW w:w="1078" w:type="dxa"/>
            <w:shd w:val="clear" w:color="auto" w:fill="C6EFCE"/>
            <w:noWrap/>
          </w:tcPr>
          <w:p w14:paraId="237292F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M4C1-31</w:t>
            </w:r>
          </w:p>
        </w:tc>
        <w:tc>
          <w:tcPr>
            <w:tcW w:w="1701" w:type="dxa"/>
            <w:shd w:val="clear" w:color="auto" w:fill="C6EFCE"/>
            <w:noWrap/>
          </w:tcPr>
          <w:p w14:paraId="7D7D398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Investment 5: Student housing fund</w:t>
            </w:r>
          </w:p>
        </w:tc>
        <w:tc>
          <w:tcPr>
            <w:tcW w:w="1135" w:type="dxa"/>
            <w:shd w:val="clear" w:color="auto" w:fill="C6EFCE"/>
            <w:noWrap/>
          </w:tcPr>
          <w:p w14:paraId="4815503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814" w:type="dxa"/>
            <w:shd w:val="clear" w:color="auto" w:fill="C6EFCE"/>
            <w:noWrap/>
          </w:tcPr>
          <w:p w14:paraId="74B3ACE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Implementing Agreement</w:t>
            </w:r>
          </w:p>
        </w:tc>
        <w:tc>
          <w:tcPr>
            <w:tcW w:w="1578" w:type="dxa"/>
            <w:shd w:val="clear" w:color="auto" w:fill="C6EFCE"/>
            <w:noWrap/>
          </w:tcPr>
          <w:p w14:paraId="2BFC8F48"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Implementing Agreement</w:t>
            </w:r>
          </w:p>
        </w:tc>
        <w:tc>
          <w:tcPr>
            <w:tcW w:w="1148" w:type="dxa"/>
            <w:shd w:val="clear" w:color="auto" w:fill="C6EFCE"/>
            <w:noWrap/>
          </w:tcPr>
          <w:p w14:paraId="131178BA" w14:textId="77777777" w:rsidR="0039681A" w:rsidRPr="00647572" w:rsidRDefault="0039681A">
            <w:pPr>
              <w:jc w:val="center"/>
              <w:rPr>
                <w:rFonts w:ascii="Arial Narrow" w:hAnsi="Arial Narrow"/>
                <w:noProof/>
                <w:color w:val="006100"/>
                <w:sz w:val="20"/>
                <w:szCs w:val="20"/>
              </w:rPr>
            </w:pPr>
            <w:r w:rsidRPr="00A36E36">
              <w:rPr>
                <w:rFonts w:ascii="Arial Narrow" w:hAnsi="Arial Narrow"/>
                <w:noProof/>
                <w:color w:val="006100"/>
                <w:sz w:val="20"/>
                <w:szCs w:val="20"/>
                <w:lang w:val="en-IE"/>
              </w:rPr>
              <w:t xml:space="preserve"> </w:t>
            </w:r>
            <w:r w:rsidRPr="4F7357D5">
              <w:rPr>
                <w:rFonts w:ascii="Arial Narrow" w:hAnsi="Arial Narrow"/>
                <w:noProof/>
                <w:color w:val="006100"/>
                <w:sz w:val="20"/>
                <w:szCs w:val="20"/>
              </w:rPr>
              <w:t>N/A</w:t>
            </w:r>
          </w:p>
        </w:tc>
        <w:tc>
          <w:tcPr>
            <w:tcW w:w="1133" w:type="dxa"/>
            <w:shd w:val="clear" w:color="auto" w:fill="C6EFCE"/>
            <w:noWrap/>
          </w:tcPr>
          <w:p w14:paraId="20513A8F" w14:textId="77777777" w:rsidR="0039681A" w:rsidRPr="00647572" w:rsidRDefault="0039681A">
            <w:pPr>
              <w:jc w:val="center"/>
              <w:rPr>
                <w:rFonts w:ascii="Arial Narrow" w:hAnsi="Arial Narrow"/>
                <w:noProof/>
                <w:color w:val="006100"/>
                <w:sz w:val="20"/>
                <w:szCs w:val="20"/>
              </w:rPr>
            </w:pPr>
            <w:r w:rsidRPr="46E1FA76">
              <w:rPr>
                <w:rFonts w:ascii="Arial Narrow" w:hAnsi="Arial Narrow"/>
                <w:noProof/>
                <w:color w:val="006100"/>
                <w:sz w:val="20"/>
                <w:szCs w:val="20"/>
              </w:rPr>
              <w:t xml:space="preserve">N/A </w:t>
            </w:r>
          </w:p>
        </w:tc>
        <w:tc>
          <w:tcPr>
            <w:tcW w:w="848" w:type="dxa"/>
            <w:shd w:val="clear" w:color="auto" w:fill="C6EFCE"/>
            <w:noWrap/>
          </w:tcPr>
          <w:p w14:paraId="67404242" w14:textId="77777777" w:rsidR="0039681A" w:rsidRPr="00647572" w:rsidDel="00276517" w:rsidRDefault="0039681A">
            <w:pPr>
              <w:jc w:val="center"/>
              <w:rPr>
                <w:rFonts w:ascii="Arial Narrow" w:hAnsi="Arial Narrow"/>
                <w:noProof/>
                <w:color w:val="006100"/>
                <w:sz w:val="20"/>
                <w:szCs w:val="20"/>
              </w:rPr>
            </w:pPr>
            <w:r w:rsidRPr="4F7357D5">
              <w:rPr>
                <w:rFonts w:ascii="Arial Narrow" w:hAnsi="Arial Narrow"/>
                <w:noProof/>
                <w:color w:val="006100"/>
                <w:sz w:val="20"/>
                <w:szCs w:val="20"/>
              </w:rPr>
              <w:t xml:space="preserve">N/A </w:t>
            </w:r>
          </w:p>
        </w:tc>
        <w:tc>
          <w:tcPr>
            <w:tcW w:w="900" w:type="dxa"/>
            <w:shd w:val="clear" w:color="auto" w:fill="C6EFCE"/>
            <w:noWrap/>
          </w:tcPr>
          <w:p w14:paraId="273AD4A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710" w:type="dxa"/>
            <w:shd w:val="clear" w:color="auto" w:fill="C6EFCE"/>
            <w:noWrap/>
          </w:tcPr>
          <w:p w14:paraId="16FD4CC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2025</w:t>
            </w:r>
          </w:p>
        </w:tc>
        <w:tc>
          <w:tcPr>
            <w:tcW w:w="3208" w:type="dxa"/>
            <w:shd w:val="clear" w:color="auto" w:fill="C6EFCE"/>
            <w:noWrap/>
          </w:tcPr>
          <w:p w14:paraId="0E786CE1" w14:textId="77777777" w:rsidR="0039681A" w:rsidRPr="00647572" w:rsidDel="17E9C3AD" w:rsidRDefault="0039681A">
            <w:pPr>
              <w:pStyle w:val="paragraph"/>
              <w:spacing w:before="0" w:beforeAutospacing="0" w:after="0" w:afterAutospacing="0"/>
              <w:textAlignment w:val="baseline"/>
              <w:rPr>
                <w:rFonts w:eastAsiaTheme="minorHAnsi" w:cstheme="minorBidi"/>
                <w:noProof/>
                <w:kern w:val="2"/>
                <w:lang w:val="en-GB" w:eastAsia="en-US"/>
              </w:rPr>
            </w:pPr>
            <w:r w:rsidRPr="00647572">
              <w:rPr>
                <w:rFonts w:ascii="Arial Narrow" w:eastAsiaTheme="minorHAnsi" w:hAnsi="Arial Narrow" w:cstheme="minorBidi"/>
                <w:noProof/>
                <w:color w:val="006100"/>
                <w:kern w:val="2"/>
                <w:sz w:val="20"/>
                <w:szCs w:val="20"/>
                <w:lang w:val="en-GB" w:eastAsia="en-US"/>
              </w:rPr>
              <w:t>Entry into force of the Implementing Agreement.</w:t>
            </w:r>
          </w:p>
        </w:tc>
      </w:tr>
      <w:tr w:rsidR="0039681A" w:rsidRPr="0070054C" w14:paraId="046AC385" w14:textId="77777777" w:rsidTr="00351087">
        <w:trPr>
          <w:trHeight w:val="300"/>
          <w:jc w:val="center"/>
        </w:trPr>
        <w:tc>
          <w:tcPr>
            <w:tcW w:w="1078" w:type="dxa"/>
            <w:shd w:val="clear" w:color="auto" w:fill="C6EFCE"/>
            <w:noWrap/>
          </w:tcPr>
          <w:p w14:paraId="39BD5C6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M4C1-32</w:t>
            </w:r>
          </w:p>
        </w:tc>
        <w:tc>
          <w:tcPr>
            <w:tcW w:w="1701" w:type="dxa"/>
            <w:shd w:val="clear" w:color="auto" w:fill="C6EFCE"/>
            <w:noWrap/>
          </w:tcPr>
          <w:p w14:paraId="308E3C7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Investment 5: Student housing fund</w:t>
            </w:r>
          </w:p>
        </w:tc>
        <w:tc>
          <w:tcPr>
            <w:tcW w:w="1135" w:type="dxa"/>
            <w:shd w:val="clear" w:color="auto" w:fill="C6EFCE"/>
            <w:noWrap/>
          </w:tcPr>
          <w:p w14:paraId="5BB2C71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814" w:type="dxa"/>
            <w:shd w:val="clear" w:color="auto" w:fill="C6EFCE"/>
            <w:noWrap/>
          </w:tcPr>
          <w:p w14:paraId="748DCFF1"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Legal agreements signed with final beneficiaries and investment completion</w:t>
            </w:r>
          </w:p>
        </w:tc>
        <w:tc>
          <w:tcPr>
            <w:tcW w:w="1578" w:type="dxa"/>
            <w:shd w:val="clear" w:color="auto" w:fill="C6EFCE"/>
            <w:noWrap/>
          </w:tcPr>
          <w:p w14:paraId="7F6F4F0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Legal agreements signed and certificate of transfer</w:t>
            </w:r>
          </w:p>
        </w:tc>
        <w:tc>
          <w:tcPr>
            <w:tcW w:w="1148" w:type="dxa"/>
            <w:shd w:val="clear" w:color="auto" w:fill="C6EFCE"/>
            <w:noWrap/>
          </w:tcPr>
          <w:p w14:paraId="6C37B0C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33" w:type="dxa"/>
            <w:shd w:val="clear" w:color="auto" w:fill="C6EFCE"/>
            <w:noWrap/>
          </w:tcPr>
          <w:p w14:paraId="2F84EE0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848" w:type="dxa"/>
            <w:shd w:val="clear" w:color="auto" w:fill="C6EFCE"/>
            <w:noWrap/>
          </w:tcPr>
          <w:p w14:paraId="19AB42A8" w14:textId="77777777" w:rsidR="0039681A" w:rsidRPr="00647572" w:rsidDel="00276517"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00" w:type="dxa"/>
            <w:shd w:val="clear" w:color="auto" w:fill="C6EFCE"/>
            <w:noWrap/>
          </w:tcPr>
          <w:p w14:paraId="5A28D38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0" w:type="dxa"/>
            <w:shd w:val="clear" w:color="auto" w:fill="C6EFCE"/>
            <w:noWrap/>
          </w:tcPr>
          <w:p w14:paraId="6B482AE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208" w:type="dxa"/>
            <w:shd w:val="clear" w:color="auto" w:fill="C6EFCE"/>
            <w:noWrap/>
          </w:tcPr>
          <w:p w14:paraId="4AA39F1D" w14:textId="77777777" w:rsidR="0039681A" w:rsidRPr="00A36E36" w:rsidRDefault="0039681A">
            <w:pPr>
              <w:spacing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Cassa Depositi e Prestiti S.p.A. shall have entered into legal grant agreements with final beneficiaries for an amount necessary to use 100% of the RRF investment into the Scheme (taking into account management fees). </w:t>
            </w:r>
          </w:p>
          <w:p w14:paraId="021BED49" w14:textId="77777777" w:rsidR="0039681A" w:rsidRPr="00647572" w:rsidDel="17E9C3AD" w:rsidRDefault="0039681A">
            <w:pPr>
              <w:pStyle w:val="paragraph"/>
              <w:spacing w:before="0" w:beforeAutospacing="0" w:after="0" w:afterAutospacing="0"/>
              <w:textAlignment w:val="baseline"/>
              <w:rPr>
                <w:rFonts w:eastAsiaTheme="minorHAnsi" w:cstheme="minorBidi"/>
                <w:noProof/>
                <w:kern w:val="2"/>
                <w:lang w:val="en-GB" w:eastAsia="en-US"/>
              </w:rPr>
            </w:pPr>
            <w:r w:rsidRPr="00647572">
              <w:rPr>
                <w:rFonts w:ascii="Arial Narrow" w:eastAsiaTheme="minorHAnsi" w:hAnsi="Arial Narrow" w:cstheme="minorBidi"/>
                <w:noProof/>
                <w:color w:val="006100"/>
                <w:kern w:val="2"/>
                <w:sz w:val="20"/>
                <w:szCs w:val="20"/>
                <w:lang w:val="en-GB" w:eastAsia="en-US"/>
              </w:rPr>
              <w:t>Italy shall transfer EUR 599 000 000 to the Cassa Depositi e Prestiti S.p.A. for the Facility.</w:t>
            </w:r>
          </w:p>
        </w:tc>
      </w:tr>
    </w:tbl>
    <w:p w14:paraId="0EDB6910" w14:textId="77777777" w:rsidR="0039681A" w:rsidRDefault="0039681A" w:rsidP="00351087">
      <w:pPr>
        <w:spacing w:line="240" w:lineRule="auto"/>
        <w:jc w:val="both"/>
        <w:rPr>
          <w:rFonts w:ascii="Times New Roman" w:hAnsi="Times New Roman" w:cs="Times New Roman"/>
          <w:noProof/>
          <w:lang w:val="en-IE"/>
        </w:rPr>
        <w:sectPr w:rsidR="0039681A" w:rsidSect="0039681A">
          <w:headerReference w:type="even" r:id="rId159"/>
          <w:headerReference w:type="default" r:id="rId160"/>
          <w:footerReference w:type="default" r:id="rId161"/>
          <w:headerReference w:type="first" r:id="rId162"/>
          <w:pgSz w:w="16838" w:h="11906" w:orient="landscape"/>
          <w:pgMar w:top="1134" w:right="1134" w:bottom="1134" w:left="1134" w:header="567" w:footer="567" w:gutter="0"/>
          <w:cols w:space="708"/>
          <w:docGrid w:linePitch="360"/>
        </w:sectPr>
      </w:pPr>
    </w:p>
    <w:p w14:paraId="3FF2D36B" w14:textId="77777777" w:rsidR="0039681A" w:rsidRPr="00A36E36" w:rsidRDefault="0039681A" w:rsidP="00351087">
      <w:pPr>
        <w:pStyle w:val="Heading2"/>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K. MISSION 4 COMPONENT 2: From research to business</w:t>
      </w:r>
    </w:p>
    <w:p w14:paraId="61A593D3" w14:textId="77777777" w:rsidR="0039681A" w:rsidRPr="00A36E36" w:rsidRDefault="0039681A" w:rsidP="00351087">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This component of the Italian recovery and resilience plan aims to support investment in research and innovation, to promote innovation and technology diffusion, to strengthen skills, and supporting the transition to a knowledge-based economy. It provides support to the public research system, researcher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skills and mobility as well as public-private cooperation at national and EU level. It is built on three main pillars: (i) Improved science base; (ii) Strong business-science links (knowledge and technology transfers; (iii) Support for business innovation (notably SMEs, start-ups).</w:t>
      </w:r>
    </w:p>
    <w:p w14:paraId="2824EB55" w14:textId="77777777" w:rsidR="0039681A" w:rsidRPr="00A36E36" w:rsidRDefault="0039681A" w:rsidP="00351087">
      <w:pPr>
        <w:spacing w:before="120" w:after="120"/>
        <w:jc w:val="both"/>
        <w:rPr>
          <w:noProof/>
          <w:lang w:val="en-IE"/>
        </w:rPr>
      </w:pPr>
      <w:r w:rsidRPr="00A36E36">
        <w:rPr>
          <w:rFonts w:ascii="Times New Roman" w:hAnsi="Times New Roman" w:cs="Times New Roman"/>
          <w:noProof/>
          <w:lang w:val="en-IE"/>
        </w:rPr>
        <w:t xml:space="preserve">The investments and reforms under this component shall contribute addressing the country- specific recommendations addressed to Italy in 2020 and 2019 on the need to </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focus investment-related economic policy on research and innovation, and the quality of infrastructure</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 (country- specific recommendation 3, 2019), to </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promote private investment to foster the economic recovery</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 (country- specific recommendation 3, 2020), to </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focus investment on the green and digital transition, particularly on research and innovation</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 (country- specific recommendation 3, 2020). </w:t>
      </w:r>
    </w:p>
    <w:p w14:paraId="2B64E203" w14:textId="77777777" w:rsidR="0039681A" w:rsidRPr="00A36E36" w:rsidRDefault="0039681A" w:rsidP="0035108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K.1. </w:t>
      </w:r>
      <w:r w:rsidRPr="00A36E36">
        <w:rPr>
          <w:rFonts w:ascii="Times New Roman" w:hAnsi="Times New Roman" w:cs="Times New Roman"/>
          <w:b/>
          <w:noProof/>
          <w:sz w:val="24"/>
          <w:szCs w:val="24"/>
          <w:u w:val="single"/>
          <w:lang w:val="en-IE"/>
        </w:rPr>
        <w:tab/>
        <w:t>Description of the reforms and investments for non-repayable financial support</w:t>
      </w:r>
    </w:p>
    <w:p w14:paraId="583F6787" w14:textId="77777777" w:rsidR="0039681A" w:rsidRPr="00A36E36" w:rsidRDefault="0039681A" w:rsidP="00351087">
      <w:pPr>
        <w:rPr>
          <w:noProof/>
          <w:lang w:val="en-IE"/>
        </w:rPr>
      </w:pPr>
    </w:p>
    <w:p w14:paraId="1373891A" w14:textId="77777777" w:rsidR="0039681A" w:rsidRPr="00A36E36" w:rsidRDefault="0039681A" w:rsidP="00351087">
      <w:pPr>
        <w:spacing w:before="120" w:after="120"/>
        <w:jc w:val="both"/>
        <w:rPr>
          <w:noProof/>
          <w:lang w:val="en-IE"/>
        </w:rPr>
      </w:pPr>
      <w:r w:rsidRPr="00A36E36">
        <w:rPr>
          <w:rFonts w:ascii="Times New Roman" w:hAnsi="Times New Roman" w:cs="Times New Roman"/>
          <w:b/>
          <w:bCs/>
          <w:noProof/>
          <w:lang w:val="en-IE"/>
        </w:rPr>
        <w:t>Investment 1.2: Funding projects presented by young researchers</w:t>
      </w:r>
    </w:p>
    <w:p w14:paraId="525F62DE" w14:textId="77777777" w:rsidR="0039681A" w:rsidRPr="00A36E36" w:rsidRDefault="0039681A" w:rsidP="00351087">
      <w:pPr>
        <w:spacing w:after="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investment is to retain young researchers in Italy. The measure consists in supporting the research activities of young researchers. </w:t>
      </w:r>
    </w:p>
    <w:p w14:paraId="3060AFDF" w14:textId="77777777" w:rsidR="0039681A" w:rsidRPr="00A36E36" w:rsidRDefault="0039681A" w:rsidP="00351087">
      <w:pPr>
        <w:spacing w:before="120" w:after="120" w:line="257" w:lineRule="auto"/>
        <w:ind w:left="-680" w:firstLine="709"/>
        <w:jc w:val="both"/>
        <w:rPr>
          <w:rFonts w:ascii="Times New Roman" w:hAnsi="Times New Roman" w:cs="Times New Roman"/>
          <w:b/>
          <w:bCs/>
          <w:i/>
          <w:iCs/>
          <w:noProof/>
          <w:u w:val="single"/>
          <w:lang w:val="en-IE"/>
        </w:rPr>
      </w:pPr>
      <w:r w:rsidRPr="00A36E36">
        <w:rPr>
          <w:rFonts w:ascii="Times New Roman" w:hAnsi="Times New Roman" w:cs="Times New Roman"/>
          <w:b/>
          <w:bCs/>
          <w:noProof/>
          <w:lang w:val="en-IE"/>
        </w:rPr>
        <w:t>Investment 2.2bis: Innovation Agreements</w:t>
      </w:r>
    </w:p>
    <w:p w14:paraId="0847D3F5" w14:textId="77777777" w:rsidR="0039681A" w:rsidRPr="00A36E36" w:rsidRDefault="0039681A" w:rsidP="00351087">
      <w:pPr>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boost innovation. The measure consists in the definition of research, development and innovation projects (so-called ‘’Innovation Agreements’’) , in areas coherent with the II pillar of Horizon Europe programme, as per Regulation (EU) 2021/695. </w:t>
      </w:r>
    </w:p>
    <w:p w14:paraId="469B1E98" w14:textId="77777777" w:rsidR="0039681A" w:rsidRPr="00A36E36" w:rsidRDefault="0039681A" w:rsidP="00351087">
      <w:pPr>
        <w:spacing w:before="120" w:after="120"/>
        <w:jc w:val="both"/>
        <w:rPr>
          <w:rFonts w:ascii="Times New Roman" w:eastAsia="Calibri" w:hAnsi="Times New Roman" w:cs="Times New Roman"/>
          <w:b/>
          <w:bCs/>
          <w:noProof/>
          <w:lang w:val="en-IE"/>
        </w:rPr>
      </w:pPr>
      <w:r w:rsidRPr="00A36E36">
        <w:rPr>
          <w:rFonts w:ascii="Times New Roman" w:hAnsi="Times New Roman" w:cs="Times New Roman"/>
          <w:b/>
          <w:bCs/>
          <w:noProof/>
          <w:lang w:val="en-IE"/>
        </w:rPr>
        <w:t xml:space="preserve">Investment 3.3: Award of PhD scholarships in collaboration with enterprises </w:t>
      </w:r>
    </w:p>
    <w:p w14:paraId="47F176B9"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enhance high-level skills, including in the areas of Key Enabling Technologies. </w:t>
      </w:r>
    </w:p>
    <w:p w14:paraId="15647851"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measure consists in awardingPhD scholarships by Universities and AFAM institutions, with input and involvement of companies. Specifically, the measure, implemented by the MUR – Ministry of University and Research, provides for the award of a total of 6</w:t>
      </w:r>
      <w:r w:rsidRPr="00A36E36">
        <w:rPr>
          <w:rFonts w:ascii="Arial Narrow" w:hAnsi="Arial Narrow"/>
          <w:noProof/>
          <w:color w:val="006100"/>
          <w:sz w:val="20"/>
          <w:szCs w:val="20"/>
          <w:lang w:val="en-IE"/>
        </w:rPr>
        <w:t> </w:t>
      </w:r>
      <w:r w:rsidRPr="00A36E36">
        <w:rPr>
          <w:rFonts w:ascii="Times New Roman" w:hAnsi="Times New Roman" w:cs="Times New Roman"/>
          <w:noProof/>
          <w:lang w:val="en-IE"/>
        </w:rPr>
        <w:t xml:space="preserve">000 doctoral grants in 3 years, with private co-financing </w:t>
      </w:r>
    </w:p>
    <w:p w14:paraId="4A687E7C" w14:textId="77777777" w:rsidR="0039681A" w:rsidRPr="00A36E36" w:rsidRDefault="0039681A" w:rsidP="00351087">
      <w:pPr>
        <w:spacing w:before="120" w:after="120" w:line="288" w:lineRule="auto"/>
        <w:jc w:val="both"/>
        <w:rPr>
          <w:rFonts w:ascii="Times New Roman" w:hAnsi="Times New Roman" w:cs="Times New Roman"/>
          <w:b/>
          <w:bCs/>
          <w:noProof/>
          <w:lang w:val="en-IE"/>
        </w:rPr>
      </w:pPr>
      <w:r w:rsidRPr="00A36E36">
        <w:rPr>
          <w:rFonts w:ascii="Times New Roman" w:hAnsi="Times New Roman" w:cs="Times New Roman"/>
          <w:b/>
          <w:noProof/>
          <w:lang w:val="en-IE"/>
        </w:rPr>
        <w:t>Reform 1.1: Implementation of R &amp; I support measures to promote simplification and mobility</w:t>
      </w:r>
    </w:p>
    <w:p w14:paraId="25C94AB1"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reform shall be implemented by the Ministry of University and Research (MUR) and the Ministry of Economic Development (MiSE) through the creation of an inter-ministerial steering board and the issuing of two ministerial decrees: i) to increase and support mobility (through incentives) of high-profile individuals ( such as: researchers and managers) between universities, research infrastructures and companies, and ii) to simplify the management of research funds, iii) reform career path of researchers to increase their focus on research activities. </w:t>
      </w:r>
    </w:p>
    <w:p w14:paraId="36433481" w14:textId="77777777" w:rsidR="0039681A" w:rsidRDefault="0039681A" w:rsidP="00351087">
      <w:pPr>
        <w:rPr>
          <w:rFonts w:ascii="Times New Roman" w:hAnsi="Times New Roman" w:cs="Times New Roman"/>
          <w:noProof/>
          <w:lang w:val="en-IE"/>
        </w:rPr>
      </w:pPr>
      <w:r>
        <w:rPr>
          <w:rFonts w:ascii="Times New Roman" w:hAnsi="Times New Roman" w:cs="Times New Roman"/>
          <w:noProof/>
          <w:lang w:val="en-IE"/>
        </w:rPr>
        <w:br w:type="page"/>
      </w:r>
    </w:p>
    <w:p w14:paraId="4B420849" w14:textId="77777777" w:rsidR="0039681A" w:rsidRPr="00A36E36" w:rsidRDefault="0039681A" w:rsidP="00351087">
      <w:pPr>
        <w:jc w:val="both"/>
        <w:rPr>
          <w:rFonts w:ascii="Times New Roman" w:hAnsi="Times New Roman" w:cs="Times New Roman"/>
          <w:noProof/>
          <w:lang w:val="en-IE"/>
        </w:rPr>
      </w:pPr>
      <w:r w:rsidRPr="00A36E36">
        <w:rPr>
          <w:rFonts w:ascii="Times New Roman" w:hAnsi="Times New Roman" w:cs="Times New Roman"/>
          <w:noProof/>
          <w:lang w:val="en-IE"/>
        </w:rPr>
        <w:t>The reform shall move to a more systemic approach to R&amp;D activities, going beyond the current logic of reallocating resources by favouring a sharing approach and shall focus on simplifying red tape in the management of funds dedicated to public-private research activities, generating a significant impact through avoiding dispersion and fragmentation of priorities, also supported by the first component of the Mission. Public research bodies (EPR) shall play a key role both as possible project leaders for Partnerships, National Campaigns and Territorial Ecosystems, and as potential participants in calls for proposals on the PNR Fund and the Infrastructure Fund.</w:t>
      </w:r>
    </w:p>
    <w:p w14:paraId="3F44C70A"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Reform 1.2: Three-year plan for the financing of research activities</w:t>
      </w:r>
    </w:p>
    <w:p w14:paraId="4C94A166" w14:textId="77777777" w:rsidR="0039681A" w:rsidRPr="00A36E36" w:rsidRDefault="0039681A" w:rsidP="00351087">
      <w:pPr>
        <w:jc w:val="both"/>
        <w:rPr>
          <w:rFonts w:ascii="Times New Roman" w:hAnsi="Times New Roman" w:cs="Times New Roman"/>
          <w:noProof/>
          <w:lang w:val="en-IE"/>
        </w:rPr>
      </w:pPr>
      <w:r w:rsidRPr="00A36E36">
        <w:rPr>
          <w:rFonts w:ascii="Times New Roman" w:hAnsi="Times New Roman" w:cs="Times New Roman"/>
          <w:noProof/>
          <w:lang w:val="en-IE"/>
        </w:rPr>
        <w:t>The reform aims at improving the planning and predictability of research funding. It consists in the entry into force of primary legislation setting out the legal framework for the adoption of a three-year plan for the financing of research activities.</w:t>
      </w:r>
    </w:p>
    <w:p w14:paraId="7D00ACEE" w14:textId="77777777" w:rsidR="0039681A" w:rsidRPr="00A36E36" w:rsidRDefault="0039681A" w:rsidP="00351087">
      <w:pPr>
        <w:jc w:val="both"/>
        <w:rPr>
          <w:rFonts w:ascii="Times New Roman" w:hAnsi="Times New Roman" w:cs="Times New Roman"/>
          <w:b/>
          <w:bCs/>
          <w:noProof/>
          <w:lang w:val="en-IE"/>
        </w:rPr>
        <w:sectPr w:rsidR="0039681A" w:rsidRPr="00A36E36" w:rsidSect="00AF5341">
          <w:headerReference w:type="even" r:id="rId163"/>
          <w:headerReference w:type="default" r:id="rId164"/>
          <w:footerReference w:type="even" r:id="rId165"/>
          <w:footerReference w:type="default" r:id="rId166"/>
          <w:headerReference w:type="first" r:id="rId167"/>
          <w:footerReference w:type="first" r:id="rId168"/>
          <w:pgSz w:w="11906" w:h="16838"/>
          <w:pgMar w:top="1440" w:right="1440" w:bottom="1440" w:left="1440" w:header="708" w:footer="708" w:gutter="0"/>
          <w:cols w:space="708"/>
          <w:docGrid w:linePitch="360"/>
        </w:sectPr>
      </w:pPr>
    </w:p>
    <w:p w14:paraId="1DF70F5D" w14:textId="77777777" w:rsidR="0039681A" w:rsidRPr="00A36E36" w:rsidRDefault="0039681A" w:rsidP="00351087">
      <w:pPr>
        <w:pStyle w:val="Heading3"/>
        <w:ind w:left="850" w:hanging="850"/>
        <w:jc w:val="both"/>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K.2. </w:t>
      </w:r>
      <w:r w:rsidRPr="00A36E36">
        <w:rPr>
          <w:rFonts w:ascii="Times New Roman" w:hAnsi="Times New Roman" w:cs="Times New Roman" w:hint="eastAsia"/>
          <w:b/>
          <w:noProof/>
          <w:sz w:val="24"/>
          <w:szCs w:val="24"/>
          <w:u w:val="single"/>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2"/>
        <w:gridCol w:w="1368"/>
        <w:gridCol w:w="1413"/>
        <w:gridCol w:w="1302"/>
        <w:gridCol w:w="1377"/>
        <w:gridCol w:w="1089"/>
        <w:gridCol w:w="1074"/>
        <w:gridCol w:w="1539"/>
        <w:gridCol w:w="975"/>
        <w:gridCol w:w="611"/>
        <w:gridCol w:w="2521"/>
      </w:tblGrid>
      <w:tr w:rsidR="0039681A" w:rsidRPr="0070054C" w14:paraId="018C9DC8" w14:textId="77777777" w:rsidTr="00351087">
        <w:trPr>
          <w:trHeight w:val="927"/>
          <w:tblHeader/>
          <w:jc w:val="center"/>
        </w:trPr>
        <w:tc>
          <w:tcPr>
            <w:tcW w:w="1292" w:type="dxa"/>
            <w:vMerge w:val="restart"/>
            <w:shd w:val="clear" w:color="auto" w:fill="BDD7EE"/>
            <w:vAlign w:val="center"/>
            <w:hideMark/>
          </w:tcPr>
          <w:p w14:paraId="2A1521A7"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Sequential Number</w:t>
            </w:r>
          </w:p>
        </w:tc>
        <w:tc>
          <w:tcPr>
            <w:tcW w:w="1368" w:type="dxa"/>
            <w:vMerge w:val="restart"/>
            <w:shd w:val="clear" w:color="auto" w:fill="BDD7EE"/>
            <w:vAlign w:val="center"/>
            <w:hideMark/>
          </w:tcPr>
          <w:p w14:paraId="07B8C65C" w14:textId="77777777" w:rsidR="0039681A" w:rsidRPr="00A36E36" w:rsidRDefault="0039681A" w:rsidP="00351087">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413" w:type="dxa"/>
            <w:vMerge w:val="restart"/>
            <w:shd w:val="clear" w:color="auto" w:fill="BDD7EE"/>
            <w:vAlign w:val="center"/>
            <w:hideMark/>
          </w:tcPr>
          <w:p w14:paraId="569E5DDC"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Milestone / Target</w:t>
            </w:r>
          </w:p>
        </w:tc>
        <w:tc>
          <w:tcPr>
            <w:tcW w:w="1302" w:type="dxa"/>
            <w:vMerge w:val="restart"/>
            <w:shd w:val="clear" w:color="auto" w:fill="BDD7EE"/>
            <w:vAlign w:val="center"/>
            <w:hideMark/>
          </w:tcPr>
          <w:p w14:paraId="1483A1BB"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Name</w:t>
            </w:r>
          </w:p>
        </w:tc>
        <w:tc>
          <w:tcPr>
            <w:tcW w:w="1377" w:type="dxa"/>
            <w:vMerge w:val="restart"/>
            <w:shd w:val="clear" w:color="auto" w:fill="BDD7EE"/>
            <w:vAlign w:val="center"/>
            <w:hideMark/>
          </w:tcPr>
          <w:p w14:paraId="18E0507D"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702" w:type="dxa"/>
            <w:gridSpan w:val="3"/>
            <w:shd w:val="clear" w:color="auto" w:fill="BDD7EE"/>
            <w:vAlign w:val="center"/>
            <w:hideMark/>
          </w:tcPr>
          <w:p w14:paraId="707C7ECF"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86" w:type="dxa"/>
            <w:gridSpan w:val="2"/>
            <w:shd w:val="clear" w:color="auto" w:fill="BDD7EE"/>
            <w:vAlign w:val="center"/>
            <w:hideMark/>
          </w:tcPr>
          <w:p w14:paraId="7319BC43"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2521" w:type="dxa"/>
            <w:vMerge w:val="restart"/>
            <w:shd w:val="clear" w:color="auto" w:fill="BDD7EE"/>
            <w:vAlign w:val="center"/>
            <w:hideMark/>
          </w:tcPr>
          <w:p w14:paraId="3D585A4A" w14:textId="77777777" w:rsidR="0039681A" w:rsidRPr="00A36E36" w:rsidRDefault="0039681A" w:rsidP="00351087">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1C0D7D77" w14:textId="77777777" w:rsidTr="00351087">
        <w:trPr>
          <w:trHeight w:val="802"/>
          <w:tblHeader/>
          <w:jc w:val="center"/>
        </w:trPr>
        <w:tc>
          <w:tcPr>
            <w:tcW w:w="1292" w:type="dxa"/>
            <w:vMerge/>
            <w:vAlign w:val="center"/>
            <w:hideMark/>
          </w:tcPr>
          <w:p w14:paraId="0A8DAD6B" w14:textId="77777777" w:rsidR="0039681A" w:rsidRPr="00A36E36" w:rsidRDefault="0039681A" w:rsidP="00351087">
            <w:pPr>
              <w:jc w:val="center"/>
              <w:rPr>
                <w:rFonts w:ascii="Arial Narrow" w:hAnsi="Arial Narrow"/>
                <w:b/>
                <w:noProof/>
                <w:sz w:val="20"/>
                <w:szCs w:val="20"/>
                <w:lang w:val="en-IE"/>
              </w:rPr>
            </w:pPr>
          </w:p>
        </w:tc>
        <w:tc>
          <w:tcPr>
            <w:tcW w:w="1368" w:type="dxa"/>
            <w:vMerge/>
            <w:vAlign w:val="center"/>
            <w:hideMark/>
          </w:tcPr>
          <w:p w14:paraId="78429858" w14:textId="77777777" w:rsidR="0039681A" w:rsidRPr="00A36E36" w:rsidRDefault="0039681A" w:rsidP="00351087">
            <w:pPr>
              <w:jc w:val="center"/>
              <w:rPr>
                <w:rFonts w:ascii="Arial Narrow" w:hAnsi="Arial Narrow"/>
                <w:b/>
                <w:noProof/>
                <w:sz w:val="20"/>
                <w:szCs w:val="20"/>
                <w:lang w:val="en-IE"/>
              </w:rPr>
            </w:pPr>
          </w:p>
        </w:tc>
        <w:tc>
          <w:tcPr>
            <w:tcW w:w="1413" w:type="dxa"/>
            <w:vMerge/>
            <w:vAlign w:val="center"/>
            <w:hideMark/>
          </w:tcPr>
          <w:p w14:paraId="2DDB4F55" w14:textId="77777777" w:rsidR="0039681A" w:rsidRPr="00A36E36" w:rsidRDefault="0039681A" w:rsidP="00351087">
            <w:pPr>
              <w:jc w:val="center"/>
              <w:rPr>
                <w:rFonts w:ascii="Arial Narrow" w:hAnsi="Arial Narrow"/>
                <w:b/>
                <w:noProof/>
                <w:sz w:val="20"/>
                <w:szCs w:val="20"/>
                <w:lang w:val="en-IE"/>
              </w:rPr>
            </w:pPr>
          </w:p>
        </w:tc>
        <w:tc>
          <w:tcPr>
            <w:tcW w:w="1302" w:type="dxa"/>
            <w:vMerge/>
            <w:vAlign w:val="center"/>
            <w:hideMark/>
          </w:tcPr>
          <w:p w14:paraId="517F4C91" w14:textId="77777777" w:rsidR="0039681A" w:rsidRPr="00A36E36" w:rsidRDefault="0039681A" w:rsidP="00351087">
            <w:pPr>
              <w:jc w:val="center"/>
              <w:rPr>
                <w:rFonts w:ascii="Arial Narrow" w:hAnsi="Arial Narrow"/>
                <w:b/>
                <w:noProof/>
                <w:sz w:val="20"/>
                <w:szCs w:val="20"/>
                <w:lang w:val="en-IE"/>
              </w:rPr>
            </w:pPr>
          </w:p>
        </w:tc>
        <w:tc>
          <w:tcPr>
            <w:tcW w:w="1377" w:type="dxa"/>
            <w:vMerge/>
            <w:vAlign w:val="center"/>
            <w:hideMark/>
          </w:tcPr>
          <w:p w14:paraId="1BA9249B" w14:textId="77777777" w:rsidR="0039681A" w:rsidRPr="00A36E36" w:rsidRDefault="0039681A" w:rsidP="00351087">
            <w:pPr>
              <w:jc w:val="center"/>
              <w:rPr>
                <w:rFonts w:ascii="Arial Narrow" w:hAnsi="Arial Narrow"/>
                <w:b/>
                <w:noProof/>
                <w:sz w:val="20"/>
                <w:szCs w:val="20"/>
                <w:lang w:val="en-IE"/>
              </w:rPr>
            </w:pPr>
          </w:p>
        </w:tc>
        <w:tc>
          <w:tcPr>
            <w:tcW w:w="1089" w:type="dxa"/>
            <w:shd w:val="clear" w:color="auto" w:fill="BDD7EE"/>
            <w:vAlign w:val="center"/>
            <w:hideMark/>
          </w:tcPr>
          <w:p w14:paraId="42EDFE30"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Unit of measure</w:t>
            </w:r>
          </w:p>
        </w:tc>
        <w:tc>
          <w:tcPr>
            <w:tcW w:w="1074" w:type="dxa"/>
            <w:shd w:val="clear" w:color="auto" w:fill="BDD7EE"/>
            <w:vAlign w:val="center"/>
            <w:hideMark/>
          </w:tcPr>
          <w:p w14:paraId="3F3D53E6"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Baseline</w:t>
            </w:r>
          </w:p>
        </w:tc>
        <w:tc>
          <w:tcPr>
            <w:tcW w:w="1539" w:type="dxa"/>
            <w:shd w:val="clear" w:color="auto" w:fill="BDD7EE"/>
            <w:vAlign w:val="center"/>
            <w:hideMark/>
          </w:tcPr>
          <w:p w14:paraId="2EC87DF1"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Goal</w:t>
            </w:r>
          </w:p>
        </w:tc>
        <w:tc>
          <w:tcPr>
            <w:tcW w:w="975" w:type="dxa"/>
            <w:shd w:val="clear" w:color="auto" w:fill="BDD7EE"/>
            <w:vAlign w:val="center"/>
            <w:hideMark/>
          </w:tcPr>
          <w:p w14:paraId="5C9442CB"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Quarter</w:t>
            </w:r>
          </w:p>
        </w:tc>
        <w:tc>
          <w:tcPr>
            <w:tcW w:w="611" w:type="dxa"/>
            <w:shd w:val="clear" w:color="auto" w:fill="BDD7EE"/>
            <w:vAlign w:val="center"/>
            <w:hideMark/>
          </w:tcPr>
          <w:p w14:paraId="3ED34116"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Year</w:t>
            </w:r>
          </w:p>
        </w:tc>
        <w:tc>
          <w:tcPr>
            <w:tcW w:w="2521" w:type="dxa"/>
            <w:vMerge/>
            <w:vAlign w:val="center"/>
            <w:hideMark/>
          </w:tcPr>
          <w:p w14:paraId="4974AC94" w14:textId="77777777" w:rsidR="0039681A" w:rsidRPr="00647572" w:rsidRDefault="0039681A" w:rsidP="00351087">
            <w:pPr>
              <w:rPr>
                <w:rFonts w:ascii="Arial Narrow" w:hAnsi="Arial Narrow"/>
                <w:b/>
                <w:noProof/>
                <w:sz w:val="20"/>
                <w:szCs w:val="20"/>
              </w:rPr>
            </w:pPr>
          </w:p>
        </w:tc>
      </w:tr>
      <w:tr w:rsidR="0039681A" w:rsidRPr="0070054C" w14:paraId="5D7E96A3" w14:textId="77777777" w:rsidTr="00351087">
        <w:trPr>
          <w:trHeight w:val="1065"/>
          <w:jc w:val="center"/>
        </w:trPr>
        <w:tc>
          <w:tcPr>
            <w:tcW w:w="1292" w:type="dxa"/>
            <w:shd w:val="clear" w:color="auto" w:fill="C6EFCE"/>
            <w:noWrap/>
            <w:vAlign w:val="center"/>
            <w:hideMark/>
          </w:tcPr>
          <w:p w14:paraId="4C92ED9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M4C2-1</w:t>
            </w:r>
          </w:p>
        </w:tc>
        <w:tc>
          <w:tcPr>
            <w:tcW w:w="1368" w:type="dxa"/>
            <w:shd w:val="clear" w:color="auto" w:fill="C6EFCE"/>
            <w:noWrap/>
            <w:vAlign w:val="center"/>
            <w:hideMark/>
          </w:tcPr>
          <w:p w14:paraId="3BB1658A"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 Investment 1.2: Funding projects presented by young researchers</w:t>
            </w:r>
          </w:p>
        </w:tc>
        <w:tc>
          <w:tcPr>
            <w:tcW w:w="1413" w:type="dxa"/>
            <w:shd w:val="clear" w:color="auto" w:fill="C6EFCE"/>
            <w:noWrap/>
            <w:vAlign w:val="center"/>
            <w:hideMark/>
          </w:tcPr>
          <w:p w14:paraId="1F91350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02" w:type="dxa"/>
            <w:shd w:val="clear" w:color="auto" w:fill="C6EFCE"/>
            <w:noWrap/>
            <w:vAlign w:val="center"/>
            <w:hideMark/>
          </w:tcPr>
          <w:p w14:paraId="20AB20FC" w14:textId="77777777" w:rsidR="0039681A" w:rsidRPr="00A36E36" w:rsidRDefault="0039681A" w:rsidP="00351087">
            <w:pPr>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Number of students awarded of a research grant</w:t>
            </w:r>
          </w:p>
        </w:tc>
        <w:tc>
          <w:tcPr>
            <w:tcW w:w="1377" w:type="dxa"/>
            <w:shd w:val="clear" w:color="auto" w:fill="C6EFCE"/>
            <w:noWrap/>
            <w:vAlign w:val="center"/>
            <w:hideMark/>
          </w:tcPr>
          <w:p w14:paraId="601D312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89" w:type="dxa"/>
            <w:shd w:val="clear" w:color="auto" w:fill="C6EFCE"/>
            <w:noWrap/>
            <w:vAlign w:val="center"/>
            <w:hideMark/>
          </w:tcPr>
          <w:p w14:paraId="5AF445B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074" w:type="dxa"/>
            <w:shd w:val="clear" w:color="auto" w:fill="C6EFCE"/>
            <w:noWrap/>
            <w:vAlign w:val="center"/>
            <w:hideMark/>
          </w:tcPr>
          <w:p w14:paraId="68236A6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50</w:t>
            </w:r>
          </w:p>
        </w:tc>
        <w:tc>
          <w:tcPr>
            <w:tcW w:w="1539" w:type="dxa"/>
            <w:shd w:val="clear" w:color="auto" w:fill="C6EFCE"/>
            <w:noWrap/>
            <w:vAlign w:val="center"/>
            <w:hideMark/>
          </w:tcPr>
          <w:p w14:paraId="31B6B57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300</w:t>
            </w:r>
          </w:p>
        </w:tc>
        <w:tc>
          <w:tcPr>
            <w:tcW w:w="975" w:type="dxa"/>
            <w:shd w:val="clear" w:color="auto" w:fill="C6EFCE"/>
            <w:noWrap/>
            <w:vAlign w:val="center"/>
            <w:hideMark/>
          </w:tcPr>
          <w:p w14:paraId="495D206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11" w:type="dxa"/>
            <w:shd w:val="clear" w:color="auto" w:fill="C6EFCE"/>
            <w:noWrap/>
            <w:vAlign w:val="center"/>
            <w:hideMark/>
          </w:tcPr>
          <w:p w14:paraId="14AFE3E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521" w:type="dxa"/>
            <w:shd w:val="clear" w:color="auto" w:fill="C6EFCE"/>
            <w:noWrap/>
            <w:vAlign w:val="center"/>
            <w:hideMark/>
          </w:tcPr>
          <w:p w14:paraId="3AC71DBD"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Award of at least 300 research grants to students. The selection procedure for the awarding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03CCA911"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The satisfactory fulfilment of the target will also take into consideration that at least 300 of young researchers are contracted.</w:t>
            </w:r>
          </w:p>
        </w:tc>
      </w:tr>
      <w:tr w:rsidR="0039681A" w:rsidRPr="0070054C" w14:paraId="78524FC4" w14:textId="77777777" w:rsidTr="00351087">
        <w:trPr>
          <w:trHeight w:val="1065"/>
          <w:jc w:val="center"/>
        </w:trPr>
        <w:tc>
          <w:tcPr>
            <w:tcW w:w="1292" w:type="dxa"/>
            <w:shd w:val="clear" w:color="auto" w:fill="C6EFCE"/>
            <w:noWrap/>
            <w:vAlign w:val="center"/>
            <w:hideMark/>
          </w:tcPr>
          <w:p w14:paraId="5C65E486"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szCs w:val="20"/>
              </w:rPr>
              <w:t>M4C2-1bis</w:t>
            </w:r>
          </w:p>
        </w:tc>
        <w:tc>
          <w:tcPr>
            <w:tcW w:w="1368" w:type="dxa"/>
            <w:shd w:val="clear" w:color="auto" w:fill="C6EFCE"/>
            <w:noWrap/>
            <w:vAlign w:val="center"/>
            <w:hideMark/>
          </w:tcPr>
          <w:p w14:paraId="3B2F54F2" w14:textId="604880BF" w:rsidR="0039681A" w:rsidRPr="00A36E36" w:rsidRDefault="0039681A" w:rsidP="0030508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Funding projects presented by young researchers</w:t>
            </w:r>
          </w:p>
        </w:tc>
        <w:tc>
          <w:tcPr>
            <w:tcW w:w="1413" w:type="dxa"/>
            <w:shd w:val="clear" w:color="auto" w:fill="C6EFCE"/>
            <w:noWrap/>
            <w:vAlign w:val="center"/>
            <w:hideMark/>
          </w:tcPr>
          <w:p w14:paraId="21DA9A0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302" w:type="dxa"/>
            <w:shd w:val="clear" w:color="auto" w:fill="C6EFCE"/>
            <w:noWrap/>
            <w:vAlign w:val="center"/>
            <w:hideMark/>
          </w:tcPr>
          <w:p w14:paraId="69936FAB" w14:textId="5880104D" w:rsidR="0039681A" w:rsidRPr="00A36E36" w:rsidRDefault="0039681A" w:rsidP="0030508A">
            <w:pPr>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 xml:space="preserve">Publication of the decree(s) awarding the funding to young researchers </w:t>
            </w:r>
          </w:p>
        </w:tc>
        <w:tc>
          <w:tcPr>
            <w:tcW w:w="1377" w:type="dxa"/>
            <w:shd w:val="clear" w:color="auto" w:fill="C6EFCE"/>
            <w:noWrap/>
            <w:vAlign w:val="center"/>
            <w:hideMark/>
          </w:tcPr>
          <w:p w14:paraId="582FE77C"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Publication of the decree(s)</w:t>
            </w:r>
          </w:p>
        </w:tc>
        <w:tc>
          <w:tcPr>
            <w:tcW w:w="1089" w:type="dxa"/>
            <w:shd w:val="clear" w:color="auto" w:fill="C6EFCE"/>
            <w:noWrap/>
            <w:vAlign w:val="center"/>
            <w:hideMark/>
          </w:tcPr>
          <w:p w14:paraId="40D05D4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074" w:type="dxa"/>
            <w:shd w:val="clear" w:color="auto" w:fill="C6EFCE"/>
            <w:noWrap/>
            <w:vAlign w:val="center"/>
            <w:hideMark/>
          </w:tcPr>
          <w:p w14:paraId="1496855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539" w:type="dxa"/>
            <w:shd w:val="clear" w:color="auto" w:fill="C6EFCE"/>
            <w:noWrap/>
            <w:vAlign w:val="center"/>
            <w:hideMark/>
          </w:tcPr>
          <w:p w14:paraId="6D85542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975" w:type="dxa"/>
            <w:shd w:val="clear" w:color="auto" w:fill="C6EFCE"/>
            <w:noWrap/>
            <w:vAlign w:val="center"/>
            <w:hideMark/>
          </w:tcPr>
          <w:p w14:paraId="2EFB6E2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611" w:type="dxa"/>
            <w:shd w:val="clear" w:color="auto" w:fill="C6EFCE"/>
            <w:noWrap/>
            <w:vAlign w:val="center"/>
            <w:hideMark/>
          </w:tcPr>
          <w:p w14:paraId="7EBDE1B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521" w:type="dxa"/>
            <w:shd w:val="clear" w:color="auto" w:fill="C6EFCE"/>
            <w:noWrap/>
            <w:vAlign w:val="center"/>
            <w:hideMark/>
          </w:tcPr>
          <w:p w14:paraId="558882D1"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Publication of the decree(s) awarding the funding to support at least 550 young researchers. </w:t>
            </w:r>
          </w:p>
          <w:p w14:paraId="710F7041"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Young researchers shall respect the following conditions: being aged up to 40 years old at the date when the call was lanched (profiles that are 40 years old at the date of the publication of the call for projects are eligible until turning 41 years old) or, for profiles aged between 41 years old and 45 years old having completed the PhD maximum 7 years earlier (profiles that are 45 years old at the date of the publication of the call for projects are eligible up until turning 46 years old).</w:t>
            </w:r>
          </w:p>
        </w:tc>
      </w:tr>
      <w:tr w:rsidR="0039681A" w:rsidRPr="0070054C" w14:paraId="771EA065" w14:textId="77777777" w:rsidTr="00351087">
        <w:trPr>
          <w:trHeight w:val="309"/>
          <w:jc w:val="center"/>
        </w:trPr>
        <w:tc>
          <w:tcPr>
            <w:tcW w:w="1292" w:type="dxa"/>
            <w:shd w:val="clear" w:color="auto" w:fill="C6EFCE"/>
            <w:noWrap/>
            <w:vAlign w:val="center"/>
          </w:tcPr>
          <w:p w14:paraId="08CB109C" w14:textId="77777777" w:rsidR="0039681A" w:rsidRPr="00647572" w:rsidRDefault="0039681A" w:rsidP="00351087">
            <w:pPr>
              <w:jc w:val="center"/>
              <w:rPr>
                <w:rFonts w:ascii="Arial Narrow" w:hAnsi="Arial Narrow"/>
                <w:noProof/>
                <w:color w:val="006100"/>
                <w:sz w:val="20"/>
                <w:szCs w:val="20"/>
              </w:rPr>
            </w:pPr>
            <w:r w:rsidRPr="62B66360">
              <w:rPr>
                <w:rFonts w:ascii="Arial Narrow" w:hAnsi="Arial Narrow"/>
                <w:noProof/>
                <w:color w:val="006100"/>
                <w:sz w:val="20"/>
                <w:szCs w:val="20"/>
              </w:rPr>
              <w:t>M4C2-2bis</w:t>
            </w:r>
          </w:p>
        </w:tc>
        <w:tc>
          <w:tcPr>
            <w:tcW w:w="1368" w:type="dxa"/>
            <w:shd w:val="clear" w:color="auto" w:fill="C6EFCE"/>
            <w:noWrap/>
            <w:vAlign w:val="center"/>
          </w:tcPr>
          <w:p w14:paraId="7148F4A1"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Investment 2.2 bis: Innovation Agreements</w:t>
            </w:r>
          </w:p>
        </w:tc>
        <w:tc>
          <w:tcPr>
            <w:tcW w:w="1413" w:type="dxa"/>
            <w:shd w:val="clear" w:color="auto" w:fill="C6EFCE"/>
            <w:noWrap/>
            <w:vAlign w:val="center"/>
          </w:tcPr>
          <w:p w14:paraId="16DDBB07"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Target</w:t>
            </w:r>
          </w:p>
        </w:tc>
        <w:tc>
          <w:tcPr>
            <w:tcW w:w="1302" w:type="dxa"/>
            <w:shd w:val="clear" w:color="auto" w:fill="C6EFCE"/>
            <w:noWrap/>
            <w:vAlign w:val="center"/>
          </w:tcPr>
          <w:p w14:paraId="535CBCCE"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Innovation Agreements for which the Ministry of Enterprises and Made in Italy has confirmed acceptance of the transmission of final reports by beneficiaries</w:t>
            </w:r>
          </w:p>
        </w:tc>
        <w:tc>
          <w:tcPr>
            <w:tcW w:w="1377" w:type="dxa"/>
            <w:shd w:val="clear" w:color="auto" w:fill="C6EFCE"/>
            <w:noWrap/>
            <w:vAlign w:val="center"/>
          </w:tcPr>
          <w:p w14:paraId="27C40CB2"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1089" w:type="dxa"/>
            <w:shd w:val="clear" w:color="auto" w:fill="C6EFCE"/>
            <w:noWrap/>
            <w:vAlign w:val="center"/>
          </w:tcPr>
          <w:p w14:paraId="2727C4AF"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Number</w:t>
            </w:r>
          </w:p>
        </w:tc>
        <w:tc>
          <w:tcPr>
            <w:tcW w:w="1074" w:type="dxa"/>
            <w:shd w:val="clear" w:color="auto" w:fill="C6EFCE"/>
            <w:noWrap/>
            <w:vAlign w:val="center"/>
          </w:tcPr>
          <w:p w14:paraId="3BB13402"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0</w:t>
            </w:r>
          </w:p>
        </w:tc>
        <w:tc>
          <w:tcPr>
            <w:tcW w:w="1539" w:type="dxa"/>
            <w:shd w:val="clear" w:color="auto" w:fill="C6EFCE"/>
            <w:noWrap/>
            <w:vAlign w:val="center"/>
          </w:tcPr>
          <w:p w14:paraId="182500A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32</w:t>
            </w:r>
          </w:p>
        </w:tc>
        <w:tc>
          <w:tcPr>
            <w:tcW w:w="975" w:type="dxa"/>
            <w:shd w:val="clear" w:color="auto" w:fill="C6EFCE"/>
            <w:noWrap/>
            <w:vAlign w:val="center"/>
          </w:tcPr>
          <w:p w14:paraId="5E97BF6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11" w:type="dxa"/>
            <w:shd w:val="clear" w:color="auto" w:fill="C6EFCE"/>
            <w:noWrap/>
            <w:vAlign w:val="center"/>
          </w:tcPr>
          <w:p w14:paraId="7E974C2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2025</w:t>
            </w:r>
          </w:p>
        </w:tc>
        <w:tc>
          <w:tcPr>
            <w:tcW w:w="2521" w:type="dxa"/>
            <w:shd w:val="clear" w:color="auto" w:fill="C6EFCE"/>
            <w:noWrap/>
            <w:vAlign w:val="center"/>
          </w:tcPr>
          <w:p w14:paraId="0D515DAC" w14:textId="77777777" w:rsidR="0039681A" w:rsidRPr="00A36E36" w:rsidRDefault="0039681A" w:rsidP="00351087">
            <w:pPr>
              <w:rPr>
                <w:rFonts w:ascii="Arial Narrow" w:hAnsi="Arial Narrow"/>
                <w:noProof/>
                <w:color w:val="006100"/>
                <w:sz w:val="20"/>
                <w:szCs w:val="20"/>
                <w:lang w:val="en-IE"/>
              </w:rPr>
            </w:pPr>
            <w:r w:rsidRPr="00E74433">
              <w:rPr>
                <w:rFonts w:ascii="Arial Narrow" w:hAnsi="Arial Narrow"/>
                <w:noProof/>
                <w:color w:val="006100"/>
                <w:sz w:val="20"/>
                <w:szCs w:val="20"/>
                <w:lang w:val="en-IE"/>
              </w:rPr>
              <w:t>Confirmation from the Ministry of Enterprises and Made in Italy accepting the</w:t>
            </w:r>
            <w:r w:rsidRPr="00A36E36">
              <w:rPr>
                <w:rFonts w:ascii="Arial Narrow" w:hAnsi="Arial Narrow"/>
                <w:noProof/>
                <w:color w:val="006100"/>
                <w:sz w:val="20"/>
                <w:szCs w:val="20"/>
                <w:lang w:val="en-IE"/>
              </w:rPr>
              <w:t xml:space="preserve"> transmission of the</w:t>
            </w:r>
            <w:r w:rsidRPr="00E74433">
              <w:rPr>
                <w:rFonts w:ascii="Arial Narrow" w:hAnsi="Arial Narrow"/>
                <w:noProof/>
                <w:color w:val="006100"/>
                <w:sz w:val="20"/>
                <w:szCs w:val="20"/>
                <w:lang w:val="en-IE"/>
              </w:rPr>
              <w:t xml:space="preserve"> final reports by beneficiaries</w:t>
            </w:r>
            <w:r w:rsidRPr="00A36E36">
              <w:rPr>
                <w:rFonts w:ascii="Arial Narrow" w:hAnsi="Arial Narrow"/>
                <w:noProof/>
                <w:color w:val="006100"/>
                <w:sz w:val="20"/>
                <w:szCs w:val="20"/>
                <w:lang w:val="en-IE"/>
              </w:rPr>
              <w:t xml:space="preserve"> for at least 32 Innovation Agreements covering at least one of the following intervention areas: </w:t>
            </w:r>
          </w:p>
          <w:p w14:paraId="05833960" w14:textId="77777777" w:rsidR="0039681A" w:rsidRPr="00647572" w:rsidRDefault="0039681A" w:rsidP="0039681A">
            <w:pPr>
              <w:numPr>
                <w:ilvl w:val="0"/>
                <w:numId w:val="142"/>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 xml:space="preserve">manufacturing technologies; </w:t>
            </w:r>
          </w:p>
          <w:p w14:paraId="163CB998" w14:textId="77777777" w:rsidR="0039681A" w:rsidRPr="00647572" w:rsidRDefault="0039681A" w:rsidP="0039681A">
            <w:pPr>
              <w:numPr>
                <w:ilvl w:val="0"/>
                <w:numId w:val="142"/>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key digital technologies, including quantum technologies;</w:t>
            </w:r>
          </w:p>
          <w:p w14:paraId="32A8CC05" w14:textId="77777777" w:rsidR="0039681A" w:rsidRPr="00647572" w:rsidRDefault="0039681A" w:rsidP="0039681A">
            <w:pPr>
              <w:numPr>
                <w:ilvl w:val="0"/>
                <w:numId w:val="142"/>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 xml:space="preserve">emerging enabling technologies; </w:t>
            </w:r>
          </w:p>
          <w:p w14:paraId="10A7A074" w14:textId="77777777" w:rsidR="0039681A" w:rsidRPr="00647572" w:rsidRDefault="0039681A" w:rsidP="0039681A">
            <w:pPr>
              <w:numPr>
                <w:ilvl w:val="0"/>
                <w:numId w:val="142"/>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advanced materials;</w:t>
            </w:r>
          </w:p>
          <w:p w14:paraId="09C3444E" w14:textId="77777777" w:rsidR="0039681A" w:rsidRPr="00647572" w:rsidRDefault="0039681A" w:rsidP="0039681A">
            <w:pPr>
              <w:numPr>
                <w:ilvl w:val="0"/>
                <w:numId w:val="142"/>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 xml:space="preserve">artificial intelligence and robotics; </w:t>
            </w:r>
          </w:p>
          <w:p w14:paraId="232026B9" w14:textId="77777777" w:rsidR="0039681A" w:rsidRPr="00647572" w:rsidRDefault="0039681A" w:rsidP="0039681A">
            <w:pPr>
              <w:numPr>
                <w:ilvl w:val="0"/>
                <w:numId w:val="142"/>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 xml:space="preserve">circular industries; </w:t>
            </w:r>
          </w:p>
          <w:p w14:paraId="237A5E80" w14:textId="77777777" w:rsidR="0039681A" w:rsidRPr="00A36E36" w:rsidRDefault="0039681A" w:rsidP="0039681A">
            <w:pPr>
              <w:numPr>
                <w:ilvl w:val="0"/>
                <w:numId w:val="142"/>
              </w:numPr>
              <w:spacing w:line="279" w:lineRule="auto"/>
              <w:ind w:left="49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low carbon and clean industries; </w:t>
            </w:r>
          </w:p>
          <w:p w14:paraId="28881F6E" w14:textId="77777777" w:rsidR="0039681A" w:rsidRPr="007D1B90" w:rsidRDefault="0039681A" w:rsidP="0039681A">
            <w:pPr>
              <w:numPr>
                <w:ilvl w:val="0"/>
                <w:numId w:val="142"/>
              </w:numPr>
              <w:spacing w:line="279" w:lineRule="auto"/>
              <w:ind w:left="490"/>
              <w:rPr>
                <w:rFonts w:ascii="Arial Narrow" w:hAnsi="Arial Narrow"/>
                <w:noProof/>
                <w:color w:val="006100"/>
                <w:sz w:val="20"/>
                <w:szCs w:val="20"/>
                <w:lang w:val="en-IE"/>
              </w:rPr>
            </w:pPr>
            <w:r w:rsidRPr="007D1B90">
              <w:rPr>
                <w:rFonts w:ascii="Arial Narrow" w:hAnsi="Arial Narrow"/>
                <w:noProof/>
                <w:color w:val="006100"/>
                <w:sz w:val="20"/>
                <w:szCs w:val="20"/>
                <w:lang w:val="en-IE"/>
              </w:rPr>
              <w:t>non-communicable and rare diseases;</w:t>
            </w:r>
          </w:p>
          <w:p w14:paraId="092A8B04" w14:textId="77777777" w:rsidR="0039681A" w:rsidRPr="00A36E36" w:rsidRDefault="0039681A" w:rsidP="0039681A">
            <w:pPr>
              <w:numPr>
                <w:ilvl w:val="0"/>
                <w:numId w:val="142"/>
              </w:numPr>
              <w:spacing w:line="279" w:lineRule="auto"/>
              <w:ind w:left="49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infectious diseases, including poverty-related and neglected diseases; </w:t>
            </w:r>
          </w:p>
          <w:p w14:paraId="4023D9F1" w14:textId="77777777" w:rsidR="0039681A" w:rsidRPr="00A36E36" w:rsidRDefault="0039681A" w:rsidP="0039681A">
            <w:pPr>
              <w:numPr>
                <w:ilvl w:val="0"/>
                <w:numId w:val="142"/>
              </w:numPr>
              <w:spacing w:line="279" w:lineRule="auto"/>
              <w:ind w:left="490"/>
              <w:rPr>
                <w:rFonts w:ascii="Arial Narrow" w:hAnsi="Arial Narrow"/>
                <w:noProof/>
                <w:color w:val="006100"/>
                <w:sz w:val="20"/>
                <w:szCs w:val="20"/>
                <w:lang w:val="en-IE"/>
              </w:rPr>
            </w:pPr>
            <w:r w:rsidRPr="00A36E36">
              <w:rPr>
                <w:rFonts w:ascii="Arial Narrow" w:hAnsi="Arial Narrow"/>
                <w:noProof/>
                <w:color w:val="006100"/>
                <w:sz w:val="20"/>
                <w:szCs w:val="20"/>
                <w:lang w:val="en-IE"/>
              </w:rPr>
              <w:t>tools, technologies and digital solutions for health and care, including personalised medicine;</w:t>
            </w:r>
          </w:p>
          <w:p w14:paraId="3A6CC2F3" w14:textId="77777777" w:rsidR="0039681A" w:rsidRPr="00A36E36" w:rsidRDefault="0039681A" w:rsidP="0039681A">
            <w:pPr>
              <w:numPr>
                <w:ilvl w:val="0"/>
                <w:numId w:val="142"/>
              </w:numPr>
              <w:spacing w:line="279" w:lineRule="auto"/>
              <w:ind w:left="490"/>
              <w:rPr>
                <w:rFonts w:ascii="Arial Narrow" w:hAnsi="Arial Narrow"/>
                <w:noProof/>
                <w:color w:val="006100"/>
                <w:sz w:val="20"/>
                <w:szCs w:val="20"/>
                <w:lang w:val="en-IE"/>
              </w:rPr>
            </w:pPr>
            <w:r w:rsidRPr="00A36E36">
              <w:rPr>
                <w:rFonts w:ascii="Arial Narrow" w:hAnsi="Arial Narrow"/>
                <w:noProof/>
                <w:color w:val="006100"/>
                <w:sz w:val="20"/>
                <w:szCs w:val="20"/>
                <w:lang w:val="en-IE"/>
              </w:rPr>
              <w:t>industrial facilities in energy transition;</w:t>
            </w:r>
          </w:p>
          <w:p w14:paraId="797FBA4B" w14:textId="77777777" w:rsidR="0039681A" w:rsidRPr="00647572" w:rsidRDefault="0039681A" w:rsidP="0039681A">
            <w:pPr>
              <w:numPr>
                <w:ilvl w:val="0"/>
                <w:numId w:val="142"/>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industrial competitiveness in transport;</w:t>
            </w:r>
          </w:p>
          <w:p w14:paraId="341ABD2B" w14:textId="77777777" w:rsidR="0039681A" w:rsidRPr="00A36E36" w:rsidRDefault="0039681A" w:rsidP="0039681A">
            <w:pPr>
              <w:numPr>
                <w:ilvl w:val="0"/>
                <w:numId w:val="142"/>
              </w:numPr>
              <w:spacing w:line="279" w:lineRule="auto"/>
              <w:ind w:left="490"/>
              <w:rPr>
                <w:rFonts w:ascii="Arial Narrow" w:hAnsi="Arial Narrow"/>
                <w:noProof/>
                <w:color w:val="006100"/>
                <w:sz w:val="20"/>
                <w:szCs w:val="20"/>
                <w:lang w:val="en-IE"/>
              </w:rPr>
            </w:pPr>
            <w:r w:rsidRPr="00A36E36">
              <w:rPr>
                <w:rFonts w:ascii="Arial Narrow" w:hAnsi="Arial Narrow"/>
                <w:noProof/>
                <w:color w:val="006100"/>
                <w:sz w:val="20"/>
                <w:szCs w:val="20"/>
                <w:lang w:val="en-IE"/>
              </w:rPr>
              <w:t>clean, safe and accessible transport and mobility;</w:t>
            </w:r>
          </w:p>
          <w:p w14:paraId="00D7E015" w14:textId="77777777" w:rsidR="0039681A" w:rsidRPr="00647572" w:rsidRDefault="0039681A" w:rsidP="0039681A">
            <w:pPr>
              <w:numPr>
                <w:ilvl w:val="0"/>
                <w:numId w:val="142"/>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 xml:space="preserve">smart mobility; </w:t>
            </w:r>
          </w:p>
          <w:p w14:paraId="74BC47B6" w14:textId="77777777" w:rsidR="0039681A" w:rsidRPr="00647572" w:rsidRDefault="0039681A" w:rsidP="0039681A">
            <w:pPr>
              <w:numPr>
                <w:ilvl w:val="0"/>
                <w:numId w:val="142"/>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energy storage;</w:t>
            </w:r>
          </w:p>
          <w:p w14:paraId="76181943" w14:textId="77777777" w:rsidR="0039681A" w:rsidRPr="00647572" w:rsidRDefault="0039681A" w:rsidP="0039681A">
            <w:pPr>
              <w:numPr>
                <w:ilvl w:val="0"/>
                <w:numId w:val="142"/>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food systems;</w:t>
            </w:r>
          </w:p>
          <w:p w14:paraId="158E065F" w14:textId="77777777" w:rsidR="0039681A" w:rsidRPr="00A36E36" w:rsidRDefault="0039681A" w:rsidP="0039681A">
            <w:pPr>
              <w:numPr>
                <w:ilvl w:val="0"/>
                <w:numId w:val="142"/>
              </w:numPr>
              <w:spacing w:line="279" w:lineRule="auto"/>
              <w:ind w:left="490"/>
              <w:rPr>
                <w:rFonts w:ascii="Arial Narrow" w:hAnsi="Arial Narrow"/>
                <w:noProof/>
                <w:color w:val="006100"/>
                <w:sz w:val="20"/>
                <w:szCs w:val="20"/>
                <w:lang w:val="en-IE"/>
              </w:rPr>
            </w:pPr>
            <w:r w:rsidRPr="00A36E36">
              <w:rPr>
                <w:rFonts w:ascii="Arial Narrow" w:hAnsi="Arial Narrow"/>
                <w:noProof/>
                <w:color w:val="006100"/>
                <w:sz w:val="20"/>
                <w:szCs w:val="20"/>
                <w:lang w:val="en-IE"/>
              </w:rPr>
              <w:t>bio-based innovation systems in the Union's bioeconomy;</w:t>
            </w:r>
          </w:p>
          <w:p w14:paraId="049714B3" w14:textId="77777777" w:rsidR="0039681A" w:rsidRDefault="0039681A" w:rsidP="0039681A">
            <w:pPr>
              <w:numPr>
                <w:ilvl w:val="0"/>
                <w:numId w:val="142"/>
              </w:numPr>
              <w:spacing w:line="279" w:lineRule="auto"/>
              <w:ind w:left="490"/>
              <w:rPr>
                <w:rFonts w:ascii="Arial Narrow" w:hAnsi="Arial Narrow"/>
                <w:noProof/>
                <w:color w:val="006100"/>
                <w:sz w:val="20"/>
                <w:szCs w:val="20"/>
              </w:rPr>
            </w:pPr>
            <w:r w:rsidRPr="00647572">
              <w:rPr>
                <w:rFonts w:ascii="Arial Narrow" w:hAnsi="Arial Narrow"/>
                <w:noProof/>
                <w:color w:val="006100"/>
                <w:sz w:val="20"/>
                <w:szCs w:val="20"/>
              </w:rPr>
              <w:t>circular systems.</w:t>
            </w:r>
          </w:p>
          <w:p w14:paraId="68469713" w14:textId="77777777" w:rsidR="0039681A" w:rsidRPr="00A36E36" w:rsidRDefault="0039681A" w:rsidP="00351087">
            <w:pPr>
              <w:rPr>
                <w:rFonts w:ascii="Arial Narrow" w:eastAsia="Arial Narrow" w:hAnsi="Arial Narrow" w:cs="Arial Narrow"/>
                <w:noProof/>
                <w:sz w:val="20"/>
                <w:szCs w:val="20"/>
                <w:lang w:val="en-IE"/>
              </w:rPr>
            </w:pPr>
            <w:r w:rsidRPr="00A36E36">
              <w:rPr>
                <w:rFonts w:ascii="Arial Narrow" w:eastAsia="Arial Narrow" w:hAnsi="Arial Narrow" w:cs="Arial Narrow"/>
                <w:noProof/>
                <w:color w:val="006100"/>
                <w:sz w:val="20"/>
                <w:szCs w:val="20"/>
                <w:lang w:val="en-IE"/>
              </w:rPr>
              <w:t xml:space="preserve">The Innovation Agreements for which </w:t>
            </w:r>
            <w:r w:rsidRPr="00A36E36">
              <w:rPr>
                <w:rFonts w:ascii="Arial Narrow" w:hAnsi="Arial Narrow"/>
                <w:noProof/>
                <w:color w:val="006100"/>
                <w:sz w:val="20"/>
                <w:szCs w:val="20"/>
                <w:lang w:val="en-IE"/>
              </w:rPr>
              <w:t>the Ministry of Enterprises and Made in Italy confirmed acceptance of the transmission of final reports by beneficiaries</w:t>
            </w:r>
            <w:r w:rsidRPr="00A36E36">
              <w:rPr>
                <w:rFonts w:ascii="Arial Narrow" w:eastAsia="Arial Narrow" w:hAnsi="Arial Narrow" w:cs="Arial Narrow"/>
                <w:noProof/>
                <w:color w:val="006100"/>
                <w:sz w:val="20"/>
                <w:szCs w:val="20"/>
                <w:lang w:val="en-IE"/>
              </w:rPr>
              <w:t xml:space="preserve"> shall comply with the ‘Do no significant harm’ Technical Guidance (2021/C58/01). </w:t>
            </w:r>
          </w:p>
        </w:tc>
      </w:tr>
      <w:tr w:rsidR="0039681A" w:rsidRPr="0070054C" w14:paraId="43935FF2" w14:textId="77777777" w:rsidTr="00351087">
        <w:trPr>
          <w:trHeight w:val="309"/>
          <w:jc w:val="center"/>
        </w:trPr>
        <w:tc>
          <w:tcPr>
            <w:tcW w:w="1292" w:type="dxa"/>
            <w:shd w:val="clear" w:color="auto" w:fill="C6EFCE"/>
            <w:noWrap/>
            <w:vAlign w:val="center"/>
            <w:hideMark/>
          </w:tcPr>
          <w:p w14:paraId="6CFC437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M4C2-3</w:t>
            </w:r>
          </w:p>
        </w:tc>
        <w:tc>
          <w:tcPr>
            <w:tcW w:w="1368" w:type="dxa"/>
            <w:shd w:val="clear" w:color="auto" w:fill="C6EFCE"/>
            <w:noWrap/>
            <w:vAlign w:val="center"/>
            <w:hideMark/>
          </w:tcPr>
          <w:p w14:paraId="24B61BE8" w14:textId="7B03351A" w:rsidR="0039681A" w:rsidRPr="00A36E36" w:rsidRDefault="0039681A" w:rsidP="00351087">
            <w:pPr>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 xml:space="preserve">Investment 3.3: Award of PhD scholarships </w:t>
            </w:r>
            <w:r w:rsidRPr="00906E44">
              <w:rPr>
                <w:rFonts w:ascii="Arial Narrow" w:hAnsi="Arial Narrow"/>
                <w:noProof/>
                <w:color w:val="006100"/>
                <w:sz w:val="20"/>
                <w:szCs w:val="20"/>
                <w:lang w:val="en-IE"/>
              </w:rPr>
              <w:t>in</w:t>
            </w:r>
            <w:r w:rsidRPr="00A36E36">
              <w:rPr>
                <w:rFonts w:ascii="Arial Narrow" w:hAnsi="Arial Narrow"/>
                <w:noProof/>
                <w:color w:val="006100"/>
                <w:sz w:val="20"/>
                <w:szCs w:val="20"/>
                <w:lang w:val="en-IE"/>
              </w:rPr>
              <w:t xml:space="preserve"> collaboration with enterprises and promote the hiring of researchers by companies</w:t>
            </w:r>
          </w:p>
        </w:tc>
        <w:tc>
          <w:tcPr>
            <w:tcW w:w="1413" w:type="dxa"/>
            <w:shd w:val="clear" w:color="auto" w:fill="C6EFCE"/>
            <w:noWrap/>
            <w:vAlign w:val="center"/>
            <w:hideMark/>
          </w:tcPr>
          <w:p w14:paraId="795952B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02" w:type="dxa"/>
            <w:shd w:val="clear" w:color="auto" w:fill="C6EFCE"/>
            <w:noWrap/>
            <w:vAlign w:val="center"/>
            <w:hideMark/>
          </w:tcPr>
          <w:p w14:paraId="72C83D74"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Number of PhDs scholarships awarded</w:t>
            </w:r>
          </w:p>
        </w:tc>
        <w:tc>
          <w:tcPr>
            <w:tcW w:w="1377" w:type="dxa"/>
            <w:shd w:val="clear" w:color="auto" w:fill="C6EFCE"/>
            <w:noWrap/>
            <w:vAlign w:val="center"/>
            <w:hideMark/>
          </w:tcPr>
          <w:p w14:paraId="06EA83D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89" w:type="dxa"/>
            <w:shd w:val="clear" w:color="auto" w:fill="C6EFCE"/>
            <w:noWrap/>
            <w:vAlign w:val="center"/>
            <w:hideMark/>
          </w:tcPr>
          <w:p w14:paraId="6DD10DA5"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Number</w:t>
            </w:r>
          </w:p>
        </w:tc>
        <w:tc>
          <w:tcPr>
            <w:tcW w:w="1074" w:type="dxa"/>
            <w:shd w:val="clear" w:color="auto" w:fill="C6EFCE"/>
            <w:noWrap/>
            <w:vAlign w:val="center"/>
            <w:hideMark/>
          </w:tcPr>
          <w:p w14:paraId="08056FC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539" w:type="dxa"/>
            <w:shd w:val="clear" w:color="auto" w:fill="C6EFCE"/>
            <w:noWrap/>
            <w:vAlign w:val="center"/>
            <w:hideMark/>
          </w:tcPr>
          <w:p w14:paraId="539DCA1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6</w:t>
            </w:r>
            <w:r w:rsidRPr="00647572">
              <w:rPr>
                <w:noProof/>
                <w:sz w:val="23"/>
                <w:szCs w:val="23"/>
              </w:rPr>
              <w:t> </w:t>
            </w:r>
            <w:r w:rsidRPr="00647572">
              <w:rPr>
                <w:rFonts w:ascii="Arial Narrow" w:hAnsi="Arial Narrow"/>
                <w:noProof/>
                <w:color w:val="006100"/>
                <w:sz w:val="20"/>
              </w:rPr>
              <w:t>000</w:t>
            </w:r>
          </w:p>
        </w:tc>
        <w:tc>
          <w:tcPr>
            <w:tcW w:w="975" w:type="dxa"/>
            <w:shd w:val="clear" w:color="auto" w:fill="C6EFCE"/>
            <w:noWrap/>
            <w:vAlign w:val="center"/>
            <w:hideMark/>
          </w:tcPr>
          <w:p w14:paraId="675E689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11" w:type="dxa"/>
            <w:shd w:val="clear" w:color="auto" w:fill="C6EFCE"/>
            <w:noWrap/>
            <w:vAlign w:val="center"/>
            <w:hideMark/>
          </w:tcPr>
          <w:p w14:paraId="2BDF1DF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521" w:type="dxa"/>
            <w:shd w:val="clear" w:color="auto" w:fill="C6EFCE"/>
            <w:noWrap/>
            <w:vAlign w:val="center"/>
            <w:hideMark/>
          </w:tcPr>
          <w:p w14:paraId="298DF7B5" w14:textId="77777777" w:rsidR="0039681A" w:rsidRPr="00A36E36" w:rsidRDefault="0039681A" w:rsidP="00351087">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 at least 6</w:t>
            </w:r>
            <w:r w:rsidRPr="00A36E36">
              <w:rPr>
                <w:noProof/>
                <w:sz w:val="23"/>
                <w:szCs w:val="23"/>
                <w:lang w:val="en-IE"/>
              </w:rPr>
              <w:t> </w:t>
            </w:r>
            <w:r w:rsidRPr="00A36E36">
              <w:rPr>
                <w:rFonts w:ascii="Arial Narrow" w:hAnsi="Arial Narrow"/>
                <w:noProof/>
                <w:color w:val="006100"/>
                <w:sz w:val="20"/>
                <w:szCs w:val="20"/>
                <w:lang w:val="en-IE"/>
              </w:rPr>
              <w:t>000 Ph.D scholarships, by Universities and AFAM institutions.</w:t>
            </w:r>
          </w:p>
          <w:p w14:paraId="4664A635" w14:textId="77777777" w:rsidR="0039681A" w:rsidRPr="00A36E36" w:rsidRDefault="0039681A" w:rsidP="00351087">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Critical requirements for the award of PhDs include:</w:t>
            </w:r>
          </w:p>
          <w:p w14:paraId="1E4915B9" w14:textId="77777777" w:rsidR="0039681A" w:rsidRPr="00A36E36" w:rsidRDefault="0039681A" w:rsidP="00351087">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 provide for periods of study and research in the company from a minimum of six (6) months to a maximum of eighteen (18) months;</w:t>
            </w:r>
          </w:p>
          <w:p w14:paraId="74D32535" w14:textId="77777777" w:rsidR="0039681A" w:rsidRPr="00A36E36" w:rsidRDefault="0039681A" w:rsidP="00351087">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b) provide for periods of study and research abroad from a minimum of six (6) months to a maximum of eighteen (18) months;</w:t>
            </w:r>
          </w:p>
          <w:p w14:paraId="63475BA3" w14:textId="77777777" w:rsidR="0039681A" w:rsidRPr="00A36E36" w:rsidRDefault="0039681A" w:rsidP="00351087">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c) provide for the involvement of companies in defining the training course also in the context of wider collaborations with the University and AFAM Institutions.</w:t>
            </w:r>
          </w:p>
        </w:tc>
      </w:tr>
      <w:tr w:rsidR="0039681A" w:rsidRPr="0070054C" w14:paraId="0C018195" w14:textId="77777777" w:rsidTr="00351087">
        <w:trPr>
          <w:trHeight w:val="309"/>
          <w:jc w:val="center"/>
        </w:trPr>
        <w:tc>
          <w:tcPr>
            <w:tcW w:w="1292" w:type="dxa"/>
            <w:shd w:val="clear" w:color="auto" w:fill="C6EFCE"/>
            <w:noWrap/>
            <w:vAlign w:val="center"/>
            <w:hideMark/>
          </w:tcPr>
          <w:p w14:paraId="07D497B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M4C2-4</w:t>
            </w:r>
          </w:p>
        </w:tc>
        <w:tc>
          <w:tcPr>
            <w:tcW w:w="1368" w:type="dxa"/>
            <w:shd w:val="clear" w:color="auto" w:fill="C6EFCE"/>
            <w:noWrap/>
            <w:vAlign w:val="center"/>
            <w:hideMark/>
          </w:tcPr>
          <w:p w14:paraId="01CC0D70"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1.1: Implementation of R&amp;D support measures to foster simplification and mobility</w:t>
            </w:r>
          </w:p>
        </w:tc>
        <w:tc>
          <w:tcPr>
            <w:tcW w:w="1413" w:type="dxa"/>
            <w:shd w:val="clear" w:color="auto" w:fill="C6EFCE"/>
            <w:noWrap/>
            <w:vAlign w:val="center"/>
            <w:hideMark/>
          </w:tcPr>
          <w:p w14:paraId="0C2C34A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02" w:type="dxa"/>
            <w:shd w:val="clear" w:color="auto" w:fill="C6EFCE"/>
            <w:noWrap/>
            <w:vAlign w:val="center"/>
            <w:hideMark/>
          </w:tcPr>
          <w:p w14:paraId="16EC3ED7"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Ministerial Decrees on R&amp;D simplification and mobility linked to the ordinary financing fund.</w:t>
            </w:r>
          </w:p>
        </w:tc>
        <w:tc>
          <w:tcPr>
            <w:tcW w:w="1377" w:type="dxa"/>
            <w:shd w:val="clear" w:color="auto" w:fill="C6EFCE"/>
            <w:noWrap/>
            <w:vAlign w:val="center"/>
            <w:hideMark/>
          </w:tcPr>
          <w:p w14:paraId="00337E9D"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 of the law</w:t>
            </w:r>
          </w:p>
        </w:tc>
        <w:tc>
          <w:tcPr>
            <w:tcW w:w="1089" w:type="dxa"/>
            <w:shd w:val="clear" w:color="auto" w:fill="C6EFCE"/>
            <w:noWrap/>
            <w:vAlign w:val="center"/>
            <w:hideMark/>
          </w:tcPr>
          <w:p w14:paraId="528D005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74" w:type="dxa"/>
            <w:shd w:val="clear" w:color="auto" w:fill="C6EFCE"/>
            <w:noWrap/>
            <w:vAlign w:val="center"/>
            <w:hideMark/>
          </w:tcPr>
          <w:p w14:paraId="0652439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539" w:type="dxa"/>
            <w:shd w:val="clear" w:color="auto" w:fill="C6EFCE"/>
            <w:noWrap/>
            <w:vAlign w:val="center"/>
            <w:hideMark/>
          </w:tcPr>
          <w:p w14:paraId="1CF7B05B" w14:textId="77777777" w:rsidR="0039681A" w:rsidRPr="00647572" w:rsidRDefault="0039681A" w:rsidP="00351087">
            <w:pPr>
              <w:jc w:val="center"/>
              <w:rPr>
                <w:rFonts w:ascii="Arial Narrow" w:hAnsi="Arial Narrow"/>
                <w:noProof/>
                <w:color w:val="006100"/>
                <w:sz w:val="20"/>
                <w:szCs w:val="20"/>
              </w:rPr>
            </w:pPr>
          </w:p>
        </w:tc>
        <w:tc>
          <w:tcPr>
            <w:tcW w:w="975" w:type="dxa"/>
            <w:shd w:val="clear" w:color="auto" w:fill="C6EFCE"/>
            <w:noWrap/>
            <w:vAlign w:val="center"/>
            <w:hideMark/>
          </w:tcPr>
          <w:p w14:paraId="653544E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611" w:type="dxa"/>
            <w:shd w:val="clear" w:color="auto" w:fill="C6EFCE"/>
            <w:noWrap/>
            <w:vAlign w:val="center"/>
            <w:hideMark/>
          </w:tcPr>
          <w:p w14:paraId="47A08A4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521" w:type="dxa"/>
            <w:shd w:val="clear" w:color="auto" w:fill="C6EFCE"/>
            <w:noWrap/>
            <w:vAlign w:val="center"/>
            <w:hideMark/>
          </w:tcPr>
          <w:p w14:paraId="74E5F9D8" w14:textId="77777777" w:rsidR="0039681A" w:rsidRPr="00A36E36" w:rsidRDefault="0039681A" w:rsidP="00351087">
            <w:pPr>
              <w:spacing w:after="0"/>
              <w:rPr>
                <w:rFonts w:ascii="Arial Narrow" w:hAnsi="Arial Narrow"/>
                <w:noProof/>
                <w:color w:val="006100"/>
                <w:sz w:val="20"/>
                <w:szCs w:val="20"/>
                <w:lang w:val="en-IE"/>
              </w:rPr>
            </w:pPr>
            <w:r w:rsidRPr="00A36E36">
              <w:rPr>
                <w:rFonts w:ascii="Arial Narrow" w:hAnsi="Arial Narrow"/>
                <w:noProof/>
                <w:color w:val="006100"/>
                <w:sz w:val="20"/>
                <w:lang w:val="en-IE"/>
              </w:rPr>
              <w:t>The Ministerial Decrees shall include the following key elements:</w:t>
            </w:r>
          </w:p>
          <w:p w14:paraId="35AEBFD1" w14:textId="77777777" w:rsidR="0039681A" w:rsidRPr="00A36E36" w:rsidRDefault="0039681A" w:rsidP="00351087">
            <w:pPr>
              <w:spacing w:after="0"/>
              <w:rPr>
                <w:rFonts w:ascii="Arial Narrow" w:hAnsi="Arial Narrow"/>
                <w:noProof/>
                <w:color w:val="006100"/>
                <w:sz w:val="20"/>
                <w:szCs w:val="20"/>
                <w:lang w:val="en-IE"/>
              </w:rPr>
            </w:pPr>
            <w:r w:rsidRPr="00A36E36">
              <w:rPr>
                <w:rFonts w:ascii="Arial Narrow" w:hAnsi="Arial Narrow"/>
                <w:noProof/>
                <w:color w:val="006100"/>
                <w:sz w:val="20"/>
                <w:szCs w:val="20"/>
                <w:lang w:val="en-IE"/>
              </w:rPr>
              <w:t>i) move to more systemic approach to R&amp;D activities through a new simplified model aimed at generating a significant impact through avoiding dispersion and fragmentation of priorities; ii) reform legislation to increase mobility of high-profile figures (such as researchers and managers) among Universities, Research infrastructures and companies; iii) simplification of funds management; iv) reform career path of researchers to increase their focus on research activities.</w:t>
            </w:r>
          </w:p>
        </w:tc>
      </w:tr>
      <w:tr w:rsidR="0039681A" w:rsidRPr="0070054C" w14:paraId="0753F837" w14:textId="77777777" w:rsidTr="00351087">
        <w:trPr>
          <w:trHeight w:val="309"/>
          <w:jc w:val="center"/>
        </w:trPr>
        <w:tc>
          <w:tcPr>
            <w:tcW w:w="1292" w:type="dxa"/>
            <w:shd w:val="clear" w:color="auto" w:fill="C6EFCE"/>
            <w:noWrap/>
            <w:vAlign w:val="center"/>
            <w:hideMark/>
          </w:tcPr>
          <w:p w14:paraId="30D4DDA3" w14:textId="77777777" w:rsidR="0039681A" w:rsidRPr="00647572" w:rsidRDefault="0039681A" w:rsidP="00351087">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M4C2-4bis</w:t>
            </w:r>
          </w:p>
        </w:tc>
        <w:tc>
          <w:tcPr>
            <w:tcW w:w="1368" w:type="dxa"/>
            <w:shd w:val="clear" w:color="auto" w:fill="C6EFCE"/>
            <w:noWrap/>
            <w:vAlign w:val="center"/>
            <w:hideMark/>
          </w:tcPr>
          <w:p w14:paraId="71478C01" w14:textId="77777777" w:rsidR="0039681A" w:rsidRPr="00A36E36" w:rsidRDefault="0039681A" w:rsidP="00351087">
            <w:pPr>
              <w:jc w:val="center"/>
              <w:rPr>
                <w:rFonts w:ascii="Arial Narrow" w:eastAsia="Arial Narrow" w:hAnsi="Arial Narrow" w:cs="Arial Narrow"/>
                <w:noProof/>
                <w:color w:val="006100"/>
                <w:sz w:val="20"/>
                <w:szCs w:val="20"/>
                <w:lang w:val="en-IE"/>
              </w:rPr>
            </w:pPr>
            <w:r w:rsidRPr="00A36E36">
              <w:rPr>
                <w:rFonts w:ascii="Arial Narrow" w:eastAsia="Arial Narrow" w:hAnsi="Arial Narrow" w:cs="Arial Narrow"/>
                <w:noProof/>
                <w:color w:val="006100"/>
                <w:sz w:val="20"/>
                <w:szCs w:val="20"/>
                <w:lang w:val="en-IE"/>
              </w:rPr>
              <w:t>Reform 1.2: Three-year plan for the financing of research activities</w:t>
            </w:r>
          </w:p>
        </w:tc>
        <w:tc>
          <w:tcPr>
            <w:tcW w:w="1413" w:type="dxa"/>
            <w:shd w:val="clear" w:color="auto" w:fill="C6EFCE"/>
            <w:noWrap/>
            <w:vAlign w:val="center"/>
            <w:hideMark/>
          </w:tcPr>
          <w:p w14:paraId="60D301BD" w14:textId="77777777" w:rsidR="0039681A" w:rsidRPr="00647572" w:rsidRDefault="0039681A" w:rsidP="00351087">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Milestone</w:t>
            </w:r>
          </w:p>
        </w:tc>
        <w:tc>
          <w:tcPr>
            <w:tcW w:w="1302" w:type="dxa"/>
            <w:shd w:val="clear" w:color="auto" w:fill="C6EFCE"/>
            <w:noWrap/>
            <w:vAlign w:val="center"/>
            <w:hideMark/>
          </w:tcPr>
          <w:p w14:paraId="19F6A7C6" w14:textId="77777777" w:rsidR="0039681A" w:rsidRPr="00A36E36" w:rsidRDefault="0039681A" w:rsidP="00351087">
            <w:pPr>
              <w:spacing w:line="257" w:lineRule="auto"/>
              <w:jc w:val="center"/>
              <w:rPr>
                <w:rFonts w:ascii="Arial Narrow" w:eastAsia="Arial Narrow" w:hAnsi="Arial Narrow" w:cs="Arial Narrow"/>
                <w:noProof/>
                <w:color w:val="006100"/>
                <w:sz w:val="20"/>
                <w:szCs w:val="20"/>
                <w:lang w:val="en-IE"/>
              </w:rPr>
            </w:pPr>
            <w:r w:rsidRPr="00A36E36">
              <w:rPr>
                <w:rFonts w:ascii="Arial Narrow" w:eastAsia="Arial Narrow" w:hAnsi="Arial Narrow" w:cs="Arial Narrow"/>
                <w:noProof/>
                <w:color w:val="006100"/>
                <w:sz w:val="20"/>
                <w:szCs w:val="20"/>
                <w:lang w:val="en-IE"/>
              </w:rPr>
              <w:t xml:space="preserve">Primary legislation for the adoption of the three-year plan for the financing of research activities </w:t>
            </w:r>
          </w:p>
        </w:tc>
        <w:tc>
          <w:tcPr>
            <w:tcW w:w="1377" w:type="dxa"/>
            <w:shd w:val="clear" w:color="auto" w:fill="C6EFCE"/>
            <w:noWrap/>
            <w:vAlign w:val="center"/>
            <w:hideMark/>
          </w:tcPr>
          <w:p w14:paraId="268F10ED" w14:textId="77777777" w:rsidR="0039681A" w:rsidRPr="00A36E36" w:rsidRDefault="0039681A" w:rsidP="00351087">
            <w:pPr>
              <w:jc w:val="center"/>
              <w:rPr>
                <w:rFonts w:ascii="Arial Narrow" w:eastAsia="Arial Narrow" w:hAnsi="Arial Narrow" w:cs="Arial Narrow"/>
                <w:noProof/>
                <w:color w:val="006100"/>
                <w:sz w:val="20"/>
                <w:szCs w:val="20"/>
                <w:lang w:val="en-IE"/>
              </w:rPr>
            </w:pPr>
            <w:r w:rsidRPr="00A36E36">
              <w:rPr>
                <w:rFonts w:ascii="Arial Narrow" w:eastAsia="Arial Narrow" w:hAnsi="Arial Narrow" w:cs="Arial Narrow"/>
                <w:noProof/>
                <w:color w:val="006100"/>
                <w:sz w:val="20"/>
                <w:szCs w:val="20"/>
                <w:lang w:val="en-IE"/>
              </w:rPr>
              <w:t>Entry into force of primary legislation setting out the three-year plan for the financing of research activities</w:t>
            </w:r>
          </w:p>
        </w:tc>
        <w:tc>
          <w:tcPr>
            <w:tcW w:w="1089" w:type="dxa"/>
            <w:shd w:val="clear" w:color="auto" w:fill="C6EFCE"/>
            <w:noWrap/>
            <w:vAlign w:val="center"/>
            <w:hideMark/>
          </w:tcPr>
          <w:p w14:paraId="59891E33" w14:textId="77777777" w:rsidR="0039681A" w:rsidRPr="00647572" w:rsidRDefault="0039681A" w:rsidP="00351087">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N/A</w:t>
            </w:r>
          </w:p>
        </w:tc>
        <w:tc>
          <w:tcPr>
            <w:tcW w:w="1074" w:type="dxa"/>
            <w:shd w:val="clear" w:color="auto" w:fill="C6EFCE"/>
            <w:noWrap/>
            <w:vAlign w:val="center"/>
            <w:hideMark/>
          </w:tcPr>
          <w:p w14:paraId="7C587D04" w14:textId="77777777" w:rsidR="0039681A" w:rsidRPr="00647572" w:rsidRDefault="0039681A" w:rsidP="00351087">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N/A</w:t>
            </w:r>
          </w:p>
        </w:tc>
        <w:tc>
          <w:tcPr>
            <w:tcW w:w="1539" w:type="dxa"/>
            <w:shd w:val="clear" w:color="auto" w:fill="C6EFCE"/>
            <w:noWrap/>
            <w:vAlign w:val="center"/>
            <w:hideMark/>
          </w:tcPr>
          <w:p w14:paraId="69C0F145" w14:textId="77777777" w:rsidR="0039681A" w:rsidRPr="00647572" w:rsidRDefault="0039681A" w:rsidP="00351087">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N/A</w:t>
            </w:r>
          </w:p>
        </w:tc>
        <w:tc>
          <w:tcPr>
            <w:tcW w:w="975" w:type="dxa"/>
            <w:shd w:val="clear" w:color="auto" w:fill="C6EFCE"/>
            <w:noWrap/>
            <w:vAlign w:val="center"/>
            <w:hideMark/>
          </w:tcPr>
          <w:p w14:paraId="29F4D6C9" w14:textId="77777777" w:rsidR="0039681A" w:rsidRPr="00647572" w:rsidRDefault="0039681A" w:rsidP="00351087">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 xml:space="preserve">Q4 </w:t>
            </w:r>
          </w:p>
        </w:tc>
        <w:tc>
          <w:tcPr>
            <w:tcW w:w="611" w:type="dxa"/>
            <w:shd w:val="clear" w:color="auto" w:fill="C6EFCE"/>
            <w:noWrap/>
            <w:vAlign w:val="center"/>
            <w:hideMark/>
          </w:tcPr>
          <w:p w14:paraId="30E09405" w14:textId="77777777" w:rsidR="0039681A" w:rsidRPr="00647572" w:rsidRDefault="0039681A" w:rsidP="00351087">
            <w:pPr>
              <w:jc w:val="center"/>
              <w:rPr>
                <w:rFonts w:ascii="Arial Narrow" w:eastAsia="Arial Narrow" w:hAnsi="Arial Narrow" w:cs="Arial Narrow"/>
                <w:noProof/>
                <w:color w:val="006100"/>
                <w:sz w:val="20"/>
                <w:szCs w:val="20"/>
              </w:rPr>
            </w:pPr>
            <w:r w:rsidRPr="00647572">
              <w:rPr>
                <w:rFonts w:ascii="Arial Narrow" w:eastAsia="Arial Narrow" w:hAnsi="Arial Narrow" w:cs="Arial Narrow"/>
                <w:noProof/>
                <w:color w:val="006100"/>
                <w:sz w:val="20"/>
                <w:szCs w:val="20"/>
              </w:rPr>
              <w:t>2025</w:t>
            </w:r>
          </w:p>
        </w:tc>
        <w:tc>
          <w:tcPr>
            <w:tcW w:w="2521" w:type="dxa"/>
            <w:shd w:val="clear" w:color="auto" w:fill="C6EFCE"/>
            <w:noWrap/>
            <w:vAlign w:val="center"/>
            <w:hideMark/>
          </w:tcPr>
          <w:p w14:paraId="329B43BB" w14:textId="77777777" w:rsidR="0039681A" w:rsidRPr="00A36E36" w:rsidRDefault="0039681A" w:rsidP="00351087">
            <w:pPr>
              <w:spacing w:after="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reform requires the entry in force of primary legislation setting out the legal framework for the adoption of a three-year plan for the financing of reserch activities. </w:t>
            </w:r>
          </w:p>
          <w:p w14:paraId="09823474" w14:textId="77777777" w:rsidR="0039681A" w:rsidRPr="00647572" w:rsidRDefault="0039681A" w:rsidP="00351087">
            <w:pPr>
              <w:spacing w:after="0"/>
              <w:rPr>
                <w:rFonts w:ascii="Arial Narrow" w:hAnsi="Arial Narrow"/>
                <w:noProof/>
                <w:color w:val="006100"/>
                <w:sz w:val="20"/>
                <w:szCs w:val="20"/>
              </w:rPr>
            </w:pPr>
            <w:r w:rsidRPr="00647572">
              <w:rPr>
                <w:rFonts w:ascii="Arial Narrow" w:hAnsi="Arial Narrow"/>
                <w:noProof/>
                <w:color w:val="006100"/>
                <w:sz w:val="20"/>
                <w:szCs w:val="20"/>
              </w:rPr>
              <w:t>The legal framework shall:</w:t>
            </w:r>
          </w:p>
          <w:p w14:paraId="6322FF9C" w14:textId="77777777" w:rsidR="0039681A" w:rsidRPr="00A36E36" w:rsidRDefault="0039681A" w:rsidP="0039681A">
            <w:pPr>
              <w:pStyle w:val="ListParagraph"/>
              <w:numPr>
                <w:ilvl w:val="0"/>
                <w:numId w:val="143"/>
              </w:numPr>
              <w:spacing w:before="120" w:after="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Set-up a fund to merge different financing instruments ;</w:t>
            </w:r>
          </w:p>
          <w:p w14:paraId="50B4E9B9" w14:textId="77777777" w:rsidR="0039681A" w:rsidRPr="00A36E36" w:rsidRDefault="0039681A" w:rsidP="0039681A">
            <w:pPr>
              <w:pStyle w:val="ListParagraph"/>
              <w:numPr>
                <w:ilvl w:val="0"/>
                <w:numId w:val="143"/>
              </w:numPr>
              <w:spacing w:after="0"/>
              <w:jc w:val="both"/>
              <w:rPr>
                <w:rFonts w:ascii="Arial Narrow" w:eastAsiaTheme="minorEastAsia" w:hAnsi="Arial Narrow"/>
                <w:noProof/>
                <w:color w:val="006100"/>
                <w:sz w:val="20"/>
                <w:szCs w:val="20"/>
                <w:lang w:val="en-IE" w:eastAsia="ja-JP"/>
              </w:rPr>
            </w:pPr>
            <w:r w:rsidRPr="00A36E36">
              <w:rPr>
                <w:rFonts w:ascii="Arial Narrow" w:eastAsiaTheme="minorEastAsia" w:hAnsi="Arial Narrow"/>
                <w:noProof/>
                <w:color w:val="006100"/>
                <w:sz w:val="20"/>
                <w:szCs w:val="20"/>
                <w:lang w:val="en-IE" w:eastAsia="ja-JP"/>
              </w:rPr>
              <w:t xml:space="preserve">require the adoption of the three-year plan for the financing of research activites of universities, research entities and AFAM istitutions; </w:t>
            </w:r>
          </w:p>
          <w:p w14:paraId="4777472E" w14:textId="77777777" w:rsidR="0039681A" w:rsidRPr="00A36E36" w:rsidRDefault="0039681A" w:rsidP="0039681A">
            <w:pPr>
              <w:pStyle w:val="ListParagraph"/>
              <w:numPr>
                <w:ilvl w:val="0"/>
                <w:numId w:val="143"/>
              </w:numPr>
              <w:jc w:val="both"/>
              <w:rPr>
                <w:rFonts w:ascii="Arial Narrow" w:eastAsiaTheme="minorEastAsia" w:hAnsi="Arial Narrow"/>
                <w:noProof/>
                <w:color w:val="006100"/>
                <w:sz w:val="20"/>
                <w:szCs w:val="20"/>
                <w:lang w:val="en-IE" w:eastAsia="ja-JP"/>
              </w:rPr>
            </w:pPr>
            <w:r w:rsidRPr="00A36E36">
              <w:rPr>
                <w:rFonts w:ascii="Arial Narrow" w:eastAsiaTheme="minorEastAsia" w:hAnsi="Arial Narrow"/>
                <w:noProof/>
                <w:color w:val="006100"/>
                <w:sz w:val="20"/>
                <w:szCs w:val="20"/>
                <w:lang w:val="en-IE" w:eastAsia="ja-JP"/>
              </w:rPr>
              <w:t xml:space="preserve">Require the adoption of a timeline (‘’cronoprogramma’’) for the launch of calls for projects and for the conclusion of their selection procedures. </w:t>
            </w:r>
          </w:p>
          <w:p w14:paraId="45F29BE8" w14:textId="77777777" w:rsidR="0039681A" w:rsidRPr="00A36E36" w:rsidRDefault="0039681A" w:rsidP="0039681A">
            <w:pPr>
              <w:pStyle w:val="ListParagraph"/>
              <w:numPr>
                <w:ilvl w:val="0"/>
                <w:numId w:val="143"/>
              </w:numPr>
              <w:jc w:val="both"/>
              <w:rPr>
                <w:rFonts w:ascii="Arial Narrow" w:eastAsiaTheme="minorEastAsia" w:hAnsi="Arial Narrow"/>
                <w:noProof/>
                <w:color w:val="006100"/>
                <w:sz w:val="20"/>
                <w:szCs w:val="20"/>
                <w:lang w:val="en-IE"/>
              </w:rPr>
            </w:pPr>
            <w:r w:rsidRPr="00A36E36">
              <w:rPr>
                <w:rFonts w:ascii="Arial Narrow" w:eastAsiaTheme="minorEastAsia" w:hAnsi="Arial Narrow"/>
                <w:noProof/>
                <w:color w:val="006100"/>
                <w:sz w:val="20"/>
                <w:szCs w:val="20"/>
                <w:lang w:val="en-IE" w:eastAsia="ja-JP"/>
              </w:rPr>
              <w:t xml:space="preserve">Include a specific budget item for the financing of PRIN projects. </w:t>
            </w:r>
          </w:p>
        </w:tc>
      </w:tr>
    </w:tbl>
    <w:p w14:paraId="3B65FCCB" w14:textId="77777777" w:rsidR="0039681A" w:rsidRPr="00A36E36" w:rsidRDefault="0039681A" w:rsidP="00351087">
      <w:pPr>
        <w:rPr>
          <w:noProof/>
          <w:lang w:val="en-IE"/>
        </w:rPr>
        <w:sectPr w:rsidR="0039681A" w:rsidRPr="00A36E36" w:rsidSect="0039681A">
          <w:headerReference w:type="even" r:id="rId169"/>
          <w:headerReference w:type="default" r:id="rId170"/>
          <w:footerReference w:type="even" r:id="rId171"/>
          <w:footerReference w:type="default" r:id="rId172"/>
          <w:headerReference w:type="first" r:id="rId173"/>
          <w:footerReference w:type="first" r:id="rId174"/>
          <w:pgSz w:w="16838" w:h="11906" w:orient="landscape"/>
          <w:pgMar w:top="1134" w:right="1134" w:bottom="1134" w:left="1134" w:header="567" w:footer="567" w:gutter="0"/>
          <w:cols w:space="708"/>
          <w:docGrid w:linePitch="360"/>
        </w:sectPr>
      </w:pPr>
    </w:p>
    <w:p w14:paraId="529FD508" w14:textId="77777777" w:rsidR="0039681A" w:rsidRPr="00A36E36" w:rsidRDefault="0039681A" w:rsidP="00351087">
      <w:pPr>
        <w:pStyle w:val="Heading3"/>
        <w:ind w:left="850" w:hanging="850"/>
        <w:rPr>
          <w:rFonts w:ascii="Times New Roman" w:eastAsia="Times New Roman" w:hAnsi="Times New Roman" w:cs="Times New Roman"/>
          <w:b/>
          <w:i/>
          <w:noProof/>
          <w:color w:val="156082" w:themeColor="accent1"/>
          <w:u w:val="single"/>
          <w:lang w:val="en-IE"/>
        </w:rPr>
      </w:pPr>
      <w:r w:rsidRPr="00A36E36">
        <w:rPr>
          <w:rFonts w:ascii="Times New Roman" w:eastAsia="Times New Roman" w:hAnsi="Times New Roman" w:cs="Times New Roman"/>
          <w:b/>
          <w:noProof/>
          <w:u w:val="single"/>
          <w:lang w:val="en-IE"/>
        </w:rPr>
        <w:t xml:space="preserve">K.3. </w:t>
      </w:r>
      <w:r w:rsidRPr="00A36E36">
        <w:rPr>
          <w:noProof/>
          <w:lang w:val="en-IE"/>
        </w:rPr>
        <w:tab/>
      </w:r>
      <w:r w:rsidRPr="00A36E36">
        <w:rPr>
          <w:rFonts w:ascii="Times New Roman" w:eastAsia="Times New Roman" w:hAnsi="Times New Roman" w:cs="Times New Roman"/>
          <w:b/>
          <w:noProof/>
          <w:u w:val="single"/>
          <w:lang w:val="en-IE"/>
        </w:rPr>
        <w:t xml:space="preserve">Description of the reforms and investments for the loan </w:t>
      </w:r>
    </w:p>
    <w:p w14:paraId="58BC7337" w14:textId="77777777" w:rsidR="0039681A" w:rsidRPr="00A36E36" w:rsidRDefault="0039681A" w:rsidP="00351087">
      <w:pPr>
        <w:spacing w:before="120" w:after="120"/>
        <w:jc w:val="both"/>
        <w:rPr>
          <w:rFonts w:ascii="Times New Roman" w:eastAsia="Times New Roman" w:hAnsi="Times New Roman" w:cs="Times New Roman"/>
          <w:b/>
          <w:bCs/>
          <w:noProof/>
          <w:color w:val="000000" w:themeColor="text1"/>
          <w:lang w:val="en-IE"/>
        </w:rPr>
      </w:pPr>
      <w:r w:rsidRPr="00A36E36">
        <w:rPr>
          <w:rFonts w:ascii="Times New Roman" w:eastAsia="Times New Roman" w:hAnsi="Times New Roman" w:cs="Times New Roman"/>
          <w:b/>
          <w:bCs/>
          <w:noProof/>
          <w:color w:val="000000" w:themeColor="text1"/>
          <w:lang w:val="en-IE"/>
        </w:rPr>
        <w:t>Investment 1.1: Research Projects of Significant National Interest (PRIN)</w:t>
      </w:r>
    </w:p>
    <w:p w14:paraId="509CE09E" w14:textId="77777777" w:rsidR="0039681A" w:rsidRPr="00A36E36" w:rsidRDefault="0039681A" w:rsidP="00351087">
      <w:pPr>
        <w:spacing w:before="120" w:after="120"/>
        <w:jc w:val="both"/>
        <w:rPr>
          <w:rFonts w:ascii="Times New Roman" w:eastAsia="Times New Roman" w:hAnsi="Times New Roman" w:cs="Times New Roman"/>
          <w:noProof/>
          <w:color w:val="000000" w:themeColor="text1"/>
          <w:lang w:val="en-IE"/>
        </w:rPr>
      </w:pPr>
      <w:r w:rsidRPr="00A36E36">
        <w:rPr>
          <w:rFonts w:ascii="Times New Roman" w:eastAsia="Times New Roman" w:hAnsi="Times New Roman" w:cs="Times New Roman"/>
          <w:noProof/>
          <w:color w:val="000000" w:themeColor="text1"/>
          <w:lang w:val="en-IE"/>
        </w:rPr>
        <w:t>The objective of this measure is to support</w:t>
      </w:r>
      <w:r w:rsidRPr="00A36E36">
        <w:rPr>
          <w:rFonts w:ascii="Times New Roman" w:eastAsia="Times New Roman" w:hAnsi="Times New Roman" w:cs="Times New Roman"/>
          <w:noProof/>
          <w:lang w:val="en-IE"/>
        </w:rPr>
        <w:t xml:space="preserve"> research activities. The measure consists in </w:t>
      </w:r>
      <w:r w:rsidRPr="00A36E36">
        <w:rPr>
          <w:rFonts w:ascii="Times New Roman" w:eastAsia="Times New Roman" w:hAnsi="Times New Roman" w:cs="Times New Roman"/>
          <w:noProof/>
          <w:color w:val="000000" w:themeColor="text1"/>
          <w:lang w:val="en-IE"/>
        </w:rPr>
        <w:t>financing research projects of major national interest (PRIN) entailing the collaboration among university research units and research bodies and the hiring of fixed-term researchers.</w:t>
      </w:r>
    </w:p>
    <w:p w14:paraId="2D61ECDC" w14:textId="77777777" w:rsidR="0039681A" w:rsidRPr="00647572" w:rsidRDefault="0039681A" w:rsidP="00351087">
      <w:pPr>
        <w:pStyle w:val="paragraph"/>
        <w:spacing w:before="120" w:beforeAutospacing="0" w:after="120" w:afterAutospacing="0"/>
        <w:jc w:val="both"/>
        <w:textAlignment w:val="baseline"/>
        <w:rPr>
          <w:rStyle w:val="eop"/>
          <w:rFonts w:eastAsiaTheme="majorEastAsia"/>
          <w:b/>
          <w:bCs/>
          <w:noProof/>
          <w:color w:val="000000" w:themeColor="text1"/>
          <w:shd w:val="clear" w:color="auto" w:fill="FFFFFF"/>
          <w:lang w:val="en-GB"/>
        </w:rPr>
      </w:pPr>
      <w:r w:rsidRPr="00647572">
        <w:rPr>
          <w:rStyle w:val="normaltextrun"/>
          <w:b/>
          <w:bCs/>
          <w:noProof/>
          <w:color w:val="000000" w:themeColor="text1"/>
          <w:shd w:val="clear" w:color="auto" w:fill="FFFFFF"/>
          <w:lang w:val="en-GB"/>
        </w:rPr>
        <w:t>Investment 1.3: Partnerships extended to universities, research centres, companies and funding of basic research projects</w:t>
      </w:r>
    </w:p>
    <w:p w14:paraId="20C87723" w14:textId="77777777" w:rsidR="0039681A" w:rsidRPr="00A36E36" w:rsidRDefault="0039681A" w:rsidP="00351087">
      <w:pPr>
        <w:spacing w:before="120" w:after="120"/>
        <w:jc w:val="both"/>
        <w:rPr>
          <w:rFonts w:ascii="Times New Roman" w:eastAsia="Times New Roman" w:hAnsi="Times New Roman" w:cs="Times New Roman"/>
          <w:noProof/>
          <w:color w:val="000000" w:themeColor="text1"/>
          <w:lang w:val="en-IE"/>
        </w:rPr>
      </w:pPr>
      <w:r w:rsidRPr="00A36E36">
        <w:rPr>
          <w:rFonts w:ascii="Times New Roman" w:eastAsia="Times New Roman" w:hAnsi="Times New Roman" w:cs="Times New Roman"/>
          <w:noProof/>
          <w:color w:val="000000" w:themeColor="text1"/>
          <w:lang w:val="en-IE"/>
        </w:rPr>
        <w:t>The measure aims to establish networks of universities, research organisations and other stakeholders, foster technology transfer and support research-based start-ups and spin-offs. The measure consists in financing at least 14 major basic research programmes carried out by networks of public and private subjects.</w:t>
      </w:r>
    </w:p>
    <w:p w14:paraId="458F2A91" w14:textId="77777777" w:rsidR="0039681A" w:rsidRPr="00A36E36" w:rsidRDefault="0039681A" w:rsidP="00351087">
      <w:pPr>
        <w:spacing w:before="120" w:after="120"/>
        <w:jc w:val="both"/>
        <w:rPr>
          <w:rFonts w:ascii="Times New Roman" w:eastAsia="Times New Roman" w:hAnsi="Times New Roman" w:cs="Times New Roman"/>
          <w:b/>
          <w:bCs/>
          <w:noProof/>
          <w:color w:val="000000" w:themeColor="text1"/>
          <w:lang w:val="en-IE"/>
        </w:rPr>
      </w:pPr>
      <w:r w:rsidRPr="00A36E36">
        <w:rPr>
          <w:rFonts w:ascii="Times New Roman" w:eastAsia="Times New Roman" w:hAnsi="Times New Roman" w:cs="Times New Roman"/>
          <w:b/>
          <w:bCs/>
          <w:noProof/>
          <w:color w:val="000000" w:themeColor="text1"/>
          <w:lang w:val="en-IE"/>
        </w:rPr>
        <w:t>Investment 1.4: Creation of “national R&amp;D leaders” on some Key Enabling Technologies</w:t>
      </w:r>
    </w:p>
    <w:p w14:paraId="2060E700" w14:textId="51D476A6" w:rsidR="0039681A" w:rsidRPr="00A36E36" w:rsidRDefault="0039681A" w:rsidP="00351087">
      <w:pPr>
        <w:spacing w:before="120" w:after="120"/>
        <w:jc w:val="both"/>
        <w:rPr>
          <w:rFonts w:ascii="Times New Roman" w:eastAsia="Times New Roman" w:hAnsi="Times New Roman" w:cs="Times New Roman"/>
          <w:noProof/>
          <w:color w:val="000000" w:themeColor="text1"/>
          <w:lang w:val="en-IE"/>
        </w:rPr>
      </w:pPr>
      <w:r w:rsidRPr="00A36E36">
        <w:rPr>
          <w:rFonts w:ascii="Times New Roman" w:eastAsia="Times New Roman" w:hAnsi="Times New Roman" w:cs="Times New Roman"/>
          <w:noProof/>
          <w:color w:val="000000" w:themeColor="text1"/>
          <w:lang w:val="en-IE"/>
        </w:rPr>
        <w:t>The objective of this measure is to create national R&amp;D leaders. The measure consists in fina</w:t>
      </w:r>
      <w:r>
        <w:rPr>
          <w:rFonts w:ascii="Times New Roman" w:eastAsia="Times New Roman" w:hAnsi="Times New Roman" w:cs="Times New Roman"/>
          <w:noProof/>
          <w:color w:val="000000" w:themeColor="text1"/>
          <w:lang w:val="en-IE"/>
        </w:rPr>
        <w:t>n</w:t>
      </w:r>
      <w:r w:rsidRPr="00A36E36">
        <w:rPr>
          <w:rFonts w:ascii="Times New Roman" w:eastAsia="Times New Roman" w:hAnsi="Times New Roman" w:cs="Times New Roman"/>
          <w:noProof/>
          <w:color w:val="000000" w:themeColor="text1"/>
          <w:lang w:val="en-IE"/>
        </w:rPr>
        <w:t xml:space="preserve">cing five national research centres </w:t>
      </w:r>
      <w:r w:rsidRPr="4F7582F6">
        <w:rPr>
          <w:rFonts w:ascii="Times New Roman" w:eastAsia="Times New Roman" w:hAnsi="Times New Roman" w:cs="Times New Roman"/>
          <w:noProof/>
          <w:color w:val="000000" w:themeColor="text1"/>
          <w:lang w:val="en-IE"/>
        </w:rPr>
        <w:t>focused</w:t>
      </w:r>
      <w:r w:rsidRPr="33BCFEFD">
        <w:rPr>
          <w:rFonts w:ascii="Times New Roman" w:eastAsia="Times New Roman" w:hAnsi="Times New Roman" w:cs="Times New Roman"/>
          <w:noProof/>
          <w:color w:val="000000" w:themeColor="text1"/>
          <w:lang w:val="en-IE"/>
        </w:rPr>
        <w:t xml:space="preserve"> </w:t>
      </w:r>
      <w:r w:rsidRPr="6C619F08">
        <w:rPr>
          <w:rFonts w:ascii="Times New Roman" w:eastAsia="Times New Roman" w:hAnsi="Times New Roman" w:cs="Times New Roman"/>
          <w:noProof/>
          <w:color w:val="000000" w:themeColor="text1"/>
          <w:lang w:val="en-IE"/>
        </w:rPr>
        <w:t xml:space="preserve">on </w:t>
      </w:r>
      <w:r w:rsidRPr="652E8578">
        <w:rPr>
          <w:rFonts w:ascii="Times New Roman" w:eastAsia="Times New Roman" w:hAnsi="Times New Roman" w:cs="Times New Roman"/>
          <w:noProof/>
          <w:color w:val="000000" w:themeColor="text1"/>
          <w:lang w:val="en-IE"/>
        </w:rPr>
        <w:t xml:space="preserve">research in </w:t>
      </w:r>
      <w:r w:rsidRPr="1162339A">
        <w:rPr>
          <w:rFonts w:ascii="Times New Roman" w:eastAsia="Times New Roman" w:hAnsi="Times New Roman" w:cs="Times New Roman"/>
          <w:noProof/>
          <w:color w:val="000000" w:themeColor="text1"/>
          <w:lang w:val="en-IE"/>
        </w:rPr>
        <w:t xml:space="preserve">key technologies </w:t>
      </w:r>
      <w:r w:rsidRPr="05C3060E">
        <w:rPr>
          <w:rFonts w:ascii="Times New Roman" w:eastAsia="Times New Roman" w:hAnsi="Times New Roman" w:cs="Times New Roman"/>
          <w:noProof/>
          <w:color w:val="000000" w:themeColor="text1"/>
          <w:lang w:val="en-IE"/>
        </w:rPr>
        <w:t>areas</w:t>
      </w:r>
      <w:r>
        <w:rPr>
          <w:rFonts w:ascii="Times New Roman" w:eastAsia="Times New Roman" w:hAnsi="Times New Roman" w:cs="Times New Roman"/>
          <w:noProof/>
          <w:color w:val="000000" w:themeColor="text1"/>
          <w:lang w:val="en-IE"/>
        </w:rPr>
        <w:t xml:space="preserve"> which may include, but are not limited to</w:t>
      </w:r>
      <w:r w:rsidRPr="05C3060E">
        <w:rPr>
          <w:rFonts w:ascii="Times New Roman" w:eastAsia="Times New Roman" w:hAnsi="Times New Roman" w:cs="Times New Roman"/>
          <w:noProof/>
          <w:color w:val="000000" w:themeColor="text1"/>
          <w:lang w:val="en-IE"/>
        </w:rPr>
        <w:t xml:space="preserve"> </w:t>
      </w:r>
      <w:r w:rsidRPr="612AAA18">
        <w:rPr>
          <w:rFonts w:ascii="Times New Roman" w:eastAsia="Times New Roman" w:hAnsi="Times New Roman" w:cs="Times New Roman"/>
          <w:noProof/>
          <w:color w:val="000000" w:themeColor="text1"/>
          <w:lang w:val="en-IE"/>
        </w:rPr>
        <w:t>high-</w:t>
      </w:r>
      <w:r w:rsidRPr="0C962825">
        <w:rPr>
          <w:rFonts w:ascii="Times New Roman" w:eastAsia="Times New Roman" w:hAnsi="Times New Roman" w:cs="Times New Roman"/>
          <w:noProof/>
          <w:color w:val="000000" w:themeColor="text1"/>
          <w:lang w:val="en-IE"/>
        </w:rPr>
        <w:t>performance computing, agritech</w:t>
      </w:r>
      <w:r w:rsidRPr="5DBBDAD5">
        <w:rPr>
          <w:rFonts w:ascii="Times New Roman" w:eastAsia="Times New Roman" w:hAnsi="Times New Roman" w:cs="Times New Roman"/>
          <w:noProof/>
          <w:color w:val="000000" w:themeColor="text1"/>
          <w:lang w:val="en-IE"/>
        </w:rPr>
        <w:t xml:space="preserve">, </w:t>
      </w:r>
      <w:r w:rsidRPr="7134F0F7">
        <w:rPr>
          <w:rFonts w:ascii="Times New Roman" w:eastAsia="Times New Roman" w:hAnsi="Times New Roman" w:cs="Times New Roman"/>
          <w:noProof/>
          <w:color w:val="000000" w:themeColor="text1"/>
          <w:lang w:val="en-IE"/>
        </w:rPr>
        <w:t>genetherapy</w:t>
      </w:r>
      <w:r>
        <w:rPr>
          <w:rFonts w:ascii="Times New Roman" w:eastAsia="Times New Roman" w:hAnsi="Times New Roman" w:cs="Times New Roman"/>
          <w:noProof/>
          <w:color w:val="000000" w:themeColor="text1"/>
          <w:lang w:val="en-IE"/>
        </w:rPr>
        <w:t xml:space="preserve"> and RNA-based drug development</w:t>
      </w:r>
      <w:r w:rsidRPr="7134F0F7">
        <w:rPr>
          <w:rFonts w:ascii="Times New Roman" w:eastAsia="Times New Roman" w:hAnsi="Times New Roman" w:cs="Times New Roman"/>
          <w:noProof/>
          <w:color w:val="000000" w:themeColor="text1"/>
          <w:lang w:val="en-IE"/>
        </w:rPr>
        <w:t xml:space="preserve">, </w:t>
      </w:r>
      <w:r>
        <w:rPr>
          <w:rFonts w:ascii="Times New Roman" w:eastAsia="Times New Roman" w:hAnsi="Times New Roman" w:cs="Times New Roman"/>
          <w:noProof/>
          <w:color w:val="000000" w:themeColor="text1"/>
          <w:lang w:val="en-IE"/>
        </w:rPr>
        <w:t xml:space="preserve">sustainable </w:t>
      </w:r>
      <w:r w:rsidRPr="7134F0F7">
        <w:rPr>
          <w:rFonts w:ascii="Times New Roman" w:eastAsia="Times New Roman" w:hAnsi="Times New Roman" w:cs="Times New Roman"/>
          <w:noProof/>
          <w:color w:val="000000" w:themeColor="text1"/>
          <w:lang w:val="en-IE"/>
        </w:rPr>
        <w:t>mobility</w:t>
      </w:r>
      <w:r w:rsidRPr="5B0E38FD">
        <w:rPr>
          <w:rFonts w:ascii="Times New Roman" w:eastAsia="Times New Roman" w:hAnsi="Times New Roman" w:cs="Times New Roman"/>
          <w:noProof/>
          <w:color w:val="000000" w:themeColor="text1"/>
          <w:lang w:val="en-IE"/>
        </w:rPr>
        <w:t xml:space="preserve">, </w:t>
      </w:r>
      <w:r w:rsidRPr="1384827B">
        <w:rPr>
          <w:rFonts w:ascii="Times New Roman" w:eastAsia="Times New Roman" w:hAnsi="Times New Roman" w:cs="Times New Roman"/>
          <w:noProof/>
          <w:color w:val="000000" w:themeColor="text1"/>
          <w:lang w:val="en-IE"/>
        </w:rPr>
        <w:t>bio-diversity</w:t>
      </w:r>
      <w:r w:rsidR="00381DB1">
        <w:rPr>
          <w:rFonts w:ascii="Times New Roman" w:eastAsia="Times New Roman" w:hAnsi="Times New Roman" w:cs="Times New Roman"/>
          <w:noProof/>
          <w:color w:val="000000" w:themeColor="text1"/>
          <w:lang w:val="en-IE"/>
        </w:rPr>
        <w:t xml:space="preserve"> </w:t>
      </w:r>
    </w:p>
    <w:p w14:paraId="408ABB2C" w14:textId="77777777" w:rsidR="0039681A" w:rsidRPr="00A36E36" w:rsidRDefault="0039681A" w:rsidP="00351087">
      <w:pPr>
        <w:spacing w:before="120" w:after="120"/>
        <w:jc w:val="both"/>
        <w:rPr>
          <w:rFonts w:ascii="Times New Roman" w:eastAsia="Times New Roman" w:hAnsi="Times New Roman" w:cs="Times New Roman"/>
          <w:b/>
          <w:bCs/>
          <w:noProof/>
          <w:color w:val="000000" w:themeColor="text1"/>
          <w:lang w:val="en-IE"/>
        </w:rPr>
      </w:pPr>
      <w:r w:rsidRPr="00A36E36">
        <w:rPr>
          <w:rFonts w:ascii="Times New Roman" w:eastAsia="Times New Roman" w:hAnsi="Times New Roman" w:cs="Times New Roman"/>
          <w:b/>
          <w:bCs/>
          <w:noProof/>
          <w:color w:val="000000" w:themeColor="text1"/>
          <w:lang w:val="en-IE"/>
        </w:rPr>
        <w:t xml:space="preserve">Investment 1.5: "Innovation ecosystems for sustainability", building "territorial leaders of R&amp;D". </w:t>
      </w:r>
    </w:p>
    <w:p w14:paraId="253B6E76" w14:textId="46A85B4B"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color w:val="000000" w:themeColor="text1"/>
          <w:lang w:val="en-IE"/>
        </w:rPr>
        <w:t>The objective ot this measure is to boost innovation. The measure consists in financing existing or new innovation ecosystems</w:t>
      </w:r>
      <w:r>
        <w:rPr>
          <w:rFonts w:ascii="Times New Roman" w:eastAsia="Times New Roman" w:hAnsi="Times New Roman" w:cs="Times New Roman"/>
          <w:noProof/>
          <w:color w:val="000000" w:themeColor="text1"/>
          <w:lang w:val="en-IE"/>
        </w:rPr>
        <w:t>.</w:t>
      </w:r>
      <w:r w:rsidRPr="36058B0F">
        <w:rPr>
          <w:rFonts w:ascii="Times New Roman" w:eastAsia="Times New Roman" w:hAnsi="Times New Roman" w:cs="Times New Roman"/>
          <w:noProof/>
          <w:color w:val="000000" w:themeColor="text1"/>
          <w:lang w:val="en-IE"/>
        </w:rPr>
        <w:t xml:space="preserve"> </w:t>
      </w:r>
    </w:p>
    <w:p w14:paraId="740978C9" w14:textId="77777777" w:rsidR="0039681A" w:rsidRPr="00A36E36" w:rsidRDefault="0039681A" w:rsidP="00351087">
      <w:pPr>
        <w:spacing w:before="120" w:after="120"/>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Investment 2.1: Important Project of Common European Interest (IPCEI)</w:t>
      </w:r>
    </w:p>
    <w:p w14:paraId="2A6BA1A5" w14:textId="77777777" w:rsidR="0039681A" w:rsidRPr="00A36E36" w:rsidRDefault="0039681A" w:rsidP="00351087">
      <w:pPr>
        <w:spacing w:before="120" w:after="120" w:line="288" w:lineRule="auto"/>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objective of this measure is to supplement the current IPCEI fund, referred to in Article 1 (232) of the 2020 Budget Law The measure consits in supporting the IPCEI fund with additional resources.</w:t>
      </w:r>
    </w:p>
    <w:p w14:paraId="7E24FCB2" w14:textId="77777777" w:rsidR="0039681A" w:rsidRPr="00A36E36" w:rsidRDefault="0039681A" w:rsidP="00351087">
      <w:pPr>
        <w:spacing w:before="120" w:after="120"/>
        <w:jc w:val="both"/>
        <w:rPr>
          <w:rFonts w:ascii="Times New Roman" w:eastAsia="Times New Roman" w:hAnsi="Times New Roman" w:cs="Times New Roman"/>
          <w:b/>
          <w:bCs/>
          <w:noProof/>
          <w:lang w:val="en-IE"/>
        </w:rPr>
      </w:pPr>
      <w:r w:rsidRPr="3D1C7AF5">
        <w:rPr>
          <w:rFonts w:ascii="Times New Roman" w:eastAsia="Times New Roman" w:hAnsi="Times New Roman" w:cs="Times New Roman"/>
          <w:b/>
          <w:bCs/>
          <w:noProof/>
          <w:lang w:val="en-IE"/>
        </w:rPr>
        <w:t xml:space="preserve">Investment 2.3: Technology transfer centres </w:t>
      </w:r>
    </w:p>
    <w:p w14:paraId="6BFF3CFC" w14:textId="3E059754" w:rsidR="0039681A" w:rsidRPr="00A36E36" w:rsidRDefault="0039681A" w:rsidP="00351087">
      <w:pPr>
        <w:spacing w:before="120" w:after="120"/>
        <w:jc w:val="both"/>
        <w:rPr>
          <w:rFonts w:ascii="Times New Roman" w:eastAsia="Times New Roman" w:hAnsi="Times New Roman" w:cs="Times New Roman"/>
          <w:noProof/>
          <w:lang w:val="en-IE"/>
        </w:rPr>
      </w:pPr>
      <w:r w:rsidRPr="0D19B70A">
        <w:rPr>
          <w:rFonts w:ascii="Times New Roman" w:eastAsia="Times New Roman" w:hAnsi="Times New Roman" w:cs="Times New Roman"/>
          <w:noProof/>
          <w:lang w:val="en-IE"/>
        </w:rPr>
        <w:t xml:space="preserve">The objective of this measure is to support a network of centres (Competence Centres, European Digital Innovation Hub, Seal of Excellence, National Digital Innovation Centres) responsible for at least one of the following: project development, the provision of advanced technological services to companies and public administrations and technology transfer services. </w:t>
      </w:r>
    </w:p>
    <w:p w14:paraId="39D3875C" w14:textId="29285D36" w:rsidR="0039681A" w:rsidRPr="007473DA" w:rsidRDefault="0039681A" w:rsidP="00351087">
      <w:pPr>
        <w:spacing w:before="120" w:after="120"/>
        <w:jc w:val="both"/>
        <w:rPr>
          <w:noProof/>
          <w:lang w:val="en-IE"/>
        </w:rPr>
      </w:pPr>
      <w:r w:rsidRPr="00A36E36">
        <w:rPr>
          <w:rFonts w:ascii="Times New Roman" w:eastAsia="Times New Roman" w:hAnsi="Times New Roman" w:cs="Times New Roman"/>
          <w:noProof/>
          <w:lang w:val="en-IE"/>
        </w:rPr>
        <w:t>The</w:t>
      </w:r>
      <w:r w:rsidR="00381DB1">
        <w:rPr>
          <w:rFonts w:ascii="Times New Roman" w:eastAsia="Times New Roman" w:hAnsi="Times New Roman" w:cs="Times New Roman"/>
          <w:noProof/>
          <w:lang w:val="en-IE"/>
        </w:rPr>
        <w:t xml:space="preserve"> </w:t>
      </w:r>
      <w:r w:rsidRPr="0D19B70A">
        <w:rPr>
          <w:rFonts w:ascii="Times New Roman" w:eastAsia="Times New Roman" w:hAnsi="Times New Roman" w:cs="Times New Roman"/>
          <w:noProof/>
          <w:lang w:val="en-IE"/>
        </w:rPr>
        <w:t>RRF finances at least 32 centres exclusively, without any support from other EU sources. The RRF and the Digital Europe Programme co-finance 13 European Digital Innovation Hubs (EDIHs). The operation of each of these EDIHs shall be structured into work packages. The RRF finances certain work packages exclusively, while the remaining work packages are financed by the Digital Europe Programme.</w:t>
      </w:r>
      <w:r w:rsidR="00381DB1">
        <w:rPr>
          <w:rFonts w:ascii="Times New Roman" w:eastAsia="Times New Roman" w:hAnsi="Times New Roman" w:cs="Times New Roman"/>
          <w:noProof/>
          <w:lang w:val="en-IE"/>
        </w:rPr>
        <w:t xml:space="preserve"> </w:t>
      </w:r>
    </w:p>
    <w:p w14:paraId="2F85B6BE" w14:textId="77777777" w:rsidR="0039681A" w:rsidRPr="00A36E36" w:rsidRDefault="0039681A" w:rsidP="00351087">
      <w:pPr>
        <w:spacing w:before="120" w:after="120" w:line="288" w:lineRule="auto"/>
        <w:jc w:val="both"/>
        <w:rPr>
          <w:rFonts w:ascii="Times New Roman" w:eastAsia="Times New Roman" w:hAnsi="Times New Roman" w:cs="Times New Roman"/>
          <w:b/>
          <w:bCs/>
          <w:noProof/>
          <w:lang w:val="en-IE"/>
        </w:rPr>
      </w:pPr>
      <w:r w:rsidRPr="00A36E36">
        <w:rPr>
          <w:rFonts w:ascii="Times New Roman" w:eastAsia="Times New Roman" w:hAnsi="Times New Roman" w:cs="Times New Roman"/>
          <w:b/>
          <w:bCs/>
          <w:noProof/>
          <w:lang w:val="en-IE"/>
        </w:rPr>
        <w:t>Investment 3.1: Research and innovation infrastructures</w:t>
      </w:r>
    </w:p>
    <w:p w14:paraId="37C05D89" w14:textId="77777777" w:rsidR="0039681A" w:rsidRPr="00A36E36" w:rsidRDefault="0039681A" w:rsidP="00351087">
      <w:pPr>
        <w:spacing w:before="120" w:after="120"/>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The objective of the measure is to support the creation</w:t>
      </w:r>
      <w:r>
        <w:rPr>
          <w:rFonts w:ascii="Times New Roman" w:eastAsia="Times New Roman" w:hAnsi="Times New Roman" w:cs="Times New Roman"/>
          <w:noProof/>
          <w:lang w:val="en-IE"/>
        </w:rPr>
        <w:t xml:space="preserve"> or modernization</w:t>
      </w:r>
      <w:r w:rsidRPr="00A36E36">
        <w:rPr>
          <w:rFonts w:ascii="Times New Roman" w:eastAsia="Times New Roman" w:hAnsi="Times New Roman" w:cs="Times New Roman"/>
          <w:noProof/>
          <w:lang w:val="en-IE"/>
        </w:rPr>
        <w:t xml:space="preserve"> of research and innovation infrastructures linking industry and academia, or to support the exi</w:t>
      </w:r>
      <w:r>
        <w:rPr>
          <w:rFonts w:ascii="Times New Roman" w:eastAsia="Times New Roman" w:hAnsi="Times New Roman" w:cs="Times New Roman"/>
          <w:noProof/>
          <w:lang w:val="en-IE"/>
        </w:rPr>
        <w:t>s</w:t>
      </w:r>
      <w:r w:rsidRPr="00A36E36">
        <w:rPr>
          <w:rFonts w:ascii="Times New Roman" w:eastAsia="Times New Roman" w:hAnsi="Times New Roman" w:cs="Times New Roman"/>
          <w:noProof/>
          <w:lang w:val="en-IE"/>
        </w:rPr>
        <w:t>ting ones. The investment consists in financing existing or new infrastructure projects with a research manager for each infrastructure.</w:t>
      </w:r>
    </w:p>
    <w:p w14:paraId="69D11853" w14:textId="77777777" w:rsidR="0039681A" w:rsidRPr="00A36E36" w:rsidRDefault="0039681A" w:rsidP="00351087">
      <w:pPr>
        <w:spacing w:before="120" w:after="120" w:line="288" w:lineRule="auto"/>
        <w:jc w:val="both"/>
        <w:rPr>
          <w:rFonts w:ascii="Times New Roman" w:eastAsia="Times New Roman" w:hAnsi="Times New Roman" w:cs="Times New Roman"/>
          <w:b/>
          <w:noProof/>
          <w:lang w:val="en-IE"/>
        </w:rPr>
      </w:pPr>
      <w:r w:rsidRPr="00A36E36">
        <w:rPr>
          <w:rFonts w:ascii="Times New Roman" w:eastAsia="Times New Roman" w:hAnsi="Times New Roman" w:cs="Times New Roman"/>
          <w:b/>
          <w:noProof/>
          <w:lang w:val="en-IE"/>
        </w:rPr>
        <w:t>Investment 3.2: Equity injection into the Digital Transition Fund (“DTF”) managed by CDP Venture Capital SGR</w:t>
      </w:r>
    </w:p>
    <w:p w14:paraId="159F13E7" w14:textId="77777777" w:rsidR="0039681A" w:rsidRPr="00A36E36" w:rsidRDefault="0039681A" w:rsidP="00351087">
      <w:pPr>
        <w:spacing w:line="240" w:lineRule="auto"/>
        <w:jc w:val="both"/>
        <w:rPr>
          <w:rFonts w:ascii="Times New Roman" w:eastAsia="Times New Roman" w:hAnsi="Times New Roman" w:cs="Times New Roman"/>
          <w:noProof/>
          <w:lang w:val="en-IE"/>
        </w:rPr>
      </w:pPr>
      <w:r w:rsidRPr="00A36E36">
        <w:rPr>
          <w:rFonts w:ascii="Times New Roman" w:eastAsia="Times New Roman" w:hAnsi="Times New Roman" w:cs="Times New Roman"/>
          <w:noProof/>
          <w:lang w:val="en-IE"/>
        </w:rPr>
        <w:t>This measure aims at supporting the growth potential of the Italian economy by incentivizing private investments, improving access to finance for start-ups, and developing the venture capital market in this sector. The measure shall consist of an equity injection of EUR 400</w:t>
      </w:r>
      <w:r w:rsidRPr="00A36E36">
        <w:rPr>
          <w:rFonts w:ascii="Arial Narrow" w:hAnsi="Arial Narrow"/>
          <w:noProof/>
          <w:color w:val="006100"/>
          <w:sz w:val="20"/>
          <w:szCs w:val="20"/>
          <w:lang w:val="en-IE"/>
        </w:rPr>
        <w:t> </w:t>
      </w:r>
      <w:r w:rsidRPr="00A36E36">
        <w:rPr>
          <w:rFonts w:ascii="Times New Roman" w:eastAsia="Times New Roman" w:hAnsi="Times New Roman" w:cs="Times New Roman"/>
          <w:noProof/>
          <w:lang w:val="en-IE"/>
        </w:rPr>
        <w:t>000</w:t>
      </w:r>
      <w:r w:rsidRPr="00A36E36">
        <w:rPr>
          <w:rFonts w:ascii="Arial Narrow" w:hAnsi="Arial Narrow"/>
          <w:noProof/>
          <w:color w:val="006100"/>
          <w:sz w:val="20"/>
          <w:szCs w:val="20"/>
          <w:lang w:val="en-IE"/>
        </w:rPr>
        <w:t> </w:t>
      </w:r>
      <w:r w:rsidRPr="00A36E36">
        <w:rPr>
          <w:rFonts w:ascii="Times New Roman" w:eastAsia="Times New Roman" w:hAnsi="Times New Roman" w:cs="Times New Roman"/>
          <w:noProof/>
          <w:lang w:val="en-IE"/>
        </w:rPr>
        <w:t xml:space="preserve">000 into the Digital Transition Fund (“DTF”) managed by CDP Venture Capital SGR. </w:t>
      </w:r>
    </w:p>
    <w:p w14:paraId="12CB400A" w14:textId="77777777" w:rsidR="0039681A" w:rsidRPr="00647572" w:rsidRDefault="0039681A" w:rsidP="00351087">
      <w:pPr>
        <w:pStyle w:val="LegalNumPar2"/>
        <w:numPr>
          <w:ilvl w:val="0"/>
          <w:numId w:val="0"/>
        </w:numPr>
        <w:spacing w:line="259" w:lineRule="auto"/>
        <w:jc w:val="both"/>
        <w:rPr>
          <w:rFonts w:ascii="Times New Roman" w:eastAsia="Times New Roman" w:hAnsi="Times New Roman" w:cs="Times New Roman"/>
          <w:noProof/>
          <w:lang w:val="en-GB"/>
        </w:rPr>
      </w:pPr>
      <w:r w:rsidRPr="00647572">
        <w:rPr>
          <w:rFonts w:ascii="Times New Roman" w:eastAsia="Times New Roman" w:hAnsi="Times New Roman" w:cs="Times New Roman"/>
          <w:noProof/>
          <w:lang w:val="en-GB" w:eastAsia="ja-JP"/>
        </w:rPr>
        <w:t>CDP Venture Capital SGR shall adopt an investment policy for the use of the equity. The investment policy shall include the description of the financial product(s) with the expected type of eligible final beneficiaries that the equity is expected to support, including the expected timeline for the implementation of 15 years and the management fee of maximum 13%.</w:t>
      </w:r>
      <w:r w:rsidRPr="00647572">
        <w:rPr>
          <w:rFonts w:ascii="Times New Roman" w:eastAsia="Times New Roman" w:hAnsi="Times New Roman" w:cs="Times New Roman"/>
          <w:noProof/>
          <w:vertAlign w:val="superscript"/>
          <w:lang w:val="en-GB" w:eastAsia="ja-JP"/>
        </w:rPr>
        <w:footnoteReference w:id="77"/>
      </w:r>
      <w:r w:rsidRPr="00647572">
        <w:rPr>
          <w:rFonts w:ascii="Times New Roman" w:eastAsia="Times New Roman" w:hAnsi="Times New Roman" w:cs="Times New Roman"/>
          <w:noProof/>
          <w:lang w:val="en-GB" w:eastAsia="ja-JP"/>
        </w:rPr>
        <w:t xml:space="preserve"> The DTF shall operate by providing equity, quasi equity, debt or quasi debt support, directly or indirectly.</w:t>
      </w:r>
      <w:r w:rsidRPr="00647572">
        <w:rPr>
          <w:rFonts w:ascii="Times New Roman" w:eastAsia="Times New Roman" w:hAnsi="Times New Roman" w:cs="Times New Roman"/>
          <w:noProof/>
          <w:vertAlign w:val="superscript"/>
          <w:lang w:val="en-GB" w:eastAsia="ja-JP"/>
        </w:rPr>
        <w:footnoteReference w:id="78"/>
      </w:r>
      <w:r w:rsidRPr="00647572">
        <w:rPr>
          <w:rFonts w:ascii="Times New Roman" w:eastAsia="Times New Roman" w:hAnsi="Times New Roman" w:cs="Times New Roman"/>
          <w:noProof/>
          <w:lang w:val="en-GB" w:eastAsia="ja-JP"/>
        </w:rPr>
        <w:t xml:space="preserve"> CDP Venture Capital SGR shall adopt the audit and control system described in the guidelines “Linee Guida per le attività di rendicontazione e controllo dei Fondi DTF e GTF” for the use of the equity. The Investment Policy shall require that financial product(s) that the equity supports comply with the ‘Do no significant harm’ (DNSH) principle as set out in the DNSH Technical Guidance (2021/C58/01). In particular, in the case of general support to start ups, the investment policy shall exclude companies with a substantial focus</w:t>
      </w:r>
      <w:r w:rsidRPr="00647572">
        <w:rPr>
          <w:rFonts w:ascii="Times New Roman" w:eastAsia="Times New Roman" w:hAnsi="Times New Roman" w:cs="Times New Roman"/>
          <w:noProof/>
          <w:vertAlign w:val="superscript"/>
          <w:lang w:val="en-GB" w:eastAsia="ja-JP"/>
        </w:rPr>
        <w:footnoteReference w:id="79"/>
      </w:r>
      <w:r w:rsidRPr="00647572">
        <w:rPr>
          <w:rFonts w:ascii="Times New Roman" w:eastAsia="Times New Roman" w:hAnsi="Times New Roman" w:cs="Times New Roman"/>
          <w:noProof/>
          <w:lang w:val="en-GB" w:eastAsia="ja-JP"/>
        </w:rPr>
        <w:t xml:space="preserve"> in the following sectors: (i) fossil fuel-based energy production and related activities</w:t>
      </w:r>
      <w:r w:rsidRPr="00647572">
        <w:rPr>
          <w:rFonts w:ascii="Times New Roman" w:eastAsia="Times New Roman" w:hAnsi="Times New Roman" w:cs="Times New Roman"/>
          <w:noProof/>
          <w:vertAlign w:val="superscript"/>
          <w:lang w:val="en-GB" w:eastAsia="ja-JP"/>
        </w:rPr>
        <w:footnoteReference w:id="80"/>
      </w:r>
      <w:r w:rsidRPr="00647572">
        <w:rPr>
          <w:rFonts w:ascii="Times New Roman" w:eastAsia="Times New Roman" w:hAnsi="Times New Roman" w:cs="Times New Roman"/>
          <w:noProof/>
          <w:lang w:val="en-GB" w:eastAsia="ja-JP"/>
        </w:rPr>
        <w:t>; (ii) energy-intensive and/or high CO2-emitting industries</w:t>
      </w:r>
      <w:r w:rsidRPr="00647572">
        <w:rPr>
          <w:rFonts w:ascii="Times New Roman" w:eastAsia="Times New Roman" w:hAnsi="Times New Roman" w:cs="Times New Roman"/>
          <w:noProof/>
          <w:vertAlign w:val="superscript"/>
          <w:lang w:val="en-GB" w:eastAsia="ja-JP"/>
        </w:rPr>
        <w:footnoteReference w:id="81"/>
      </w:r>
      <w:r w:rsidRPr="00647572">
        <w:rPr>
          <w:rFonts w:ascii="Times New Roman" w:eastAsia="Times New Roman" w:hAnsi="Times New Roman" w:cs="Times New Roman"/>
          <w:noProof/>
          <w:lang w:val="en-GB" w:eastAsia="ja-JP"/>
        </w:rPr>
        <w:t>; (iii) production, rental, or sale of polluting vehicles</w:t>
      </w:r>
      <w:r w:rsidRPr="00647572">
        <w:rPr>
          <w:rFonts w:ascii="Times New Roman" w:eastAsia="Times New Roman" w:hAnsi="Times New Roman" w:cs="Times New Roman"/>
          <w:noProof/>
          <w:vertAlign w:val="superscript"/>
          <w:lang w:val="en-GB" w:eastAsia="ja-JP"/>
        </w:rPr>
        <w:footnoteReference w:id="82"/>
      </w:r>
      <w:r w:rsidRPr="00647572">
        <w:rPr>
          <w:rFonts w:ascii="Times New Roman" w:eastAsia="Times New Roman" w:hAnsi="Times New Roman" w:cs="Times New Roman"/>
          <w:noProof/>
          <w:lang w:val="en-GB" w:eastAsia="ja-JP"/>
        </w:rPr>
        <w:t>; (iv) waste collection, waste treatment and disposal</w:t>
      </w:r>
      <w:r w:rsidRPr="00647572">
        <w:rPr>
          <w:rFonts w:ascii="Times New Roman" w:eastAsia="Times New Roman" w:hAnsi="Times New Roman" w:cs="Times New Roman"/>
          <w:noProof/>
          <w:vertAlign w:val="superscript"/>
          <w:lang w:val="en-GB" w:eastAsia="ja-JP"/>
        </w:rPr>
        <w:footnoteReference w:id="83"/>
      </w:r>
      <w:r w:rsidRPr="00647572">
        <w:rPr>
          <w:rFonts w:ascii="Times New Roman" w:eastAsia="Times New Roman" w:hAnsi="Times New Roman" w:cs="Times New Roman"/>
          <w:noProof/>
          <w:lang w:val="en-GB" w:eastAsia="ja-JP"/>
        </w:rPr>
        <w:t>, (v) processing of nuclear fuel, production of nuclear energy. Moreover, the investment policy shall require compliance with the relevant EU and national environmental legislation.</w:t>
      </w:r>
    </w:p>
    <w:p w14:paraId="1A647F2D" w14:textId="77777777" w:rsidR="0039681A" w:rsidRPr="00A36E36" w:rsidRDefault="0039681A" w:rsidP="00351087">
      <w:pPr>
        <w:rPr>
          <w:noProof/>
          <w:lang w:val="en-IE"/>
        </w:rPr>
        <w:sectPr w:rsidR="0039681A" w:rsidRPr="00A36E36" w:rsidSect="0039681A">
          <w:headerReference w:type="even" r:id="rId175"/>
          <w:headerReference w:type="default" r:id="rId176"/>
          <w:footerReference w:type="even" r:id="rId177"/>
          <w:footerReference w:type="default" r:id="rId178"/>
          <w:headerReference w:type="first" r:id="rId179"/>
          <w:footerReference w:type="first" r:id="rId180"/>
          <w:pgSz w:w="11906" w:h="16838"/>
          <w:pgMar w:top="1134" w:right="1134" w:bottom="1134" w:left="1134" w:header="567" w:footer="567" w:gutter="0"/>
          <w:cols w:space="708"/>
          <w:docGrid w:linePitch="360"/>
        </w:sectPr>
      </w:pPr>
    </w:p>
    <w:p w14:paraId="1C6F9606" w14:textId="77777777" w:rsidR="0039681A" w:rsidRPr="00A36E36" w:rsidRDefault="0039681A" w:rsidP="0035108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K.4. </w:t>
      </w:r>
      <w:r w:rsidRPr="00A36E36">
        <w:rPr>
          <w:rFonts w:ascii="Times New Roman" w:hAnsi="Times New Roman" w:cs="Times New Roman"/>
          <w:b/>
          <w:noProof/>
          <w:sz w:val="24"/>
          <w:szCs w:val="24"/>
          <w:u w:val="single"/>
          <w:lang w:val="en-IE"/>
        </w:rPr>
        <w:tab/>
        <w:t xml:space="preserve">Milestones, targets, indicators, and timetable for monitoring and implementation for the loan </w:t>
      </w:r>
    </w:p>
    <w:tbl>
      <w:tblPr>
        <w:tblW w:w="543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0"/>
        <w:gridCol w:w="1395"/>
        <w:gridCol w:w="1486"/>
        <w:gridCol w:w="1441"/>
        <w:gridCol w:w="1584"/>
        <w:gridCol w:w="1297"/>
        <w:gridCol w:w="1152"/>
        <w:gridCol w:w="1296"/>
        <w:gridCol w:w="1009"/>
        <w:gridCol w:w="861"/>
        <w:gridCol w:w="2452"/>
      </w:tblGrid>
      <w:tr w:rsidR="0039681A" w:rsidRPr="0070054C" w14:paraId="0B661FAC" w14:textId="77777777" w:rsidTr="00351087">
        <w:trPr>
          <w:trHeight w:val="939"/>
          <w:tblHeader/>
        </w:trPr>
        <w:tc>
          <w:tcPr>
            <w:tcW w:w="1441" w:type="dxa"/>
            <w:vMerge w:val="restart"/>
            <w:shd w:val="clear" w:color="auto" w:fill="BDD7EE"/>
            <w:vAlign w:val="center"/>
            <w:hideMark/>
          </w:tcPr>
          <w:p w14:paraId="7FDB3240"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Sequential Number</w:t>
            </w:r>
          </w:p>
        </w:tc>
        <w:tc>
          <w:tcPr>
            <w:tcW w:w="1395" w:type="dxa"/>
            <w:vMerge w:val="restart"/>
            <w:shd w:val="clear" w:color="auto" w:fill="BDD7EE"/>
            <w:vAlign w:val="center"/>
            <w:hideMark/>
          </w:tcPr>
          <w:p w14:paraId="1723CBCC" w14:textId="77777777" w:rsidR="0039681A" w:rsidRPr="00A36E36" w:rsidRDefault="0039681A" w:rsidP="00351087">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486" w:type="dxa"/>
            <w:vMerge w:val="restart"/>
            <w:shd w:val="clear" w:color="auto" w:fill="BDD7EE"/>
            <w:vAlign w:val="center"/>
            <w:hideMark/>
          </w:tcPr>
          <w:p w14:paraId="534DFF0A"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Milestone / Target</w:t>
            </w:r>
          </w:p>
        </w:tc>
        <w:tc>
          <w:tcPr>
            <w:tcW w:w="1441" w:type="dxa"/>
            <w:vMerge w:val="restart"/>
            <w:shd w:val="clear" w:color="auto" w:fill="BDD7EE"/>
            <w:vAlign w:val="center"/>
            <w:hideMark/>
          </w:tcPr>
          <w:p w14:paraId="723E09BB"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Name</w:t>
            </w:r>
          </w:p>
        </w:tc>
        <w:tc>
          <w:tcPr>
            <w:tcW w:w="1584" w:type="dxa"/>
            <w:vMerge w:val="restart"/>
            <w:shd w:val="clear" w:color="auto" w:fill="BDD7EE"/>
            <w:vAlign w:val="center"/>
            <w:hideMark/>
          </w:tcPr>
          <w:p w14:paraId="510848BD"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745" w:type="dxa"/>
            <w:gridSpan w:val="3"/>
            <w:shd w:val="clear" w:color="auto" w:fill="BDD7EE"/>
            <w:vAlign w:val="center"/>
            <w:hideMark/>
          </w:tcPr>
          <w:p w14:paraId="45DB539A"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870" w:type="dxa"/>
            <w:gridSpan w:val="2"/>
            <w:shd w:val="clear" w:color="auto" w:fill="BDD7EE"/>
            <w:vAlign w:val="center"/>
            <w:hideMark/>
          </w:tcPr>
          <w:p w14:paraId="0A2305BA"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2452" w:type="dxa"/>
            <w:vMerge w:val="restart"/>
            <w:shd w:val="clear" w:color="auto" w:fill="BDD7EE"/>
            <w:vAlign w:val="center"/>
            <w:hideMark/>
          </w:tcPr>
          <w:p w14:paraId="7C9F6EAF" w14:textId="77777777" w:rsidR="0039681A" w:rsidRPr="00A36E36" w:rsidRDefault="0039681A" w:rsidP="00351087">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1B95A8EB" w14:textId="77777777" w:rsidTr="00351087">
        <w:trPr>
          <w:trHeight w:val="741"/>
          <w:tblHeader/>
        </w:trPr>
        <w:tc>
          <w:tcPr>
            <w:tcW w:w="1441" w:type="dxa"/>
            <w:vMerge/>
            <w:vAlign w:val="center"/>
            <w:hideMark/>
          </w:tcPr>
          <w:p w14:paraId="67D9B2C5" w14:textId="77777777" w:rsidR="0039681A" w:rsidRPr="00A36E36" w:rsidRDefault="0039681A" w:rsidP="00351087">
            <w:pPr>
              <w:jc w:val="center"/>
              <w:rPr>
                <w:rFonts w:ascii="Arial Narrow" w:hAnsi="Arial Narrow"/>
                <w:b/>
                <w:noProof/>
                <w:sz w:val="20"/>
                <w:szCs w:val="20"/>
                <w:lang w:val="en-IE"/>
              </w:rPr>
            </w:pPr>
          </w:p>
        </w:tc>
        <w:tc>
          <w:tcPr>
            <w:tcW w:w="1395" w:type="dxa"/>
            <w:vMerge/>
            <w:vAlign w:val="center"/>
            <w:hideMark/>
          </w:tcPr>
          <w:p w14:paraId="25AC0CA1" w14:textId="77777777" w:rsidR="0039681A" w:rsidRPr="00A36E36" w:rsidRDefault="0039681A" w:rsidP="00351087">
            <w:pPr>
              <w:jc w:val="center"/>
              <w:rPr>
                <w:rFonts w:ascii="Arial Narrow" w:hAnsi="Arial Narrow"/>
                <w:b/>
                <w:noProof/>
                <w:sz w:val="20"/>
                <w:szCs w:val="20"/>
                <w:lang w:val="en-IE"/>
              </w:rPr>
            </w:pPr>
          </w:p>
        </w:tc>
        <w:tc>
          <w:tcPr>
            <w:tcW w:w="1486" w:type="dxa"/>
            <w:vMerge/>
            <w:vAlign w:val="center"/>
            <w:hideMark/>
          </w:tcPr>
          <w:p w14:paraId="546D46E4" w14:textId="77777777" w:rsidR="0039681A" w:rsidRPr="00A36E36" w:rsidRDefault="0039681A" w:rsidP="00351087">
            <w:pPr>
              <w:jc w:val="center"/>
              <w:rPr>
                <w:rFonts w:ascii="Arial Narrow" w:hAnsi="Arial Narrow"/>
                <w:b/>
                <w:noProof/>
                <w:sz w:val="20"/>
                <w:szCs w:val="20"/>
                <w:lang w:val="en-IE"/>
              </w:rPr>
            </w:pPr>
          </w:p>
        </w:tc>
        <w:tc>
          <w:tcPr>
            <w:tcW w:w="1441" w:type="dxa"/>
            <w:vMerge/>
            <w:vAlign w:val="center"/>
            <w:hideMark/>
          </w:tcPr>
          <w:p w14:paraId="7F4580D3" w14:textId="77777777" w:rsidR="0039681A" w:rsidRPr="00A36E36" w:rsidRDefault="0039681A" w:rsidP="00351087">
            <w:pPr>
              <w:jc w:val="center"/>
              <w:rPr>
                <w:rFonts w:ascii="Arial Narrow" w:hAnsi="Arial Narrow"/>
                <w:b/>
                <w:noProof/>
                <w:sz w:val="20"/>
                <w:szCs w:val="20"/>
                <w:lang w:val="en-IE"/>
              </w:rPr>
            </w:pPr>
          </w:p>
        </w:tc>
        <w:tc>
          <w:tcPr>
            <w:tcW w:w="1584" w:type="dxa"/>
            <w:vMerge/>
            <w:vAlign w:val="center"/>
            <w:hideMark/>
          </w:tcPr>
          <w:p w14:paraId="286C235A" w14:textId="77777777" w:rsidR="0039681A" w:rsidRPr="00A36E36" w:rsidRDefault="0039681A" w:rsidP="00351087">
            <w:pPr>
              <w:jc w:val="center"/>
              <w:rPr>
                <w:rFonts w:ascii="Arial Narrow" w:hAnsi="Arial Narrow"/>
                <w:b/>
                <w:noProof/>
                <w:sz w:val="20"/>
                <w:szCs w:val="20"/>
                <w:lang w:val="en-IE"/>
              </w:rPr>
            </w:pPr>
          </w:p>
        </w:tc>
        <w:tc>
          <w:tcPr>
            <w:tcW w:w="1297" w:type="dxa"/>
            <w:shd w:val="clear" w:color="auto" w:fill="BDD7EE"/>
            <w:vAlign w:val="center"/>
            <w:hideMark/>
          </w:tcPr>
          <w:p w14:paraId="5795018B"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Unit of measure</w:t>
            </w:r>
          </w:p>
        </w:tc>
        <w:tc>
          <w:tcPr>
            <w:tcW w:w="1152" w:type="dxa"/>
            <w:shd w:val="clear" w:color="auto" w:fill="BDD7EE"/>
            <w:vAlign w:val="center"/>
            <w:hideMark/>
          </w:tcPr>
          <w:p w14:paraId="0A692723"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Baseline</w:t>
            </w:r>
          </w:p>
        </w:tc>
        <w:tc>
          <w:tcPr>
            <w:tcW w:w="1296" w:type="dxa"/>
            <w:shd w:val="clear" w:color="auto" w:fill="BDD7EE"/>
            <w:vAlign w:val="center"/>
            <w:hideMark/>
          </w:tcPr>
          <w:p w14:paraId="7F0F23EE"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Goal</w:t>
            </w:r>
          </w:p>
        </w:tc>
        <w:tc>
          <w:tcPr>
            <w:tcW w:w="1009" w:type="dxa"/>
            <w:shd w:val="clear" w:color="auto" w:fill="BDD7EE"/>
            <w:vAlign w:val="center"/>
            <w:hideMark/>
          </w:tcPr>
          <w:p w14:paraId="02E266D6"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Quarter</w:t>
            </w:r>
          </w:p>
        </w:tc>
        <w:tc>
          <w:tcPr>
            <w:tcW w:w="861" w:type="dxa"/>
            <w:shd w:val="clear" w:color="auto" w:fill="BDD7EE"/>
            <w:vAlign w:val="center"/>
            <w:hideMark/>
          </w:tcPr>
          <w:p w14:paraId="428FDF82"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Year</w:t>
            </w:r>
          </w:p>
        </w:tc>
        <w:tc>
          <w:tcPr>
            <w:tcW w:w="2452" w:type="dxa"/>
            <w:vMerge/>
            <w:vAlign w:val="center"/>
            <w:hideMark/>
          </w:tcPr>
          <w:p w14:paraId="247E47CF" w14:textId="77777777" w:rsidR="0039681A" w:rsidRPr="00647572" w:rsidRDefault="0039681A" w:rsidP="00351087">
            <w:pPr>
              <w:rPr>
                <w:rFonts w:ascii="Arial Narrow" w:hAnsi="Arial Narrow"/>
                <w:b/>
                <w:noProof/>
                <w:sz w:val="20"/>
                <w:szCs w:val="20"/>
              </w:rPr>
            </w:pPr>
          </w:p>
        </w:tc>
      </w:tr>
      <w:tr w:rsidR="0039681A" w:rsidRPr="0070054C" w14:paraId="19DEA586" w14:textId="77777777" w:rsidTr="00351087">
        <w:trPr>
          <w:trHeight w:val="1740"/>
        </w:trPr>
        <w:tc>
          <w:tcPr>
            <w:tcW w:w="1441" w:type="dxa"/>
            <w:shd w:val="clear" w:color="auto" w:fill="C6EFCE"/>
            <w:noWrap/>
            <w:vAlign w:val="center"/>
            <w:hideMark/>
          </w:tcPr>
          <w:p w14:paraId="16363C5E" w14:textId="00957858" w:rsidR="0039681A" w:rsidRPr="00647572" w:rsidRDefault="0039681A" w:rsidP="002C13D8">
            <w:pPr>
              <w:jc w:val="center"/>
              <w:rPr>
                <w:rFonts w:ascii="Arial Narrow" w:hAnsi="Arial Narrow"/>
                <w:noProof/>
                <w:color w:val="006100"/>
                <w:sz w:val="20"/>
                <w:szCs w:val="20"/>
              </w:rPr>
            </w:pPr>
            <w:r w:rsidRPr="00647572">
              <w:rPr>
                <w:rFonts w:ascii="Arial Narrow" w:hAnsi="Arial Narrow"/>
                <w:noProof/>
                <w:color w:val="006100"/>
                <w:sz w:val="20"/>
              </w:rPr>
              <w:t>M4C2-5</w:t>
            </w:r>
          </w:p>
        </w:tc>
        <w:tc>
          <w:tcPr>
            <w:tcW w:w="1395" w:type="dxa"/>
            <w:shd w:val="clear" w:color="auto" w:fill="C6EFCE"/>
            <w:noWrap/>
            <w:vAlign w:val="center"/>
          </w:tcPr>
          <w:p w14:paraId="39B6AAC1"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Research Projects of Significant National Interest (PRIN)</w:t>
            </w:r>
          </w:p>
        </w:tc>
        <w:tc>
          <w:tcPr>
            <w:tcW w:w="1486" w:type="dxa"/>
            <w:shd w:val="clear" w:color="auto" w:fill="C6EFCE"/>
            <w:noWrap/>
            <w:vAlign w:val="center"/>
            <w:hideMark/>
          </w:tcPr>
          <w:p w14:paraId="2FC1885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tcPr>
          <w:p w14:paraId="2E97CCAB"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Number of research projects awarded</w:t>
            </w:r>
          </w:p>
        </w:tc>
        <w:tc>
          <w:tcPr>
            <w:tcW w:w="1584" w:type="dxa"/>
            <w:shd w:val="clear" w:color="auto" w:fill="C6EFCE"/>
            <w:noWrap/>
            <w:vAlign w:val="center"/>
            <w:hideMark/>
          </w:tcPr>
          <w:p w14:paraId="109380E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hideMark/>
          </w:tcPr>
          <w:p w14:paraId="05C5146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tcPr>
          <w:p w14:paraId="74ABADB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tcPr>
          <w:p w14:paraId="7935506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3</w:t>
            </w:r>
            <w:r w:rsidRPr="00647572">
              <w:rPr>
                <w:noProof/>
                <w:sz w:val="23"/>
                <w:szCs w:val="23"/>
              </w:rPr>
              <w:t> </w:t>
            </w:r>
            <w:r w:rsidRPr="00647572">
              <w:rPr>
                <w:rFonts w:ascii="Arial Narrow" w:hAnsi="Arial Narrow"/>
                <w:noProof/>
                <w:color w:val="006100"/>
                <w:sz w:val="20"/>
              </w:rPr>
              <w:t>150</w:t>
            </w:r>
          </w:p>
        </w:tc>
        <w:tc>
          <w:tcPr>
            <w:tcW w:w="1009" w:type="dxa"/>
            <w:shd w:val="clear" w:color="auto" w:fill="C6EFCE"/>
            <w:noWrap/>
            <w:vAlign w:val="center"/>
            <w:hideMark/>
          </w:tcPr>
          <w:p w14:paraId="0D5B4FE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61" w:type="dxa"/>
            <w:shd w:val="clear" w:color="auto" w:fill="C6EFCE"/>
            <w:noWrap/>
            <w:vAlign w:val="center"/>
            <w:hideMark/>
          </w:tcPr>
          <w:p w14:paraId="0315E0F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452" w:type="dxa"/>
            <w:shd w:val="clear" w:color="auto" w:fill="C6EFCE"/>
            <w:noWrap/>
            <w:vAlign w:val="center"/>
            <w:hideMark/>
          </w:tcPr>
          <w:p w14:paraId="7964EBA0"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Award of at least 3</w:t>
            </w:r>
            <w:r w:rsidRPr="00A36E36">
              <w:rPr>
                <w:noProof/>
                <w:sz w:val="23"/>
                <w:szCs w:val="23"/>
                <w:lang w:val="en-IE"/>
              </w:rPr>
              <w:t> </w:t>
            </w:r>
            <w:r w:rsidRPr="00A36E36">
              <w:rPr>
                <w:rFonts w:ascii="Arial Narrow" w:hAnsi="Arial Narrow"/>
                <w:noProof/>
                <w:color w:val="006100"/>
                <w:sz w:val="20"/>
                <w:lang w:val="en-IE"/>
              </w:rPr>
              <w:t xml:space="preserve">150 </w:t>
            </w:r>
            <w:r w:rsidRPr="00A36E36">
              <w:rPr>
                <w:rFonts w:ascii="Arial Narrow" w:hAnsi="Arial Narrow"/>
                <w:i/>
                <w:noProof/>
                <w:color w:val="006100"/>
                <w:sz w:val="20"/>
                <w:lang w:val="en-IE"/>
              </w:rPr>
              <w:t>Progetti di Ricerca di Interesse Nazionale</w:t>
            </w:r>
            <w:r w:rsidRPr="00A36E36">
              <w:rPr>
                <w:rFonts w:ascii="Arial Narrow" w:hAnsi="Arial Narrow"/>
                <w:noProof/>
                <w:color w:val="006100"/>
                <w:sz w:val="20"/>
                <w:lang w:val="en-IE"/>
              </w:rPr>
              <w:t xml:space="preserve"> research projects. </w:t>
            </w:r>
          </w:p>
          <w:p w14:paraId="2FB04F4A"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award of the contracts to the projects selected under the competitive calls for proposals shall be made in compliance with the ’Do no significant harm’ Technical Guidance (2021/C58/01) through the use of an exclusion list and the requirement of compliance with the relevant EU and national environmental legislation.</w:t>
            </w:r>
          </w:p>
        </w:tc>
      </w:tr>
      <w:tr w:rsidR="0039681A" w:rsidRPr="0070054C" w14:paraId="44FC8A73" w14:textId="77777777" w:rsidTr="00351087">
        <w:trPr>
          <w:trHeight w:val="313"/>
        </w:trPr>
        <w:tc>
          <w:tcPr>
            <w:tcW w:w="1441" w:type="dxa"/>
            <w:shd w:val="clear" w:color="auto" w:fill="C6EFCE"/>
            <w:noWrap/>
            <w:vAlign w:val="center"/>
            <w:hideMark/>
          </w:tcPr>
          <w:p w14:paraId="0D80BEC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M4C2-6</w:t>
            </w:r>
          </w:p>
        </w:tc>
        <w:tc>
          <w:tcPr>
            <w:tcW w:w="1395" w:type="dxa"/>
            <w:shd w:val="clear" w:color="auto" w:fill="C6EFCE"/>
            <w:noWrap/>
            <w:vAlign w:val="center"/>
          </w:tcPr>
          <w:p w14:paraId="1F239B82"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Research Projects of Significant National Interest (PRIN)</w:t>
            </w:r>
          </w:p>
        </w:tc>
        <w:tc>
          <w:tcPr>
            <w:tcW w:w="1486" w:type="dxa"/>
            <w:shd w:val="clear" w:color="auto" w:fill="C6EFCE"/>
            <w:noWrap/>
            <w:vAlign w:val="center"/>
            <w:hideMark/>
          </w:tcPr>
          <w:p w14:paraId="34117B1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441" w:type="dxa"/>
            <w:shd w:val="clear" w:color="auto" w:fill="C6EFCE"/>
            <w:noWrap/>
            <w:vAlign w:val="center"/>
          </w:tcPr>
          <w:p w14:paraId="1DAB9897"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Publication of the decree(s) awarding the projects </w:t>
            </w:r>
          </w:p>
        </w:tc>
        <w:tc>
          <w:tcPr>
            <w:tcW w:w="1584" w:type="dxa"/>
            <w:shd w:val="clear" w:color="auto" w:fill="C6EFCE"/>
            <w:noWrap/>
            <w:vAlign w:val="center"/>
            <w:hideMark/>
          </w:tcPr>
          <w:p w14:paraId="5B09A907"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Publication of the decree(s)</w:t>
            </w:r>
          </w:p>
        </w:tc>
        <w:tc>
          <w:tcPr>
            <w:tcW w:w="1297" w:type="dxa"/>
            <w:shd w:val="clear" w:color="auto" w:fill="C6EFCE"/>
            <w:noWrap/>
            <w:vAlign w:val="center"/>
            <w:hideMark/>
          </w:tcPr>
          <w:p w14:paraId="1CA6590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52" w:type="dxa"/>
            <w:shd w:val="clear" w:color="auto" w:fill="C6EFCE"/>
            <w:noWrap/>
            <w:vAlign w:val="center"/>
          </w:tcPr>
          <w:p w14:paraId="34B1E8B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296" w:type="dxa"/>
            <w:shd w:val="clear" w:color="auto" w:fill="C6EFCE"/>
            <w:noWrap/>
            <w:vAlign w:val="center"/>
          </w:tcPr>
          <w:p w14:paraId="283A5EE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009" w:type="dxa"/>
            <w:shd w:val="clear" w:color="auto" w:fill="C6EFCE"/>
            <w:noWrap/>
            <w:vAlign w:val="center"/>
            <w:hideMark/>
          </w:tcPr>
          <w:p w14:paraId="6258496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700564D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452" w:type="dxa"/>
            <w:shd w:val="clear" w:color="auto" w:fill="C6EFCE"/>
            <w:noWrap/>
            <w:vAlign w:val="center"/>
            <w:hideMark/>
          </w:tcPr>
          <w:p w14:paraId="19FB47B5"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Publication of the decree(s) awarding at least 5</w:t>
            </w:r>
            <w:r w:rsidRPr="00A36E36">
              <w:rPr>
                <w:noProof/>
                <w:sz w:val="23"/>
                <w:szCs w:val="23"/>
                <w:lang w:val="en-IE"/>
              </w:rPr>
              <w:t> </w:t>
            </w:r>
            <w:r w:rsidRPr="00A36E36">
              <w:rPr>
                <w:rFonts w:ascii="Arial Narrow" w:hAnsi="Arial Narrow"/>
                <w:noProof/>
                <w:color w:val="006100"/>
                <w:sz w:val="20"/>
                <w:szCs w:val="20"/>
                <w:lang w:val="en-IE"/>
              </w:rPr>
              <w:t>350 Research Projects of National Interest (Progetti di Ricerca di Interesse Nazionale).</w:t>
            </w:r>
          </w:p>
          <w:p w14:paraId="57FAA0ED"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calls for projects shall specify that the duration of the project shall be at least two years, and require the collaboration among university research units and research bodies.</w:t>
            </w:r>
          </w:p>
        </w:tc>
      </w:tr>
      <w:tr w:rsidR="0039681A" w:rsidRPr="0070054C" w14:paraId="3CCAE8EE" w14:textId="77777777" w:rsidTr="00351087">
        <w:trPr>
          <w:trHeight w:val="313"/>
        </w:trPr>
        <w:tc>
          <w:tcPr>
            <w:tcW w:w="1441" w:type="dxa"/>
            <w:shd w:val="clear" w:color="auto" w:fill="C6EFCE"/>
            <w:noWrap/>
            <w:vAlign w:val="center"/>
            <w:hideMark/>
          </w:tcPr>
          <w:p w14:paraId="27583C4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M4C2-7</w:t>
            </w:r>
          </w:p>
        </w:tc>
        <w:tc>
          <w:tcPr>
            <w:tcW w:w="1395" w:type="dxa"/>
            <w:shd w:val="clear" w:color="auto" w:fill="C6EFCE"/>
            <w:noWrap/>
            <w:vAlign w:val="center"/>
            <w:hideMark/>
          </w:tcPr>
          <w:p w14:paraId="7F0CB20C" w14:textId="77777777" w:rsidR="0039681A" w:rsidRPr="00A36E36" w:rsidRDefault="0039681A" w:rsidP="00351087">
            <w:pPr>
              <w:jc w:val="center"/>
              <w:rPr>
                <w:rFonts w:ascii="Arial Narrow" w:hAnsi="Arial Narrow"/>
                <w:noProof/>
                <w:color w:val="006100"/>
                <w:sz w:val="20"/>
                <w:szCs w:val="20"/>
                <w:lang w:val="en-IE"/>
              </w:rPr>
            </w:pPr>
            <w:r w:rsidRPr="00A36E36" w:rsidDel="00276517">
              <w:rPr>
                <w:rFonts w:ascii="Arial Narrow" w:hAnsi="Arial Narrow"/>
                <w:noProof/>
                <w:color w:val="006100"/>
                <w:sz w:val="20"/>
                <w:szCs w:val="20"/>
                <w:lang w:val="en-IE"/>
              </w:rPr>
              <w:t>Investment 1.1: Research Projects of Significant National Interest (PRIN)</w:t>
            </w:r>
          </w:p>
        </w:tc>
        <w:tc>
          <w:tcPr>
            <w:tcW w:w="1486" w:type="dxa"/>
            <w:shd w:val="clear" w:color="auto" w:fill="C6EFCE"/>
            <w:noWrap/>
            <w:vAlign w:val="center"/>
            <w:hideMark/>
          </w:tcPr>
          <w:p w14:paraId="25178327" w14:textId="77777777" w:rsidR="0039681A" w:rsidRPr="00647572" w:rsidRDefault="0039681A" w:rsidP="00351087">
            <w:pPr>
              <w:jc w:val="center"/>
              <w:rPr>
                <w:rFonts w:ascii="Arial Narrow" w:hAnsi="Arial Narrow"/>
                <w:noProof/>
                <w:color w:val="006100"/>
                <w:sz w:val="20"/>
                <w:szCs w:val="20"/>
              </w:rPr>
            </w:pPr>
            <w:r w:rsidRPr="00647572" w:rsidDel="00276517">
              <w:rPr>
                <w:rFonts w:ascii="Arial Narrow" w:hAnsi="Arial Narrow"/>
                <w:noProof/>
                <w:color w:val="006100"/>
                <w:sz w:val="20"/>
                <w:szCs w:val="20"/>
              </w:rPr>
              <w:t>Target</w:t>
            </w:r>
          </w:p>
        </w:tc>
        <w:tc>
          <w:tcPr>
            <w:tcW w:w="1441" w:type="dxa"/>
            <w:shd w:val="clear" w:color="auto" w:fill="C6EFCE"/>
            <w:noWrap/>
            <w:vAlign w:val="center"/>
            <w:hideMark/>
          </w:tcPr>
          <w:p w14:paraId="120F2E56" w14:textId="77777777" w:rsidR="0039681A" w:rsidRPr="00A36E36" w:rsidRDefault="0039681A" w:rsidP="00351087">
            <w:pPr>
              <w:jc w:val="center"/>
              <w:rPr>
                <w:rFonts w:ascii="Arial Narrow" w:hAnsi="Arial Narrow"/>
                <w:noProof/>
                <w:color w:val="006100"/>
                <w:sz w:val="20"/>
                <w:szCs w:val="20"/>
                <w:lang w:val="en-IE"/>
              </w:rPr>
            </w:pPr>
            <w:r w:rsidRPr="00A36E36" w:rsidDel="00276517">
              <w:rPr>
                <w:rFonts w:ascii="Arial Narrow" w:hAnsi="Arial Narrow"/>
                <w:noProof/>
                <w:color w:val="006100"/>
                <w:sz w:val="20"/>
                <w:szCs w:val="20"/>
                <w:lang w:val="en-IE"/>
              </w:rPr>
              <w:t>Number of</w:t>
            </w:r>
            <w:r w:rsidRPr="00A36E36">
              <w:rPr>
                <w:rFonts w:ascii="Arial Narrow" w:hAnsi="Arial Narrow"/>
                <w:noProof/>
                <w:color w:val="006100"/>
                <w:sz w:val="20"/>
                <w:szCs w:val="20"/>
                <w:lang w:val="en-IE"/>
              </w:rPr>
              <w:t xml:space="preserve"> </w:t>
            </w:r>
            <w:r w:rsidRPr="00A36E36" w:rsidDel="00276517">
              <w:rPr>
                <w:rFonts w:ascii="Arial Narrow" w:hAnsi="Arial Narrow"/>
                <w:noProof/>
                <w:color w:val="006100"/>
                <w:sz w:val="20"/>
                <w:szCs w:val="20"/>
                <w:lang w:val="en-IE"/>
              </w:rPr>
              <w:t>fixed-term researchers hired</w:t>
            </w:r>
          </w:p>
        </w:tc>
        <w:tc>
          <w:tcPr>
            <w:tcW w:w="1584" w:type="dxa"/>
            <w:shd w:val="clear" w:color="auto" w:fill="C6EFCE"/>
            <w:noWrap/>
            <w:vAlign w:val="center"/>
            <w:hideMark/>
          </w:tcPr>
          <w:p w14:paraId="6B715170" w14:textId="77777777" w:rsidR="0039681A" w:rsidRPr="00647572" w:rsidRDefault="0039681A" w:rsidP="00351087">
            <w:pPr>
              <w:jc w:val="center"/>
              <w:rPr>
                <w:rFonts w:ascii="Arial Narrow" w:hAnsi="Arial Narrow"/>
                <w:noProof/>
                <w:color w:val="006100"/>
                <w:sz w:val="20"/>
                <w:szCs w:val="20"/>
              </w:rPr>
            </w:pPr>
            <w:r w:rsidRPr="00647572" w:rsidDel="00276517">
              <w:rPr>
                <w:rFonts w:ascii="Arial Narrow" w:hAnsi="Arial Narrow"/>
                <w:noProof/>
                <w:color w:val="006100"/>
                <w:sz w:val="20"/>
                <w:szCs w:val="20"/>
              </w:rPr>
              <w:t>N/A</w:t>
            </w:r>
          </w:p>
        </w:tc>
        <w:tc>
          <w:tcPr>
            <w:tcW w:w="1297" w:type="dxa"/>
            <w:shd w:val="clear" w:color="auto" w:fill="C6EFCE"/>
            <w:noWrap/>
            <w:vAlign w:val="center"/>
            <w:hideMark/>
          </w:tcPr>
          <w:p w14:paraId="754E185D" w14:textId="77777777" w:rsidR="0039681A" w:rsidRPr="00647572" w:rsidRDefault="0039681A" w:rsidP="00351087">
            <w:pPr>
              <w:jc w:val="center"/>
              <w:rPr>
                <w:rFonts w:ascii="Arial Narrow" w:hAnsi="Arial Narrow"/>
                <w:noProof/>
                <w:color w:val="006100"/>
                <w:sz w:val="20"/>
                <w:szCs w:val="20"/>
              </w:rPr>
            </w:pPr>
            <w:r w:rsidRPr="00647572" w:rsidDel="00276517">
              <w:rPr>
                <w:rFonts w:ascii="Arial Narrow" w:hAnsi="Arial Narrow"/>
                <w:noProof/>
                <w:color w:val="006100"/>
                <w:sz w:val="20"/>
                <w:szCs w:val="20"/>
              </w:rPr>
              <w:t>Number</w:t>
            </w:r>
          </w:p>
        </w:tc>
        <w:tc>
          <w:tcPr>
            <w:tcW w:w="1152" w:type="dxa"/>
            <w:shd w:val="clear" w:color="auto" w:fill="C6EFCE"/>
            <w:noWrap/>
            <w:vAlign w:val="center"/>
            <w:hideMark/>
          </w:tcPr>
          <w:p w14:paraId="5009B087" w14:textId="77777777" w:rsidR="0039681A" w:rsidRPr="00647572" w:rsidRDefault="0039681A" w:rsidP="00351087">
            <w:pPr>
              <w:jc w:val="center"/>
              <w:rPr>
                <w:rFonts w:ascii="Arial Narrow" w:hAnsi="Arial Narrow"/>
                <w:noProof/>
                <w:color w:val="006100"/>
                <w:sz w:val="20"/>
                <w:szCs w:val="20"/>
              </w:rPr>
            </w:pPr>
            <w:r w:rsidRPr="00647572" w:rsidDel="00276517">
              <w:rPr>
                <w:rFonts w:ascii="Arial Narrow" w:hAnsi="Arial Narrow"/>
                <w:noProof/>
                <w:color w:val="006100"/>
                <w:sz w:val="20"/>
                <w:szCs w:val="20"/>
              </w:rPr>
              <w:t>0</w:t>
            </w:r>
          </w:p>
        </w:tc>
        <w:tc>
          <w:tcPr>
            <w:tcW w:w="1296" w:type="dxa"/>
            <w:shd w:val="clear" w:color="auto" w:fill="C6EFCE"/>
            <w:noWrap/>
            <w:vAlign w:val="center"/>
            <w:hideMark/>
          </w:tcPr>
          <w:p w14:paraId="1EC617EB" w14:textId="77777777" w:rsidR="0039681A" w:rsidRPr="00647572" w:rsidRDefault="0039681A" w:rsidP="00351087">
            <w:pPr>
              <w:jc w:val="center"/>
              <w:rPr>
                <w:rFonts w:ascii="Arial Narrow" w:hAnsi="Arial Narrow"/>
                <w:noProof/>
                <w:color w:val="006100"/>
                <w:sz w:val="20"/>
                <w:szCs w:val="20"/>
              </w:rPr>
            </w:pPr>
            <w:r w:rsidRPr="00647572" w:rsidDel="00276517">
              <w:rPr>
                <w:rFonts w:ascii="Arial Narrow" w:hAnsi="Arial Narrow"/>
                <w:noProof/>
                <w:color w:val="006100"/>
                <w:sz w:val="20"/>
                <w:szCs w:val="20"/>
              </w:rPr>
              <w:t>900</w:t>
            </w:r>
          </w:p>
        </w:tc>
        <w:tc>
          <w:tcPr>
            <w:tcW w:w="1009" w:type="dxa"/>
            <w:shd w:val="clear" w:color="auto" w:fill="C6EFCE"/>
            <w:noWrap/>
            <w:vAlign w:val="center"/>
            <w:hideMark/>
          </w:tcPr>
          <w:p w14:paraId="309042ED" w14:textId="77777777" w:rsidR="0039681A" w:rsidRPr="00647572" w:rsidRDefault="0039681A" w:rsidP="00351087">
            <w:pPr>
              <w:jc w:val="center"/>
              <w:rPr>
                <w:rFonts w:ascii="Arial Narrow" w:hAnsi="Arial Narrow"/>
                <w:noProof/>
                <w:color w:val="006100"/>
                <w:sz w:val="20"/>
                <w:szCs w:val="20"/>
              </w:rPr>
            </w:pPr>
            <w:r w:rsidRPr="00647572" w:rsidDel="00276517">
              <w:rPr>
                <w:rFonts w:ascii="Arial Narrow" w:hAnsi="Arial Narrow"/>
                <w:noProof/>
                <w:color w:val="006100"/>
                <w:sz w:val="20"/>
                <w:szCs w:val="20"/>
              </w:rPr>
              <w:t>Q2</w:t>
            </w:r>
          </w:p>
        </w:tc>
        <w:tc>
          <w:tcPr>
            <w:tcW w:w="861" w:type="dxa"/>
            <w:shd w:val="clear" w:color="auto" w:fill="C6EFCE"/>
            <w:noWrap/>
            <w:vAlign w:val="center"/>
            <w:hideMark/>
          </w:tcPr>
          <w:p w14:paraId="29644C8D" w14:textId="77777777" w:rsidR="0039681A" w:rsidRPr="00647572" w:rsidRDefault="0039681A" w:rsidP="00351087">
            <w:pPr>
              <w:jc w:val="center"/>
              <w:rPr>
                <w:rFonts w:ascii="Arial Narrow" w:hAnsi="Arial Narrow"/>
                <w:noProof/>
                <w:color w:val="006100"/>
                <w:sz w:val="20"/>
                <w:szCs w:val="20"/>
              </w:rPr>
            </w:pPr>
            <w:r w:rsidRPr="00647572" w:rsidDel="00276517">
              <w:rPr>
                <w:rFonts w:ascii="Arial Narrow" w:hAnsi="Arial Narrow"/>
                <w:noProof/>
                <w:color w:val="006100"/>
                <w:sz w:val="20"/>
                <w:szCs w:val="20"/>
              </w:rPr>
              <w:t>2025</w:t>
            </w:r>
          </w:p>
        </w:tc>
        <w:tc>
          <w:tcPr>
            <w:tcW w:w="2452" w:type="dxa"/>
            <w:shd w:val="clear" w:color="auto" w:fill="C6EFCE"/>
            <w:noWrap/>
            <w:vAlign w:val="center"/>
            <w:hideMark/>
          </w:tcPr>
          <w:p w14:paraId="07D97785"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900 fixed-term researchers shall be hired. Hired researchers activities shall concern topics coherent with the six clusters of the European Framework Programme for Research and Innovation 2021-2027.</w:t>
            </w:r>
          </w:p>
        </w:tc>
      </w:tr>
      <w:tr w:rsidR="0039681A" w:rsidRPr="0070054C" w14:paraId="4A328F97" w14:textId="77777777" w:rsidTr="00351087">
        <w:trPr>
          <w:trHeight w:val="1278"/>
        </w:trPr>
        <w:tc>
          <w:tcPr>
            <w:tcW w:w="1441" w:type="dxa"/>
            <w:shd w:val="clear" w:color="auto" w:fill="C6EFCE"/>
            <w:noWrap/>
            <w:vAlign w:val="center"/>
            <w:hideMark/>
          </w:tcPr>
          <w:p w14:paraId="4F56D47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M4C2-8</w:t>
            </w:r>
          </w:p>
        </w:tc>
        <w:tc>
          <w:tcPr>
            <w:tcW w:w="1395" w:type="dxa"/>
            <w:shd w:val="clear" w:color="auto" w:fill="C6EFCE"/>
            <w:noWrap/>
            <w:vAlign w:val="center"/>
            <w:hideMark/>
          </w:tcPr>
          <w:p w14:paraId="5121C98C"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Partnerships extended to universities, research centers, companies and funding of basic research projects</w:t>
            </w:r>
          </w:p>
        </w:tc>
        <w:tc>
          <w:tcPr>
            <w:tcW w:w="1486" w:type="dxa"/>
            <w:shd w:val="clear" w:color="auto" w:fill="C6EFCE"/>
            <w:noWrap/>
            <w:vAlign w:val="center"/>
            <w:hideMark/>
          </w:tcPr>
          <w:p w14:paraId="183DE46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hideMark/>
          </w:tcPr>
          <w:p w14:paraId="19708735"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Number of research partnerships signed </w:t>
            </w:r>
          </w:p>
        </w:tc>
        <w:tc>
          <w:tcPr>
            <w:tcW w:w="1584" w:type="dxa"/>
            <w:shd w:val="clear" w:color="auto" w:fill="C6EFCE"/>
            <w:noWrap/>
            <w:vAlign w:val="center"/>
            <w:hideMark/>
          </w:tcPr>
          <w:p w14:paraId="0CFFC7C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hideMark/>
          </w:tcPr>
          <w:p w14:paraId="4BA0211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hideMark/>
          </w:tcPr>
          <w:p w14:paraId="59225C9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hideMark/>
          </w:tcPr>
          <w:p w14:paraId="16475358" w14:textId="01367501"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14</w:t>
            </w:r>
          </w:p>
        </w:tc>
        <w:tc>
          <w:tcPr>
            <w:tcW w:w="1009" w:type="dxa"/>
            <w:shd w:val="clear" w:color="auto" w:fill="C6EFCE"/>
            <w:noWrap/>
            <w:vAlign w:val="center"/>
            <w:hideMark/>
          </w:tcPr>
          <w:p w14:paraId="495510D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5F72DE1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452" w:type="dxa"/>
            <w:shd w:val="clear" w:color="auto" w:fill="C6EFCE"/>
            <w:noWrap/>
            <w:vAlign w:val="center"/>
            <w:hideMark/>
          </w:tcPr>
          <w:p w14:paraId="54BF1316" w14:textId="77777777" w:rsidR="0039681A" w:rsidRPr="00A36E36" w:rsidRDefault="0039681A" w:rsidP="00351087">
            <w:pPr>
              <w:spacing w:after="0"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Signature of the agreements (‘’atto d’obbligo’’) for at least 14 research partnerships. The calls for programmes shall require:</w:t>
            </w:r>
          </w:p>
          <w:p w14:paraId="414C2110" w14:textId="77777777" w:rsidR="0039681A" w:rsidRPr="00A36E36" w:rsidRDefault="0039681A" w:rsidP="00351087">
            <w:pPr>
              <w:spacing w:after="0"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 each partnership to hire at least 100 fixed-term researchers;</w:t>
            </w:r>
          </w:p>
          <w:p w14:paraId="209D3623" w14:textId="77777777" w:rsidR="0039681A" w:rsidRPr="00647572" w:rsidRDefault="0039681A" w:rsidP="00351087">
            <w:pPr>
              <w:pStyle w:val="paragraph"/>
              <w:spacing w:before="0" w:beforeAutospacing="0" w:after="120" w:afterAutospacing="0"/>
              <w:textAlignment w:val="baseline"/>
              <w:rPr>
                <w:rFonts w:ascii="Arial Narrow" w:hAnsi="Arial Narrow"/>
                <w:noProof/>
                <w:color w:val="006100"/>
                <w:sz w:val="20"/>
                <w:szCs w:val="20"/>
                <w:lang w:val="en-GB"/>
              </w:rPr>
            </w:pPr>
            <w:r w:rsidRPr="00647572">
              <w:rPr>
                <w:rFonts w:ascii="Arial Narrow" w:hAnsi="Arial Narrow"/>
                <w:noProof/>
                <w:color w:val="006100"/>
                <w:sz w:val="20"/>
                <w:szCs w:val="20"/>
                <w:lang w:val="en-GB"/>
              </w:rPr>
              <w:t>b)</w:t>
            </w:r>
            <w:r w:rsidRPr="00647572" w:rsidDel="33D10A15">
              <w:rPr>
                <w:rFonts w:ascii="Arial Narrow" w:hAnsi="Arial Narrow"/>
                <w:noProof/>
                <w:color w:val="006100"/>
                <w:sz w:val="20"/>
                <w:szCs w:val="20"/>
                <w:lang w:val="en-GB"/>
              </w:rPr>
              <w:t xml:space="preserve"> </w:t>
            </w:r>
            <w:r w:rsidRPr="00647572">
              <w:rPr>
                <w:rFonts w:ascii="Arial Narrow" w:hAnsi="Arial Narrow"/>
                <w:noProof/>
                <w:color w:val="006100"/>
                <w:sz w:val="20"/>
                <w:szCs w:val="20"/>
                <w:lang w:val="en-GB"/>
              </w:rPr>
              <w:t>Commitment that the climate contribution of the investment as per the methodology in Annex VI of the Regulation (EU) 2021/241 shall account for at least 42% of the total cost of the investment supported by the RRF.</w:t>
            </w:r>
          </w:p>
        </w:tc>
      </w:tr>
      <w:tr w:rsidR="0039681A" w:rsidRPr="0070054C" w14:paraId="569ED554" w14:textId="77777777" w:rsidTr="00351087">
        <w:trPr>
          <w:trHeight w:val="313"/>
        </w:trPr>
        <w:tc>
          <w:tcPr>
            <w:tcW w:w="1441" w:type="dxa"/>
            <w:shd w:val="clear" w:color="auto" w:fill="C6EFCE"/>
            <w:noWrap/>
            <w:vAlign w:val="center"/>
            <w:hideMark/>
          </w:tcPr>
          <w:p w14:paraId="10BB7A8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M4C2-9</w:t>
            </w:r>
          </w:p>
        </w:tc>
        <w:tc>
          <w:tcPr>
            <w:tcW w:w="1395" w:type="dxa"/>
            <w:shd w:val="clear" w:color="auto" w:fill="C6EFCE"/>
            <w:noWrap/>
            <w:vAlign w:val="center"/>
            <w:hideMark/>
          </w:tcPr>
          <w:p w14:paraId="0357A13A"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1.4: Creation of “national R&amp;D leaders” on some Key Enabling Technologies</w:t>
            </w:r>
          </w:p>
        </w:tc>
        <w:tc>
          <w:tcPr>
            <w:tcW w:w="1486" w:type="dxa"/>
            <w:shd w:val="clear" w:color="auto" w:fill="C6EFCE"/>
            <w:noWrap/>
            <w:vAlign w:val="center"/>
            <w:hideMark/>
          </w:tcPr>
          <w:p w14:paraId="53D0D2E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hideMark/>
          </w:tcPr>
          <w:p w14:paraId="0D3902C1" w14:textId="6167677E" w:rsidR="0039681A" w:rsidRPr="00A36E36" w:rsidRDefault="0039681A" w:rsidP="00351087">
            <w:pPr>
              <w:jc w:val="center"/>
              <w:rPr>
                <w:rFonts w:ascii="Arial Narrow" w:hAnsi="Arial Narrow"/>
                <w:noProof/>
                <w:color w:val="006100"/>
                <w:sz w:val="20"/>
                <w:szCs w:val="20"/>
                <w:lang w:val="en-IE"/>
              </w:rPr>
            </w:pPr>
            <w:r w:rsidRPr="3D1C7AF5">
              <w:rPr>
                <w:rFonts w:ascii="Arial Narrow" w:hAnsi="Arial Narrow"/>
                <w:noProof/>
                <w:color w:val="006100"/>
                <w:sz w:val="20"/>
                <w:szCs w:val="20"/>
                <w:lang w:val="en-IE"/>
              </w:rPr>
              <w:t xml:space="preserve">National Centres for which an activity report has been issued </w:t>
            </w:r>
          </w:p>
        </w:tc>
        <w:tc>
          <w:tcPr>
            <w:tcW w:w="1584" w:type="dxa"/>
            <w:shd w:val="clear" w:color="auto" w:fill="C6EFCE"/>
            <w:noWrap/>
            <w:vAlign w:val="center"/>
            <w:hideMark/>
          </w:tcPr>
          <w:p w14:paraId="5F2B571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hideMark/>
          </w:tcPr>
          <w:p w14:paraId="1CB9EBC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hideMark/>
          </w:tcPr>
          <w:p w14:paraId="2397B90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hideMark/>
          </w:tcPr>
          <w:p w14:paraId="0EA29CD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5</w:t>
            </w:r>
          </w:p>
        </w:tc>
        <w:tc>
          <w:tcPr>
            <w:tcW w:w="1009" w:type="dxa"/>
            <w:shd w:val="clear" w:color="auto" w:fill="C6EFCE"/>
            <w:noWrap/>
            <w:vAlign w:val="center"/>
            <w:hideMark/>
          </w:tcPr>
          <w:p w14:paraId="0F6870C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34BC29E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452" w:type="dxa"/>
            <w:shd w:val="clear" w:color="auto" w:fill="C6EFCE"/>
            <w:noWrap/>
            <w:vAlign w:val="center"/>
            <w:hideMark/>
          </w:tcPr>
          <w:p w14:paraId="319FB2E5" w14:textId="56FA38BE" w:rsidR="0039681A" w:rsidRPr="00A36E36" w:rsidRDefault="0039681A" w:rsidP="00351087">
            <w:pPr>
              <w:jc w:val="both"/>
              <w:rPr>
                <w:rFonts w:ascii="Arial Narrow" w:hAnsi="Arial Narrow"/>
                <w:noProof/>
                <w:color w:val="006100"/>
                <w:sz w:val="20"/>
                <w:szCs w:val="20"/>
                <w:lang w:val="en-IE"/>
              </w:rPr>
            </w:pPr>
            <w:r w:rsidRPr="3D1C7AF5">
              <w:rPr>
                <w:rFonts w:ascii="Arial Narrow" w:hAnsi="Arial Narrow"/>
                <w:noProof/>
                <w:color w:val="006100"/>
                <w:sz w:val="20"/>
                <w:szCs w:val="20"/>
                <w:lang w:val="en-IE"/>
              </w:rPr>
              <w:t xml:space="preserve">Activities report for each of the 5 National Centres shall be issued. </w:t>
            </w:r>
          </w:p>
        </w:tc>
      </w:tr>
      <w:tr w:rsidR="0039681A" w:rsidRPr="0070054C" w14:paraId="5AACFF07" w14:textId="77777777" w:rsidTr="00351087">
        <w:trPr>
          <w:trHeight w:val="313"/>
        </w:trPr>
        <w:tc>
          <w:tcPr>
            <w:tcW w:w="1441" w:type="dxa"/>
            <w:shd w:val="clear" w:color="auto" w:fill="C6EFCE"/>
            <w:noWrap/>
            <w:vAlign w:val="center"/>
            <w:hideMark/>
          </w:tcPr>
          <w:p w14:paraId="266AE51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M4C2-10</w:t>
            </w:r>
          </w:p>
        </w:tc>
        <w:tc>
          <w:tcPr>
            <w:tcW w:w="1395" w:type="dxa"/>
            <w:shd w:val="clear" w:color="auto" w:fill="C6EFCE"/>
            <w:noWrap/>
            <w:vAlign w:val="center"/>
            <w:hideMark/>
          </w:tcPr>
          <w:p w14:paraId="6DE25FB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Investment 2.1: IPCEI</w:t>
            </w:r>
          </w:p>
        </w:tc>
        <w:tc>
          <w:tcPr>
            <w:tcW w:w="1486" w:type="dxa"/>
            <w:shd w:val="clear" w:color="auto" w:fill="C6EFCE"/>
            <w:noWrap/>
            <w:vAlign w:val="center"/>
            <w:hideMark/>
          </w:tcPr>
          <w:p w14:paraId="207EE59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hideMark/>
          </w:tcPr>
          <w:p w14:paraId="3F39CFB5"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Launch of the call for expression of interest for the identification of the national projects, including projects on IPCEI microelectronic</w:t>
            </w:r>
          </w:p>
        </w:tc>
        <w:tc>
          <w:tcPr>
            <w:tcW w:w="1584" w:type="dxa"/>
            <w:shd w:val="clear" w:color="auto" w:fill="C6EFCE"/>
            <w:noWrap/>
            <w:vAlign w:val="center"/>
            <w:hideMark/>
          </w:tcPr>
          <w:p w14:paraId="27E2190A"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call for expression of interest is published</w:t>
            </w:r>
          </w:p>
        </w:tc>
        <w:tc>
          <w:tcPr>
            <w:tcW w:w="1297" w:type="dxa"/>
            <w:shd w:val="clear" w:color="auto" w:fill="C6EFCE"/>
            <w:noWrap/>
            <w:vAlign w:val="center"/>
            <w:hideMark/>
          </w:tcPr>
          <w:p w14:paraId="27E756A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hideMark/>
          </w:tcPr>
          <w:p w14:paraId="70F3D2C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hideMark/>
          </w:tcPr>
          <w:p w14:paraId="54E915A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09" w:type="dxa"/>
            <w:shd w:val="clear" w:color="auto" w:fill="C6EFCE"/>
            <w:noWrap/>
            <w:vAlign w:val="center"/>
            <w:hideMark/>
          </w:tcPr>
          <w:p w14:paraId="0CF04B9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798F870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452" w:type="dxa"/>
            <w:shd w:val="clear" w:color="auto" w:fill="C6EFCE"/>
            <w:noWrap/>
            <w:vAlign w:val="center"/>
            <w:hideMark/>
          </w:tcPr>
          <w:p w14:paraId="123B64AB"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The IPCEI projects that shall be supported are expected to be updated depending on the actual progress stage of the national IPCEI procedures currently on going and the progress stage of the state aid notification procedure.</w:t>
            </w:r>
          </w:p>
          <w:p w14:paraId="0B91C13A"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chosen IPCEI shall regard specific industrial innovative sectors in line with the European value chains already identified.</w:t>
            </w:r>
          </w:p>
          <w:p w14:paraId="71AE7E06"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This intervention includes both already approved IPCEIs and future ones, such as cloud, health, row materials, and cybersecurity.</w:t>
            </w:r>
          </w:p>
          <w:p w14:paraId="4E258F9C" w14:textId="77777777" w:rsidR="0039681A" w:rsidRPr="00A36E36" w:rsidRDefault="0039681A" w:rsidP="00351087">
            <w:pPr>
              <w:spacing w:before="120" w:after="120"/>
              <w:rPr>
                <w:rFonts w:ascii="Arial Narrow" w:hAnsi="Arial Narrow"/>
                <w:noProof/>
                <w:color w:val="006100"/>
                <w:sz w:val="20"/>
                <w:szCs w:val="20"/>
                <w:lang w:val="en-IE"/>
              </w:rPr>
            </w:pPr>
            <w:r w:rsidRPr="00A36E36">
              <w:rPr>
                <w:rFonts w:ascii="Arial Narrow" w:hAnsi="Arial Narrow"/>
                <w:noProof/>
                <w:color w:val="006100"/>
                <w:sz w:val="20"/>
                <w:lang w:val="en-IE"/>
              </w:rPr>
              <w:t>The terms of the call shall include the following:</w:t>
            </w:r>
          </w:p>
          <w:p w14:paraId="12032F03" w14:textId="77777777" w:rsidR="0039681A" w:rsidRPr="00647572" w:rsidRDefault="0039681A" w:rsidP="00351087">
            <w:pPr>
              <w:pStyle w:val="paragraph"/>
              <w:spacing w:before="0" w:beforeAutospacing="0" w:after="0" w:afterAutospacing="0"/>
              <w:textAlignment w:val="baseline"/>
              <w:rPr>
                <w:rFonts w:ascii="Arial Narrow" w:hAnsi="Arial Narrow"/>
                <w:noProof/>
                <w:color w:val="006100"/>
                <w:sz w:val="20"/>
                <w:szCs w:val="20"/>
                <w:lang w:val="en-GB"/>
              </w:rPr>
            </w:pPr>
            <w:r w:rsidRPr="00647572">
              <w:rPr>
                <w:rFonts w:ascii="Arial Narrow" w:hAnsi="Arial Narrow"/>
                <w:noProof/>
                <w:color w:val="006100"/>
                <w:sz w:val="20"/>
                <w:szCs w:val="20"/>
                <w:lang w:val="en-GB"/>
              </w:rPr>
              <w:t>a)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1F2F49AD" w14:textId="77777777" w:rsidR="0039681A" w:rsidRPr="00647572" w:rsidRDefault="0039681A" w:rsidP="00351087">
            <w:pPr>
              <w:pStyle w:val="paragraph"/>
              <w:spacing w:before="0" w:beforeAutospacing="0" w:after="0" w:afterAutospacing="0"/>
              <w:textAlignment w:val="baseline"/>
              <w:rPr>
                <w:rFonts w:ascii="Arial Narrow" w:hAnsi="Arial Narrow"/>
                <w:noProof/>
                <w:color w:val="006100"/>
                <w:sz w:val="20"/>
                <w:szCs w:val="20"/>
                <w:lang w:val="en-GB"/>
              </w:rPr>
            </w:pPr>
            <w:r w:rsidRPr="00647572">
              <w:rPr>
                <w:rFonts w:ascii="Arial Narrow" w:hAnsi="Arial Narrow"/>
                <w:noProof/>
                <w:color w:val="006100"/>
                <w:sz w:val="20"/>
                <w:lang w:val="en-GB"/>
              </w:rPr>
              <w:t>b) Commitment that the climate contribution of the investment as per the methodology in Annex VI of the Regulation (EU) 2021/241 shall account for at least 40% of the total cost of the investment supported by the RRF.</w:t>
            </w:r>
          </w:p>
          <w:p w14:paraId="742A458A" w14:textId="77777777" w:rsidR="0039681A" w:rsidRPr="00647572" w:rsidRDefault="0039681A" w:rsidP="00351087">
            <w:pPr>
              <w:pStyle w:val="paragraph"/>
              <w:spacing w:before="0" w:beforeAutospacing="0" w:after="0" w:afterAutospacing="0"/>
              <w:textAlignment w:val="baseline"/>
              <w:rPr>
                <w:rFonts w:ascii="Arial Narrow" w:hAnsi="Arial Narrow"/>
                <w:noProof/>
                <w:color w:val="006100"/>
                <w:sz w:val="20"/>
                <w:lang w:val="en-GB"/>
              </w:rPr>
            </w:pPr>
            <w:r w:rsidRPr="00647572">
              <w:rPr>
                <w:rFonts w:ascii="Arial Narrow" w:hAnsi="Arial Narrow"/>
                <w:noProof/>
                <w:color w:val="006100"/>
                <w:sz w:val="20"/>
                <w:lang w:val="en-GB"/>
              </w:rPr>
              <w:t>c) Commitment that the digital contribution of the investment as per the methodology in Annex VII of the Regulation (EU) 2021/241 shall account for at least 60% of the total cost of the investment supported by the RRF.</w:t>
            </w:r>
          </w:p>
          <w:p w14:paraId="14BABB38" w14:textId="77777777" w:rsidR="0039681A" w:rsidRPr="00647572" w:rsidRDefault="0039681A" w:rsidP="00351087">
            <w:pPr>
              <w:pStyle w:val="paragraph"/>
              <w:spacing w:before="0" w:beforeAutospacing="0" w:after="0" w:afterAutospacing="0"/>
              <w:textAlignment w:val="baseline"/>
              <w:rPr>
                <w:rFonts w:ascii="Arial Narrow" w:hAnsi="Arial Narrow"/>
                <w:noProof/>
                <w:color w:val="006100"/>
                <w:sz w:val="20"/>
                <w:szCs w:val="20"/>
                <w:lang w:val="en-GB"/>
              </w:rPr>
            </w:pPr>
            <w:r w:rsidRPr="00647572">
              <w:rPr>
                <w:rFonts w:ascii="Arial Narrow" w:hAnsi="Arial Narrow"/>
                <w:noProof/>
                <w:color w:val="006100"/>
                <w:sz w:val="20"/>
                <w:szCs w:val="20"/>
                <w:lang w:val="en-GB"/>
              </w:rPr>
              <w:t>d) Commitment to report on the implementation of the measure halfway through the life of the scheme and at the end of the scheme.</w:t>
            </w:r>
          </w:p>
        </w:tc>
      </w:tr>
      <w:tr w:rsidR="0039681A" w:rsidRPr="0070054C" w14:paraId="4136D920" w14:textId="77777777" w:rsidTr="00351087">
        <w:trPr>
          <w:trHeight w:val="313"/>
        </w:trPr>
        <w:tc>
          <w:tcPr>
            <w:tcW w:w="1441" w:type="dxa"/>
            <w:shd w:val="clear" w:color="auto" w:fill="C6EFCE"/>
            <w:noWrap/>
            <w:vAlign w:val="center"/>
            <w:hideMark/>
          </w:tcPr>
          <w:p w14:paraId="39C0856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M4C2-11</w:t>
            </w:r>
          </w:p>
        </w:tc>
        <w:tc>
          <w:tcPr>
            <w:tcW w:w="1395" w:type="dxa"/>
            <w:shd w:val="clear" w:color="auto" w:fill="C6EFCE"/>
            <w:noWrap/>
            <w:vAlign w:val="center"/>
            <w:hideMark/>
          </w:tcPr>
          <w:p w14:paraId="29CAED2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Investment 2.1: IPCEI</w:t>
            </w:r>
          </w:p>
        </w:tc>
        <w:tc>
          <w:tcPr>
            <w:tcW w:w="1486" w:type="dxa"/>
            <w:shd w:val="clear" w:color="auto" w:fill="C6EFCE"/>
            <w:noWrap/>
            <w:vAlign w:val="center"/>
            <w:hideMark/>
          </w:tcPr>
          <w:p w14:paraId="68F7D89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hideMark/>
          </w:tcPr>
          <w:p w14:paraId="073DDFC5"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national legal act allocating the necessary funding to provide support to project participants.</w:t>
            </w:r>
          </w:p>
        </w:tc>
        <w:tc>
          <w:tcPr>
            <w:tcW w:w="1584" w:type="dxa"/>
            <w:shd w:val="clear" w:color="auto" w:fill="C6EFCE"/>
            <w:noWrap/>
            <w:vAlign w:val="center"/>
            <w:hideMark/>
          </w:tcPr>
          <w:p w14:paraId="6BBE4F26"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National Legal Act indicating the entry into force of the act</w:t>
            </w:r>
          </w:p>
        </w:tc>
        <w:tc>
          <w:tcPr>
            <w:tcW w:w="1297" w:type="dxa"/>
            <w:shd w:val="clear" w:color="auto" w:fill="C6EFCE"/>
            <w:noWrap/>
            <w:vAlign w:val="center"/>
            <w:hideMark/>
          </w:tcPr>
          <w:p w14:paraId="7EEF42B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hideMark/>
          </w:tcPr>
          <w:p w14:paraId="3BDE4AB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hideMark/>
          </w:tcPr>
          <w:p w14:paraId="59E4C37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09" w:type="dxa"/>
            <w:shd w:val="clear" w:color="auto" w:fill="C6EFCE"/>
            <w:noWrap/>
            <w:vAlign w:val="center"/>
            <w:hideMark/>
          </w:tcPr>
          <w:p w14:paraId="382B918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7A7AFE6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452" w:type="dxa"/>
            <w:shd w:val="clear" w:color="auto" w:fill="C6EFCE"/>
            <w:noWrap/>
            <w:vAlign w:val="center"/>
            <w:hideMark/>
          </w:tcPr>
          <w:p w14:paraId="5B7F6447"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The National Legal Act shall indicate the procedures and deadlines for submitting projects, as well as the access requirements of potential beneficiaries.</w:t>
            </w:r>
          </w:p>
        </w:tc>
      </w:tr>
      <w:tr w:rsidR="0039681A" w:rsidRPr="0070054C" w14:paraId="65BCF0FB" w14:textId="77777777" w:rsidTr="00351087">
        <w:trPr>
          <w:trHeight w:val="313"/>
        </w:trPr>
        <w:tc>
          <w:tcPr>
            <w:tcW w:w="1441" w:type="dxa"/>
            <w:shd w:val="clear" w:color="auto" w:fill="C6EFCE"/>
            <w:noWrap/>
            <w:vAlign w:val="center"/>
            <w:hideMark/>
          </w:tcPr>
          <w:p w14:paraId="7034789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M4C2-12</w:t>
            </w:r>
          </w:p>
        </w:tc>
        <w:tc>
          <w:tcPr>
            <w:tcW w:w="1395" w:type="dxa"/>
            <w:shd w:val="clear" w:color="auto" w:fill="C6EFCE"/>
            <w:noWrap/>
            <w:vAlign w:val="center"/>
            <w:hideMark/>
          </w:tcPr>
          <w:p w14:paraId="28031C2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Investment 2.1: IPCEI</w:t>
            </w:r>
          </w:p>
        </w:tc>
        <w:tc>
          <w:tcPr>
            <w:tcW w:w="1486" w:type="dxa"/>
            <w:shd w:val="clear" w:color="auto" w:fill="C6EFCE"/>
            <w:noWrap/>
            <w:vAlign w:val="center"/>
            <w:hideMark/>
          </w:tcPr>
          <w:p w14:paraId="1A5B381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hideMark/>
          </w:tcPr>
          <w:p w14:paraId="3884A2BA"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list of participants to IPCEI projects is finalised by 30/06/2023</w:t>
            </w:r>
          </w:p>
        </w:tc>
        <w:tc>
          <w:tcPr>
            <w:tcW w:w="1584" w:type="dxa"/>
            <w:shd w:val="clear" w:color="auto" w:fill="C6EFCE"/>
            <w:noWrap/>
            <w:vAlign w:val="center"/>
            <w:hideMark/>
          </w:tcPr>
          <w:p w14:paraId="53638C84"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Publication of the list of participants</w:t>
            </w:r>
          </w:p>
        </w:tc>
        <w:tc>
          <w:tcPr>
            <w:tcW w:w="1297" w:type="dxa"/>
            <w:shd w:val="clear" w:color="auto" w:fill="C6EFCE"/>
            <w:noWrap/>
            <w:vAlign w:val="center"/>
            <w:hideMark/>
          </w:tcPr>
          <w:p w14:paraId="2D1280B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hideMark/>
          </w:tcPr>
          <w:p w14:paraId="39E0C16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hideMark/>
          </w:tcPr>
          <w:p w14:paraId="7E6751F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09" w:type="dxa"/>
            <w:shd w:val="clear" w:color="auto" w:fill="C6EFCE"/>
            <w:noWrap/>
            <w:vAlign w:val="center"/>
            <w:hideMark/>
          </w:tcPr>
          <w:p w14:paraId="5CC1807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066A7DE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452" w:type="dxa"/>
            <w:shd w:val="clear" w:color="auto" w:fill="C6EFCE"/>
            <w:noWrap/>
            <w:vAlign w:val="center"/>
            <w:hideMark/>
          </w:tcPr>
          <w:p w14:paraId="3E6C8F29"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list shall include the admitted subjects participating in the IPCEI projects, following the verifications and evaluations on the projects presented that shall be made in compliance with the ’Do no significant harm’ Technical Guidance (2021/C58/01) through the use of an exclusion list and the requirement of compliance with the relevant EU and national environmental.</w:t>
            </w:r>
          </w:p>
        </w:tc>
      </w:tr>
      <w:tr w:rsidR="0039681A" w:rsidRPr="0070054C" w14:paraId="1B175733" w14:textId="77777777" w:rsidTr="00351087">
        <w:trPr>
          <w:trHeight w:val="300"/>
        </w:trPr>
        <w:tc>
          <w:tcPr>
            <w:tcW w:w="1441" w:type="dxa"/>
            <w:shd w:val="clear" w:color="auto" w:fill="C6EFCE"/>
            <w:noWrap/>
            <w:vAlign w:val="center"/>
          </w:tcPr>
          <w:p w14:paraId="1C75CC44" w14:textId="77777777" w:rsidR="0039681A" w:rsidRPr="00647572" w:rsidRDefault="0039681A" w:rsidP="00351087">
            <w:pPr>
              <w:jc w:val="center"/>
              <w:rPr>
                <w:rFonts w:ascii="Arial Narrow" w:hAnsi="Arial Narrow"/>
                <w:noProof/>
                <w:color w:val="006100"/>
                <w:sz w:val="20"/>
                <w:szCs w:val="20"/>
              </w:rPr>
            </w:pPr>
            <w:r w:rsidRPr="3D1C7AF5">
              <w:rPr>
                <w:rFonts w:ascii="Arial Narrow" w:hAnsi="Arial Narrow"/>
                <w:noProof/>
                <w:color w:val="006100"/>
                <w:sz w:val="20"/>
                <w:szCs w:val="20"/>
              </w:rPr>
              <w:t>M4C2-14</w:t>
            </w:r>
          </w:p>
        </w:tc>
        <w:tc>
          <w:tcPr>
            <w:tcW w:w="1395" w:type="dxa"/>
            <w:shd w:val="clear" w:color="auto" w:fill="C6EFCE"/>
            <w:noWrap/>
            <w:vAlign w:val="center"/>
          </w:tcPr>
          <w:p w14:paraId="6E2A029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 xml:space="preserve">Investment 2.3: Technology transfer centres </w:t>
            </w:r>
          </w:p>
        </w:tc>
        <w:tc>
          <w:tcPr>
            <w:tcW w:w="1486" w:type="dxa"/>
            <w:shd w:val="clear" w:color="auto" w:fill="C6EFCE"/>
            <w:noWrap/>
            <w:vAlign w:val="center"/>
          </w:tcPr>
          <w:p w14:paraId="5CB1B23E"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Target</w:t>
            </w:r>
          </w:p>
        </w:tc>
        <w:tc>
          <w:tcPr>
            <w:tcW w:w="1441" w:type="dxa"/>
            <w:shd w:val="clear" w:color="auto" w:fill="C6EFCE"/>
            <w:noWrap/>
            <w:vAlign w:val="center"/>
          </w:tcPr>
          <w:p w14:paraId="280FE3A5" w14:textId="585FC769" w:rsidR="0039681A" w:rsidRPr="00A36E36" w:rsidRDefault="0039681A" w:rsidP="00351087">
            <w:pPr>
              <w:jc w:val="center"/>
              <w:rPr>
                <w:rFonts w:ascii="Arial Narrow" w:hAnsi="Arial Narrow"/>
                <w:noProof/>
                <w:color w:val="006100"/>
                <w:sz w:val="20"/>
                <w:szCs w:val="20"/>
                <w:lang w:val="en-IE"/>
              </w:rPr>
            </w:pPr>
            <w:r w:rsidRPr="27C6F69F">
              <w:rPr>
                <w:rFonts w:ascii="Arial Narrow" w:hAnsi="Arial Narrow"/>
                <w:noProof/>
                <w:color w:val="006100"/>
                <w:sz w:val="20"/>
                <w:szCs w:val="20"/>
                <w:lang w:val="en-IE"/>
              </w:rPr>
              <w:t>Disbursement of financial value of EUR 309 000 000</w:t>
            </w:r>
          </w:p>
        </w:tc>
        <w:tc>
          <w:tcPr>
            <w:tcW w:w="1584" w:type="dxa"/>
            <w:shd w:val="clear" w:color="auto" w:fill="C6EFCE"/>
            <w:noWrap/>
            <w:vAlign w:val="center"/>
          </w:tcPr>
          <w:p w14:paraId="049CF2BB"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N/A</w:t>
            </w:r>
          </w:p>
        </w:tc>
        <w:tc>
          <w:tcPr>
            <w:tcW w:w="1297" w:type="dxa"/>
            <w:shd w:val="clear" w:color="auto" w:fill="C6EFCE"/>
            <w:noWrap/>
            <w:vAlign w:val="center"/>
          </w:tcPr>
          <w:p w14:paraId="1418B5D8"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EUR</w:t>
            </w:r>
          </w:p>
        </w:tc>
        <w:tc>
          <w:tcPr>
            <w:tcW w:w="1152" w:type="dxa"/>
            <w:shd w:val="clear" w:color="auto" w:fill="C6EFCE"/>
            <w:noWrap/>
            <w:vAlign w:val="center"/>
          </w:tcPr>
          <w:p w14:paraId="1304E501"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0</w:t>
            </w:r>
          </w:p>
        </w:tc>
        <w:tc>
          <w:tcPr>
            <w:tcW w:w="1296" w:type="dxa"/>
            <w:shd w:val="clear" w:color="auto" w:fill="C6EFCE"/>
            <w:noWrap/>
            <w:vAlign w:val="center"/>
          </w:tcPr>
          <w:p w14:paraId="3DD2206B" w14:textId="6D71E0AE" w:rsidR="0039681A" w:rsidRPr="00647572" w:rsidRDefault="0039681A" w:rsidP="00351087">
            <w:pPr>
              <w:jc w:val="center"/>
              <w:rPr>
                <w:rFonts w:ascii="Arial Narrow" w:hAnsi="Arial Narrow"/>
                <w:noProof/>
                <w:color w:val="006100"/>
                <w:sz w:val="20"/>
                <w:szCs w:val="20"/>
              </w:rPr>
            </w:pPr>
            <w:r w:rsidRPr="12249189">
              <w:rPr>
                <w:rFonts w:ascii="Arial Narrow" w:hAnsi="Arial Narrow"/>
                <w:noProof/>
                <w:color w:val="006100"/>
                <w:sz w:val="20"/>
                <w:szCs w:val="20"/>
              </w:rPr>
              <w:t>309 000 000</w:t>
            </w:r>
          </w:p>
        </w:tc>
        <w:tc>
          <w:tcPr>
            <w:tcW w:w="1009" w:type="dxa"/>
            <w:shd w:val="clear" w:color="auto" w:fill="C6EFCE"/>
            <w:noWrap/>
            <w:vAlign w:val="center"/>
          </w:tcPr>
          <w:p w14:paraId="41328688" w14:textId="77777777" w:rsidR="0039681A" w:rsidRPr="00647572" w:rsidDel="00472A88" w:rsidRDefault="0039681A" w:rsidP="00351087">
            <w:pPr>
              <w:jc w:val="center"/>
              <w:rPr>
                <w:rFonts w:ascii="Arial Narrow" w:hAnsi="Arial Narrow"/>
                <w:noProof/>
                <w:color w:val="006100"/>
                <w:sz w:val="20"/>
              </w:rPr>
            </w:pPr>
            <w:r w:rsidRPr="00647572">
              <w:rPr>
                <w:rFonts w:ascii="Arial Narrow" w:hAnsi="Arial Narrow"/>
                <w:noProof/>
                <w:color w:val="006100"/>
                <w:sz w:val="20"/>
              </w:rPr>
              <w:t>Q2</w:t>
            </w:r>
          </w:p>
        </w:tc>
        <w:tc>
          <w:tcPr>
            <w:tcW w:w="861" w:type="dxa"/>
            <w:shd w:val="clear" w:color="auto" w:fill="C6EFCE"/>
            <w:noWrap/>
            <w:vAlign w:val="center"/>
          </w:tcPr>
          <w:p w14:paraId="4A5FEB3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2452" w:type="dxa"/>
            <w:shd w:val="clear" w:color="auto" w:fill="C6EFCE"/>
            <w:noWrap/>
            <w:vAlign w:val="center"/>
          </w:tcPr>
          <w:p w14:paraId="5CCEA432" w14:textId="0E4C73BE" w:rsidR="0039681A" w:rsidRPr="00A36E36" w:rsidRDefault="0039681A" w:rsidP="00351087">
            <w:pPr>
              <w:jc w:val="both"/>
              <w:rPr>
                <w:rFonts w:ascii="Arial Narrow" w:hAnsi="Arial Narrow"/>
                <w:noProof/>
                <w:color w:val="006100"/>
                <w:sz w:val="20"/>
                <w:szCs w:val="20"/>
                <w:lang w:val="en-IE"/>
              </w:rPr>
            </w:pPr>
            <w:r w:rsidRPr="3D1C7AF5">
              <w:rPr>
                <w:rFonts w:ascii="Arial Narrow" w:hAnsi="Arial Narrow"/>
                <w:noProof/>
                <w:color w:val="006100"/>
                <w:sz w:val="20"/>
                <w:szCs w:val="20"/>
                <w:lang w:val="en-IE"/>
              </w:rPr>
              <w:t>A total value of at least EUR</w:t>
            </w:r>
            <w:r w:rsidR="0030508A" w:rsidRPr="00D72865">
              <w:rPr>
                <w:rFonts w:ascii="Arial Narrow" w:hAnsi="Arial Narrow"/>
                <w:noProof/>
                <w:color w:val="006100"/>
                <w:sz w:val="20"/>
                <w:lang w:val="en-IE"/>
              </w:rPr>
              <w:t> </w:t>
            </w:r>
            <w:r w:rsidRPr="3D1C7AF5">
              <w:rPr>
                <w:rFonts w:ascii="Arial Narrow" w:hAnsi="Arial Narrow"/>
                <w:noProof/>
                <w:color w:val="006100"/>
                <w:sz w:val="20"/>
                <w:szCs w:val="20"/>
                <w:lang w:val="en-IE"/>
              </w:rPr>
              <w:t>309 000 000 of payment orders shall be issued to at least 45 hubs for which the Ministry has signed financial agreements with.</w:t>
            </w:r>
          </w:p>
          <w:p w14:paraId="7E7DF37E" w14:textId="09959D53" w:rsidR="0039681A" w:rsidRPr="00A36E36" w:rsidRDefault="0039681A" w:rsidP="00351087">
            <w:pPr>
              <w:jc w:val="both"/>
              <w:rPr>
                <w:rFonts w:ascii="Arial Narrow" w:hAnsi="Arial Narrow"/>
                <w:noProof/>
                <w:color w:val="006100"/>
                <w:sz w:val="20"/>
                <w:szCs w:val="20"/>
                <w:lang w:val="en-IE"/>
              </w:rPr>
            </w:pPr>
            <w:r w:rsidRPr="0D19B70A">
              <w:rPr>
                <w:rFonts w:ascii="Arial Narrow" w:hAnsi="Arial Narrow"/>
                <w:noProof/>
                <w:color w:val="006100"/>
                <w:sz w:val="20"/>
                <w:szCs w:val="20"/>
                <w:lang w:val="en-IE"/>
              </w:rPr>
              <w:t>The agreements with the 13 European Digital Innovation hubs co-funded by the Digital Europe Programme</w:t>
            </w:r>
            <w:r w:rsidR="00381DB1">
              <w:rPr>
                <w:rFonts w:ascii="Arial Narrow" w:hAnsi="Arial Narrow"/>
                <w:noProof/>
                <w:color w:val="006100"/>
                <w:sz w:val="20"/>
                <w:szCs w:val="20"/>
                <w:lang w:val="en-IE"/>
              </w:rPr>
              <w:t xml:space="preserve"> </w:t>
            </w:r>
            <w:r w:rsidRPr="0D19B70A">
              <w:rPr>
                <w:rFonts w:ascii="Arial Narrow" w:hAnsi="Arial Narrow"/>
                <w:noProof/>
                <w:color w:val="006100"/>
                <w:sz w:val="20"/>
                <w:szCs w:val="20"/>
                <w:lang w:val="en-IE"/>
              </w:rPr>
              <w:t xml:space="preserve">shall specify the work packages financed by the RRF. </w:t>
            </w:r>
          </w:p>
          <w:p w14:paraId="40F3271A" w14:textId="56C2DD98" w:rsidR="0039681A" w:rsidRPr="00A36E36" w:rsidRDefault="0039681A" w:rsidP="00351087">
            <w:pPr>
              <w:jc w:val="both"/>
              <w:rPr>
                <w:rFonts w:ascii="Arial Narrow" w:hAnsi="Arial Narrow"/>
                <w:noProof/>
                <w:color w:val="006100"/>
                <w:sz w:val="20"/>
                <w:szCs w:val="20"/>
                <w:lang w:val="en-IE"/>
              </w:rPr>
            </w:pPr>
            <w:r w:rsidRPr="0D19B70A">
              <w:rPr>
                <w:rFonts w:ascii="Arial Narrow" w:hAnsi="Arial Narrow"/>
                <w:noProof/>
                <w:color w:val="006100"/>
                <w:sz w:val="20"/>
                <w:szCs w:val="20"/>
                <w:lang w:val="en-IE"/>
              </w:rPr>
              <w:t>For the 13 European Digital Innovation Hubs,</w:t>
            </w:r>
            <w:r w:rsidR="00381DB1">
              <w:rPr>
                <w:rFonts w:ascii="Arial Narrow" w:hAnsi="Arial Narrow"/>
                <w:noProof/>
                <w:color w:val="006100"/>
                <w:sz w:val="20"/>
                <w:szCs w:val="20"/>
                <w:lang w:val="en-IE"/>
              </w:rPr>
              <w:t xml:space="preserve"> </w:t>
            </w:r>
            <w:r w:rsidRPr="0D19B70A">
              <w:rPr>
                <w:rFonts w:ascii="Arial Narrow" w:hAnsi="Arial Narrow"/>
                <w:noProof/>
                <w:color w:val="006100"/>
                <w:sz w:val="20"/>
                <w:szCs w:val="20"/>
                <w:lang w:val="en-IE"/>
              </w:rPr>
              <w:t xml:space="preserve">The payments orders shall concern work packages financed exclusively by the RRF. </w:t>
            </w:r>
          </w:p>
          <w:p w14:paraId="09ABB3A4" w14:textId="78AC9363" w:rsidR="0039681A" w:rsidRPr="00A36E36" w:rsidRDefault="0039681A" w:rsidP="00F025C3">
            <w:pPr>
              <w:jc w:val="both"/>
              <w:rPr>
                <w:rFonts w:ascii="Arial Narrow" w:hAnsi="Arial Narrow"/>
                <w:noProof/>
                <w:color w:val="006100"/>
                <w:sz w:val="20"/>
                <w:szCs w:val="20"/>
                <w:lang w:val="en-IE"/>
              </w:rPr>
            </w:pPr>
            <w:r w:rsidRPr="0D19B70A">
              <w:rPr>
                <w:rFonts w:ascii="Arial Narrow" w:hAnsi="Arial Narrow"/>
                <w:noProof/>
                <w:color w:val="006100"/>
                <w:sz w:val="20"/>
                <w:szCs w:val="20"/>
                <w:lang w:val="en-IE"/>
              </w:rPr>
              <w:t>Confirmation shall be issued from the Ministry of Enterprises and Made in Italy accepting the transmission of the final completion reports by beneficiaries for at least 45 hubs.</w:t>
            </w:r>
          </w:p>
        </w:tc>
      </w:tr>
      <w:tr w:rsidR="0039681A" w:rsidRPr="0070054C" w14:paraId="5DAAFA2E" w14:textId="77777777" w:rsidTr="00351087">
        <w:trPr>
          <w:trHeight w:val="313"/>
        </w:trPr>
        <w:tc>
          <w:tcPr>
            <w:tcW w:w="1441" w:type="dxa"/>
            <w:shd w:val="clear" w:color="auto" w:fill="C6EFCE"/>
            <w:noWrap/>
            <w:vAlign w:val="center"/>
            <w:hideMark/>
          </w:tcPr>
          <w:p w14:paraId="6978F0F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M4C2-16</w:t>
            </w:r>
          </w:p>
        </w:tc>
        <w:tc>
          <w:tcPr>
            <w:tcW w:w="1395" w:type="dxa"/>
            <w:shd w:val="clear" w:color="auto" w:fill="C6EFCE"/>
            <w:noWrap/>
            <w:vAlign w:val="center"/>
            <w:hideMark/>
          </w:tcPr>
          <w:p w14:paraId="5FC1A286"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Investment 3.1: </w:t>
            </w:r>
            <w:r w:rsidRPr="00A36E36">
              <w:rPr>
                <w:rFonts w:ascii="Arial Narrow" w:hAnsi="Arial Narrow"/>
                <w:noProof/>
                <w:color w:val="006100"/>
                <w:sz w:val="20"/>
                <w:szCs w:val="20"/>
                <w:lang w:val="en-IE"/>
              </w:rPr>
              <w:t>Research</w:t>
            </w:r>
            <w:r w:rsidRPr="00A36E36">
              <w:rPr>
                <w:rFonts w:ascii="Arial Narrow" w:hAnsi="Arial Narrow"/>
                <w:noProof/>
                <w:color w:val="006100"/>
                <w:sz w:val="20"/>
                <w:lang w:val="en-IE"/>
              </w:rPr>
              <w:t xml:space="preserve"> and innovation infrastructures</w:t>
            </w:r>
          </w:p>
        </w:tc>
        <w:tc>
          <w:tcPr>
            <w:tcW w:w="1486" w:type="dxa"/>
            <w:shd w:val="clear" w:color="auto" w:fill="C6EFCE"/>
            <w:noWrap/>
            <w:vAlign w:val="center"/>
            <w:hideMark/>
          </w:tcPr>
          <w:p w14:paraId="2284EA9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hideMark/>
          </w:tcPr>
          <w:p w14:paraId="60294D2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 of infrastructures funded</w:t>
            </w:r>
          </w:p>
        </w:tc>
        <w:tc>
          <w:tcPr>
            <w:tcW w:w="1584" w:type="dxa"/>
            <w:shd w:val="clear" w:color="auto" w:fill="C6EFCE"/>
            <w:noWrap/>
            <w:vAlign w:val="center"/>
            <w:hideMark/>
          </w:tcPr>
          <w:p w14:paraId="2B81628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hideMark/>
          </w:tcPr>
          <w:p w14:paraId="1DAE9A7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hideMark/>
          </w:tcPr>
          <w:p w14:paraId="4E684F2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hideMark/>
          </w:tcPr>
          <w:p w14:paraId="12B22E9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30</w:t>
            </w:r>
          </w:p>
        </w:tc>
        <w:tc>
          <w:tcPr>
            <w:tcW w:w="1009" w:type="dxa"/>
            <w:shd w:val="clear" w:color="auto" w:fill="C6EFCE"/>
            <w:noWrap/>
            <w:vAlign w:val="center"/>
            <w:hideMark/>
          </w:tcPr>
          <w:p w14:paraId="58B1338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2112035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452" w:type="dxa"/>
            <w:shd w:val="clear" w:color="auto" w:fill="C6EFCE"/>
            <w:noWrap/>
            <w:vAlign w:val="center"/>
            <w:hideMark/>
          </w:tcPr>
          <w:p w14:paraId="4B168615" w14:textId="4D4D2EE0"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At least 30 infrastructures funded for the integrated system of research and innovation infrastructure.</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lang w:val="en-IE"/>
              </w:rPr>
              <w:t>The innovation infrastructure shall include multi-purposes infrastructures able to cover at least three topic fields as: (i) quantum, (ii) advanced materials, (iii) photonics, (iv) life-sciences, (v) artificial intelligences, (vi) energy transition.</w:t>
            </w:r>
          </w:p>
          <w:p w14:paraId="3A22A1EE" w14:textId="77777777" w:rsidR="0039681A" w:rsidRPr="00A36E36" w:rsidRDefault="0039681A" w:rsidP="00351087">
            <w:pPr>
              <w:spacing w:after="120"/>
              <w:jc w:val="both"/>
              <w:rPr>
                <w:rFonts w:ascii="Arial Narrow" w:hAnsi="Arial Narrow"/>
                <w:noProof/>
                <w:color w:val="006100"/>
                <w:sz w:val="20"/>
                <w:szCs w:val="20"/>
                <w:lang w:val="en-IE"/>
              </w:rPr>
            </w:pPr>
            <w:r w:rsidRPr="00A36E36">
              <w:rPr>
                <w:rFonts w:ascii="Arial Narrow" w:hAnsi="Arial Narrow"/>
                <w:noProof/>
                <w:color w:val="006100"/>
                <w:sz w:val="20"/>
                <w:lang w:val="en-IE"/>
              </w:rPr>
              <w:t>The satisfactory fulfilment of the target also depends on the hiring of at least 30 research managers for the integrated system of research and innovation infrastructure.</w:t>
            </w:r>
          </w:p>
        </w:tc>
      </w:tr>
      <w:tr w:rsidR="0039681A" w:rsidRPr="0070054C" w14:paraId="6842D944" w14:textId="77777777" w:rsidTr="00351087">
        <w:trPr>
          <w:trHeight w:val="313"/>
        </w:trPr>
        <w:tc>
          <w:tcPr>
            <w:tcW w:w="1441" w:type="dxa"/>
            <w:shd w:val="clear" w:color="auto" w:fill="C6EFCE"/>
            <w:noWrap/>
            <w:vAlign w:val="center"/>
            <w:hideMark/>
          </w:tcPr>
          <w:p w14:paraId="034CA4EF" w14:textId="77777777" w:rsidR="0039681A" w:rsidRPr="00647572" w:rsidRDefault="0039681A" w:rsidP="00351087">
            <w:pPr>
              <w:jc w:val="center"/>
              <w:rPr>
                <w:rFonts w:ascii="Arial Narrow" w:hAnsi="Arial Narrow"/>
                <w:noProof/>
                <w:color w:val="006100"/>
                <w:sz w:val="20"/>
                <w:szCs w:val="20"/>
              </w:rPr>
            </w:pPr>
            <w:r w:rsidRPr="3D1C7AF5">
              <w:rPr>
                <w:rFonts w:ascii="Arial Narrow" w:hAnsi="Arial Narrow"/>
                <w:noProof/>
                <w:color w:val="006100"/>
                <w:sz w:val="20"/>
                <w:szCs w:val="20"/>
              </w:rPr>
              <w:t xml:space="preserve">M4C2-16 bis </w:t>
            </w:r>
          </w:p>
        </w:tc>
        <w:tc>
          <w:tcPr>
            <w:tcW w:w="1395" w:type="dxa"/>
            <w:shd w:val="clear" w:color="auto" w:fill="C6EFCE"/>
            <w:noWrap/>
            <w:vAlign w:val="center"/>
            <w:hideMark/>
          </w:tcPr>
          <w:p w14:paraId="2E601FB8"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3.1: Research and innovation infrastructures</w:t>
            </w:r>
          </w:p>
        </w:tc>
        <w:tc>
          <w:tcPr>
            <w:tcW w:w="1486" w:type="dxa"/>
            <w:shd w:val="clear" w:color="auto" w:fill="C6EFCE"/>
            <w:noWrap/>
            <w:vAlign w:val="center"/>
            <w:hideMark/>
          </w:tcPr>
          <w:p w14:paraId="38ADA6D8"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hideMark/>
          </w:tcPr>
          <w:p w14:paraId="78E68482" w14:textId="5B40E539" w:rsidR="0039681A" w:rsidRPr="00A36E36" w:rsidRDefault="0039681A" w:rsidP="00351087">
            <w:pPr>
              <w:jc w:val="center"/>
              <w:rPr>
                <w:rFonts w:ascii="Arial Narrow" w:hAnsi="Arial Narrow"/>
                <w:noProof/>
                <w:color w:val="006100"/>
                <w:sz w:val="20"/>
                <w:szCs w:val="20"/>
                <w:lang w:val="en-IE"/>
              </w:rPr>
            </w:pPr>
            <w:r w:rsidRPr="3D1C7AF5">
              <w:rPr>
                <w:rFonts w:ascii="Arial Narrow" w:hAnsi="Arial Narrow"/>
                <w:noProof/>
                <w:color w:val="006100"/>
                <w:sz w:val="20"/>
                <w:szCs w:val="20"/>
                <w:lang w:val="en-IE"/>
              </w:rPr>
              <w:t xml:space="preserve"> Research and innovation infrastructures for which an activity report has been issued</w:t>
            </w:r>
            <w:r w:rsidR="00381DB1">
              <w:rPr>
                <w:rFonts w:ascii="Arial Narrow" w:hAnsi="Arial Narrow"/>
                <w:noProof/>
                <w:color w:val="006100"/>
                <w:sz w:val="20"/>
                <w:szCs w:val="20"/>
                <w:lang w:val="en-IE"/>
              </w:rPr>
              <w:t xml:space="preserve"> </w:t>
            </w:r>
          </w:p>
        </w:tc>
        <w:tc>
          <w:tcPr>
            <w:tcW w:w="1584" w:type="dxa"/>
            <w:shd w:val="clear" w:color="auto" w:fill="C6EFCE"/>
            <w:noWrap/>
            <w:vAlign w:val="center"/>
            <w:hideMark/>
          </w:tcPr>
          <w:p w14:paraId="3E76597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hideMark/>
          </w:tcPr>
          <w:p w14:paraId="5D5366A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hideMark/>
          </w:tcPr>
          <w:p w14:paraId="6396CE0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hideMark/>
          </w:tcPr>
          <w:p w14:paraId="2B6A611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30</w:t>
            </w:r>
          </w:p>
        </w:tc>
        <w:tc>
          <w:tcPr>
            <w:tcW w:w="1009" w:type="dxa"/>
            <w:shd w:val="clear" w:color="auto" w:fill="C6EFCE"/>
            <w:noWrap/>
            <w:vAlign w:val="center"/>
            <w:hideMark/>
          </w:tcPr>
          <w:p w14:paraId="2B1CAAC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05D100F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452" w:type="dxa"/>
            <w:shd w:val="clear" w:color="auto" w:fill="C6EFCE"/>
            <w:noWrap/>
            <w:vAlign w:val="center"/>
            <w:hideMark/>
          </w:tcPr>
          <w:p w14:paraId="3E1FE28C" w14:textId="73F1C21B" w:rsidR="0039681A" w:rsidRPr="00A36E36" w:rsidRDefault="0039681A" w:rsidP="00351087">
            <w:pPr>
              <w:rPr>
                <w:rFonts w:ascii="Arial Narrow" w:hAnsi="Arial Narrow"/>
                <w:noProof/>
                <w:color w:val="006100"/>
                <w:sz w:val="20"/>
                <w:szCs w:val="20"/>
                <w:lang w:val="en-IE"/>
              </w:rPr>
            </w:pPr>
            <w:r w:rsidRPr="3D1C7AF5">
              <w:rPr>
                <w:rFonts w:ascii="Arial Narrow" w:hAnsi="Arial Narrow"/>
                <w:noProof/>
                <w:color w:val="006100"/>
                <w:sz w:val="20"/>
                <w:szCs w:val="20"/>
                <w:lang w:val="en-IE"/>
              </w:rPr>
              <w:t>Activities reports for at least 30 projects of research (IR) or innovation (ITEC) infrastructures shall be issued.</w:t>
            </w:r>
          </w:p>
        </w:tc>
      </w:tr>
      <w:tr w:rsidR="0039681A" w:rsidRPr="0070054C" w14:paraId="73355875" w14:textId="77777777" w:rsidTr="00351087">
        <w:trPr>
          <w:trHeight w:val="313"/>
        </w:trPr>
        <w:tc>
          <w:tcPr>
            <w:tcW w:w="1441" w:type="dxa"/>
            <w:shd w:val="clear" w:color="auto" w:fill="C6EFCE"/>
            <w:noWrap/>
            <w:vAlign w:val="center"/>
            <w:hideMark/>
          </w:tcPr>
          <w:p w14:paraId="6795FFA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M4C2-17</w:t>
            </w:r>
          </w:p>
        </w:tc>
        <w:tc>
          <w:tcPr>
            <w:tcW w:w="1395" w:type="dxa"/>
            <w:shd w:val="clear" w:color="auto" w:fill="C6EFCE"/>
            <w:noWrap/>
            <w:vAlign w:val="center"/>
            <w:hideMark/>
          </w:tcPr>
          <w:p w14:paraId="007ED1B1"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3.1: Fund for construction of an integrated system of research and innovation infrastructures; Investment</w:t>
            </w:r>
          </w:p>
        </w:tc>
        <w:tc>
          <w:tcPr>
            <w:tcW w:w="1486" w:type="dxa"/>
            <w:shd w:val="clear" w:color="auto" w:fill="C6EFCE"/>
            <w:noWrap/>
            <w:vAlign w:val="center"/>
            <w:hideMark/>
          </w:tcPr>
          <w:p w14:paraId="1C3F231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hideMark/>
          </w:tcPr>
          <w:p w14:paraId="3D32984E"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contracts for the projects concerning: a) integrated system of research and innovation infrastructures</w:t>
            </w:r>
          </w:p>
        </w:tc>
        <w:tc>
          <w:tcPr>
            <w:tcW w:w="1584" w:type="dxa"/>
            <w:shd w:val="clear" w:color="auto" w:fill="C6EFCE"/>
            <w:noWrap/>
            <w:vAlign w:val="center"/>
            <w:hideMark/>
          </w:tcPr>
          <w:p w14:paraId="5909B0FA"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contracts</w:t>
            </w:r>
          </w:p>
        </w:tc>
        <w:tc>
          <w:tcPr>
            <w:tcW w:w="1297" w:type="dxa"/>
            <w:shd w:val="clear" w:color="auto" w:fill="C6EFCE"/>
            <w:noWrap/>
            <w:vAlign w:val="center"/>
            <w:hideMark/>
          </w:tcPr>
          <w:p w14:paraId="63D757A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hideMark/>
          </w:tcPr>
          <w:p w14:paraId="574ADD5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hideMark/>
          </w:tcPr>
          <w:p w14:paraId="6E1B12F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09" w:type="dxa"/>
            <w:shd w:val="clear" w:color="auto" w:fill="C6EFCE"/>
            <w:noWrap/>
            <w:vAlign w:val="center"/>
            <w:hideMark/>
          </w:tcPr>
          <w:p w14:paraId="1FB4B52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72965E0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452" w:type="dxa"/>
            <w:shd w:val="clear" w:color="auto" w:fill="C6EFCE"/>
            <w:noWrap/>
            <w:vAlign w:val="center"/>
            <w:hideMark/>
          </w:tcPr>
          <w:p w14:paraId="0DA2099D"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award of the contracts to the projects selected under the competitive calls for proposals, in compliance with the ’Do no significant harm’ Technical Guidance (2021/C58/01) through the use of an exclusion list and the requirement of compliance with the relevant EU and national environmental legislation.</w:t>
            </w:r>
          </w:p>
          <w:p w14:paraId="1C578236" w14:textId="77777777" w:rsidR="0039681A" w:rsidRPr="00A36E36" w:rsidRDefault="0039681A" w:rsidP="00351087">
            <w:pPr>
              <w:spacing w:after="120"/>
              <w:rPr>
                <w:rFonts w:ascii="Arial Narrow" w:hAnsi="Arial Narrow"/>
                <w:noProof/>
                <w:color w:val="006100"/>
                <w:sz w:val="20"/>
                <w:lang w:val="en-IE"/>
              </w:rPr>
            </w:pPr>
            <w:r w:rsidRPr="00A36E36">
              <w:rPr>
                <w:rFonts w:ascii="Arial Narrow" w:hAnsi="Arial Narrow"/>
                <w:noProof/>
                <w:color w:val="006100"/>
                <w:sz w:val="20"/>
                <w:lang w:val="en-IE"/>
              </w:rPr>
              <w:t xml:space="preserve">Proposals shall be selected based on the following criteria: </w:t>
            </w:r>
          </w:p>
          <w:p w14:paraId="642B119B"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scientific/technological/innovation leadership, their innovation potential (both in terms of open innovation/open data and for proprietary developments), their compliance with the thematic areas or for novel disruptive developments, their translational and innovation plans, the support from industry as a partner for open-innovation and/or as users, the strength of the business development activities, IP generation, clear rules for distinguishing open and protected output and licensing plans, their ability to develop and host industrial doctorates, links with the venture or other types of funds to facilitate the development of new start-ups.</w:t>
            </w:r>
          </w:p>
          <w:p w14:paraId="634F45CB"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selection procedure shall require a DNSH evaluation, and, where applicable a Strategic Environmental Assessment (SEA) in case the project shall be expected to produce a consistent impact on the territory.</w:t>
            </w:r>
          </w:p>
        </w:tc>
      </w:tr>
      <w:tr w:rsidR="0039681A" w:rsidRPr="0070054C" w14:paraId="2BB0EC94" w14:textId="77777777" w:rsidTr="00351087">
        <w:trPr>
          <w:trHeight w:val="313"/>
        </w:trPr>
        <w:tc>
          <w:tcPr>
            <w:tcW w:w="1441" w:type="dxa"/>
            <w:shd w:val="clear" w:color="auto" w:fill="C6EFCE"/>
            <w:noWrap/>
            <w:vAlign w:val="center"/>
          </w:tcPr>
          <w:p w14:paraId="608F66EE" w14:textId="77777777" w:rsidR="0039681A" w:rsidRPr="00647572" w:rsidRDefault="0039681A" w:rsidP="00351087">
            <w:pPr>
              <w:spacing w:after="120"/>
              <w:jc w:val="center"/>
              <w:rPr>
                <w:rFonts w:ascii="Arial Narrow" w:hAnsi="Arial Narrow"/>
                <w:noProof/>
                <w:color w:val="006100"/>
                <w:sz w:val="20"/>
                <w:szCs w:val="20"/>
              </w:rPr>
            </w:pPr>
            <w:r w:rsidRPr="00647572">
              <w:rPr>
                <w:rFonts w:ascii="Arial Narrow" w:hAnsi="Arial Narrow"/>
                <w:noProof/>
                <w:color w:val="006100"/>
                <w:sz w:val="20"/>
              </w:rPr>
              <w:t>M4C2-18</w:t>
            </w:r>
          </w:p>
        </w:tc>
        <w:tc>
          <w:tcPr>
            <w:tcW w:w="1395" w:type="dxa"/>
            <w:shd w:val="clear" w:color="auto" w:fill="C6EFCE"/>
            <w:noWrap/>
            <w:vAlign w:val="center"/>
          </w:tcPr>
          <w:p w14:paraId="786C9DFC" w14:textId="77777777" w:rsidR="0039681A" w:rsidRPr="00A36E36" w:rsidRDefault="0039681A" w:rsidP="00351087">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Invesment1.5: Establishing and strengthening of “innovation ecosystems for sustainability", building “territorial leaders of R&amp;D”</w:t>
            </w:r>
          </w:p>
        </w:tc>
        <w:tc>
          <w:tcPr>
            <w:tcW w:w="1486" w:type="dxa"/>
            <w:shd w:val="clear" w:color="auto" w:fill="C6EFCE"/>
            <w:noWrap/>
            <w:vAlign w:val="center"/>
          </w:tcPr>
          <w:p w14:paraId="79F5D177" w14:textId="77777777" w:rsidR="0039681A" w:rsidRPr="00647572" w:rsidRDefault="0039681A" w:rsidP="00351087">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tcPr>
          <w:p w14:paraId="6671CB6C" w14:textId="77777777" w:rsidR="0039681A" w:rsidRPr="00A36E36" w:rsidRDefault="0039681A" w:rsidP="00351087">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contracts for projects concerning innovation ecosystems;</w:t>
            </w:r>
          </w:p>
        </w:tc>
        <w:tc>
          <w:tcPr>
            <w:tcW w:w="1584" w:type="dxa"/>
            <w:shd w:val="clear" w:color="auto" w:fill="C6EFCE"/>
            <w:noWrap/>
            <w:vAlign w:val="center"/>
          </w:tcPr>
          <w:p w14:paraId="3695DE8E" w14:textId="77777777" w:rsidR="0039681A" w:rsidRPr="00A36E36" w:rsidRDefault="0039681A" w:rsidP="00351087">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contracts</w:t>
            </w:r>
          </w:p>
        </w:tc>
        <w:tc>
          <w:tcPr>
            <w:tcW w:w="1297" w:type="dxa"/>
            <w:shd w:val="clear" w:color="auto" w:fill="C6EFCE"/>
            <w:noWrap/>
            <w:vAlign w:val="center"/>
          </w:tcPr>
          <w:p w14:paraId="2E87ABC7" w14:textId="77777777" w:rsidR="0039681A" w:rsidRPr="00647572" w:rsidRDefault="0039681A" w:rsidP="00351087">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tcPr>
          <w:p w14:paraId="25D5C1FE" w14:textId="77777777" w:rsidR="0039681A" w:rsidRPr="00647572" w:rsidRDefault="0039681A" w:rsidP="00351087">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tcPr>
          <w:p w14:paraId="147FF8CE" w14:textId="77777777" w:rsidR="0039681A" w:rsidRPr="00647572" w:rsidRDefault="0039681A" w:rsidP="00351087">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009" w:type="dxa"/>
            <w:shd w:val="clear" w:color="auto" w:fill="C6EFCE"/>
            <w:noWrap/>
            <w:vAlign w:val="center"/>
          </w:tcPr>
          <w:p w14:paraId="0C78ADE9" w14:textId="77777777" w:rsidR="0039681A" w:rsidRPr="00647572" w:rsidRDefault="0039681A" w:rsidP="00351087">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tcPr>
          <w:p w14:paraId="0CB48A88" w14:textId="77777777" w:rsidR="0039681A" w:rsidRPr="00647572" w:rsidRDefault="0039681A" w:rsidP="00351087">
            <w:pPr>
              <w:spacing w:after="120"/>
              <w:jc w:val="center"/>
              <w:rPr>
                <w:rFonts w:ascii="Arial Narrow" w:hAnsi="Arial Narrow"/>
                <w:noProof/>
                <w:color w:val="006100"/>
                <w:sz w:val="20"/>
                <w:szCs w:val="20"/>
              </w:rPr>
            </w:pPr>
            <w:r w:rsidRPr="00647572">
              <w:rPr>
                <w:rFonts w:ascii="Arial Narrow" w:hAnsi="Arial Narrow"/>
                <w:noProof/>
                <w:color w:val="006100"/>
                <w:sz w:val="20"/>
              </w:rPr>
              <w:t>2022</w:t>
            </w:r>
          </w:p>
        </w:tc>
        <w:tc>
          <w:tcPr>
            <w:tcW w:w="2452" w:type="dxa"/>
            <w:shd w:val="clear" w:color="auto" w:fill="C6EFCE"/>
            <w:noWrap/>
            <w:vAlign w:val="center"/>
          </w:tcPr>
          <w:p w14:paraId="05333071"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award of the contracts to the projects selected under the competitive calls for proposals, in compliance with the ’Do no significant harm’ Technical Guidance (2021/C58/01) through the use of an exclusion list and the requirement of compliance with the relevant EU and national environmental legislation.</w:t>
            </w:r>
          </w:p>
          <w:p w14:paraId="17D618E6"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selection procedure shall require a DNSH evaluation, and, where applicable, a Strategic Environmental Assessment (SEA) in case the project shall be expected to produce a consistent impact on the territory.</w:t>
            </w:r>
          </w:p>
          <w:p w14:paraId="0B85EBBA"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National Centres (NCs) shall be created following a competitive call by merging existing world-leading laboratories already present in Universities, and public and private research centres, as well as by setting up new bespoke infrastructure.</w:t>
            </w:r>
          </w:p>
        </w:tc>
      </w:tr>
      <w:tr w:rsidR="0039681A" w:rsidRPr="0070054C" w14:paraId="20A6EC2B" w14:textId="77777777" w:rsidTr="00351087">
        <w:trPr>
          <w:trHeight w:val="313"/>
        </w:trPr>
        <w:tc>
          <w:tcPr>
            <w:tcW w:w="1441" w:type="dxa"/>
            <w:shd w:val="clear" w:color="auto" w:fill="C6EFCE"/>
            <w:noWrap/>
            <w:vAlign w:val="center"/>
          </w:tcPr>
          <w:p w14:paraId="3D70B179" w14:textId="77777777" w:rsidR="0039681A" w:rsidRPr="00647572" w:rsidRDefault="0039681A" w:rsidP="00351087">
            <w:pPr>
              <w:jc w:val="center"/>
              <w:rPr>
                <w:rFonts w:ascii="Arial Narrow" w:hAnsi="Arial Narrow"/>
                <w:noProof/>
                <w:color w:val="006100"/>
                <w:sz w:val="20"/>
                <w:szCs w:val="20"/>
              </w:rPr>
            </w:pPr>
            <w:r w:rsidRPr="3D1C7AF5">
              <w:rPr>
                <w:rFonts w:ascii="Arial Narrow" w:hAnsi="Arial Narrow"/>
                <w:noProof/>
                <w:color w:val="006100"/>
                <w:sz w:val="20"/>
                <w:szCs w:val="20"/>
              </w:rPr>
              <w:t>M4C2-18 Bis</w:t>
            </w:r>
          </w:p>
        </w:tc>
        <w:tc>
          <w:tcPr>
            <w:tcW w:w="1395" w:type="dxa"/>
            <w:shd w:val="clear" w:color="auto" w:fill="C6EFCE"/>
            <w:noWrap/>
            <w:vAlign w:val="center"/>
          </w:tcPr>
          <w:p w14:paraId="27554247" w14:textId="77777777" w:rsidR="0039681A" w:rsidRPr="00A36E36" w:rsidRDefault="0039681A" w:rsidP="00351087">
            <w:pPr>
              <w:jc w:val="center"/>
              <w:rPr>
                <w:rFonts w:ascii="Arial Narrow" w:hAnsi="Arial Narrow"/>
                <w:noProof/>
                <w:color w:val="006100"/>
                <w:sz w:val="20"/>
                <w:szCs w:val="20"/>
                <w:lang w:val="en-IE"/>
              </w:rPr>
            </w:pPr>
            <w:r w:rsidRPr="256912C3">
              <w:rPr>
                <w:rFonts w:ascii="Arial Narrow" w:hAnsi="Arial Narrow"/>
                <w:noProof/>
                <w:color w:val="006100"/>
                <w:sz w:val="20"/>
                <w:szCs w:val="20"/>
                <w:lang w:val="en-IE"/>
              </w:rPr>
              <w:t>Invesment 1.5: “Innovation ecosystems for sustainability", building “territorial leaders of R&amp;D”</w:t>
            </w:r>
          </w:p>
        </w:tc>
        <w:tc>
          <w:tcPr>
            <w:tcW w:w="1486" w:type="dxa"/>
            <w:shd w:val="clear" w:color="auto" w:fill="C6EFCE"/>
            <w:noWrap/>
            <w:vAlign w:val="center"/>
          </w:tcPr>
          <w:p w14:paraId="0CDC770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tcPr>
          <w:p w14:paraId="00CF5490" w14:textId="18F556B6" w:rsidR="0039681A" w:rsidRPr="00A36E36" w:rsidRDefault="0039681A" w:rsidP="00351087">
            <w:pPr>
              <w:jc w:val="center"/>
              <w:rPr>
                <w:rFonts w:ascii="Arial Narrow" w:hAnsi="Arial Narrow"/>
                <w:noProof/>
                <w:color w:val="006100"/>
                <w:sz w:val="20"/>
                <w:szCs w:val="20"/>
                <w:lang w:val="en-IE"/>
              </w:rPr>
            </w:pPr>
            <w:r w:rsidRPr="256912C3">
              <w:rPr>
                <w:rFonts w:ascii="Arial Narrow" w:hAnsi="Arial Narrow"/>
                <w:noProof/>
                <w:color w:val="006100"/>
                <w:sz w:val="20"/>
                <w:szCs w:val="20"/>
                <w:lang w:val="en-IE"/>
              </w:rPr>
              <w:t>Innovation ecosystems for which an activity report has been issued</w:t>
            </w:r>
          </w:p>
        </w:tc>
        <w:tc>
          <w:tcPr>
            <w:tcW w:w="1584" w:type="dxa"/>
            <w:shd w:val="clear" w:color="auto" w:fill="C6EFCE"/>
            <w:noWrap/>
            <w:vAlign w:val="center"/>
          </w:tcPr>
          <w:p w14:paraId="2CEBC5F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tcPr>
          <w:p w14:paraId="6C15A02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tcPr>
          <w:p w14:paraId="14AD788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tcPr>
          <w:p w14:paraId="5DF4D2F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10</w:t>
            </w:r>
          </w:p>
        </w:tc>
        <w:tc>
          <w:tcPr>
            <w:tcW w:w="1009" w:type="dxa"/>
            <w:shd w:val="clear" w:color="auto" w:fill="C6EFCE"/>
            <w:noWrap/>
            <w:vAlign w:val="center"/>
          </w:tcPr>
          <w:p w14:paraId="144F23D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tcPr>
          <w:p w14:paraId="3B1F4A4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2452" w:type="dxa"/>
            <w:shd w:val="clear" w:color="auto" w:fill="C6EFCE"/>
            <w:noWrap/>
            <w:vAlign w:val="center"/>
          </w:tcPr>
          <w:p w14:paraId="3A711E5F" w14:textId="170C4A54" w:rsidR="0039681A" w:rsidRPr="00A36E36" w:rsidRDefault="0039681A" w:rsidP="00351087">
            <w:pPr>
              <w:rPr>
                <w:rFonts w:ascii="Arial Narrow" w:hAnsi="Arial Narrow"/>
                <w:noProof/>
                <w:color w:val="006100"/>
                <w:sz w:val="20"/>
                <w:szCs w:val="20"/>
                <w:lang w:val="en-IE"/>
              </w:rPr>
            </w:pPr>
            <w:r w:rsidRPr="3D1C7AF5">
              <w:rPr>
                <w:rFonts w:ascii="Arial Narrow" w:hAnsi="Arial Narrow"/>
                <w:noProof/>
                <w:color w:val="006100"/>
                <w:sz w:val="20"/>
                <w:szCs w:val="20"/>
                <w:lang w:val="en-IE"/>
              </w:rPr>
              <w:t>Activities reports for at least 10 innovation ecosystems shall be issued.</w:t>
            </w:r>
          </w:p>
        </w:tc>
      </w:tr>
      <w:tr w:rsidR="0039681A" w:rsidRPr="0070054C" w14:paraId="32C0F75F" w14:textId="77777777" w:rsidTr="00351087">
        <w:trPr>
          <w:trHeight w:val="313"/>
        </w:trPr>
        <w:tc>
          <w:tcPr>
            <w:tcW w:w="1441" w:type="dxa"/>
            <w:shd w:val="clear" w:color="auto" w:fill="C6EFCE"/>
            <w:noWrap/>
            <w:vAlign w:val="center"/>
          </w:tcPr>
          <w:p w14:paraId="3EBEF64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M4C2-19</w:t>
            </w:r>
          </w:p>
        </w:tc>
        <w:tc>
          <w:tcPr>
            <w:tcW w:w="1395" w:type="dxa"/>
            <w:shd w:val="clear" w:color="auto" w:fill="C6EFCE"/>
            <w:noWrap/>
            <w:vAlign w:val="center"/>
          </w:tcPr>
          <w:p w14:paraId="3EFBC928"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 Strengthening research structures and supporting the creation of “national R&amp;D leaders” on some Key Enabling Technologies</w:t>
            </w:r>
          </w:p>
        </w:tc>
        <w:tc>
          <w:tcPr>
            <w:tcW w:w="1486" w:type="dxa"/>
            <w:shd w:val="clear" w:color="auto" w:fill="C6EFCE"/>
            <w:noWrap/>
            <w:vAlign w:val="center"/>
          </w:tcPr>
          <w:p w14:paraId="5C60CD8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tcPr>
          <w:p w14:paraId="08BAD27A"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contracts for projects concerning national R&amp;D leaders on key enabling technologies</w:t>
            </w:r>
          </w:p>
        </w:tc>
        <w:tc>
          <w:tcPr>
            <w:tcW w:w="1584" w:type="dxa"/>
            <w:shd w:val="clear" w:color="auto" w:fill="C6EFCE"/>
            <w:noWrap/>
            <w:vAlign w:val="center"/>
          </w:tcPr>
          <w:p w14:paraId="0229388A"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contracts</w:t>
            </w:r>
          </w:p>
        </w:tc>
        <w:tc>
          <w:tcPr>
            <w:tcW w:w="1297" w:type="dxa"/>
            <w:shd w:val="clear" w:color="auto" w:fill="C6EFCE"/>
            <w:noWrap/>
            <w:vAlign w:val="center"/>
          </w:tcPr>
          <w:p w14:paraId="026AABA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tcPr>
          <w:p w14:paraId="5148BF6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tcPr>
          <w:p w14:paraId="6EE39BB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w:t>
            </w:r>
          </w:p>
        </w:tc>
        <w:tc>
          <w:tcPr>
            <w:tcW w:w="1009" w:type="dxa"/>
            <w:shd w:val="clear" w:color="auto" w:fill="C6EFCE"/>
            <w:noWrap/>
            <w:vAlign w:val="center"/>
          </w:tcPr>
          <w:p w14:paraId="2CD8C03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tcPr>
          <w:p w14:paraId="12532C5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452" w:type="dxa"/>
            <w:shd w:val="clear" w:color="auto" w:fill="C6EFCE"/>
            <w:noWrap/>
            <w:vAlign w:val="center"/>
          </w:tcPr>
          <w:p w14:paraId="1BD8D315"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award of the contracts to the projects selected under the competitive calls for proposals, in compliance with the ’Do no significant harm’ Technical Guidance (2021/C58/01) through the use of an exclusion list and the requirement of compliance with the relevant EU and national environmental legislation.</w:t>
            </w:r>
          </w:p>
          <w:p w14:paraId="68269F6C"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The projects shall be selected for 30% of the resources as interventions “Research and innovation processes, technology transfer and cooperation between enterprises focusing on the low carbon economy, resilience and adaptation to climate change” (IF022), and for 15% of the resources as interventions “Research and innovation processes, technology transfer and cooperation between enterprises focusing on circular economy” (IF023).</w:t>
            </w:r>
          </w:p>
          <w:p w14:paraId="2CBEE76C" w14:textId="77777777" w:rsidR="0039681A" w:rsidRPr="00A36E36" w:rsidRDefault="0039681A" w:rsidP="00351087">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Projects shall be assessed taking into account their feasibility, sustainability, cofounding from other sources (such as. regional funds), involvement of the productive sector, quality of the partners, and impact on social and environmental sustainability. The call for projects to be financed as innovation ecosystems. The selection procedure shall require a DNSH evaluation, and, where applicable, a Strategic Environmental Assessment (SEA) in case the project is expected to produce a consistent impact on the territory.</w:t>
            </w:r>
          </w:p>
        </w:tc>
      </w:tr>
      <w:tr w:rsidR="0039681A" w:rsidRPr="0070054C" w14:paraId="157E2D6E" w14:textId="77777777" w:rsidTr="00351087">
        <w:trPr>
          <w:trHeight w:val="313"/>
        </w:trPr>
        <w:tc>
          <w:tcPr>
            <w:tcW w:w="1441" w:type="dxa"/>
            <w:shd w:val="clear" w:color="auto" w:fill="C6EFCE"/>
            <w:noWrap/>
            <w:vAlign w:val="center"/>
            <w:hideMark/>
          </w:tcPr>
          <w:p w14:paraId="2FDEC8E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M4C2-20</w:t>
            </w:r>
          </w:p>
        </w:tc>
        <w:tc>
          <w:tcPr>
            <w:tcW w:w="1395" w:type="dxa"/>
            <w:shd w:val="clear" w:color="auto" w:fill="C6EFCE"/>
            <w:noWrap/>
            <w:vAlign w:val="center"/>
            <w:hideMark/>
          </w:tcPr>
          <w:p w14:paraId="10CD69FC"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3.2: Equity injection into the Digital Transition Fund (“DTF”)</w:t>
            </w:r>
          </w:p>
        </w:tc>
        <w:tc>
          <w:tcPr>
            <w:tcW w:w="1486" w:type="dxa"/>
            <w:shd w:val="clear" w:color="auto" w:fill="C6EFCE"/>
            <w:noWrap/>
            <w:vAlign w:val="center"/>
            <w:hideMark/>
          </w:tcPr>
          <w:p w14:paraId="3367A0E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vAlign w:val="center"/>
            <w:hideMark/>
          </w:tcPr>
          <w:p w14:paraId="29943B72"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agreement between IT government and the implementing partner Cassa Depositi e Prestiti (CDP) establishing the financial instrument signed</w:t>
            </w:r>
          </w:p>
        </w:tc>
        <w:tc>
          <w:tcPr>
            <w:tcW w:w="1584" w:type="dxa"/>
            <w:shd w:val="clear" w:color="auto" w:fill="C6EFCE"/>
            <w:noWrap/>
            <w:vAlign w:val="center"/>
            <w:hideMark/>
          </w:tcPr>
          <w:p w14:paraId="36B95E7B"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agreement is signed by Italian Government and Cassa Depositi e Prestiti</w:t>
            </w:r>
          </w:p>
        </w:tc>
        <w:tc>
          <w:tcPr>
            <w:tcW w:w="1297" w:type="dxa"/>
            <w:shd w:val="clear" w:color="auto" w:fill="C6EFCE"/>
            <w:noWrap/>
            <w:vAlign w:val="center"/>
            <w:hideMark/>
          </w:tcPr>
          <w:p w14:paraId="006A54E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52" w:type="dxa"/>
            <w:shd w:val="clear" w:color="auto" w:fill="C6EFCE"/>
            <w:noWrap/>
            <w:vAlign w:val="center"/>
            <w:hideMark/>
          </w:tcPr>
          <w:p w14:paraId="0A47C89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6" w:type="dxa"/>
            <w:shd w:val="clear" w:color="auto" w:fill="C6EFCE"/>
            <w:noWrap/>
            <w:vAlign w:val="center"/>
            <w:hideMark/>
          </w:tcPr>
          <w:p w14:paraId="7EE6CB7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09" w:type="dxa"/>
            <w:shd w:val="clear" w:color="auto" w:fill="C6EFCE"/>
            <w:noWrap/>
            <w:vAlign w:val="center"/>
            <w:hideMark/>
          </w:tcPr>
          <w:p w14:paraId="7718FA5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1449F81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452" w:type="dxa"/>
            <w:shd w:val="clear" w:color="auto" w:fill="C6EFCE"/>
            <w:noWrap/>
            <w:vAlign w:val="center"/>
            <w:hideMark/>
          </w:tcPr>
          <w:p w14:paraId="74BF3B48"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The elements that shall be included in Financial Instrument’s investment policy/strategy are:</w:t>
            </w:r>
          </w:p>
          <w:p w14:paraId="67522A72" w14:textId="77777777" w:rsidR="0039681A" w:rsidRPr="00A36E36" w:rsidRDefault="0039681A" w:rsidP="00351087">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Investment targets (fund size, number of operations, amounts to be supported over time differentiated by beneficiary such as SMEs and mid-caps/large companies)</w:t>
            </w:r>
          </w:p>
          <w:p w14:paraId="563349D4" w14:textId="77777777" w:rsidR="0039681A" w:rsidRPr="00A36E36" w:rsidRDefault="0039681A" w:rsidP="00351087">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Scope and eligible beneficiaries</w:t>
            </w:r>
          </w:p>
          <w:p w14:paraId="08A431DF" w14:textId="77777777" w:rsidR="0039681A" w:rsidRPr="00A36E36" w:rsidRDefault="0039681A" w:rsidP="00351087">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Eligible financial intermediaries and selection process</w:t>
            </w:r>
          </w:p>
          <w:p w14:paraId="1E19E20D" w14:textId="77777777" w:rsidR="0039681A" w:rsidRPr="00A36E36" w:rsidRDefault="0039681A" w:rsidP="00351087">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Type of support provided (such as guarantees, loans, equity and quasi-equity)</w:t>
            </w:r>
          </w:p>
          <w:p w14:paraId="6201BC60" w14:textId="77777777" w:rsidR="0039681A" w:rsidRPr="00A36E36" w:rsidRDefault="0039681A" w:rsidP="00351087">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Targeted risk/returns for each type of investor</w:t>
            </w:r>
          </w:p>
          <w:p w14:paraId="77A49CCB" w14:textId="77777777" w:rsidR="0039681A" w:rsidRPr="00A36E36" w:rsidRDefault="0039681A" w:rsidP="00351087">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Risk policy and AML policy</w:t>
            </w:r>
          </w:p>
          <w:p w14:paraId="0120037F" w14:textId="77777777" w:rsidR="0039681A" w:rsidRPr="00A36E36" w:rsidRDefault="0039681A" w:rsidP="00351087">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Governance (partners, fund managers, Board, Investment Committee, role and responsibilities)</w:t>
            </w:r>
          </w:p>
          <w:p w14:paraId="4432DA68" w14:textId="77777777" w:rsidR="0039681A" w:rsidRPr="00A36E36" w:rsidRDefault="0039681A" w:rsidP="00351087">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Diversification and concentration limits</w:t>
            </w:r>
          </w:p>
          <w:p w14:paraId="6DF19541" w14:textId="77777777" w:rsidR="0039681A" w:rsidRPr="00A36E36" w:rsidRDefault="0039681A" w:rsidP="00351087">
            <w:pPr>
              <w:ind w:left="176" w:hanging="176"/>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Equity policy including exit strategy for equity investments</w:t>
            </w:r>
          </w:p>
          <w:p w14:paraId="67F7E33C" w14:textId="77777777" w:rsidR="0039681A" w:rsidRPr="00A36E36" w:rsidRDefault="0039681A" w:rsidP="00351087">
            <w:pPr>
              <w:ind w:left="176" w:hanging="142"/>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DNSH and sustainability proofing policy and exclusion list</w:t>
            </w:r>
          </w:p>
          <w:p w14:paraId="2BD5621E" w14:textId="77777777" w:rsidR="0039681A" w:rsidRPr="00A36E36" w:rsidRDefault="0039681A" w:rsidP="00351087">
            <w:pPr>
              <w:ind w:left="176" w:hanging="142"/>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Lending policy for debt investment, including required guarantees and collateral</w:t>
            </w:r>
          </w:p>
          <w:p w14:paraId="3421F343" w14:textId="77777777" w:rsidR="0039681A" w:rsidRPr="00A36E36" w:rsidRDefault="0039681A" w:rsidP="00351087">
            <w:pPr>
              <w:ind w:left="176" w:hanging="142"/>
              <w:rPr>
                <w:rFonts w:ascii="Arial Narrow" w:hAnsi="Arial Narrow"/>
                <w:noProof/>
                <w:color w:val="006100"/>
                <w:sz w:val="20"/>
                <w:szCs w:val="20"/>
                <w:lang w:val="en-IE"/>
              </w:rPr>
            </w:pPr>
            <w:r w:rsidRPr="00A36E36">
              <w:rPr>
                <w:rFonts w:ascii="Arial Narrow" w:hAnsi="Arial Narrow"/>
                <w:noProof/>
                <w:color w:val="006100"/>
                <w:sz w:val="20"/>
                <w:lang w:val="en-IE"/>
              </w:rPr>
              <w:t>-</w:t>
            </w:r>
            <w:r w:rsidRPr="00A36E36">
              <w:rPr>
                <w:noProof/>
                <w:lang w:val="en-IE"/>
              </w:rPr>
              <w:tab/>
            </w:r>
            <w:r w:rsidRPr="00A36E36">
              <w:rPr>
                <w:rFonts w:ascii="Arial Narrow" w:hAnsi="Arial Narrow"/>
                <w:noProof/>
                <w:color w:val="006100"/>
                <w:sz w:val="20"/>
                <w:lang w:val="en-IE"/>
              </w:rPr>
              <w:t>Timeline for fund raising and for implementation</w:t>
            </w:r>
          </w:p>
        </w:tc>
      </w:tr>
      <w:tr w:rsidR="0039681A" w:rsidRPr="0070054C" w14:paraId="4D60A7AA" w14:textId="77777777" w:rsidTr="00351087">
        <w:trPr>
          <w:trHeight w:val="313"/>
        </w:trPr>
        <w:tc>
          <w:tcPr>
            <w:tcW w:w="1441" w:type="dxa"/>
            <w:shd w:val="clear" w:color="auto" w:fill="C6EFCE"/>
            <w:noWrap/>
            <w:hideMark/>
          </w:tcPr>
          <w:p w14:paraId="24A1918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M4C2-21bis</w:t>
            </w:r>
          </w:p>
        </w:tc>
        <w:tc>
          <w:tcPr>
            <w:tcW w:w="1395" w:type="dxa"/>
            <w:shd w:val="clear" w:color="auto" w:fill="C6EFCE"/>
            <w:noWrap/>
            <w:hideMark/>
          </w:tcPr>
          <w:p w14:paraId="6557D2B5"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3.2 Equity injection into the Digital Transition Fund (“DTF”)</w:t>
            </w:r>
          </w:p>
        </w:tc>
        <w:tc>
          <w:tcPr>
            <w:tcW w:w="1486" w:type="dxa"/>
            <w:shd w:val="clear" w:color="auto" w:fill="C6EFCE"/>
            <w:noWrap/>
            <w:hideMark/>
          </w:tcPr>
          <w:p w14:paraId="753B699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41" w:type="dxa"/>
            <w:shd w:val="clear" w:color="auto" w:fill="C6EFCE"/>
            <w:noWrap/>
            <w:hideMark/>
          </w:tcPr>
          <w:p w14:paraId="034E4E54"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Equity injection into the Digital Transition Fund </w:t>
            </w:r>
          </w:p>
        </w:tc>
        <w:tc>
          <w:tcPr>
            <w:tcW w:w="1584" w:type="dxa"/>
            <w:shd w:val="clear" w:color="auto" w:fill="C6EFCE"/>
            <w:noWrap/>
            <w:hideMark/>
          </w:tcPr>
          <w:p w14:paraId="6E1F8DD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 xml:space="preserve">Certificate of transfer </w:t>
            </w:r>
          </w:p>
        </w:tc>
        <w:tc>
          <w:tcPr>
            <w:tcW w:w="1297" w:type="dxa"/>
            <w:shd w:val="clear" w:color="auto" w:fill="C6EFCE"/>
            <w:noWrap/>
            <w:hideMark/>
          </w:tcPr>
          <w:p w14:paraId="4B92043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152" w:type="dxa"/>
            <w:shd w:val="clear" w:color="auto" w:fill="C6EFCE"/>
            <w:noWrap/>
            <w:hideMark/>
          </w:tcPr>
          <w:p w14:paraId="3BB9AED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296" w:type="dxa"/>
            <w:shd w:val="clear" w:color="auto" w:fill="C6EFCE"/>
            <w:noWrap/>
            <w:hideMark/>
          </w:tcPr>
          <w:p w14:paraId="5D7552A8"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009" w:type="dxa"/>
            <w:shd w:val="clear" w:color="auto" w:fill="C6EFCE"/>
            <w:noWrap/>
            <w:hideMark/>
          </w:tcPr>
          <w:p w14:paraId="78F0EE1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61" w:type="dxa"/>
            <w:shd w:val="clear" w:color="auto" w:fill="C6EFCE"/>
            <w:noWrap/>
            <w:hideMark/>
          </w:tcPr>
          <w:p w14:paraId="4DEADA3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452" w:type="dxa"/>
            <w:shd w:val="clear" w:color="auto" w:fill="C6EFCE"/>
            <w:noWrap/>
            <w:hideMark/>
          </w:tcPr>
          <w:p w14:paraId="45C38053" w14:textId="0BD83AB4"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Italy shall transfer EUR</w:t>
            </w:r>
            <w:r w:rsidR="0030508A" w:rsidRPr="00D72865">
              <w:rPr>
                <w:rFonts w:ascii="Arial Narrow" w:hAnsi="Arial Narrow"/>
                <w:noProof/>
                <w:color w:val="006100"/>
                <w:sz w:val="20"/>
                <w:lang w:val="en-IE"/>
              </w:rPr>
              <w:t> </w:t>
            </w:r>
            <w:r w:rsidRPr="00A36E36">
              <w:rPr>
                <w:rFonts w:ascii="Arial Narrow" w:hAnsi="Arial Narrow"/>
                <w:noProof/>
                <w:color w:val="006100"/>
                <w:sz w:val="20"/>
                <w:szCs w:val="20"/>
                <w:lang w:val="en-IE"/>
              </w:rPr>
              <w:t>400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w:t>
            </w:r>
            <w:r w:rsidRPr="00A36E36">
              <w:rPr>
                <w:rFonts w:ascii="Arial Narrow" w:hAnsi="Arial Narrow"/>
                <w:noProof/>
                <w:color w:val="006100"/>
                <w:sz w:val="20"/>
                <w:lang w:val="en-IE"/>
              </w:rPr>
              <w:t> </w:t>
            </w:r>
            <w:r w:rsidRPr="00A36E36">
              <w:rPr>
                <w:rFonts w:ascii="Arial Narrow" w:hAnsi="Arial Narrow"/>
                <w:noProof/>
                <w:color w:val="006100"/>
                <w:sz w:val="20"/>
                <w:szCs w:val="20"/>
                <w:lang w:val="en-IE"/>
              </w:rPr>
              <w:t>000 to the DTF.</w:t>
            </w:r>
            <w:r w:rsidRPr="00A36E36">
              <w:rPr>
                <w:rFonts w:ascii="Arial Narrow" w:hAnsi="Arial Narrow"/>
                <w:noProof/>
                <w:color w:val="006100"/>
                <w:sz w:val="20"/>
                <w:lang w:val="en-IE"/>
              </w:rPr>
              <w:t xml:space="preserve"> </w:t>
            </w:r>
          </w:p>
          <w:p w14:paraId="781EB708"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Moreover, the investment policy (“Accordo Finanziario”) shall be in line with the measure description.</w:t>
            </w:r>
          </w:p>
        </w:tc>
      </w:tr>
      <w:tr w:rsidR="0039681A" w:rsidRPr="0070054C" w14:paraId="1898B213" w14:textId="77777777" w:rsidTr="00351087">
        <w:trPr>
          <w:trHeight w:val="313"/>
        </w:trPr>
        <w:tc>
          <w:tcPr>
            <w:tcW w:w="1441" w:type="dxa"/>
            <w:shd w:val="clear" w:color="auto" w:fill="C6EFCE"/>
            <w:noWrap/>
          </w:tcPr>
          <w:p w14:paraId="100D050B"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M4C2-21</w:t>
            </w:r>
          </w:p>
        </w:tc>
        <w:tc>
          <w:tcPr>
            <w:tcW w:w="1395" w:type="dxa"/>
            <w:shd w:val="clear" w:color="auto" w:fill="C6EFCE"/>
            <w:noWrap/>
          </w:tcPr>
          <w:p w14:paraId="5E873A21"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3.2 Equity injection into the Digital Transition Fund (“DTF”)</w:t>
            </w:r>
          </w:p>
        </w:tc>
        <w:tc>
          <w:tcPr>
            <w:tcW w:w="1486" w:type="dxa"/>
            <w:shd w:val="clear" w:color="auto" w:fill="C6EFCE"/>
            <w:noWrap/>
          </w:tcPr>
          <w:p w14:paraId="04CDFA9B"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Milestone</w:t>
            </w:r>
          </w:p>
        </w:tc>
        <w:tc>
          <w:tcPr>
            <w:tcW w:w="1441" w:type="dxa"/>
            <w:shd w:val="clear" w:color="auto" w:fill="C6EFCE"/>
            <w:noWrap/>
          </w:tcPr>
          <w:p w14:paraId="6D13AE06"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Adoption of a report</w:t>
            </w:r>
          </w:p>
        </w:tc>
        <w:tc>
          <w:tcPr>
            <w:tcW w:w="1584" w:type="dxa"/>
            <w:shd w:val="clear" w:color="auto" w:fill="C6EFCE"/>
            <w:noWrap/>
          </w:tcPr>
          <w:p w14:paraId="27081258"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Adoption of a report</w:t>
            </w:r>
          </w:p>
        </w:tc>
        <w:tc>
          <w:tcPr>
            <w:tcW w:w="1297" w:type="dxa"/>
            <w:shd w:val="clear" w:color="auto" w:fill="C6EFCE"/>
            <w:noWrap/>
          </w:tcPr>
          <w:p w14:paraId="7BB47EAD"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szCs w:val="20"/>
              </w:rPr>
              <w:t>N/A</w:t>
            </w:r>
          </w:p>
        </w:tc>
        <w:tc>
          <w:tcPr>
            <w:tcW w:w="1152" w:type="dxa"/>
            <w:shd w:val="clear" w:color="auto" w:fill="C6EFCE"/>
            <w:noWrap/>
          </w:tcPr>
          <w:p w14:paraId="566CA257"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szCs w:val="20"/>
              </w:rPr>
              <w:t>N/A</w:t>
            </w:r>
          </w:p>
        </w:tc>
        <w:tc>
          <w:tcPr>
            <w:tcW w:w="1296" w:type="dxa"/>
            <w:shd w:val="clear" w:color="auto" w:fill="C6EFCE"/>
            <w:noWrap/>
          </w:tcPr>
          <w:p w14:paraId="209CC83D"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szCs w:val="20"/>
              </w:rPr>
              <w:t>N/A</w:t>
            </w:r>
          </w:p>
        </w:tc>
        <w:tc>
          <w:tcPr>
            <w:tcW w:w="1009" w:type="dxa"/>
            <w:shd w:val="clear" w:color="auto" w:fill="C6EFCE"/>
            <w:noWrap/>
          </w:tcPr>
          <w:p w14:paraId="39BA7D77"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Q2</w:t>
            </w:r>
          </w:p>
        </w:tc>
        <w:tc>
          <w:tcPr>
            <w:tcW w:w="861" w:type="dxa"/>
            <w:shd w:val="clear" w:color="auto" w:fill="C6EFCE"/>
            <w:noWrap/>
          </w:tcPr>
          <w:p w14:paraId="426C05A3"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2026</w:t>
            </w:r>
          </w:p>
        </w:tc>
        <w:tc>
          <w:tcPr>
            <w:tcW w:w="2452" w:type="dxa"/>
            <w:shd w:val="clear" w:color="auto" w:fill="C6EFCE"/>
            <w:noWrap/>
            <w:vAlign w:val="center"/>
          </w:tcPr>
          <w:p w14:paraId="45211C06" w14:textId="77777777" w:rsidR="0039681A" w:rsidRPr="00A36E36" w:rsidRDefault="0039681A" w:rsidP="00351087">
            <w:pPr>
              <w:rPr>
                <w:rFonts w:ascii="Arial Narrow" w:hAnsi="Arial Narrow"/>
                <w:noProof/>
                <w:color w:val="006100"/>
                <w:sz w:val="20"/>
                <w:lang w:val="en-IE"/>
              </w:rPr>
            </w:pPr>
            <w:r w:rsidRPr="00A36E36">
              <w:rPr>
                <w:rFonts w:ascii="Arial Narrow" w:hAnsi="Arial Narrow"/>
                <w:noProof/>
                <w:color w:val="006100"/>
                <w:sz w:val="20"/>
                <w:lang w:val="en-IE"/>
              </w:rPr>
              <w:t>Italy shall transmit a report outlining the actions taken by DTF to implement the investment policy, including the steps taken for the implementation of the financial products that the equity is expected to support, as well as the expected steps to be taken for further implementing those products.</w:t>
            </w:r>
          </w:p>
          <w:p w14:paraId="223CFBE8" w14:textId="77777777" w:rsidR="0039681A" w:rsidRPr="00A36E36" w:rsidRDefault="0039681A" w:rsidP="00351087">
            <w:pPr>
              <w:rPr>
                <w:rFonts w:ascii="Arial Narrow" w:hAnsi="Arial Narrow"/>
                <w:noProof/>
                <w:color w:val="006100"/>
                <w:sz w:val="20"/>
                <w:lang w:val="en-IE"/>
              </w:rPr>
            </w:pPr>
            <w:r w:rsidRPr="00A36E36">
              <w:rPr>
                <w:rFonts w:ascii="Arial Narrow" w:hAnsi="Arial Narrow"/>
                <w:noProof/>
                <w:color w:val="006100"/>
                <w:sz w:val="20"/>
                <w:lang w:val="en-IE"/>
              </w:rPr>
              <w:t>The report shall also indicate the amounts invested in direct/indirect manner and in each financial product.</w:t>
            </w:r>
          </w:p>
        </w:tc>
      </w:tr>
      <w:tr w:rsidR="0039681A" w:rsidRPr="0070054C" w14:paraId="37B4B714" w14:textId="77777777" w:rsidTr="00351087">
        <w:trPr>
          <w:trHeight w:val="313"/>
        </w:trPr>
        <w:tc>
          <w:tcPr>
            <w:tcW w:w="1441" w:type="dxa"/>
            <w:shd w:val="clear" w:color="auto" w:fill="C6EFCE"/>
            <w:noWrap/>
            <w:vAlign w:val="center"/>
            <w:hideMark/>
          </w:tcPr>
          <w:p w14:paraId="34F43E9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M4C2-22</w:t>
            </w:r>
          </w:p>
        </w:tc>
        <w:tc>
          <w:tcPr>
            <w:tcW w:w="1395" w:type="dxa"/>
            <w:shd w:val="clear" w:color="auto" w:fill="C6EFCE"/>
            <w:noWrap/>
            <w:vAlign w:val="center"/>
            <w:hideMark/>
          </w:tcPr>
          <w:p w14:paraId="19132AB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Investment 2.1: IPCEI</w:t>
            </w:r>
          </w:p>
        </w:tc>
        <w:tc>
          <w:tcPr>
            <w:tcW w:w="1486" w:type="dxa"/>
            <w:shd w:val="clear" w:color="auto" w:fill="C6EFCE"/>
            <w:noWrap/>
            <w:vAlign w:val="center"/>
            <w:hideMark/>
          </w:tcPr>
          <w:p w14:paraId="0F595C0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41" w:type="dxa"/>
            <w:shd w:val="clear" w:color="auto" w:fill="C6EFCE"/>
            <w:noWrap/>
            <w:vAlign w:val="center"/>
            <w:hideMark/>
          </w:tcPr>
          <w:p w14:paraId="722B89C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 of projects supported</w:t>
            </w:r>
          </w:p>
        </w:tc>
        <w:tc>
          <w:tcPr>
            <w:tcW w:w="1584" w:type="dxa"/>
            <w:shd w:val="clear" w:color="auto" w:fill="C6EFCE"/>
            <w:noWrap/>
            <w:vAlign w:val="center"/>
            <w:hideMark/>
          </w:tcPr>
          <w:p w14:paraId="0B52457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97" w:type="dxa"/>
            <w:shd w:val="clear" w:color="auto" w:fill="C6EFCE"/>
            <w:noWrap/>
            <w:vAlign w:val="center"/>
            <w:hideMark/>
          </w:tcPr>
          <w:p w14:paraId="6E40489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52" w:type="dxa"/>
            <w:shd w:val="clear" w:color="auto" w:fill="C6EFCE"/>
            <w:noWrap/>
            <w:vAlign w:val="center"/>
            <w:hideMark/>
          </w:tcPr>
          <w:p w14:paraId="332D989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296" w:type="dxa"/>
            <w:shd w:val="clear" w:color="auto" w:fill="C6EFCE"/>
            <w:noWrap/>
            <w:vAlign w:val="center"/>
            <w:hideMark/>
          </w:tcPr>
          <w:p w14:paraId="774349C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20</w:t>
            </w:r>
          </w:p>
        </w:tc>
        <w:tc>
          <w:tcPr>
            <w:tcW w:w="1009" w:type="dxa"/>
            <w:shd w:val="clear" w:color="auto" w:fill="C6EFCE"/>
            <w:noWrap/>
            <w:vAlign w:val="center"/>
            <w:hideMark/>
          </w:tcPr>
          <w:p w14:paraId="6B72DD6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61" w:type="dxa"/>
            <w:shd w:val="clear" w:color="auto" w:fill="C6EFCE"/>
            <w:noWrap/>
            <w:vAlign w:val="center"/>
            <w:hideMark/>
          </w:tcPr>
          <w:p w14:paraId="30A42DD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452" w:type="dxa"/>
            <w:shd w:val="clear" w:color="auto" w:fill="C6EFCE"/>
            <w:noWrap/>
            <w:vAlign w:val="center"/>
            <w:hideMark/>
          </w:tcPr>
          <w:p w14:paraId="257FED06"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Award concession decrees are issued by Ministry of Enterprises and Made in Italy to support at least 20 IPCEI projects.</w:t>
            </w:r>
          </w:p>
        </w:tc>
      </w:tr>
    </w:tbl>
    <w:p w14:paraId="2AE04113" w14:textId="77777777" w:rsidR="0039681A" w:rsidRPr="00A36E36" w:rsidRDefault="0039681A" w:rsidP="00351087">
      <w:pPr>
        <w:rPr>
          <w:noProof/>
          <w:lang w:val="en-IE"/>
        </w:rPr>
      </w:pPr>
    </w:p>
    <w:p w14:paraId="693DA3DB" w14:textId="77777777" w:rsidR="00F025C3" w:rsidRDefault="00F025C3" w:rsidP="00351087">
      <w:pPr>
        <w:jc w:val="both"/>
        <w:rPr>
          <w:rFonts w:ascii="Times New Roman" w:hAnsi="Times New Roman" w:cs="Times New Roman"/>
          <w:b/>
          <w:bCs/>
          <w:noProof/>
          <w:u w:val="single"/>
          <w:lang w:val="en-IE"/>
        </w:rPr>
        <w:sectPr w:rsidR="00F025C3" w:rsidSect="00F025C3">
          <w:headerReference w:type="even" r:id="rId181"/>
          <w:headerReference w:type="default" r:id="rId182"/>
          <w:footerReference w:type="default" r:id="rId183"/>
          <w:headerReference w:type="first" r:id="rId184"/>
          <w:pgSz w:w="16838" w:h="11906" w:orient="landscape"/>
          <w:pgMar w:top="1440" w:right="1440" w:bottom="1440" w:left="1440" w:header="708" w:footer="708" w:gutter="0"/>
          <w:cols w:space="708"/>
          <w:docGrid w:linePitch="360"/>
        </w:sectPr>
      </w:pPr>
    </w:p>
    <w:p w14:paraId="7DA0866C" w14:textId="77777777" w:rsidR="0039681A" w:rsidRPr="00A36E36" w:rsidRDefault="0039681A" w:rsidP="00351087">
      <w:pPr>
        <w:pStyle w:val="Heading2"/>
        <w:ind w:left="1080"/>
        <w:rPr>
          <w:rFonts w:ascii="Times New Roman" w:hAnsi="Times New Roman" w:cs="Times New Roman"/>
          <w:noProof/>
          <w:sz w:val="24"/>
          <w:szCs w:val="24"/>
          <w:u w:val="single"/>
          <w:lang w:val="en-IE"/>
        </w:rPr>
      </w:pPr>
      <w:r w:rsidRPr="00A36E36">
        <w:rPr>
          <w:rFonts w:ascii="Times New Roman" w:eastAsia="Times New Roman" w:hAnsi="Times New Roman" w:cs="Times New Roman"/>
          <w:b/>
          <w:bCs/>
          <w:noProof/>
          <w:color w:val="auto"/>
          <w:sz w:val="24"/>
          <w:szCs w:val="24"/>
          <w:lang w:val="en-IE"/>
        </w:rPr>
        <w:t>L. MISSION 5 COMPONENT 1: Employment policy</w:t>
      </w:r>
    </w:p>
    <w:p w14:paraId="1251D832" w14:textId="77777777" w:rsidR="0039681A" w:rsidRPr="00A36E36" w:rsidRDefault="0039681A" w:rsidP="00351087">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The measures under this component </w:t>
      </w:r>
      <w:r w:rsidRPr="00A36E36">
        <w:rPr>
          <w:rFonts w:ascii="Times New Roman" w:hAnsi="Times New Roman" w:cs="Times New Roman"/>
          <w:noProof/>
          <w:color w:val="000000" w:themeColor="text1"/>
          <w:lang w:val="en-IE"/>
        </w:rPr>
        <w:t xml:space="preserve">of the Italian recovery and resilience plan </w:t>
      </w:r>
      <w:r w:rsidRPr="00A36E36">
        <w:rPr>
          <w:rFonts w:ascii="Times New Roman" w:hAnsi="Times New Roman" w:cs="Times New Roman"/>
          <w:noProof/>
          <w:lang w:val="en-IE"/>
        </w:rPr>
        <w:t xml:space="preserve">introduce a comprehensive and integrated reform of active labour market policies (ALMPs) and vocational training. Strengthening ALMPs and improving the capacity building of public employment services (PES), including their integration with education and training providers and private operators, are expected to increase services’ efficacy. In addition, the measures of this component aim at reducing social vulnerabilities to shocks, in particular by tackling undeclared work in all its forms and sectors by setting more effective sanctions along with stronger incentives to work legally. Furthermore, this component promotes gender equality (equal pay) through the gender equality </w:t>
      </w:r>
      <w:r w:rsidRPr="00A36E36" w:rsidDel="0044692B">
        <w:rPr>
          <w:rFonts w:ascii="Times New Roman" w:hAnsi="Times New Roman" w:cs="Times New Roman"/>
          <w:noProof/>
          <w:lang w:val="en-IE"/>
        </w:rPr>
        <w:t>certification </w:t>
      </w:r>
      <w:r w:rsidRPr="00A36E36">
        <w:rPr>
          <w:rFonts w:ascii="Times New Roman" w:hAnsi="Times New Roman" w:cs="Times New Roman"/>
          <w:noProof/>
          <w:lang w:val="en-IE"/>
        </w:rPr>
        <w:t>system. It also invests in young people by increasing the quantity and quality of training programmes, for instance, through the participation to the Universal Civil Service programme.</w:t>
      </w:r>
    </w:p>
    <w:p w14:paraId="68DFB806"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implementation of these measures is expected to contribute addressing the challenges covered by the 2020 country-specific recommendation 2 on labour market urging Italy to “Mitigate the employment impact of the crisis, including through […] active support to employment”, the 2020 country-specific recommendation 2 to “support skills (…) including digital ones”, the 2019 country-specific recommendation 2 to “step up efforts to tackle undeclared work, ensure that active labour market and social policies (…) reach out notably to young people and vulnerable groups. Support women’s participation to the labour market”, and the 2019 country-specific recommendation 2 to “foster up-skilling, including by strengthening digital skills”.</w:t>
      </w:r>
    </w:p>
    <w:p w14:paraId="69A3B16B" w14:textId="77777777" w:rsidR="0039681A" w:rsidRPr="00A36E36" w:rsidRDefault="0039681A" w:rsidP="00351087">
      <w:pPr>
        <w:pStyle w:val="Heading3"/>
        <w:ind w:left="850" w:hanging="850"/>
        <w:rPr>
          <w:rFonts w:ascii="Times New Roman" w:hAnsi="Times New Roman" w:cs="Times New Roman"/>
          <w:b/>
          <w:bCs/>
          <w:i/>
          <w:iCs/>
          <w:noProof/>
          <w:color w:val="156082" w:themeColor="accent1"/>
          <w:u w:val="single"/>
          <w:lang w:val="en-IE"/>
        </w:rPr>
      </w:pPr>
      <w:r w:rsidRPr="00A36E36">
        <w:rPr>
          <w:rFonts w:ascii="Times New Roman" w:hAnsi="Times New Roman" w:cs="Times New Roman"/>
          <w:b/>
          <w:noProof/>
          <w:u w:val="single"/>
          <w:lang w:val="en-IE"/>
        </w:rPr>
        <w:t xml:space="preserve">L.1. </w:t>
      </w:r>
      <w:r w:rsidRPr="00A36E36">
        <w:rPr>
          <w:rFonts w:ascii="Times New Roman" w:hAnsi="Times New Roman" w:cs="Times New Roman"/>
          <w:noProof/>
          <w:lang w:val="en-IE"/>
        </w:rPr>
        <w:tab/>
      </w:r>
      <w:r w:rsidRPr="00A36E36">
        <w:rPr>
          <w:rFonts w:ascii="Times New Roman" w:hAnsi="Times New Roman" w:cs="Times New Roman"/>
          <w:b/>
          <w:noProof/>
          <w:u w:val="single"/>
          <w:lang w:val="en-IE"/>
        </w:rPr>
        <w:t>Description of the reforms and investments for non-repayable financial support</w:t>
      </w:r>
    </w:p>
    <w:p w14:paraId="47DA3DA6" w14:textId="77777777" w:rsidR="0039681A" w:rsidRPr="00A36E36" w:rsidRDefault="0039681A" w:rsidP="00351087">
      <w:pPr>
        <w:spacing w:before="120" w:after="120"/>
        <w:jc w:val="both"/>
        <w:rPr>
          <w:rFonts w:ascii="Times New Roman" w:hAnsi="Times New Roman" w:cs="Times New Roman"/>
          <w:b/>
          <w:bCs/>
          <w:noProof/>
          <w:color w:val="006100"/>
          <w:lang w:val="en-IE"/>
        </w:rPr>
      </w:pPr>
      <w:r w:rsidRPr="00A36E36">
        <w:rPr>
          <w:rFonts w:ascii="Times New Roman" w:hAnsi="Times New Roman" w:cs="Times New Roman"/>
          <w:b/>
          <w:noProof/>
          <w:lang w:val="en-IE"/>
        </w:rPr>
        <w:t xml:space="preserve">Reform 1 - The Active Labour Market Policies (ALMPs) and Vocational Training </w:t>
      </w:r>
    </w:p>
    <w:p w14:paraId="1A7BD2BD" w14:textId="77777777" w:rsidR="0039681A" w:rsidRPr="00A36E36" w:rsidRDefault="0039681A" w:rsidP="00351087">
      <w:pPr>
        <w:spacing w:before="120" w:after="120"/>
        <w:jc w:val="both"/>
        <w:rPr>
          <w:rFonts w:ascii="Times New Roman" w:hAnsi="Times New Roman" w:cs="Times New Roman"/>
          <w:noProof/>
          <w:color w:val="000000" w:themeColor="text1"/>
          <w:lang w:val="en-IE"/>
        </w:rPr>
      </w:pPr>
      <w:r w:rsidRPr="00A36E36">
        <w:rPr>
          <w:rFonts w:ascii="Times New Roman" w:hAnsi="Times New Roman" w:cs="Times New Roman"/>
          <w:noProof/>
          <w:lang w:val="en-IE"/>
        </w:rPr>
        <w:t xml:space="preserve">The objective of this reform is to support the active labour market system to provide personalised plans that include employment, training and social services. This measure consists in the creation of a </w:t>
      </w:r>
      <w:r w:rsidRPr="00A36E36">
        <w:rPr>
          <w:rFonts w:ascii="Times New Roman" w:hAnsi="Times New Roman" w:cs="Times New Roman"/>
          <w:noProof/>
          <w:color w:val="000000" w:themeColor="text1"/>
          <w:lang w:val="en-IE"/>
        </w:rPr>
        <w:t xml:space="preserve">National Programme for the Guaranteed Employability of Workers (GOL), supporting in particular the most vulnerable categories (women, long-term unemployed, young and older workers and people with disabilities), and in carrying out training programmes for adult learning. </w:t>
      </w:r>
    </w:p>
    <w:p w14:paraId="1B505070"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color w:val="000000" w:themeColor="text1"/>
          <w:lang w:val="en-IE"/>
        </w:rPr>
        <w:t xml:space="preserve">Investment 1 - </w:t>
      </w:r>
      <w:r w:rsidRPr="00A36E36">
        <w:rPr>
          <w:rFonts w:ascii="Times New Roman" w:hAnsi="Times New Roman" w:cs="Times New Roman"/>
          <w:b/>
          <w:bCs/>
          <w:noProof/>
          <w:lang w:val="en-IE"/>
        </w:rPr>
        <w:t>Strengthening Public Employment Services (PES)</w:t>
      </w:r>
    </w:p>
    <w:p w14:paraId="732A9FDE" w14:textId="77777777" w:rsidR="0039681A" w:rsidRPr="00A36E36" w:rsidRDefault="0039681A" w:rsidP="00351087">
      <w:pPr>
        <w:spacing w:before="120" w:after="120"/>
        <w:jc w:val="both"/>
        <w:rPr>
          <w:rFonts w:ascii="Times New Roman" w:hAnsi="Times New Roman" w:cs="Times New Roman"/>
          <w:noProof/>
          <w:color w:val="000000" w:themeColor="text1"/>
          <w:lang w:val="en-IE"/>
        </w:rPr>
      </w:pPr>
      <w:r w:rsidRPr="00A36E36">
        <w:rPr>
          <w:rFonts w:ascii="Times New Roman" w:hAnsi="Times New Roman" w:cs="Times New Roman"/>
          <w:noProof/>
          <w:color w:val="000000" w:themeColor="text1"/>
          <w:lang w:val="en-IE"/>
        </w:rPr>
        <w:t xml:space="preserve">The objective of this investment is to allow the efficient delivery of employment and training services. The measure consists in the Public Employment Services carrying out activities, including for example: infrastructural investments, establishment of regional observatories of local labour markets, upgrade of the IT system, professional training of staff, and institutional communication and outreach. </w:t>
      </w:r>
    </w:p>
    <w:p w14:paraId="4543F6EB" w14:textId="77777777" w:rsidR="0039681A" w:rsidRPr="00A36E36" w:rsidRDefault="0039681A" w:rsidP="00351087">
      <w:pPr>
        <w:spacing w:before="120" w:after="120"/>
        <w:jc w:val="both"/>
        <w:rPr>
          <w:rFonts w:ascii="Times New Roman" w:hAnsi="Times New Roman" w:cs="Times New Roman"/>
          <w:b/>
          <w:bCs/>
          <w:noProof/>
          <w:color w:val="000000" w:themeColor="text1"/>
          <w:lang w:val="en-IE"/>
        </w:rPr>
      </w:pPr>
      <w:r w:rsidRPr="00A36E36">
        <w:rPr>
          <w:rFonts w:ascii="Times New Roman" w:hAnsi="Times New Roman" w:cs="Times New Roman"/>
          <w:b/>
          <w:noProof/>
          <w:color w:val="000000" w:themeColor="text1"/>
          <w:lang w:val="en-IE"/>
        </w:rPr>
        <w:t>Reform 2 - National Plan tackling undeclared work</w:t>
      </w:r>
    </w:p>
    <w:p w14:paraId="5B64652B" w14:textId="77777777" w:rsidR="0039681A" w:rsidRPr="00A36E36" w:rsidRDefault="0039681A" w:rsidP="00351087">
      <w:pPr>
        <w:spacing w:before="120" w:after="120"/>
        <w:jc w:val="both"/>
        <w:rPr>
          <w:rFonts w:ascii="Times New Roman" w:hAnsi="Times New Roman" w:cs="Times New Roman"/>
          <w:noProof/>
          <w:color w:val="000000" w:themeColor="text1"/>
          <w:lang w:val="en-IE"/>
        </w:rPr>
      </w:pPr>
      <w:r w:rsidRPr="00A36E36">
        <w:rPr>
          <w:rFonts w:ascii="Times New Roman" w:hAnsi="Times New Roman" w:cs="Times New Roman"/>
          <w:noProof/>
          <w:color w:val="000000" w:themeColor="text1"/>
          <w:lang w:val="en-IE"/>
        </w:rPr>
        <w:t>The objective of this measure is to support the job quality and working conditions by preventing and tackling undeclared work, labour exploitation (so called “caporalato”), and other forms of irregular work. This measure consists in legislative and non-legislative actions including: reinforcing labour inspections and sanctions, providing incentives to regular work, training job centre operators, delivering a national information campaign, improving the governance to combat undeclared work, as well as specific actions to address labour exploitation in agriculture.</w:t>
      </w:r>
    </w:p>
    <w:p w14:paraId="358A0D9F" w14:textId="77777777" w:rsidR="0039681A" w:rsidRDefault="0039681A" w:rsidP="00351087">
      <w:pPr>
        <w:rPr>
          <w:rFonts w:ascii="Times New Roman" w:hAnsi="Times New Roman" w:cs="Times New Roman"/>
          <w:b/>
          <w:noProof/>
          <w:color w:val="000000" w:themeColor="text1"/>
          <w:lang w:val="en-IE"/>
        </w:rPr>
      </w:pPr>
      <w:r>
        <w:rPr>
          <w:rFonts w:ascii="Times New Roman" w:hAnsi="Times New Roman" w:cs="Times New Roman"/>
          <w:b/>
          <w:noProof/>
          <w:color w:val="000000" w:themeColor="text1"/>
          <w:lang w:val="en-IE"/>
        </w:rPr>
        <w:br w:type="page"/>
      </w:r>
    </w:p>
    <w:p w14:paraId="0C394EED" w14:textId="77777777" w:rsidR="0039681A" w:rsidRPr="00A36E36" w:rsidRDefault="0039681A" w:rsidP="00351087">
      <w:pPr>
        <w:spacing w:before="120" w:after="120"/>
        <w:jc w:val="both"/>
        <w:rPr>
          <w:rFonts w:ascii="Times New Roman" w:hAnsi="Times New Roman" w:cs="Times New Roman"/>
          <w:b/>
          <w:noProof/>
          <w:color w:val="000000" w:themeColor="text1"/>
          <w:lang w:val="en-IE"/>
        </w:rPr>
      </w:pPr>
      <w:r w:rsidRPr="00A36E36">
        <w:rPr>
          <w:rFonts w:ascii="Times New Roman" w:hAnsi="Times New Roman" w:cs="Times New Roman"/>
          <w:b/>
          <w:noProof/>
          <w:color w:val="000000" w:themeColor="text1"/>
          <w:lang w:val="en-IE"/>
        </w:rPr>
        <w:t>Investment 2 - Gender Equality Certification System</w:t>
      </w:r>
    </w:p>
    <w:p w14:paraId="0D959C7D" w14:textId="16A2D3E3" w:rsidR="0039681A" w:rsidRPr="00A36E36" w:rsidRDefault="0039681A" w:rsidP="00351087">
      <w:pPr>
        <w:spacing w:before="120" w:after="120"/>
        <w:jc w:val="both"/>
        <w:rPr>
          <w:rFonts w:ascii="Times New Roman" w:hAnsi="Times New Roman" w:cs="Times New Roman"/>
          <w:noProof/>
          <w:lang w:val="en-IE"/>
        </w:rPr>
      </w:pPr>
      <w:r w:rsidRPr="0DA3B6EF">
        <w:rPr>
          <w:rFonts w:ascii="Times New Roman" w:hAnsi="Times New Roman" w:cs="Times New Roman"/>
          <w:noProof/>
          <w:color w:val="000000" w:themeColor="text1"/>
          <w:lang w:val="en-IE"/>
        </w:rPr>
        <w:t xml:space="preserve">The objective of this measure is to increase </w:t>
      </w:r>
      <w:r w:rsidRPr="0DA3B6EF">
        <w:rPr>
          <w:rFonts w:ascii="Times New Roman" w:hAnsi="Times New Roman" w:cs="Times New Roman"/>
          <w:noProof/>
          <w:lang w:val="en-IE"/>
        </w:rPr>
        <w:t>women’s participation in the labour market</w:t>
      </w:r>
      <w:r w:rsidRPr="0DA3B6EF">
        <w:rPr>
          <w:rFonts w:ascii="Times New Roman" w:hAnsi="Times New Roman" w:cs="Times New Roman"/>
          <w:noProof/>
          <w:color w:val="000000" w:themeColor="text1"/>
          <w:lang w:val="en-IE"/>
        </w:rPr>
        <w:t xml:space="preserve"> and contribute to improving women’s working conditions. This investment consists in </w:t>
      </w:r>
      <w:r w:rsidRPr="0DA3B6EF">
        <w:rPr>
          <w:rFonts w:ascii="Times New Roman" w:hAnsi="Times New Roman" w:cs="Times New Roman"/>
          <w:noProof/>
          <w:lang w:val="en-IE"/>
        </w:rPr>
        <w:t xml:space="preserve">the creation of the national gender equality certification system </w:t>
      </w:r>
      <w:r w:rsidRPr="0DA3B6EF">
        <w:rPr>
          <w:rFonts w:ascii="Times New Roman" w:eastAsia="Aptos" w:hAnsi="Times New Roman" w:cs="Times New Roman"/>
          <w:noProof/>
          <w:lang w:val="en-IE"/>
        </w:rPr>
        <w:t>and in the provision of the gender equality certification to at least 3000 undertakings.</w:t>
      </w:r>
      <w:r w:rsidRPr="0DA3B6EF">
        <w:rPr>
          <w:rFonts w:ascii="Times New Roman" w:hAnsi="Times New Roman" w:cs="Times New Roman"/>
          <w:noProof/>
          <w:lang w:val="en-IE"/>
        </w:rPr>
        <w:t xml:space="preserve"> .</w:t>
      </w:r>
    </w:p>
    <w:p w14:paraId="3FA11857" w14:textId="77777777" w:rsidR="0039681A" w:rsidRPr="00A36E36" w:rsidRDefault="0039681A" w:rsidP="00351087">
      <w:pPr>
        <w:spacing w:before="120" w:after="120"/>
        <w:jc w:val="both"/>
        <w:rPr>
          <w:rFonts w:ascii="Times New Roman" w:hAnsi="Times New Roman" w:cs="Times New Roman"/>
          <w:b/>
          <w:bCs/>
          <w:noProof/>
          <w:color w:val="000000" w:themeColor="text1"/>
          <w:lang w:val="en-IE"/>
        </w:rPr>
      </w:pPr>
      <w:r w:rsidRPr="00A36E36">
        <w:rPr>
          <w:rFonts w:ascii="Times New Roman" w:hAnsi="Times New Roman" w:cs="Times New Roman"/>
          <w:b/>
          <w:bCs/>
          <w:noProof/>
          <w:lang w:val="en-IE"/>
        </w:rPr>
        <w:t>Investment 3 - Strengthening the Dual System</w:t>
      </w:r>
    </w:p>
    <w:p w14:paraId="222F8C89"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support young people and adults without secondary education in accessing employment opportunities. This investment consists in expanding participation in the “dual system” for students in formal and vocational education and training (VET), including through apprenticeships. </w:t>
      </w:r>
    </w:p>
    <w:p w14:paraId="152F2FD3" w14:textId="77777777" w:rsidR="0039681A" w:rsidRPr="00A36E36" w:rsidRDefault="0039681A" w:rsidP="00351087">
      <w:pPr>
        <w:spacing w:before="120" w:after="120"/>
        <w:jc w:val="both"/>
        <w:rPr>
          <w:rFonts w:ascii="Times New Roman" w:hAnsi="Times New Roman" w:cs="Times New Roman"/>
          <w:b/>
          <w:bCs/>
          <w:noProof/>
          <w:color w:val="000000" w:themeColor="text1"/>
          <w:lang w:val="en-IE"/>
        </w:rPr>
      </w:pPr>
      <w:r w:rsidRPr="00A36E36">
        <w:rPr>
          <w:rFonts w:ascii="Times New Roman" w:hAnsi="Times New Roman" w:cs="Times New Roman"/>
          <w:b/>
          <w:bCs/>
          <w:noProof/>
          <w:lang w:val="en-IE"/>
        </w:rPr>
        <w:t>Investment 4 - S</w:t>
      </w:r>
      <w:r w:rsidRPr="00A36E36">
        <w:rPr>
          <w:rFonts w:ascii="Times New Roman" w:hAnsi="Times New Roman" w:cs="Times New Roman"/>
          <w:b/>
          <w:bCs/>
          <w:noProof/>
          <w:color w:val="000000" w:themeColor="text1"/>
          <w:lang w:val="en-IE"/>
        </w:rPr>
        <w:t>trengthening of the Universal Civil Service</w:t>
      </w:r>
    </w:p>
    <w:p w14:paraId="4E4A7324"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this measure is to increase the number of young people involved in non-formal learning, and increase their knowledge and skills. This investment consists in ameliorating the Universal Civil Service programme and increase the number of participants. </w:t>
      </w:r>
    </w:p>
    <w:p w14:paraId="192FFC7B" w14:textId="77777777" w:rsidR="0039681A" w:rsidRPr="00A36E36" w:rsidRDefault="0039681A" w:rsidP="00351087">
      <w:pPr>
        <w:spacing w:before="120" w:after="120"/>
        <w:jc w:val="both"/>
        <w:rPr>
          <w:rFonts w:ascii="Times New Roman" w:hAnsi="Times New Roman" w:cs="Times New Roman"/>
          <w:noProof/>
          <w:lang w:val="en-IE"/>
        </w:rPr>
      </w:pPr>
    </w:p>
    <w:p w14:paraId="60F5AA56" w14:textId="77777777" w:rsidR="0039681A" w:rsidRPr="00A36E36" w:rsidRDefault="0039681A" w:rsidP="00351087">
      <w:pPr>
        <w:spacing w:before="120" w:after="120"/>
        <w:jc w:val="both"/>
        <w:rPr>
          <w:rFonts w:ascii="Times New Roman" w:hAnsi="Times New Roman" w:cs="Times New Roman"/>
          <w:noProof/>
          <w:color w:val="000000" w:themeColor="text1"/>
          <w:lang w:val="en-IE"/>
        </w:rPr>
        <w:sectPr w:rsidR="0039681A" w:rsidRPr="00A36E36" w:rsidSect="00F025C3">
          <w:pgSz w:w="11906" w:h="16838"/>
          <w:pgMar w:top="1440" w:right="1440" w:bottom="1440" w:left="1440" w:header="708" w:footer="708" w:gutter="0"/>
          <w:cols w:space="708"/>
          <w:docGrid w:linePitch="360"/>
        </w:sectPr>
      </w:pPr>
    </w:p>
    <w:p w14:paraId="4B949329"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L.2.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4"/>
        <w:gridCol w:w="1513"/>
        <w:gridCol w:w="1281"/>
        <w:gridCol w:w="1597"/>
        <w:gridCol w:w="1470"/>
        <w:gridCol w:w="1275"/>
        <w:gridCol w:w="1134"/>
        <w:gridCol w:w="1134"/>
        <w:gridCol w:w="851"/>
        <w:gridCol w:w="705"/>
        <w:gridCol w:w="2839"/>
      </w:tblGrid>
      <w:tr w:rsidR="0039681A" w:rsidRPr="0070054C" w14:paraId="48863E8D" w14:textId="77777777" w:rsidTr="00351087">
        <w:trPr>
          <w:trHeight w:val="633"/>
          <w:tblHeader/>
          <w:jc w:val="center"/>
        </w:trPr>
        <w:tc>
          <w:tcPr>
            <w:tcW w:w="1364" w:type="dxa"/>
            <w:vMerge w:val="restart"/>
            <w:shd w:val="clear" w:color="auto" w:fill="BDD7EE"/>
            <w:vAlign w:val="center"/>
            <w:hideMark/>
          </w:tcPr>
          <w:p w14:paraId="7AA0B00E" w14:textId="77777777" w:rsidR="0039681A" w:rsidRPr="00647572" w:rsidRDefault="0039681A" w:rsidP="00351087">
            <w:pPr>
              <w:jc w:val="center"/>
              <w:rPr>
                <w:rFonts w:ascii="Arial Narrow" w:hAnsi="Arial Narrow"/>
                <w:b/>
                <w:bCs/>
                <w:noProof/>
                <w:sz w:val="20"/>
                <w:szCs w:val="20"/>
              </w:rPr>
            </w:pPr>
            <w:r w:rsidRPr="00647572">
              <w:rPr>
                <w:rFonts w:ascii="Arial Narrow" w:hAnsi="Arial Narrow"/>
                <w:b/>
                <w:noProof/>
                <w:sz w:val="20"/>
              </w:rPr>
              <w:t>Sequential Number</w:t>
            </w:r>
          </w:p>
        </w:tc>
        <w:tc>
          <w:tcPr>
            <w:tcW w:w="1513" w:type="dxa"/>
            <w:vMerge w:val="restart"/>
            <w:shd w:val="clear" w:color="auto" w:fill="BDD7EE"/>
            <w:vAlign w:val="center"/>
            <w:hideMark/>
          </w:tcPr>
          <w:p w14:paraId="018F155B" w14:textId="77777777" w:rsidR="0039681A" w:rsidRPr="00A36E36" w:rsidRDefault="0039681A" w:rsidP="00351087">
            <w:pPr>
              <w:jc w:val="center"/>
              <w:rPr>
                <w:rFonts w:ascii="Arial Narrow" w:hAnsi="Arial Narrow"/>
                <w:b/>
                <w:bCs/>
                <w:noProof/>
                <w:sz w:val="20"/>
                <w:szCs w:val="20"/>
                <w:lang w:val="en-IE"/>
              </w:rPr>
            </w:pPr>
            <w:r w:rsidRPr="00A36E36">
              <w:rPr>
                <w:rFonts w:ascii="Arial Narrow" w:hAnsi="Arial Narrow"/>
                <w:b/>
                <w:noProof/>
                <w:sz w:val="20"/>
                <w:lang w:val="en-IE"/>
              </w:rPr>
              <w:t>Related Measure (Reform or Investment)</w:t>
            </w:r>
          </w:p>
        </w:tc>
        <w:tc>
          <w:tcPr>
            <w:tcW w:w="1281" w:type="dxa"/>
            <w:vMerge w:val="restart"/>
            <w:shd w:val="clear" w:color="auto" w:fill="BDD7EE"/>
            <w:vAlign w:val="center"/>
            <w:hideMark/>
          </w:tcPr>
          <w:p w14:paraId="6932F8BB" w14:textId="77777777" w:rsidR="0039681A" w:rsidRPr="00647572" w:rsidRDefault="0039681A" w:rsidP="00351087">
            <w:pPr>
              <w:jc w:val="center"/>
              <w:rPr>
                <w:rFonts w:ascii="Arial Narrow" w:hAnsi="Arial Narrow"/>
                <w:b/>
                <w:bCs/>
                <w:noProof/>
                <w:sz w:val="20"/>
                <w:szCs w:val="20"/>
              </w:rPr>
            </w:pPr>
            <w:r w:rsidRPr="00647572">
              <w:rPr>
                <w:rFonts w:ascii="Arial Narrow" w:hAnsi="Arial Narrow"/>
                <w:b/>
                <w:noProof/>
                <w:sz w:val="20"/>
              </w:rPr>
              <w:t>Milestone / Target</w:t>
            </w:r>
          </w:p>
        </w:tc>
        <w:tc>
          <w:tcPr>
            <w:tcW w:w="1597" w:type="dxa"/>
            <w:vMerge w:val="restart"/>
            <w:shd w:val="clear" w:color="auto" w:fill="BDD7EE"/>
            <w:vAlign w:val="center"/>
            <w:hideMark/>
          </w:tcPr>
          <w:p w14:paraId="637D125F" w14:textId="77777777" w:rsidR="0039681A" w:rsidRPr="00647572" w:rsidRDefault="0039681A" w:rsidP="00351087">
            <w:pPr>
              <w:jc w:val="center"/>
              <w:rPr>
                <w:rFonts w:ascii="Arial Narrow" w:hAnsi="Arial Narrow"/>
                <w:b/>
                <w:bCs/>
                <w:noProof/>
                <w:sz w:val="20"/>
                <w:szCs w:val="20"/>
              </w:rPr>
            </w:pPr>
            <w:r w:rsidRPr="00647572">
              <w:rPr>
                <w:rFonts w:ascii="Arial Narrow" w:hAnsi="Arial Narrow"/>
                <w:b/>
                <w:noProof/>
                <w:sz w:val="20"/>
              </w:rPr>
              <w:t>Name</w:t>
            </w:r>
          </w:p>
        </w:tc>
        <w:tc>
          <w:tcPr>
            <w:tcW w:w="1470" w:type="dxa"/>
            <w:vMerge w:val="restart"/>
            <w:shd w:val="clear" w:color="auto" w:fill="BDD7EE"/>
            <w:vAlign w:val="center"/>
            <w:hideMark/>
          </w:tcPr>
          <w:p w14:paraId="5036B627" w14:textId="77777777" w:rsidR="0039681A" w:rsidRPr="00647572" w:rsidRDefault="0039681A" w:rsidP="00351087">
            <w:pPr>
              <w:jc w:val="center"/>
              <w:rPr>
                <w:rFonts w:ascii="Arial Narrow" w:hAnsi="Arial Narrow"/>
                <w:b/>
                <w:bCs/>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543" w:type="dxa"/>
            <w:gridSpan w:val="3"/>
            <w:shd w:val="clear" w:color="auto" w:fill="BDD7EE"/>
            <w:vAlign w:val="center"/>
            <w:hideMark/>
          </w:tcPr>
          <w:p w14:paraId="5DF6E8BB" w14:textId="77777777" w:rsidR="0039681A" w:rsidRPr="00647572" w:rsidRDefault="0039681A" w:rsidP="00351087">
            <w:pPr>
              <w:jc w:val="center"/>
              <w:rPr>
                <w:rFonts w:ascii="Arial Narrow" w:hAnsi="Arial Narrow"/>
                <w:b/>
                <w:bCs/>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56" w:type="dxa"/>
            <w:gridSpan w:val="2"/>
            <w:shd w:val="clear" w:color="auto" w:fill="BDD7EE"/>
            <w:vAlign w:val="center"/>
            <w:hideMark/>
          </w:tcPr>
          <w:p w14:paraId="644B43B8" w14:textId="77777777" w:rsidR="0039681A" w:rsidRPr="00647572" w:rsidRDefault="0039681A" w:rsidP="00351087">
            <w:pPr>
              <w:jc w:val="center"/>
              <w:rPr>
                <w:rFonts w:ascii="Arial Narrow" w:hAnsi="Arial Narrow"/>
                <w:b/>
                <w:bCs/>
                <w:noProof/>
                <w:sz w:val="20"/>
                <w:szCs w:val="20"/>
              </w:rPr>
            </w:pPr>
            <w:r w:rsidRPr="00647572">
              <w:rPr>
                <w:rFonts w:ascii="Arial Narrow" w:hAnsi="Arial Narrow"/>
                <w:b/>
                <w:noProof/>
                <w:sz w:val="20"/>
              </w:rPr>
              <w:t>Indicative timeline for completion</w:t>
            </w:r>
          </w:p>
        </w:tc>
        <w:tc>
          <w:tcPr>
            <w:tcW w:w="2839" w:type="dxa"/>
            <w:vMerge w:val="restart"/>
            <w:shd w:val="clear" w:color="auto" w:fill="BDD7EE"/>
            <w:vAlign w:val="center"/>
            <w:hideMark/>
          </w:tcPr>
          <w:p w14:paraId="3671D85D" w14:textId="77777777" w:rsidR="0039681A" w:rsidRPr="00A36E36" w:rsidRDefault="0039681A" w:rsidP="00351087">
            <w:pPr>
              <w:jc w:val="center"/>
              <w:rPr>
                <w:rFonts w:ascii="Arial Narrow" w:hAnsi="Arial Narrow"/>
                <w:b/>
                <w:bCs/>
                <w:noProof/>
                <w:sz w:val="20"/>
                <w:szCs w:val="20"/>
                <w:lang w:val="en-IE"/>
              </w:rPr>
            </w:pPr>
            <w:r w:rsidRPr="00A36E36">
              <w:rPr>
                <w:rFonts w:ascii="Arial Narrow" w:hAnsi="Arial Narrow"/>
                <w:b/>
                <w:noProof/>
                <w:sz w:val="20"/>
                <w:lang w:val="en-IE"/>
              </w:rPr>
              <w:t>Description of each milestone and target</w:t>
            </w:r>
          </w:p>
        </w:tc>
      </w:tr>
      <w:tr w:rsidR="0039681A" w:rsidRPr="00647572" w14:paraId="138B6FDF" w14:textId="77777777" w:rsidTr="00351087">
        <w:trPr>
          <w:trHeight w:val="632"/>
          <w:tblHeader/>
          <w:jc w:val="center"/>
        </w:trPr>
        <w:tc>
          <w:tcPr>
            <w:tcW w:w="1364" w:type="dxa"/>
            <w:vMerge/>
            <w:vAlign w:val="center"/>
          </w:tcPr>
          <w:p w14:paraId="611A8E19" w14:textId="77777777" w:rsidR="0039681A" w:rsidRPr="00A36E36" w:rsidRDefault="0039681A" w:rsidP="00351087">
            <w:pPr>
              <w:jc w:val="center"/>
              <w:rPr>
                <w:rFonts w:ascii="Arial Narrow" w:hAnsi="Arial Narrow"/>
                <w:b/>
                <w:noProof/>
                <w:sz w:val="20"/>
                <w:szCs w:val="20"/>
                <w:lang w:val="en-IE"/>
              </w:rPr>
            </w:pPr>
          </w:p>
        </w:tc>
        <w:tc>
          <w:tcPr>
            <w:tcW w:w="1513" w:type="dxa"/>
            <w:vMerge/>
            <w:vAlign w:val="center"/>
          </w:tcPr>
          <w:p w14:paraId="52CA3DFB" w14:textId="77777777" w:rsidR="0039681A" w:rsidRPr="00A36E36" w:rsidRDefault="0039681A" w:rsidP="00351087">
            <w:pPr>
              <w:jc w:val="center"/>
              <w:rPr>
                <w:rFonts w:ascii="Arial Narrow" w:hAnsi="Arial Narrow"/>
                <w:b/>
                <w:noProof/>
                <w:sz w:val="20"/>
                <w:szCs w:val="20"/>
                <w:lang w:val="en-IE"/>
              </w:rPr>
            </w:pPr>
          </w:p>
        </w:tc>
        <w:tc>
          <w:tcPr>
            <w:tcW w:w="1281" w:type="dxa"/>
            <w:vMerge/>
            <w:vAlign w:val="center"/>
          </w:tcPr>
          <w:p w14:paraId="33B8AB6A" w14:textId="77777777" w:rsidR="0039681A" w:rsidRPr="00A36E36" w:rsidRDefault="0039681A" w:rsidP="00351087">
            <w:pPr>
              <w:jc w:val="center"/>
              <w:rPr>
                <w:rFonts w:ascii="Arial Narrow" w:hAnsi="Arial Narrow"/>
                <w:b/>
                <w:noProof/>
                <w:sz w:val="20"/>
                <w:szCs w:val="20"/>
                <w:lang w:val="en-IE"/>
              </w:rPr>
            </w:pPr>
          </w:p>
        </w:tc>
        <w:tc>
          <w:tcPr>
            <w:tcW w:w="1597" w:type="dxa"/>
            <w:vMerge/>
            <w:vAlign w:val="center"/>
          </w:tcPr>
          <w:p w14:paraId="4E94C432" w14:textId="77777777" w:rsidR="0039681A" w:rsidRPr="00A36E36" w:rsidRDefault="0039681A" w:rsidP="00351087">
            <w:pPr>
              <w:jc w:val="center"/>
              <w:rPr>
                <w:rFonts w:ascii="Arial Narrow" w:hAnsi="Arial Narrow"/>
                <w:b/>
                <w:noProof/>
                <w:sz w:val="20"/>
                <w:szCs w:val="20"/>
                <w:lang w:val="en-IE"/>
              </w:rPr>
            </w:pPr>
          </w:p>
        </w:tc>
        <w:tc>
          <w:tcPr>
            <w:tcW w:w="1470" w:type="dxa"/>
            <w:vMerge/>
            <w:vAlign w:val="center"/>
          </w:tcPr>
          <w:p w14:paraId="3C377EF7" w14:textId="77777777" w:rsidR="0039681A" w:rsidRPr="00A36E36" w:rsidRDefault="0039681A" w:rsidP="00351087">
            <w:pPr>
              <w:jc w:val="center"/>
              <w:rPr>
                <w:rFonts w:ascii="Arial Narrow" w:hAnsi="Arial Narrow"/>
                <w:b/>
                <w:noProof/>
                <w:sz w:val="20"/>
                <w:szCs w:val="20"/>
                <w:lang w:val="en-IE"/>
              </w:rPr>
            </w:pPr>
          </w:p>
        </w:tc>
        <w:tc>
          <w:tcPr>
            <w:tcW w:w="1275" w:type="dxa"/>
            <w:shd w:val="clear" w:color="auto" w:fill="BDD7EE"/>
            <w:vAlign w:val="center"/>
          </w:tcPr>
          <w:p w14:paraId="380EAA8A"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Unit of measure</w:t>
            </w:r>
          </w:p>
        </w:tc>
        <w:tc>
          <w:tcPr>
            <w:tcW w:w="1134" w:type="dxa"/>
            <w:shd w:val="clear" w:color="auto" w:fill="BDD7EE"/>
            <w:vAlign w:val="center"/>
          </w:tcPr>
          <w:p w14:paraId="25B13DAF"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Baseline</w:t>
            </w:r>
          </w:p>
        </w:tc>
        <w:tc>
          <w:tcPr>
            <w:tcW w:w="1134" w:type="dxa"/>
            <w:shd w:val="clear" w:color="auto" w:fill="BDD7EE"/>
            <w:vAlign w:val="center"/>
          </w:tcPr>
          <w:p w14:paraId="1B983C57"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Goal</w:t>
            </w:r>
          </w:p>
        </w:tc>
        <w:tc>
          <w:tcPr>
            <w:tcW w:w="851" w:type="dxa"/>
            <w:shd w:val="clear" w:color="auto" w:fill="BDD7EE"/>
            <w:vAlign w:val="center"/>
          </w:tcPr>
          <w:p w14:paraId="3A4FA04F"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Quarter</w:t>
            </w:r>
          </w:p>
        </w:tc>
        <w:tc>
          <w:tcPr>
            <w:tcW w:w="705" w:type="dxa"/>
            <w:shd w:val="clear" w:color="auto" w:fill="BDD7EE"/>
            <w:vAlign w:val="center"/>
          </w:tcPr>
          <w:p w14:paraId="1BC5D436" w14:textId="77777777" w:rsidR="0039681A" w:rsidRPr="00647572" w:rsidRDefault="0039681A" w:rsidP="00351087">
            <w:pPr>
              <w:jc w:val="center"/>
              <w:rPr>
                <w:rFonts w:ascii="Arial Narrow" w:hAnsi="Arial Narrow"/>
                <w:b/>
                <w:noProof/>
                <w:sz w:val="20"/>
                <w:szCs w:val="20"/>
              </w:rPr>
            </w:pPr>
            <w:r w:rsidRPr="00647572">
              <w:rPr>
                <w:rFonts w:ascii="Arial Narrow" w:hAnsi="Arial Narrow"/>
                <w:b/>
                <w:noProof/>
                <w:sz w:val="20"/>
              </w:rPr>
              <w:t>Year</w:t>
            </w:r>
          </w:p>
        </w:tc>
        <w:tc>
          <w:tcPr>
            <w:tcW w:w="2839" w:type="dxa"/>
            <w:vMerge/>
            <w:vAlign w:val="center"/>
          </w:tcPr>
          <w:p w14:paraId="0F6AE979" w14:textId="77777777" w:rsidR="0039681A" w:rsidRPr="00647572" w:rsidRDefault="0039681A" w:rsidP="00351087">
            <w:pPr>
              <w:jc w:val="center"/>
              <w:rPr>
                <w:rFonts w:ascii="Arial Narrow" w:hAnsi="Arial Narrow"/>
                <w:b/>
                <w:noProof/>
                <w:sz w:val="20"/>
                <w:szCs w:val="20"/>
              </w:rPr>
            </w:pPr>
          </w:p>
        </w:tc>
      </w:tr>
      <w:tr w:rsidR="0039681A" w:rsidRPr="0070054C" w14:paraId="179B1AD9"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74F783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 xml:space="preserve">M5C1-1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C44E71"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ALMPs and Vocational Training</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022B2D"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3F4D5D"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Inter-Ministerial Decree establishing a National programme for the Guaranteed Employability of Workers (GOL) and an Inter-Ministerial Decree establishing a National Plan for New Skills</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87D7E7"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Inter-Ministerial Decrees indicating the entry into force of the two inter-ministerial decrees, following agreements at the State-Regions Conference on the Programme GOL and National Plan for New Skills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72A12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9CD552"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6B06C33"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33D051"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CBB3E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8C278A5" w14:textId="77777777" w:rsidR="0039681A" w:rsidRPr="00A36E36" w:rsidRDefault="0039681A" w:rsidP="00351087">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acts for GOL shall as a minimum: (i) define the essential elements and their standards of Public Employment Services (PES), including skills forecasting, personalised training plans, guidance and job coaching, to ensure the effective provision of personalised employment services according to common and uniform standards throughout the national territory, (ii) ensure that upskilling and reskilling training activities provided by Public Employment Services (PES) are fully in line with the National Plan for New Skills, including digital skills, (iii) ensure that Public Employment Services (PES) are targeted to the needs of recipients, (iv) ensure that Public Employment Services (PES) target as priority the most vulnerable; (v) set up a target of a minimum of 25% of beneficiaries of the Guaranteed Employability of Workers programmes as recipients of relevant training, with a particular focus on digital skills and with a priority for the most vulnerable; (vi) set new mechanisms which strengthen and make structural the cooperation between public and private systems, including in relation to the identification of the relevant skill needs and the provision of job offers. The Decree establishes that recipients of social safety nets shall access the services provided under the National Programme Guaranteed Employability of Workers within 4 months from the moment in which they mature the right to social safety nets. The acts for the National Plan for New Skills shall as a minimum: (i) defines common standards and essential levels of vocational training throughout the national territory, (ii) targets both employed and unemployed and persons with the goal to enhance their digital skills and encourage lifelong learning. (iii) Identify skills and relevant standards based on a cooperation between the public and private systems, (iv) take into account the different needs of the target groups considered which, as a minimum, shall include the most vulnerable, (v) encompass all relevant sectoral strategies as to have a comprehensive approach, including the national strategic plan for adult competencies.(vi) incorporate the provision for the development a forecasting system for new competencies needed in the short-medium term within the labour market.</w:t>
            </w:r>
          </w:p>
        </w:tc>
      </w:tr>
      <w:tr w:rsidR="0039681A" w:rsidRPr="0070054C" w14:paraId="27E14791"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61C68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 xml:space="preserve">M5C1-2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60B199E"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 ALMPs and Vocational Training</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E288A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A26397"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Entry into force at the Regional level of all plans for the Public Employment Services (PES)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D34C4E"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indicating the entry into force of the plans adopted by the Regions and activities executed</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232BE0"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56D43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172EE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6EF1E3"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42847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FE135A1" w14:textId="77777777" w:rsidR="0039681A" w:rsidRPr="00A36E36" w:rsidRDefault="0039681A" w:rsidP="00351087">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 xml:space="preserve">The national regulation of the Guaranteed Employability of Workers (GOL) Programme shall envisage the definition at regional level of the necessary operational activities to implement the Programme. In order to ensure coherence between the national regulation and the regional implementation, regional Plans for the Public Employment Services (PES) shall be adopted. </w:t>
            </w:r>
          </w:p>
          <w:p w14:paraId="5DD33E3F" w14:textId="77777777" w:rsidR="0039681A" w:rsidRPr="00A36E36" w:rsidRDefault="0039681A" w:rsidP="00351087">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In addition to adopting the Plans, Regions execute the activities based on the Plans, reaching at least 10% of the envisaged beneficiaries of the Programme (final target 3 000 000 people).</w:t>
            </w:r>
          </w:p>
          <w:p w14:paraId="0C07F226" w14:textId="77777777" w:rsidR="0039681A" w:rsidRPr="00A36E36" w:rsidRDefault="0039681A" w:rsidP="00351087">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entry into force of the Plans for the Public Employment Services (PES) shall allow to fully implement the Guaranteed Employability of Workers (GOL) Programme.</w:t>
            </w:r>
          </w:p>
        </w:tc>
      </w:tr>
      <w:tr w:rsidR="0039681A" w:rsidRPr="0070054C" w14:paraId="53D96DB0"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833C27" w14:textId="77777777" w:rsidR="0039681A" w:rsidRPr="00647572" w:rsidRDefault="0039681A" w:rsidP="00351087">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 xml:space="preserve">M5C1-3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A759AB"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 ALMPs and Vocational Training</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27C32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755978" w14:textId="77777777" w:rsidR="0039681A" w:rsidRPr="00A36E36" w:rsidRDefault="0039681A" w:rsidP="00351087">
            <w:pPr>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People benefitting from the Guaranteed Employability of Workers (GOL) programme</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8F64F4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C4CF672"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F97331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90556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3</w:t>
            </w:r>
            <w:r w:rsidRPr="00647572">
              <w:rPr>
                <w:noProof/>
                <w:sz w:val="23"/>
                <w:szCs w:val="23"/>
              </w:rPr>
              <w:t> </w:t>
            </w:r>
            <w:r w:rsidRPr="00647572">
              <w:rPr>
                <w:rFonts w:ascii="Arial Narrow" w:hAnsi="Arial Narrow"/>
                <w:noProof/>
                <w:color w:val="006100"/>
                <w:sz w:val="20"/>
              </w:rPr>
              <w:t>000</w:t>
            </w:r>
            <w:r w:rsidRPr="00647572">
              <w:rPr>
                <w:noProof/>
                <w:sz w:val="23"/>
                <w:szCs w:val="23"/>
              </w:rPr>
              <w:t> </w:t>
            </w:r>
            <w:r w:rsidRPr="00647572">
              <w:rPr>
                <w:rFonts w:ascii="Arial Narrow" w:hAnsi="Arial Narrow"/>
                <w:noProof/>
                <w:color w:val="006100"/>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29D61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062F1A"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49EBFD" w14:textId="77777777" w:rsidR="0039681A" w:rsidRPr="00A36E36" w:rsidRDefault="0039681A" w:rsidP="00351087">
            <w:pPr>
              <w:spacing w:line="240" w:lineRule="auto"/>
              <w:rPr>
                <w:rFonts w:ascii="Arial Narrow" w:hAnsi="Arial Narrow"/>
                <w:noProof/>
                <w:color w:val="006100"/>
                <w:sz w:val="20"/>
                <w:lang w:val="en-IE"/>
              </w:rPr>
            </w:pPr>
            <w:r w:rsidRPr="00A36E36">
              <w:rPr>
                <w:rFonts w:ascii="Arial Narrow" w:hAnsi="Arial Narrow"/>
                <w:noProof/>
                <w:color w:val="006100"/>
                <w:sz w:val="20"/>
                <w:szCs w:val="20"/>
                <w:lang w:val="en-IE"/>
              </w:rPr>
              <w:t>At least 3</w:t>
            </w:r>
            <w:r w:rsidRPr="00A36E36">
              <w:rPr>
                <w:noProof/>
                <w:sz w:val="23"/>
                <w:szCs w:val="23"/>
                <w:lang w:val="en-IE"/>
              </w:rPr>
              <w:t> </w:t>
            </w:r>
            <w:r w:rsidRPr="00A36E36">
              <w:rPr>
                <w:rFonts w:ascii="Arial Narrow" w:hAnsi="Arial Narrow"/>
                <w:noProof/>
                <w:color w:val="006100"/>
                <w:sz w:val="20"/>
                <w:szCs w:val="20"/>
                <w:lang w:val="en-IE"/>
              </w:rPr>
              <w:t>000</w:t>
            </w:r>
            <w:r w:rsidRPr="00A36E36">
              <w:rPr>
                <w:noProof/>
                <w:sz w:val="23"/>
                <w:szCs w:val="23"/>
                <w:lang w:val="en-IE"/>
              </w:rPr>
              <w:t> </w:t>
            </w:r>
            <w:r w:rsidRPr="00A36E36">
              <w:rPr>
                <w:rFonts w:ascii="Arial Narrow" w:hAnsi="Arial Narrow"/>
                <w:noProof/>
                <w:color w:val="006100"/>
                <w:sz w:val="20"/>
                <w:szCs w:val="20"/>
                <w:lang w:val="en-IE"/>
              </w:rPr>
              <w:t>000 people shall benefit from the Guaranteed Employability of Workers (GOL) programme.</w:t>
            </w:r>
          </w:p>
          <w:p w14:paraId="08EEFFD6" w14:textId="77777777" w:rsidR="0039681A" w:rsidRPr="00A36E36" w:rsidRDefault="0039681A" w:rsidP="00351087">
            <w:pPr>
              <w:spacing w:line="240" w:lineRule="auto"/>
              <w:rPr>
                <w:rFonts w:ascii="Arial Narrow" w:hAnsi="Arial Narrow"/>
                <w:noProof/>
                <w:color w:val="006100"/>
                <w:sz w:val="20"/>
                <w:szCs w:val="20"/>
                <w:lang w:val="en-IE"/>
              </w:rPr>
            </w:pPr>
            <w:r w:rsidRPr="00A36E36">
              <w:rPr>
                <w:rFonts w:ascii="Arial Narrow" w:hAnsi="Arial Narrow"/>
                <w:noProof/>
                <w:color w:val="006100"/>
                <w:sz w:val="20"/>
                <w:lang w:val="en-IE"/>
              </w:rPr>
              <w:t xml:space="preserve">Furthermore, </w:t>
            </w:r>
            <w:r w:rsidRPr="00A36E36">
              <w:rPr>
                <w:rFonts w:ascii="Arial Narrow" w:hAnsi="Arial Narrow"/>
                <w:noProof/>
                <w:color w:val="006100"/>
                <w:sz w:val="20"/>
                <w:szCs w:val="20"/>
                <w:lang w:val="en-IE"/>
              </w:rPr>
              <w:t xml:space="preserve">the essential levels of services </w:t>
            </w:r>
            <w:r w:rsidRPr="00A36E36">
              <w:rPr>
                <w:rFonts w:ascii="Arial Narrow" w:hAnsi="Arial Narrow"/>
                <w:i/>
                <w:iCs/>
                <w:noProof/>
                <w:color w:val="006100"/>
                <w:sz w:val="20"/>
                <w:szCs w:val="20"/>
                <w:lang w:val="en-IE"/>
              </w:rPr>
              <w:t>(‘Livelli essenziali delle prestazioni’),</w:t>
            </w:r>
            <w:r w:rsidRPr="00A36E36">
              <w:rPr>
                <w:rFonts w:ascii="Arial Narrow" w:hAnsi="Arial Narrow"/>
                <w:noProof/>
                <w:color w:val="006100"/>
                <w:sz w:val="20"/>
                <w:szCs w:val="20"/>
                <w:lang w:val="en-IE"/>
              </w:rPr>
              <w:t xml:space="preserve"> as defined in the GOL programme, shall be available in at least 80% of Public Employment Services (PES).</w:t>
            </w:r>
          </w:p>
        </w:tc>
      </w:tr>
      <w:tr w:rsidR="0039681A" w:rsidRPr="0070054C" w:rsidDel="008C670A" w14:paraId="79510E94"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51D493" w14:textId="77777777" w:rsidR="0039681A" w:rsidRPr="00647572" w:rsidDel="008C670A" w:rsidRDefault="0039681A" w:rsidP="00351087">
            <w:pPr>
              <w:jc w:val="center"/>
              <w:rPr>
                <w:rFonts w:ascii="Arial Narrow" w:hAnsi="Arial Narrow"/>
                <w:noProof/>
                <w:color w:val="006100"/>
                <w:sz w:val="20"/>
                <w:szCs w:val="20"/>
                <w:highlight w:val="yellow"/>
              </w:rPr>
            </w:pPr>
            <w:r w:rsidRPr="46C020ED">
              <w:rPr>
                <w:rFonts w:ascii="Arial Narrow" w:hAnsi="Arial Narrow"/>
                <w:noProof/>
                <w:color w:val="006100"/>
                <w:sz w:val="20"/>
                <w:szCs w:val="20"/>
              </w:rPr>
              <w:t xml:space="preserve">M5C1-4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54EADC" w14:textId="77777777" w:rsidR="0039681A" w:rsidRPr="00A36E36" w:rsidDel="008C670A" w:rsidRDefault="0039681A" w:rsidP="00351087">
            <w:pPr>
              <w:jc w:val="center"/>
              <w:rPr>
                <w:rFonts w:ascii="Arial Narrow" w:eastAsia="Calibri" w:hAnsi="Arial Narrow"/>
                <w:noProof/>
                <w:color w:val="006100"/>
                <w:sz w:val="20"/>
                <w:szCs w:val="20"/>
                <w:lang w:val="en-IE"/>
              </w:rPr>
            </w:pPr>
            <w:r w:rsidRPr="00A36E36" w:rsidDel="008C670A">
              <w:rPr>
                <w:rFonts w:ascii="Arial Narrow" w:hAnsi="Arial Narrow"/>
                <w:noProof/>
                <w:color w:val="006100"/>
                <w:sz w:val="20"/>
                <w:lang w:val="en-IE"/>
              </w:rPr>
              <w:t>Reform 1 - ALMPs and Vocational Training</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9C2E37F" w14:textId="77777777" w:rsidR="0039681A" w:rsidRPr="00647572" w:rsidDel="008C670A" w:rsidRDefault="0039681A" w:rsidP="00351087">
            <w:pPr>
              <w:jc w:val="center"/>
              <w:rPr>
                <w:rFonts w:ascii="Arial Narrow" w:hAnsi="Arial Narrow"/>
                <w:noProof/>
                <w:color w:val="006100"/>
                <w:sz w:val="20"/>
                <w:szCs w:val="20"/>
              </w:rPr>
            </w:pPr>
            <w:r w:rsidRPr="00647572" w:rsidDel="008C670A">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9E566D" w14:textId="77777777" w:rsidR="0039681A" w:rsidRPr="00A36E36" w:rsidDel="008C670A"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People</w:t>
            </w:r>
            <w:r w:rsidRPr="00A36E36" w:rsidDel="008C670A">
              <w:rPr>
                <w:rFonts w:ascii="Arial Narrow" w:hAnsi="Arial Narrow"/>
                <w:noProof/>
                <w:color w:val="006100"/>
                <w:sz w:val="20"/>
                <w:lang w:val="en-IE"/>
              </w:rPr>
              <w:t xml:space="preserve"> participat</w:t>
            </w:r>
            <w:r w:rsidRPr="00A36E36">
              <w:rPr>
                <w:rFonts w:ascii="Arial Narrow" w:hAnsi="Arial Narrow"/>
                <w:noProof/>
                <w:color w:val="006100"/>
                <w:sz w:val="20"/>
                <w:lang w:val="en-IE"/>
              </w:rPr>
              <w:t>ing</w:t>
            </w:r>
            <w:r w:rsidRPr="00A36E36" w:rsidDel="008C670A">
              <w:rPr>
                <w:rFonts w:ascii="Arial Narrow" w:hAnsi="Arial Narrow"/>
                <w:noProof/>
                <w:color w:val="006100"/>
                <w:sz w:val="20"/>
                <w:lang w:val="en-IE"/>
              </w:rPr>
              <w:t xml:space="preserve"> in</w:t>
            </w:r>
            <w:r w:rsidRPr="00A36E36">
              <w:rPr>
                <w:rFonts w:ascii="Arial Narrow" w:hAnsi="Arial Narrow"/>
                <w:noProof/>
                <w:color w:val="006100"/>
                <w:sz w:val="20"/>
                <w:lang w:val="en-IE"/>
              </w:rPr>
              <w:t xml:space="preserve"> </w:t>
            </w:r>
            <w:r w:rsidRPr="00A36E36" w:rsidDel="008C670A">
              <w:rPr>
                <w:rFonts w:ascii="Arial Narrow" w:hAnsi="Arial Narrow"/>
                <w:noProof/>
                <w:color w:val="006100"/>
                <w:sz w:val="20"/>
                <w:lang w:val="en-IE"/>
              </w:rPr>
              <w:t>training</w:t>
            </w:r>
            <w:r w:rsidRPr="00A36E36">
              <w:rPr>
                <w:rFonts w:ascii="Arial Narrow" w:hAnsi="Arial Narrow"/>
                <w:noProof/>
                <w:color w:val="006100"/>
                <w:sz w:val="20"/>
                <w:lang w:val="en-IE"/>
              </w:rPr>
              <w:t xml:space="preserve"> programmes</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6684E3" w14:textId="77777777" w:rsidR="0039681A" w:rsidRPr="00647572" w:rsidDel="008C670A" w:rsidRDefault="0039681A" w:rsidP="00351087">
            <w:pPr>
              <w:jc w:val="center"/>
              <w:rPr>
                <w:rFonts w:ascii="Arial Narrow" w:hAnsi="Arial Narrow"/>
                <w:noProof/>
                <w:color w:val="006100"/>
                <w:sz w:val="20"/>
                <w:szCs w:val="20"/>
              </w:rPr>
            </w:pPr>
            <w:r w:rsidRPr="00647572" w:rsidDel="008C670A">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D04EAE1" w14:textId="77777777" w:rsidR="0039681A" w:rsidRPr="00647572" w:rsidDel="008C670A" w:rsidRDefault="0039681A" w:rsidP="00351087">
            <w:pPr>
              <w:jc w:val="center"/>
              <w:rPr>
                <w:rFonts w:ascii="Arial Narrow" w:eastAsia="Calibri" w:hAnsi="Arial Narrow"/>
                <w:noProof/>
                <w:color w:val="006100"/>
                <w:sz w:val="20"/>
                <w:szCs w:val="20"/>
              </w:rPr>
            </w:pPr>
            <w:r w:rsidRPr="00647572" w:rsidDel="008C670A">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B3A197" w14:textId="77777777" w:rsidR="0039681A" w:rsidRPr="00647572" w:rsidDel="008C670A" w:rsidRDefault="0039681A" w:rsidP="00351087">
            <w:pPr>
              <w:jc w:val="center"/>
              <w:rPr>
                <w:rFonts w:ascii="Arial Narrow" w:eastAsia="Calibri" w:hAnsi="Arial Narrow"/>
                <w:noProof/>
                <w:color w:val="006100"/>
                <w:sz w:val="20"/>
                <w:szCs w:val="20"/>
              </w:rPr>
            </w:pPr>
            <w:r w:rsidRPr="00647572" w:rsidDel="008C670A">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4AEE42" w14:textId="77777777" w:rsidR="0039681A" w:rsidRPr="00647572" w:rsidDel="008C670A"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6</w:t>
            </w:r>
            <w:r w:rsidRPr="00647572" w:rsidDel="008C670A">
              <w:rPr>
                <w:rFonts w:ascii="Arial Narrow" w:hAnsi="Arial Narrow"/>
                <w:noProof/>
                <w:color w:val="006100"/>
                <w:sz w:val="20"/>
              </w:rPr>
              <w:t>00</w:t>
            </w:r>
            <w:r w:rsidRPr="00647572" w:rsidDel="008C670A">
              <w:rPr>
                <w:noProof/>
                <w:sz w:val="23"/>
                <w:szCs w:val="23"/>
              </w:rPr>
              <w:t> </w:t>
            </w:r>
            <w:r w:rsidRPr="00647572" w:rsidDel="008C670A">
              <w:rPr>
                <w:rFonts w:ascii="Arial Narrow" w:hAnsi="Arial Narrow"/>
                <w:noProof/>
                <w:color w:val="006100"/>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A309A1" w14:textId="77777777" w:rsidR="0039681A" w:rsidRPr="00647572" w:rsidDel="008C670A" w:rsidRDefault="0039681A" w:rsidP="00351087">
            <w:pPr>
              <w:jc w:val="center"/>
              <w:rPr>
                <w:rFonts w:ascii="Arial Narrow" w:eastAsia="Calibri" w:hAnsi="Arial Narrow"/>
                <w:noProof/>
                <w:color w:val="006100"/>
                <w:sz w:val="20"/>
                <w:szCs w:val="20"/>
              </w:rPr>
            </w:pPr>
            <w:r w:rsidRPr="00647572" w:rsidDel="008C670A">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0B55369" w14:textId="77777777" w:rsidR="0039681A" w:rsidRPr="00647572" w:rsidDel="008C670A" w:rsidRDefault="0039681A" w:rsidP="00351087">
            <w:pPr>
              <w:jc w:val="center"/>
              <w:rPr>
                <w:rFonts w:ascii="Arial Narrow" w:eastAsia="Calibri" w:hAnsi="Arial Narrow"/>
                <w:noProof/>
                <w:color w:val="006100"/>
                <w:sz w:val="20"/>
                <w:szCs w:val="20"/>
              </w:rPr>
            </w:pPr>
            <w:r w:rsidRPr="00647572" w:rsidDel="008C670A">
              <w:rPr>
                <w:rFonts w:ascii="Arial Narrow" w:hAnsi="Arial Narrow"/>
                <w:noProof/>
                <w:color w:val="006100"/>
                <w:sz w:val="20"/>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74DA887" w14:textId="77777777" w:rsidR="0039681A" w:rsidRPr="00A36E36" w:rsidRDefault="0039681A" w:rsidP="00351087">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600</w:t>
            </w:r>
            <w:r w:rsidRPr="00A36E36">
              <w:rPr>
                <w:noProof/>
                <w:sz w:val="23"/>
                <w:szCs w:val="23"/>
                <w:lang w:val="en-IE"/>
              </w:rPr>
              <w:t> </w:t>
            </w:r>
            <w:r w:rsidRPr="00A36E36">
              <w:rPr>
                <w:rFonts w:ascii="Arial Narrow" w:hAnsi="Arial Narrow"/>
                <w:noProof/>
                <w:color w:val="006100"/>
                <w:sz w:val="20"/>
                <w:szCs w:val="20"/>
                <w:lang w:val="en-IE"/>
              </w:rPr>
              <w:t>000 among the beneficiaries of the GOL programme shall participate in training, of which at least 300</w:t>
            </w:r>
            <w:r w:rsidRPr="00A36E36">
              <w:rPr>
                <w:noProof/>
                <w:sz w:val="23"/>
                <w:szCs w:val="23"/>
                <w:lang w:val="en-IE"/>
              </w:rPr>
              <w:t> </w:t>
            </w:r>
            <w:r w:rsidRPr="00A36E36">
              <w:rPr>
                <w:rFonts w:ascii="Arial Narrow" w:hAnsi="Arial Narrow"/>
                <w:noProof/>
                <w:color w:val="006100"/>
                <w:sz w:val="20"/>
                <w:szCs w:val="20"/>
                <w:lang w:val="en-IE"/>
              </w:rPr>
              <w:t>000</w:t>
            </w:r>
            <w:r w:rsidRPr="00A36E36">
              <w:rPr>
                <w:noProof/>
                <w:sz w:val="23"/>
                <w:szCs w:val="23"/>
                <w:lang w:val="en-IE"/>
              </w:rPr>
              <w:t> </w:t>
            </w:r>
            <w:r w:rsidRPr="00A36E36">
              <w:rPr>
                <w:rFonts w:ascii="Arial Narrow" w:hAnsi="Arial Narrow"/>
                <w:noProof/>
                <w:color w:val="006100"/>
                <w:sz w:val="20"/>
                <w:szCs w:val="20"/>
                <w:lang w:val="en-IE"/>
              </w:rPr>
              <w:t>shall participate in training on digital skills.</w:t>
            </w:r>
          </w:p>
          <w:p w14:paraId="39472487" w14:textId="77777777" w:rsidR="0039681A" w:rsidRPr="00A36E36" w:rsidDel="008C670A" w:rsidRDefault="0039681A" w:rsidP="00351087">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Lists of selected beneficiaries of the training programmes </w:t>
            </w:r>
            <w:r w:rsidRPr="00A36E36">
              <w:rPr>
                <w:rFonts w:ascii="Arial Narrow" w:hAnsi="Arial Narrow"/>
                <w:i/>
                <w:iCs/>
                <w:noProof/>
                <w:color w:val="006100"/>
                <w:sz w:val="20"/>
                <w:szCs w:val="20"/>
                <w:lang w:val="en-IE"/>
              </w:rPr>
              <w:t>“Progetto per l’autoimpiego</w:t>
            </w:r>
            <w:r w:rsidRPr="00A36E36">
              <w:rPr>
                <w:rFonts w:ascii="Arial Narrow" w:hAnsi="Arial Narrow"/>
                <w:noProof/>
                <w:color w:val="006100"/>
                <w:sz w:val="20"/>
                <w:szCs w:val="20"/>
                <w:lang w:val="en-IE"/>
              </w:rPr>
              <w:t>” and “</w:t>
            </w:r>
            <w:r w:rsidRPr="00A36E36">
              <w:rPr>
                <w:rFonts w:ascii="Arial Narrow" w:hAnsi="Arial Narrow"/>
                <w:i/>
                <w:iCs/>
                <w:noProof/>
                <w:color w:val="006100"/>
                <w:sz w:val="20"/>
                <w:szCs w:val="20"/>
                <w:lang w:val="en-IE"/>
              </w:rPr>
              <w:t>Fondo nuove competenze</w:t>
            </w:r>
            <w:r w:rsidRPr="00A36E36">
              <w:rPr>
                <w:rFonts w:ascii="Arial Narrow" w:hAnsi="Arial Narrow"/>
                <w:noProof/>
                <w:color w:val="006100"/>
                <w:sz w:val="20"/>
                <w:szCs w:val="20"/>
                <w:lang w:val="en-IE"/>
              </w:rPr>
              <w:t>” shall be published.</w:t>
            </w:r>
          </w:p>
        </w:tc>
      </w:tr>
      <w:tr w:rsidR="0039681A" w:rsidRPr="0070054C" w14:paraId="6DD66ECD" w14:textId="77777777" w:rsidTr="00351087">
        <w:trPr>
          <w:trHeight w:val="593"/>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A9452B" w14:textId="77777777" w:rsidR="0039681A" w:rsidRPr="00647572" w:rsidRDefault="0039681A" w:rsidP="00351087">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 xml:space="preserve">M5C1-4bis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9CF50C6"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 ALMPs and Vocational Training</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15A80B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08BC94" w14:textId="7FA76442" w:rsidR="0039681A" w:rsidRPr="00A36E36" w:rsidRDefault="0039681A" w:rsidP="00351087">
            <w:pPr>
              <w:jc w:val="center"/>
              <w:rPr>
                <w:rFonts w:ascii="Arial Narrow" w:eastAsia="Calibri" w:hAnsi="Arial Narrow"/>
                <w:noProof/>
                <w:color w:val="006100"/>
                <w:sz w:val="20"/>
                <w:szCs w:val="20"/>
                <w:lang w:val="en-IE"/>
              </w:rPr>
            </w:pPr>
            <w:r w:rsidRPr="20E5D1D1">
              <w:rPr>
                <w:rFonts w:ascii="Arial Narrow" w:hAnsi="Arial Narrow"/>
                <w:noProof/>
                <w:color w:val="006100"/>
                <w:sz w:val="20"/>
                <w:szCs w:val="20"/>
                <w:lang w:val="en-IE"/>
              </w:rPr>
              <w:t xml:space="preserve">People participating in training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375A4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8F077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1E70D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600 000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DBD7AC"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szCs w:val="20"/>
              </w:rPr>
              <w:t>800 000</w:t>
            </w:r>
            <w:r w:rsidRPr="00647572">
              <w:rPr>
                <w:rFonts w:ascii="Arial Narrow" w:hAnsi="Arial Narrow"/>
                <w:noProof/>
                <w:color w:val="006100"/>
                <w:sz w:val="20"/>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8EDCD14"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E1722C"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E5F034" w14:textId="0D6E7C94" w:rsidR="0039681A" w:rsidRPr="00A36E36" w:rsidRDefault="0039681A" w:rsidP="00351087">
            <w:pPr>
              <w:rPr>
                <w:rFonts w:ascii="Arial Narrow" w:hAnsi="Arial Narrow"/>
                <w:noProof/>
                <w:color w:val="006100"/>
                <w:sz w:val="20"/>
                <w:szCs w:val="20"/>
                <w:lang w:val="en-IE"/>
              </w:rPr>
            </w:pPr>
            <w:r w:rsidRPr="0DA3B6EF">
              <w:rPr>
                <w:rFonts w:ascii="Arial Narrow" w:hAnsi="Arial Narrow"/>
                <w:noProof/>
                <w:color w:val="006100"/>
                <w:sz w:val="20"/>
                <w:szCs w:val="20"/>
                <w:lang w:val="en-IE"/>
              </w:rPr>
              <w:t>At least 799 900 people shall participate in training through the GOL programme.Training under the GOL programme may also be provided via the “</w:t>
            </w:r>
            <w:r w:rsidRPr="00AF5341">
              <w:rPr>
                <w:rFonts w:ascii="Arial Narrow" w:hAnsi="Arial Narrow"/>
                <w:i/>
                <w:iCs/>
                <w:noProof/>
                <w:color w:val="006100"/>
                <w:sz w:val="20"/>
                <w:szCs w:val="20"/>
                <w:lang w:val="en-IE"/>
              </w:rPr>
              <w:t>Educazione Digitale per l’Occupazione</w:t>
            </w:r>
            <w:r w:rsidRPr="0DA3B6EF">
              <w:rPr>
                <w:rFonts w:ascii="Arial Narrow" w:hAnsi="Arial Narrow"/>
                <w:noProof/>
                <w:color w:val="006100"/>
                <w:sz w:val="20"/>
                <w:szCs w:val="20"/>
                <w:lang w:val="en-IE"/>
              </w:rPr>
              <w:t xml:space="preserve">” (EDO) platform. </w:t>
            </w:r>
          </w:p>
          <w:p w14:paraId="443CDC26" w14:textId="457EB4AE" w:rsidR="0039681A" w:rsidRPr="00A36E36" w:rsidRDefault="0039681A" w:rsidP="00351087">
            <w:pPr>
              <w:rPr>
                <w:rFonts w:ascii="Arial Narrow" w:eastAsia="Calibri" w:hAnsi="Arial Narrow"/>
                <w:noProof/>
                <w:color w:val="006100"/>
                <w:sz w:val="20"/>
                <w:szCs w:val="20"/>
                <w:lang w:val="en-IE"/>
              </w:rPr>
            </w:pPr>
            <w:r w:rsidRPr="0DA3B6EF">
              <w:rPr>
                <w:rFonts w:ascii="Arial Narrow" w:hAnsi="Arial Narrow"/>
                <w:noProof/>
                <w:color w:val="006100"/>
                <w:sz w:val="20"/>
                <w:szCs w:val="20"/>
                <w:lang w:val="en-IE"/>
              </w:rPr>
              <w:t>Furthermore, at least 100 people shall participate in training through “</w:t>
            </w:r>
            <w:r w:rsidRPr="0DA3B6EF">
              <w:rPr>
                <w:rFonts w:ascii="Arial Narrow" w:hAnsi="Arial Narrow"/>
                <w:i/>
                <w:iCs/>
                <w:noProof/>
                <w:color w:val="006100"/>
                <w:sz w:val="20"/>
                <w:szCs w:val="20"/>
                <w:lang w:val="en-IE"/>
              </w:rPr>
              <w:t>Fondo nuove competenze</w:t>
            </w:r>
            <w:r w:rsidRPr="0DA3B6EF">
              <w:rPr>
                <w:rFonts w:ascii="Arial Narrow" w:hAnsi="Arial Narrow"/>
                <w:noProof/>
                <w:color w:val="006100"/>
                <w:sz w:val="20"/>
                <w:szCs w:val="20"/>
                <w:lang w:val="en-IE"/>
              </w:rPr>
              <w:t xml:space="preserve">” or </w:t>
            </w:r>
            <w:r w:rsidRPr="0DA3B6EF">
              <w:rPr>
                <w:rFonts w:ascii="Arial Narrow" w:hAnsi="Arial Narrow"/>
                <w:i/>
                <w:iCs/>
                <w:noProof/>
                <w:color w:val="006100"/>
                <w:sz w:val="20"/>
                <w:szCs w:val="20"/>
                <w:lang w:val="en-IE"/>
              </w:rPr>
              <w:t>“Progetto per l’autoimpiego</w:t>
            </w:r>
            <w:r w:rsidRPr="0DA3B6EF">
              <w:rPr>
                <w:rFonts w:ascii="Arial Narrow" w:hAnsi="Arial Narrow"/>
                <w:noProof/>
                <w:color w:val="006100"/>
                <w:sz w:val="20"/>
                <w:szCs w:val="20"/>
                <w:lang w:val="en-IE"/>
              </w:rPr>
              <w:t xml:space="preserve">”. </w:t>
            </w:r>
          </w:p>
        </w:tc>
      </w:tr>
      <w:tr w:rsidR="0039681A" w:rsidRPr="0070054C" w14:paraId="0FBB34D6"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66595DF" w14:textId="77777777" w:rsidR="0039681A" w:rsidRPr="00647572" w:rsidRDefault="0039681A" w:rsidP="00351087">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M5C1-6</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2337F54" w14:textId="77777777" w:rsidR="0039681A" w:rsidRPr="00A36E36" w:rsidRDefault="0039681A" w:rsidP="00351087">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1 - Strengthening Public Employment Services (PES)</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A881E5"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8C19DD" w14:textId="7CC3F3ED" w:rsidR="0039681A" w:rsidRPr="00A36E36" w:rsidRDefault="0039681A" w:rsidP="00351087">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Public Employment Services (PES) are implementing the activities envisaged in the Strengthening Plan over the three years period 2021-2023</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C90DCC"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0233523"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Number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BA3404"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6A4F0D"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250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677825"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78F5C9"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7A11C4" w14:textId="77777777" w:rsidR="0039681A" w:rsidRPr="00A36E36" w:rsidRDefault="0039681A" w:rsidP="00351087">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At least 250 Public Employment Services (PES) have completed at least 50% of the activities envisaged in the ‘Strengthening Plan’ over the three years period 2021-2023.</w:t>
            </w:r>
          </w:p>
          <w:p w14:paraId="7D083556" w14:textId="77777777" w:rsidR="0039681A" w:rsidRPr="00A36E36" w:rsidRDefault="0039681A" w:rsidP="00351087">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These activities are in line with the central Strengthening Plan and further defined at regional level, on the basis of a need analysis and allocated resources.</w:t>
            </w:r>
          </w:p>
          <w:p w14:paraId="3EF319BB" w14:textId="77777777" w:rsidR="0039681A" w:rsidRPr="00A36E36" w:rsidRDefault="0039681A" w:rsidP="00351087">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 xml:space="preserve">These activities include: (I) renovation and refurbishment of current locations of Public Employment Services (PES) and purchase of new ones; (II) further implementation of the IT system, in the perspective of a national interoperability; (III) professional training of staff; (IV) institution of regional observatories of local labour markets; (V) institutional communication and outreach. </w:t>
            </w:r>
          </w:p>
          <w:p w14:paraId="0F2EED95" w14:textId="77777777" w:rsidR="0039681A" w:rsidRPr="00A36E36" w:rsidRDefault="0039681A" w:rsidP="00351087">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Infrastructural activities are not included in this target.</w:t>
            </w:r>
          </w:p>
          <w:p w14:paraId="165D2E05" w14:textId="77777777" w:rsidR="0039681A" w:rsidRPr="00A36E36" w:rsidRDefault="0039681A" w:rsidP="00351087">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Equal balance is ensured on the achievement of the target in terms of territorial distribution (North, Centre, and South).</w:t>
            </w:r>
          </w:p>
        </w:tc>
      </w:tr>
      <w:tr w:rsidR="0039681A" w:rsidRPr="0070054C" w14:paraId="4701EA04"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E6A001" w14:textId="77777777" w:rsidR="0039681A" w:rsidRPr="00647572" w:rsidRDefault="0039681A" w:rsidP="00351087">
            <w:pPr>
              <w:spacing w:before="120" w:after="120"/>
              <w:jc w:val="center"/>
              <w:rPr>
                <w:rFonts w:ascii="Arial Narrow" w:eastAsia="Calibri" w:hAnsi="Arial Narrow"/>
                <w:noProof/>
                <w:color w:val="006100"/>
                <w:sz w:val="20"/>
                <w:szCs w:val="20"/>
                <w:highlight w:val="yellow"/>
              </w:rPr>
            </w:pPr>
            <w:r w:rsidRPr="00647572">
              <w:rPr>
                <w:rFonts w:ascii="Arial Narrow" w:hAnsi="Arial Narrow"/>
                <w:noProof/>
                <w:color w:val="006100"/>
                <w:sz w:val="20"/>
                <w:szCs w:val="20"/>
              </w:rPr>
              <w:t>M5C1-7</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950AEB" w14:textId="77777777" w:rsidR="0039681A" w:rsidRPr="00A36E36" w:rsidRDefault="0039681A" w:rsidP="00351087">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1 - Strengthening Public Employment Services (PES)</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D0E14A" w14:textId="77777777" w:rsidR="0039681A" w:rsidRPr="00647572" w:rsidRDefault="0039681A" w:rsidP="00351087">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5FC0E8" w14:textId="77777777" w:rsidR="0039681A" w:rsidRPr="00A36E36" w:rsidRDefault="0039681A" w:rsidP="00351087">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Public Employment Services (PES) have finalised the activities envisaged in the Strengthening Plan</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97842C6"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szCs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5A66C23"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8F5C1F"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2CDF032" w14:textId="77777777" w:rsidR="0039681A" w:rsidRPr="00647572" w:rsidRDefault="0039681A" w:rsidP="00351087">
            <w:pPr>
              <w:spacing w:before="120" w:after="120"/>
              <w:jc w:val="center"/>
              <w:rPr>
                <w:rFonts w:ascii="Arial Narrow" w:hAnsi="Arial Narrow"/>
                <w:noProof/>
                <w:color w:val="006100"/>
                <w:sz w:val="20"/>
                <w:szCs w:val="20"/>
                <w:highlight w:val="yellow"/>
              </w:rPr>
            </w:pPr>
            <w:r w:rsidRPr="00647572">
              <w:rPr>
                <w:rFonts w:ascii="Arial Narrow" w:hAnsi="Arial Narrow"/>
                <w:noProof/>
                <w:color w:val="006100"/>
                <w:sz w:val="20"/>
                <w:szCs w:val="20"/>
              </w:rPr>
              <w:t>326</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1848D53"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2E76DB"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29270E6" w14:textId="77777777" w:rsidR="0039681A" w:rsidRPr="00A36E36" w:rsidRDefault="0039681A" w:rsidP="00351087">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At least 326 Public Employment Services (PES) and regional agencies have finalised the activities envisaged in the regional plans for strengthening public employment centres (</w:t>
            </w:r>
            <w:r w:rsidRPr="00A36E36">
              <w:rPr>
                <w:rFonts w:ascii="Arial Narrow" w:hAnsi="Arial Narrow"/>
                <w:i/>
                <w:iCs/>
                <w:noProof/>
                <w:color w:val="006100"/>
                <w:sz w:val="20"/>
                <w:szCs w:val="20"/>
                <w:lang w:val="en-IE"/>
              </w:rPr>
              <w:t>Piani regionali di potenziamento dei centri per l’impiego</w:t>
            </w:r>
            <w:r w:rsidRPr="00A36E36">
              <w:rPr>
                <w:rFonts w:ascii="Arial Narrow" w:hAnsi="Arial Narrow"/>
                <w:noProof/>
                <w:color w:val="006100"/>
                <w:sz w:val="20"/>
                <w:szCs w:val="20"/>
                <w:lang w:val="en-IE"/>
              </w:rPr>
              <w:t xml:space="preserve">), </w:t>
            </w:r>
            <w:r w:rsidRPr="00A36E36">
              <w:rPr>
                <w:rFonts w:ascii="Arial Narrow" w:hAnsi="Arial Narrow"/>
                <w:noProof/>
                <w:color w:val="006100"/>
                <w:sz w:val="20"/>
                <w:lang w:val="en-IE"/>
              </w:rPr>
              <w:t>including for exampl</w:t>
            </w:r>
            <w:r w:rsidRPr="00A36E36" w:rsidDel="00006AEA">
              <w:rPr>
                <w:rFonts w:ascii="Arial Narrow" w:hAnsi="Arial Narrow"/>
                <w:noProof/>
                <w:color w:val="006100"/>
                <w:sz w:val="20"/>
                <w:lang w:val="en-IE"/>
              </w:rPr>
              <w:t>e</w:t>
            </w:r>
            <w:r w:rsidRPr="00A36E36">
              <w:rPr>
                <w:rFonts w:ascii="Arial Narrow" w:hAnsi="Arial Narrow"/>
                <w:noProof/>
                <w:color w:val="006100"/>
                <w:sz w:val="20"/>
                <w:lang w:val="en-IE"/>
              </w:rPr>
              <w:t>: IT upgrades, staff training, establishment of regional observatories of local labour markets and communication campaigns.</w:t>
            </w:r>
          </w:p>
        </w:tc>
      </w:tr>
      <w:tr w:rsidR="0039681A" w:rsidRPr="0070054C" w14:paraId="66F0BF19"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B79B7" w14:textId="77777777" w:rsidR="0039681A" w:rsidRPr="00647572" w:rsidRDefault="0039681A" w:rsidP="00351087">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M5C1-7bis</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F93F4B" w14:textId="77777777" w:rsidR="0039681A" w:rsidRPr="00A36E36" w:rsidRDefault="0039681A" w:rsidP="00351087">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Investment 1 - Strengthening Public Employment Services (PES)</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FDE39C"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1967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 xml:space="preserve">Infrastructural activities in Public Employment Services (PES)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C60EF2"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szCs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385133"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8FF1F7"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23B70"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szCs w:val="20"/>
              </w:rPr>
              <w:t>270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EF260E"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93ED48"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02C948" w14:textId="28E6401E" w:rsidR="0039681A" w:rsidRPr="00A36E36" w:rsidRDefault="0039681A" w:rsidP="00351087">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 xml:space="preserve">At least 270 Public Employment Services (PES) and regional agencies premises have undergone renovation and/or refurbishment or have been acquired, as envisaged in the regional plans for strengthening public employment centres </w:t>
            </w:r>
            <w:r w:rsidRPr="00A36E36">
              <w:rPr>
                <w:rFonts w:ascii="Arial Narrow" w:hAnsi="Arial Narrow"/>
                <w:i/>
                <w:iCs/>
                <w:noProof/>
                <w:color w:val="006100"/>
                <w:sz w:val="20"/>
                <w:szCs w:val="20"/>
                <w:lang w:val="en-IE"/>
              </w:rPr>
              <w:t>(Piani regionali di potenziamento dei centri per l’impiego)</w:t>
            </w:r>
            <w:r w:rsidRPr="00A36E36">
              <w:rPr>
                <w:rFonts w:ascii="Arial Narrow" w:hAnsi="Arial Narrow"/>
                <w:noProof/>
                <w:color w:val="006100"/>
                <w:sz w:val="20"/>
                <w:szCs w:val="20"/>
                <w:lang w:val="en-IE"/>
              </w:rPr>
              <w:t>.</w:t>
            </w:r>
          </w:p>
        </w:tc>
      </w:tr>
      <w:tr w:rsidR="0039681A" w:rsidRPr="0070054C" w14:paraId="09AC5676" w14:textId="77777777" w:rsidTr="002C13D8">
        <w:trPr>
          <w:trHeight w:val="5071"/>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E00A28"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M5C1-8</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F285D5"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Reform 2 - Undeclared Work</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052C65"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850DD0"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National Plan and implementation Road Map to fight undeclared work across all economic sectors</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6FA659" w14:textId="77777777" w:rsidR="0039681A" w:rsidRPr="00A36E36" w:rsidRDefault="0039681A" w:rsidP="00351087">
            <w:pPr>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 National Plan and establishment of the inter-institutional working group that will be responsible for the creation of the National Plan and Implementation Road Map</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64D909B"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8B14FEA"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53BA64"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8228E3C"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B749AB"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9215F7" w14:textId="713E7233" w:rsidR="0039681A" w:rsidRPr="00A36E36" w:rsidRDefault="0039681A" w:rsidP="00351087">
            <w:pP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Adoption of a National Plan and time-bound (one year) Implementation Road Map to fight undeclared work across all economic sectors. The National Plan shall build upon the general strategy to combat undeclared work and on the multi-agency approach used to adopt the National Plan against Labour Exploitation in the agriculture sector - “Piano triennale di contrasto allo sfruttamento lavorativo in agricoltura e al caporalato (2020-2022)”. The National Plan and the Road Map for Implementation shall include at least the following:</w:t>
            </w:r>
            <w:r w:rsidR="00381DB1">
              <w:rPr>
                <w:rFonts w:ascii="Arial Narrow" w:hAnsi="Arial Narrow"/>
                <w:noProof/>
                <w:color w:val="006100"/>
                <w:sz w:val="20"/>
                <w:szCs w:val="20"/>
                <w:lang w:val="en-IE"/>
              </w:rPr>
              <w:t xml:space="preserve"> </w:t>
            </w:r>
            <w:r w:rsidRPr="00A36E36">
              <w:rPr>
                <w:noProof/>
                <w:lang w:val="en-IE"/>
              </w:rPr>
              <w:br/>
            </w:r>
            <w:r w:rsidRPr="00A36E36">
              <w:rPr>
                <w:rFonts w:ascii="Arial Narrow" w:hAnsi="Arial Narrow"/>
                <w:noProof/>
                <w:color w:val="006100"/>
                <w:sz w:val="20"/>
                <w:szCs w:val="20"/>
                <w:lang w:val="en-IE"/>
              </w:rPr>
              <w:t>(I) measures to improve the production, collection and timely distribution of granular data on undeclared work;</w:t>
            </w:r>
            <w:r w:rsidR="00381DB1">
              <w:rPr>
                <w:rFonts w:ascii="Arial Narrow" w:hAnsi="Arial Narrow"/>
                <w:noProof/>
                <w:color w:val="006100"/>
                <w:sz w:val="20"/>
                <w:szCs w:val="20"/>
                <w:lang w:val="en-IE"/>
              </w:rPr>
              <w:t xml:space="preserve"> </w:t>
            </w:r>
            <w:r w:rsidRPr="00A36E36">
              <w:rPr>
                <w:noProof/>
                <w:lang w:val="en-IE"/>
              </w:rPr>
              <w:br/>
            </w:r>
            <w:r w:rsidRPr="00A36E36">
              <w:rPr>
                <w:rFonts w:ascii="Arial Narrow" w:hAnsi="Arial Narrow"/>
                <w:noProof/>
                <w:color w:val="006100"/>
                <w:sz w:val="20"/>
                <w:szCs w:val="20"/>
                <w:lang w:val="en-IE"/>
              </w:rPr>
              <w:t>(II) introducing direct and indirect measures to transform undeclared into declared work by ensuring that benefits of operating in the declared economy outweigh the costs of working in the undeclared economy. For instance, (a) deterrent measures, such as strengthening inspection and sanctions, and preventive measures to promote declared work, such as targeted financial incentives, also through a review and rationalising of existing ones; (b) strengthening the link with employment and social policy;</w:t>
            </w:r>
            <w:r w:rsidR="00381DB1">
              <w:rPr>
                <w:rFonts w:ascii="Arial Narrow" w:hAnsi="Arial Narrow"/>
                <w:noProof/>
                <w:color w:val="006100"/>
                <w:sz w:val="20"/>
                <w:szCs w:val="20"/>
                <w:lang w:val="en-IE"/>
              </w:rPr>
              <w:t xml:space="preserve"> </w:t>
            </w:r>
            <w:r w:rsidRPr="00A36E36">
              <w:rPr>
                <w:noProof/>
                <w:lang w:val="en-IE"/>
              </w:rPr>
              <w:br/>
            </w:r>
            <w:r w:rsidRPr="00A36E36">
              <w:rPr>
                <w:rFonts w:ascii="Arial Narrow" w:hAnsi="Arial Narrow"/>
                <w:noProof/>
                <w:color w:val="006100"/>
                <w:sz w:val="20"/>
                <w:szCs w:val="20"/>
                <w:lang w:val="en-IE"/>
              </w:rPr>
              <w:t>(III) a national information campaign on the “disvalue” of undeclared work, addressed to employers and workers, with the active involvement of social partners;</w:t>
            </w:r>
            <w:r w:rsidR="00381DB1">
              <w:rPr>
                <w:rFonts w:ascii="Arial Narrow" w:hAnsi="Arial Narrow"/>
                <w:noProof/>
                <w:color w:val="006100"/>
                <w:sz w:val="20"/>
                <w:szCs w:val="20"/>
                <w:lang w:val="en-IE"/>
              </w:rPr>
              <w:t xml:space="preserve"> </w:t>
            </w:r>
            <w:r w:rsidRPr="00A36E36">
              <w:rPr>
                <w:noProof/>
                <w:lang w:val="en-IE"/>
              </w:rPr>
              <w:br/>
            </w:r>
            <w:r w:rsidRPr="00A36E36">
              <w:rPr>
                <w:rFonts w:ascii="Arial Narrow" w:hAnsi="Arial Narrow"/>
                <w:noProof/>
                <w:color w:val="006100"/>
                <w:sz w:val="20"/>
                <w:szCs w:val="20"/>
                <w:lang w:val="en-IE"/>
              </w:rPr>
              <w:t xml:space="preserve">(IV) a governance structure to ensure effective implementation of actions; </w:t>
            </w:r>
          </w:p>
          <w:p w14:paraId="59616D56" w14:textId="77777777" w:rsidR="0039681A" w:rsidRPr="00A36E36" w:rsidRDefault="0039681A" w:rsidP="00351087">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(V) measures to overcome illegal settlements to fight labour exploitation in agriculture.</w:t>
            </w:r>
          </w:p>
        </w:tc>
      </w:tr>
      <w:tr w:rsidR="0039681A" w:rsidRPr="0070054C" w14:paraId="326EB20D"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37D94A8"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M5C1-9</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BCB5D0"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Reform 2 - Undeclared Work</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97E307"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2ED3DC3" w14:textId="77777777" w:rsidR="0039681A" w:rsidRPr="00A36E36" w:rsidRDefault="0039681A" w:rsidP="00351087">
            <w:pPr>
              <w:jc w:val="center"/>
              <w:rPr>
                <w:rFonts w:ascii="Arial Narrow" w:eastAsia="Arial Narrow" w:hAnsi="Arial Narrow" w:cs="Arial Narrow"/>
                <w:noProof/>
                <w:sz w:val="20"/>
                <w:szCs w:val="20"/>
                <w:lang w:val="en-IE"/>
              </w:rPr>
            </w:pPr>
            <w:r w:rsidRPr="00A36E36">
              <w:rPr>
                <w:rFonts w:ascii="Arial Narrow" w:hAnsi="Arial Narrow"/>
                <w:noProof/>
                <w:color w:val="006100"/>
                <w:sz w:val="20"/>
                <w:lang w:val="en-IE"/>
              </w:rPr>
              <w:t>Carry out actions to fight undeclared work</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26740DA" w14:textId="77777777" w:rsidR="0039681A" w:rsidRPr="00647572" w:rsidRDefault="0039681A" w:rsidP="00351087">
            <w:pPr>
              <w:jc w:val="center"/>
              <w:rPr>
                <w:rFonts w:ascii="Arial Narrow" w:eastAsia="Arial Narrow" w:hAnsi="Arial Narrow" w:cs="Arial Narrow"/>
                <w:noProof/>
                <w:sz w:val="20"/>
                <w:szCs w:val="20"/>
              </w:rPr>
            </w:pPr>
            <w:r w:rsidRPr="00647572">
              <w:rPr>
                <w:rFonts w:ascii="Arial Narrow" w:hAnsi="Arial Narrow"/>
                <w:noProof/>
                <w:color w:val="006100"/>
                <w:sz w:val="20"/>
              </w:rPr>
              <w:t>Actions carried out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E2FAAF5"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BE68F3"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CCF423"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BED5F5"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Q1</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522D96B"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2024</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4FBA74D" w14:textId="146B6B19"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The following actions shall be carried out:</w:t>
            </w:r>
            <w:r w:rsidR="00381DB1">
              <w:rPr>
                <w:rFonts w:ascii="Arial Narrow" w:hAnsi="Arial Narrow"/>
                <w:noProof/>
                <w:color w:val="006100"/>
                <w:sz w:val="20"/>
                <w:lang w:val="en-IE"/>
              </w:rPr>
              <w:t xml:space="preserve"> </w:t>
            </w:r>
          </w:p>
          <w:p w14:paraId="054E0F1E"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(I) Introduce measure(s) to improve the collection of granular data on undeclared work; </w:t>
            </w:r>
          </w:p>
          <w:p w14:paraId="1EA692B8" w14:textId="0C7D4B34"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(II) Introduce measures to transform undeclared into declared work:</w:t>
            </w:r>
            <w:r w:rsidR="00381DB1">
              <w:rPr>
                <w:rFonts w:ascii="Arial Narrow" w:hAnsi="Arial Narrow"/>
                <w:noProof/>
                <w:color w:val="006100"/>
                <w:sz w:val="20"/>
                <w:lang w:val="en-IE"/>
              </w:rPr>
              <w:t xml:space="preserve"> </w:t>
            </w:r>
          </w:p>
          <w:p w14:paraId="775765BF"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a) deterrent measure(s) which may include, but are not limited to, strengthening inspections and sanctions, as well as preventive measure(s) to promote declared work which may include, but are not limited to, targeted financial incentives;</w:t>
            </w:r>
          </w:p>
          <w:p w14:paraId="6EE74679"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b) measure(s) to strengthen the link with active labour market policy which may include, but are not limited to, training of job centre operators;</w:t>
            </w:r>
          </w:p>
          <w:p w14:paraId="398773FD"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(III) Deliver a national information campaign on the “disvalue” of undeclared work; </w:t>
            </w:r>
          </w:p>
          <w:p w14:paraId="1C797745"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(IV) Start of the works of the governance structure to combat undeclared work;</w:t>
            </w:r>
          </w:p>
          <w:p w14:paraId="7AE15B0B" w14:textId="77777777" w:rsidR="0039681A" w:rsidRPr="00A36E36" w:rsidRDefault="0039681A" w:rsidP="00351087">
            <w:pPr>
              <w:spacing w:line="257" w:lineRule="auto"/>
              <w:rPr>
                <w:rFonts w:ascii="Arial Narrow" w:hAnsi="Arial Narrow"/>
                <w:noProof/>
                <w:color w:val="006100"/>
                <w:sz w:val="20"/>
                <w:szCs w:val="20"/>
                <w:lang w:val="en-IE"/>
              </w:rPr>
            </w:pPr>
            <w:r w:rsidRPr="00A36E36">
              <w:rPr>
                <w:rFonts w:ascii="Arial Narrow" w:hAnsi="Arial Narrow"/>
                <w:noProof/>
                <w:color w:val="006100"/>
                <w:sz w:val="20"/>
                <w:lang w:val="en-IE"/>
              </w:rPr>
              <w:t>(V) Introduce measure(s) to address labour exploitation in agriculture.</w:t>
            </w:r>
          </w:p>
        </w:tc>
      </w:tr>
      <w:tr w:rsidR="0039681A" w:rsidRPr="0070054C" w14:paraId="79BC8C19"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BB17CB4" w14:textId="77777777" w:rsidR="0039681A" w:rsidRPr="00647572" w:rsidRDefault="0039681A" w:rsidP="00351087">
            <w:pPr>
              <w:jc w:val="center"/>
              <w:rPr>
                <w:rFonts w:ascii="Arial Narrow" w:hAnsi="Arial Narrow"/>
                <w:noProof/>
                <w:color w:val="006100"/>
                <w:sz w:val="20"/>
                <w:szCs w:val="20"/>
                <w:highlight w:val="yellow"/>
              </w:rPr>
            </w:pPr>
            <w:r w:rsidRPr="165B7C6E">
              <w:rPr>
                <w:rFonts w:ascii="Arial Narrow" w:hAnsi="Arial Narrow"/>
                <w:noProof/>
                <w:color w:val="006100"/>
                <w:sz w:val="20"/>
                <w:szCs w:val="20"/>
              </w:rPr>
              <w:t xml:space="preserve">M5C1-10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309F961" w14:textId="77777777" w:rsidR="0039681A" w:rsidRPr="00A36E36" w:rsidRDefault="0039681A" w:rsidP="00351087">
            <w:pPr>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Reform 2 - National Plan tackling undeclared work</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0B0DEF8"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66BD0A" w14:textId="77777777" w:rsidR="0039681A" w:rsidRPr="00A36E36" w:rsidRDefault="0039681A" w:rsidP="00351087">
            <w:pPr>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Increased number of labour inspections and membership of the network ‘rete del lavoro agricolo di qualità’</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6F06AC"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A5FA66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7EFCC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CB35B5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102</w:t>
            </w:r>
            <w:r>
              <w:rPr>
                <w:rFonts w:ascii="Arial Narrow" w:hAnsi="Arial Narrow"/>
                <w:noProof/>
                <w:color w:val="006100"/>
                <w:sz w:val="20"/>
                <w:szCs w:val="20"/>
              </w:rPr>
              <w:t> </w:t>
            </w:r>
            <w:r w:rsidRPr="00647572">
              <w:rPr>
                <w:rFonts w:ascii="Arial Narrow" w:hAnsi="Arial Narrow"/>
                <w:noProof/>
                <w:color w:val="006100"/>
                <w:sz w:val="20"/>
                <w:szCs w:val="20"/>
              </w:rPr>
              <w:t>895</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7C31F25"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8EBDC8"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6139EB6" w14:textId="4398D66E"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average number of annual inspections registered on the IT systems of the National Labour Inspectorate and of the ‘Carabinieri’ between 1 January 2023 and 31</w:t>
            </w:r>
            <w:r w:rsidR="002C13D8">
              <w:rPr>
                <w:rFonts w:ascii="Arial Narrow" w:hAnsi="Arial Narrow"/>
                <w:noProof/>
                <w:color w:val="006100"/>
                <w:sz w:val="20"/>
                <w:szCs w:val="20"/>
                <w:lang w:val="en-IE"/>
              </w:rPr>
              <w:t> </w:t>
            </w:r>
            <w:r w:rsidRPr="00A36E36">
              <w:rPr>
                <w:rFonts w:ascii="Arial Narrow" w:hAnsi="Arial Narrow"/>
                <w:noProof/>
                <w:color w:val="006100"/>
                <w:sz w:val="20"/>
                <w:szCs w:val="20"/>
                <w:lang w:val="en-IE"/>
              </w:rPr>
              <w:t>December 2025 shall reach at least 102</w:t>
            </w:r>
            <w:r>
              <w:rPr>
                <w:rFonts w:ascii="Arial Narrow" w:hAnsi="Arial Narrow"/>
                <w:noProof/>
                <w:color w:val="006100"/>
                <w:sz w:val="20"/>
                <w:szCs w:val="20"/>
                <w:lang w:val="en-IE"/>
              </w:rPr>
              <w:t> </w:t>
            </w:r>
            <w:r w:rsidRPr="00A36E36">
              <w:rPr>
                <w:rFonts w:ascii="Arial Narrow" w:hAnsi="Arial Narrow"/>
                <w:noProof/>
                <w:color w:val="006100"/>
                <w:sz w:val="20"/>
                <w:szCs w:val="20"/>
                <w:lang w:val="en-IE"/>
              </w:rPr>
              <w:t>895. Moreover, 2</w:t>
            </w:r>
            <w:r>
              <w:rPr>
                <w:rFonts w:ascii="Arial Narrow" w:hAnsi="Arial Narrow"/>
                <w:noProof/>
                <w:color w:val="006100"/>
                <w:sz w:val="20"/>
                <w:szCs w:val="20"/>
                <w:lang w:val="en-IE"/>
              </w:rPr>
              <w:t> </w:t>
            </w:r>
            <w:r w:rsidRPr="00A36E36">
              <w:rPr>
                <w:rFonts w:ascii="Arial Narrow" w:hAnsi="Arial Narrow"/>
                <w:noProof/>
                <w:color w:val="006100"/>
                <w:sz w:val="20"/>
                <w:szCs w:val="20"/>
                <w:lang w:val="en-IE"/>
              </w:rPr>
              <w:t>000 additional firms compared to June 2024 shall be included in the membership list of the network ‘</w:t>
            </w:r>
            <w:r w:rsidRPr="00A36E36">
              <w:rPr>
                <w:rFonts w:ascii="Arial Narrow" w:hAnsi="Arial Narrow"/>
                <w:i/>
                <w:iCs/>
                <w:noProof/>
                <w:color w:val="006100"/>
                <w:sz w:val="20"/>
                <w:szCs w:val="20"/>
                <w:lang w:val="en-IE"/>
              </w:rPr>
              <w:t>rete del lavoro agricolo di qualità</w:t>
            </w:r>
            <w:r w:rsidRPr="00A36E36">
              <w:rPr>
                <w:rFonts w:ascii="Arial Narrow" w:hAnsi="Arial Narrow"/>
                <w:noProof/>
                <w:color w:val="006100"/>
                <w:sz w:val="20"/>
                <w:szCs w:val="20"/>
                <w:lang w:val="en-IE"/>
              </w:rPr>
              <w:t>’ published on the INPS website.</w:t>
            </w:r>
          </w:p>
        </w:tc>
      </w:tr>
      <w:tr w:rsidR="0039681A" w:rsidRPr="0070054C" w14:paraId="048B3AD1"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1578F12" w14:textId="77777777" w:rsidR="0039681A" w:rsidRPr="00647572" w:rsidRDefault="0039681A" w:rsidP="00351087">
            <w:pPr>
              <w:jc w:val="center"/>
              <w:rPr>
                <w:rFonts w:ascii="Arial Narrow" w:eastAsia="Calibri" w:hAnsi="Arial Narrow"/>
                <w:noProof/>
                <w:color w:val="006100"/>
                <w:sz w:val="20"/>
                <w:szCs w:val="20"/>
                <w:highlight w:val="yellow"/>
              </w:rPr>
            </w:pPr>
            <w:r w:rsidRPr="00647572">
              <w:rPr>
                <w:rFonts w:ascii="Arial Narrow" w:hAnsi="Arial Narrow"/>
                <w:noProof/>
                <w:color w:val="006100"/>
                <w:sz w:val="20"/>
                <w:szCs w:val="20"/>
              </w:rPr>
              <w:t xml:space="preserve">M5C1-11 </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7188646"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Reform 2 - Undeclared Work</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2E3F202" w14:textId="77777777" w:rsidR="0039681A" w:rsidRPr="00647572" w:rsidRDefault="0039681A" w:rsidP="00351087">
            <w:pPr>
              <w:jc w:val="center"/>
              <w:rPr>
                <w:rFonts w:ascii="Arial Narrow" w:eastAsia="Arial Narrow" w:hAnsi="Arial Narrow" w:cs="Arial Narrow"/>
                <w:noProof/>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DC83AFA" w14:textId="77777777" w:rsidR="0039681A" w:rsidRPr="00A36E36" w:rsidRDefault="0039681A" w:rsidP="00351087">
            <w:pPr>
              <w:jc w:val="center"/>
              <w:rPr>
                <w:rFonts w:ascii="Arial Narrow" w:eastAsia="Arial Narrow" w:hAnsi="Arial Narrow" w:cs="Arial Narrow"/>
                <w:noProof/>
                <w:sz w:val="20"/>
                <w:szCs w:val="20"/>
                <w:lang w:val="en-IE"/>
              </w:rPr>
            </w:pPr>
            <w:r w:rsidRPr="00A36E36">
              <w:rPr>
                <w:rFonts w:ascii="Arial Narrow" w:hAnsi="Arial Narrow"/>
                <w:noProof/>
                <w:color w:val="006100"/>
                <w:sz w:val="20"/>
                <w:lang w:val="en-IE"/>
              </w:rPr>
              <w:t>Carry out actions to fight undeclared work</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58B533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Actions carried out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D0499B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4899317" w14:textId="77777777" w:rsidR="0039681A" w:rsidRPr="00647572" w:rsidRDefault="0039681A" w:rsidP="00351087">
            <w:pPr>
              <w:jc w:val="center"/>
              <w:rPr>
                <w:rFonts w:ascii="Arial Narrow" w:eastAsia="Arial Narrow" w:hAnsi="Arial Narrow" w:cs="Arial Narrow"/>
                <w:noProof/>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CDCA735" w14:textId="77777777" w:rsidR="0039681A" w:rsidRPr="00647572" w:rsidRDefault="0039681A" w:rsidP="00351087">
            <w:pPr>
              <w:jc w:val="center"/>
              <w:rPr>
                <w:rFonts w:ascii="Arial Narrow" w:eastAsia="Arial Narrow" w:hAnsi="Arial Narrow" w:cs="Arial Narrow"/>
                <w:noProof/>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8076B87"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Q1</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FB4FAA0" w14:textId="77777777" w:rsidR="0039681A" w:rsidRPr="00647572" w:rsidRDefault="0039681A" w:rsidP="00351087">
            <w:pPr>
              <w:jc w:val="center"/>
              <w:rPr>
                <w:rFonts w:ascii="Arial Narrow" w:eastAsia="Calibri" w:hAnsi="Arial Narrow"/>
                <w:noProof/>
                <w:color w:val="006100"/>
                <w:sz w:val="20"/>
                <w:szCs w:val="20"/>
              </w:rPr>
            </w:pPr>
            <w:r w:rsidRPr="00647572">
              <w:rPr>
                <w:rFonts w:ascii="Arial Narrow" w:hAnsi="Arial Narrow"/>
                <w:noProof/>
                <w:color w:val="006100"/>
                <w:sz w:val="20"/>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CFFAB22"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following actions shall be carried out:</w:t>
            </w:r>
          </w:p>
          <w:p w14:paraId="07551D7C" w14:textId="12572B08" w:rsidR="0039681A" w:rsidRPr="00A36E36" w:rsidRDefault="0039681A" w:rsidP="00351087">
            <w:pPr>
              <w:rPr>
                <w:rFonts w:ascii="Arial Narrow" w:hAnsi="Arial Narrow"/>
                <w:noProof/>
                <w:color w:val="006100"/>
                <w:sz w:val="20"/>
                <w:szCs w:val="20"/>
                <w:lang w:val="en-IE"/>
              </w:rPr>
            </w:pPr>
            <w:r w:rsidRPr="498615EC">
              <w:rPr>
                <w:rFonts w:ascii="Arial Narrow" w:hAnsi="Arial Narrow"/>
                <w:noProof/>
                <w:color w:val="006100"/>
                <w:sz w:val="20"/>
                <w:szCs w:val="20"/>
                <w:lang w:val="en-IE"/>
              </w:rPr>
              <w:t xml:space="preserve">- a study on the ‘Indici Sintetici di Affidabilità Contributiva’ (ISAC indicators) in </w:t>
            </w:r>
            <w:r>
              <w:rPr>
                <w:rFonts w:ascii="Arial Narrow" w:hAnsi="Arial Narrow"/>
                <w:noProof/>
                <w:color w:val="006100"/>
                <w:sz w:val="20"/>
                <w:szCs w:val="20"/>
                <w:lang w:val="en-IE"/>
              </w:rPr>
              <w:t>6</w:t>
            </w:r>
            <w:r w:rsidRPr="498615EC">
              <w:rPr>
                <w:rFonts w:ascii="Arial Narrow" w:hAnsi="Arial Narrow"/>
                <w:noProof/>
                <w:color w:val="006100"/>
                <w:sz w:val="20"/>
                <w:szCs w:val="20"/>
                <w:lang w:val="en-IE"/>
              </w:rPr>
              <w:t xml:space="preserve"> economic sectors; </w:t>
            </w:r>
          </w:p>
          <w:p w14:paraId="6758C143" w14:textId="1B9ADF9C" w:rsidR="0039681A" w:rsidRPr="00A36E36" w:rsidRDefault="0039681A" w:rsidP="00351087">
            <w:pPr>
              <w:rPr>
                <w:rFonts w:ascii="Arial Narrow" w:hAnsi="Arial Narrow"/>
                <w:noProof/>
                <w:color w:val="006100"/>
                <w:sz w:val="20"/>
                <w:szCs w:val="20"/>
                <w:lang w:val="en-IE"/>
              </w:rPr>
            </w:pPr>
            <w:r w:rsidRPr="0DA3B6EF">
              <w:rPr>
                <w:rFonts w:ascii="Arial Narrow" w:hAnsi="Arial Narrow"/>
                <w:noProof/>
                <w:color w:val="006100"/>
                <w:sz w:val="20"/>
                <w:szCs w:val="20"/>
                <w:lang w:val="en-IE"/>
              </w:rPr>
              <w:t>- sending at least 12</w:t>
            </w:r>
            <w:r w:rsidRPr="0DA3B6EF">
              <w:rPr>
                <w:noProof/>
                <w:sz w:val="23"/>
                <w:szCs w:val="23"/>
                <w:lang w:val="en-IE"/>
              </w:rPr>
              <w:t> </w:t>
            </w:r>
            <w:r w:rsidRPr="0DA3B6EF">
              <w:rPr>
                <w:rFonts w:ascii="Arial Narrow" w:hAnsi="Arial Narrow"/>
                <w:noProof/>
                <w:color w:val="006100"/>
                <w:sz w:val="20"/>
                <w:szCs w:val="20"/>
                <w:lang w:val="en-IE"/>
              </w:rPr>
              <w:t>000 compliance letters to firms identified through ISAC indicators;</w:t>
            </w:r>
          </w:p>
          <w:p w14:paraId="52FB0F6A" w14:textId="67BB7BD5" w:rsidR="0039681A" w:rsidRPr="00A36E36" w:rsidRDefault="0039681A" w:rsidP="00351087">
            <w:pPr>
              <w:rPr>
                <w:rFonts w:ascii="Arial Narrow" w:hAnsi="Arial Narrow"/>
                <w:noProof/>
                <w:color w:val="006100"/>
                <w:sz w:val="20"/>
                <w:szCs w:val="20"/>
                <w:lang w:val="en-IE"/>
              </w:rPr>
            </w:pPr>
            <w:r w:rsidRPr="498615EC">
              <w:rPr>
                <w:rFonts w:ascii="Arial Narrow" w:hAnsi="Arial Narrow"/>
                <w:noProof/>
                <w:color w:val="006100"/>
                <w:sz w:val="20"/>
                <w:szCs w:val="20"/>
                <w:lang w:val="en-IE"/>
              </w:rPr>
              <w:t>- publication of a study assessing the impact of ‘PrestO’ and ‘Libretto Famiglia’ vouchers on undeclared work.</w:t>
            </w:r>
          </w:p>
        </w:tc>
      </w:tr>
      <w:tr w:rsidR="0039681A" w:rsidRPr="0070054C" w14:paraId="5B362880"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5C0737"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M5C1-12</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18DB807" w14:textId="77777777" w:rsidR="0039681A" w:rsidRPr="00A36E36" w:rsidRDefault="0039681A" w:rsidP="00351087">
            <w:pPr>
              <w:spacing w:before="120"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2 - Gender equality certification system</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D99F83"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C93C8E" w14:textId="77777777" w:rsidR="0039681A" w:rsidRPr="00A36E36" w:rsidRDefault="0039681A" w:rsidP="00351087">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 xml:space="preserve">Entry into force of gender equality certification system and accompanying incentive mechanisms for companies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224F6DE" w14:textId="77777777" w:rsidR="0039681A" w:rsidRPr="00A36E36" w:rsidRDefault="0039681A" w:rsidP="00351087">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 Legislative acts and implementing measures governing the definition of the certification system</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F1F6FF9"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4178EAF"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6C98048"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B4B002E"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752BD21"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2022</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C2E5B5A" w14:textId="77777777" w:rsidR="0039681A" w:rsidRPr="00A36E36" w:rsidRDefault="0039681A" w:rsidP="00351087">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gender equality certification system and accompanying incentive mechanisms for companies shall cover at least the following dimensions: growth opportunities for women, equal pay for equal work, management policies for gender diversity, maternity protection.</w:t>
            </w:r>
          </w:p>
          <w:p w14:paraId="797366A8" w14:textId="77777777" w:rsidR="0039681A" w:rsidRPr="00A36E36" w:rsidRDefault="0039681A" w:rsidP="00351087">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Definition of the incentive mechanisms for organisations that undertake the certification process and of the technical guidance. Including: (I) elaboration of the technical standards of the Gender Certification System for companies; (II) identification of the incentive mechanism; (III) the measure shall be accompanied by the set-up of an IT system.</w:t>
            </w:r>
          </w:p>
        </w:tc>
      </w:tr>
      <w:tr w:rsidR="0039681A" w:rsidRPr="0070054C" w14:paraId="006B74E2"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7BC9EE0" w14:textId="77777777" w:rsidR="0039681A" w:rsidRPr="00647572" w:rsidRDefault="0039681A" w:rsidP="00351087">
            <w:pPr>
              <w:spacing w:before="120" w:after="120"/>
              <w:jc w:val="center"/>
              <w:rPr>
                <w:rFonts w:ascii="Arial Narrow" w:hAnsi="Arial Narrow"/>
                <w:noProof/>
                <w:color w:val="006100"/>
                <w:sz w:val="20"/>
                <w:szCs w:val="20"/>
                <w:highlight w:val="yellow"/>
              </w:rPr>
            </w:pPr>
            <w:r w:rsidRPr="00647572">
              <w:rPr>
                <w:rFonts w:ascii="Arial Narrow" w:hAnsi="Arial Narrow"/>
                <w:noProof/>
                <w:color w:val="006100"/>
                <w:sz w:val="20"/>
                <w:szCs w:val="20"/>
              </w:rPr>
              <w:t>M5C1-14</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A27D231" w14:textId="77777777" w:rsidR="0039681A" w:rsidRPr="00A36E36" w:rsidRDefault="0039681A" w:rsidP="00351087">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2 - Gender equality certification system</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4B75AF8"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929CCA4" w14:textId="1E8A99C2" w:rsidR="0039681A" w:rsidRPr="00A36E36" w:rsidRDefault="0039681A" w:rsidP="00351087">
            <w:pPr>
              <w:spacing w:before="120" w:after="120"/>
              <w:jc w:val="center"/>
              <w:rPr>
                <w:rFonts w:ascii="Arial Narrow" w:eastAsia="Calibri" w:hAnsi="Arial Narrow"/>
                <w:noProof/>
                <w:color w:val="006100"/>
                <w:sz w:val="20"/>
                <w:szCs w:val="20"/>
                <w:lang w:val="en-IE"/>
              </w:rPr>
            </w:pPr>
            <w:r>
              <w:rPr>
                <w:rFonts w:ascii="Arial Narrow" w:hAnsi="Arial Narrow"/>
                <w:noProof/>
                <w:color w:val="006100"/>
                <w:sz w:val="20"/>
                <w:szCs w:val="20"/>
                <w:lang w:val="en-IE"/>
              </w:rPr>
              <w:t>Undertakings</w:t>
            </w:r>
            <w:r w:rsidRPr="00A36E36">
              <w:rPr>
                <w:rFonts w:ascii="Arial Narrow" w:hAnsi="Arial Narrow"/>
                <w:noProof/>
                <w:color w:val="006100"/>
                <w:sz w:val="20"/>
                <w:szCs w:val="20"/>
                <w:lang w:val="en-IE"/>
              </w:rPr>
              <w:t xml:space="preserve"> have obtained the gender equality certification</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39C5C4F"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08E2D65"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9706EB4"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953E89F"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3</w:t>
            </w:r>
            <w:r w:rsidRPr="00647572">
              <w:rPr>
                <w:noProof/>
                <w:sz w:val="23"/>
                <w:szCs w:val="23"/>
              </w:rPr>
              <w:t> </w:t>
            </w:r>
            <w:r w:rsidRPr="00647572">
              <w:rPr>
                <w:rFonts w:ascii="Arial Narrow" w:hAnsi="Arial Narrow"/>
                <w:noProof/>
                <w:color w:val="006100"/>
                <w:sz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3101811"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B782B21"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C1B5A7E" w14:textId="107B4DE3" w:rsidR="0039681A" w:rsidRPr="00A36E36" w:rsidRDefault="0039681A" w:rsidP="00351087">
            <w:pPr>
              <w:spacing w:before="120" w:after="120"/>
              <w:rPr>
                <w:rFonts w:ascii="Arial Narrow" w:eastAsia="Calibri" w:hAnsi="Arial Narrow"/>
                <w:noProof/>
                <w:color w:val="006100"/>
                <w:sz w:val="20"/>
                <w:szCs w:val="20"/>
                <w:lang w:val="en-IE"/>
              </w:rPr>
            </w:pPr>
            <w:r w:rsidRPr="20E5D1D1">
              <w:rPr>
                <w:rFonts w:ascii="Arial Narrow" w:hAnsi="Arial Narrow"/>
                <w:noProof/>
                <w:color w:val="006100"/>
                <w:sz w:val="20"/>
                <w:szCs w:val="20"/>
                <w:lang w:val="en-IE"/>
              </w:rPr>
              <w:t>At least 3</w:t>
            </w:r>
            <w:r w:rsidRPr="20E5D1D1">
              <w:rPr>
                <w:noProof/>
                <w:sz w:val="23"/>
                <w:szCs w:val="23"/>
                <w:lang w:val="en-IE"/>
              </w:rPr>
              <w:t> </w:t>
            </w:r>
            <w:r w:rsidRPr="20E5D1D1">
              <w:rPr>
                <w:rFonts w:ascii="Arial Narrow" w:hAnsi="Arial Narrow"/>
                <w:noProof/>
                <w:color w:val="006100"/>
                <w:sz w:val="20"/>
                <w:szCs w:val="20"/>
                <w:lang w:val="en-IE"/>
              </w:rPr>
              <w:t xml:space="preserve">000 undertakings have obtained the gender equality certification. Out of these, at least 1800 shall be SMEs, of which 500 have been granted technical assistance and/or certification services. </w:t>
            </w:r>
          </w:p>
        </w:tc>
      </w:tr>
      <w:tr w:rsidR="0039681A" w:rsidRPr="0070054C" w14:paraId="230C1479"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56FC52A" w14:textId="77777777" w:rsidR="0039681A" w:rsidRPr="00647572" w:rsidRDefault="0039681A" w:rsidP="00351087">
            <w:pPr>
              <w:spacing w:before="120" w:after="120"/>
              <w:jc w:val="center"/>
              <w:rPr>
                <w:rFonts w:ascii="Arial Narrow" w:eastAsia="Calibri" w:hAnsi="Arial Narrow"/>
                <w:noProof/>
                <w:color w:val="006100"/>
                <w:sz w:val="20"/>
                <w:szCs w:val="20"/>
                <w:highlight w:val="yellow"/>
              </w:rPr>
            </w:pPr>
            <w:r w:rsidRPr="00647572">
              <w:rPr>
                <w:rFonts w:ascii="Arial Narrow" w:hAnsi="Arial Narrow"/>
                <w:noProof/>
                <w:color w:val="006100"/>
                <w:sz w:val="20"/>
                <w:szCs w:val="20"/>
              </w:rPr>
              <w:t>M5C1-15</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BEBA58B" w14:textId="77777777" w:rsidR="0039681A" w:rsidRPr="00A36E36" w:rsidRDefault="0039681A" w:rsidP="00351087">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3 - Strengthening the dual system</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3A76CD"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FEC5DE0" w14:textId="77777777" w:rsidR="0039681A" w:rsidRPr="00A36E36" w:rsidRDefault="0039681A" w:rsidP="00351087">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Certificates issued through the dual education system</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9DA5E8C"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296A0A96"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424DB48"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4FD3B3C"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szCs w:val="20"/>
              </w:rPr>
              <w:t>90</w:t>
            </w:r>
            <w:r w:rsidRPr="00647572">
              <w:rPr>
                <w:noProof/>
                <w:sz w:val="23"/>
                <w:szCs w:val="23"/>
              </w:rPr>
              <w:t> </w:t>
            </w:r>
            <w:r w:rsidRPr="00647572">
              <w:rPr>
                <w:rFonts w:ascii="Arial Narrow" w:hAnsi="Arial Narrow"/>
                <w:noProof/>
                <w:color w:val="006100"/>
                <w:sz w:val="20"/>
                <w:szCs w:val="20"/>
              </w:rPr>
              <w:t>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1D66415"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szCs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8CA5A11"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2025</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55EDE8E2" w14:textId="77777777" w:rsidR="0039681A" w:rsidRPr="00A36E36" w:rsidRDefault="0039681A" w:rsidP="00351087">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At least 90 000 participation certificates issued for years 2020-2021, 2021-2022, 2022-2023, 2023-2024 or 2024-2025 to students combining formal education and learning experience in the workplace.</w:t>
            </w:r>
          </w:p>
        </w:tc>
      </w:tr>
      <w:tr w:rsidR="0039681A" w:rsidRPr="0070054C" w14:paraId="4358B891"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7A2ECA"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M5C1-15bis</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61C423"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Investment 4 - Universal Civil Service</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AE5ADE"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E0BC8F" w14:textId="77777777" w:rsidR="0039681A" w:rsidRPr="00A36E36" w:rsidRDefault="0039681A" w:rsidP="00351087">
            <w:pPr>
              <w:spacing w:before="120" w:after="120"/>
              <w:jc w:val="center"/>
              <w:rPr>
                <w:rFonts w:ascii="Arial Narrow" w:eastAsia="Calibri" w:hAnsi="Arial Narrow"/>
                <w:noProof/>
                <w:color w:val="006100"/>
                <w:sz w:val="20"/>
                <w:szCs w:val="20"/>
                <w:lang w:val="en-IE"/>
              </w:rPr>
            </w:pPr>
            <w:r w:rsidRPr="00A36E36">
              <w:rPr>
                <w:rFonts w:ascii="Arial Narrow" w:eastAsia="Times New Roman" w:hAnsi="Arial Narrow" w:cs="Segoe UI"/>
                <w:noProof/>
                <w:color w:val="006100"/>
                <w:sz w:val="20"/>
                <w:szCs w:val="20"/>
                <w:lang w:val="en-IE" w:eastAsia="en-IE"/>
              </w:rPr>
              <w:t xml:space="preserve">Carry out actions to increase the participation of young people, simplify procedures and improve the quality of the Universal Civil Service (UCS) projects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E7F7C" w14:textId="77777777" w:rsidR="0039681A" w:rsidRPr="00647572" w:rsidRDefault="0039681A" w:rsidP="00351087">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Actions carried out</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D811B"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2EA01B"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C10798"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D3F9D"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8E4B5E"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2024</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EE2D1E" w14:textId="77777777" w:rsidR="0039681A" w:rsidRPr="00A36E36" w:rsidRDefault="0039681A" w:rsidP="00351087">
            <w:pPr>
              <w:spacing w:before="120" w:after="120" w:line="240" w:lineRule="auto"/>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The following actions shall be carried out: </w:t>
            </w:r>
          </w:p>
          <w:p w14:paraId="104594D2" w14:textId="77777777" w:rsidR="0039681A" w:rsidRPr="00A36E36" w:rsidRDefault="0039681A" w:rsidP="00351087">
            <w:pPr>
              <w:spacing w:before="120" w:after="120" w:line="240" w:lineRule="auto"/>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1. Introduce measures to increase the participation of young people in the Universal Civil Service (UCS) programme;</w:t>
            </w:r>
          </w:p>
          <w:p w14:paraId="586AE340" w14:textId="77777777" w:rsidR="0039681A" w:rsidRPr="00A36E36" w:rsidRDefault="0039681A" w:rsidP="00351087">
            <w:pPr>
              <w:spacing w:before="120" w:after="120" w:line="240" w:lineRule="auto"/>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2. Introduce measures to simplify procedures to reduce the administrative burden for the implementation of the Universal Civil Service (UCS) programme; </w:t>
            </w:r>
          </w:p>
          <w:p w14:paraId="179CF97A" w14:textId="77777777" w:rsidR="0039681A" w:rsidRPr="00A36E36" w:rsidRDefault="0039681A" w:rsidP="00351087">
            <w:pPr>
              <w:spacing w:before="120" w:after="120" w:line="240" w:lineRule="auto"/>
              <w:rPr>
                <w:rFonts w:ascii="Arial Narrow" w:eastAsia="Times New Roman" w:hAnsi="Arial Narrow" w:cs="Segoe UI"/>
                <w:noProof/>
                <w:color w:val="006100"/>
                <w:sz w:val="20"/>
                <w:szCs w:val="20"/>
                <w:lang w:val="en-IE" w:eastAsia="en-IE"/>
              </w:rPr>
            </w:pPr>
            <w:r w:rsidRPr="00A36E36">
              <w:rPr>
                <w:rFonts w:ascii="Arial Narrow" w:eastAsia="Times New Roman" w:hAnsi="Arial Narrow" w:cs="Segoe UI"/>
                <w:noProof/>
                <w:color w:val="006100"/>
                <w:sz w:val="20"/>
                <w:szCs w:val="20"/>
                <w:lang w:val="en-IE" w:eastAsia="en-IE"/>
              </w:rPr>
              <w:t xml:space="preserve">3. Introduce measures to improve the quality of Universal Civil Service (UCS) projects. </w:t>
            </w:r>
          </w:p>
          <w:p w14:paraId="7C1B6E05" w14:textId="77777777" w:rsidR="0039681A" w:rsidRPr="00A36E36" w:rsidRDefault="0039681A" w:rsidP="00351087">
            <w:pPr>
              <w:spacing w:before="120" w:after="120" w:line="240" w:lineRule="auto"/>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 xml:space="preserve">The actions carried out shall take into account the results of the TSI project (20IT06 – “Supporting design and implementation of the Universal Civil Service (UCS) RRP Project, to unlock youth employment opportunities”). </w:t>
            </w:r>
          </w:p>
        </w:tc>
      </w:tr>
      <w:tr w:rsidR="0039681A" w:rsidRPr="0070054C" w14:paraId="6C770949" w14:textId="77777777" w:rsidTr="00351087">
        <w:trPr>
          <w:trHeight w:val="309"/>
          <w:jc w:val="center"/>
        </w:trPr>
        <w:tc>
          <w:tcPr>
            <w:tcW w:w="136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DAD6B2B"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szCs w:val="20"/>
              </w:rPr>
              <w:t>M5C1-16</w:t>
            </w:r>
          </w:p>
        </w:tc>
        <w:tc>
          <w:tcPr>
            <w:tcW w:w="1513"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40F517F4"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Investment 4 - Universal Civil Service</w:t>
            </w:r>
          </w:p>
        </w:tc>
        <w:tc>
          <w:tcPr>
            <w:tcW w:w="128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15A4C27C"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597"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6CC5D687" w14:textId="77777777" w:rsidR="0039681A" w:rsidRPr="00A36E36" w:rsidRDefault="0039681A" w:rsidP="00351087">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 xml:space="preserve">Certificates issued for the Universal Civil Service projects </w:t>
            </w:r>
          </w:p>
        </w:tc>
        <w:tc>
          <w:tcPr>
            <w:tcW w:w="1470"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C3DDD1"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121A6F9"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 xml:space="preserve">Number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030F3E4E" w14:textId="77777777" w:rsidR="0039681A" w:rsidRPr="00647572" w:rsidRDefault="0039681A" w:rsidP="00351087">
            <w:pPr>
              <w:spacing w:before="120" w:after="120"/>
              <w:jc w:val="center"/>
              <w:rPr>
                <w:rFonts w:ascii="Arial Narrow" w:hAnsi="Arial Narrow"/>
                <w:noProof/>
                <w:sz w:val="20"/>
                <w:szCs w:val="20"/>
              </w:rPr>
            </w:pPr>
            <w:r w:rsidRPr="00647572">
              <w:rPr>
                <w:rFonts w:ascii="Arial Narrow" w:hAnsi="Arial Narrow"/>
                <w:noProof/>
                <w:color w:val="006100"/>
                <w:sz w:val="20"/>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AD5F161"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166 670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7C9A00AB"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Q2</w:t>
            </w:r>
          </w:p>
        </w:tc>
        <w:tc>
          <w:tcPr>
            <w:tcW w:w="705"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B189D54" w14:textId="77777777" w:rsidR="0039681A" w:rsidRPr="00647572" w:rsidRDefault="0039681A" w:rsidP="00351087">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2026</w:t>
            </w:r>
          </w:p>
        </w:tc>
        <w:tc>
          <w:tcPr>
            <w:tcW w:w="2839" w:type="dxa"/>
            <w:tcBorders>
              <w:top w:val="single" w:sz="4" w:space="0" w:color="auto"/>
              <w:left w:val="single" w:sz="4" w:space="0" w:color="auto"/>
              <w:bottom w:val="single" w:sz="4" w:space="0" w:color="auto"/>
              <w:right w:val="single" w:sz="4" w:space="0" w:color="auto"/>
            </w:tcBorders>
            <w:shd w:val="clear" w:color="auto" w:fill="C6EFCE"/>
            <w:noWrap/>
            <w:vAlign w:val="center"/>
            <w:hideMark/>
          </w:tcPr>
          <w:p w14:paraId="3A586713" w14:textId="22562FEF" w:rsidR="0039681A" w:rsidRPr="00A36E36" w:rsidRDefault="0039681A" w:rsidP="00351087">
            <w:pPr>
              <w:spacing w:before="120" w:after="120"/>
              <w:rPr>
                <w:rFonts w:ascii="Arial Narrow" w:eastAsia="Calibri" w:hAnsi="Arial Narrow"/>
                <w:noProof/>
                <w:color w:val="006100"/>
                <w:sz w:val="20"/>
                <w:szCs w:val="20"/>
                <w:lang w:val="en-IE"/>
              </w:rPr>
            </w:pPr>
            <w:r w:rsidRPr="1FD14961">
              <w:rPr>
                <w:rFonts w:ascii="Arial Narrow" w:hAnsi="Arial Narrow"/>
                <w:noProof/>
                <w:color w:val="006100"/>
                <w:sz w:val="20"/>
                <w:szCs w:val="20"/>
                <w:lang w:val="en-IE"/>
              </w:rPr>
              <w:t>At least 166 670 certificates of participation in the Universal Civil Service issued for projects launched in the four-year period between 31 December 2020 and 31</w:t>
            </w:r>
            <w:r w:rsidR="002C13D8">
              <w:rPr>
                <w:rFonts w:ascii="Arial Narrow" w:hAnsi="Arial Narrow"/>
                <w:noProof/>
                <w:color w:val="006100"/>
                <w:sz w:val="20"/>
                <w:szCs w:val="20"/>
                <w:lang w:val="en-IE"/>
              </w:rPr>
              <w:t> </w:t>
            </w:r>
            <w:r w:rsidRPr="1FD14961">
              <w:rPr>
                <w:rFonts w:ascii="Arial Narrow" w:hAnsi="Arial Narrow"/>
                <w:noProof/>
                <w:color w:val="006100"/>
                <w:sz w:val="20"/>
                <w:szCs w:val="20"/>
                <w:lang w:val="en-IE"/>
              </w:rPr>
              <w:t>December 2024</w:t>
            </w:r>
          </w:p>
        </w:tc>
      </w:tr>
    </w:tbl>
    <w:p w14:paraId="2DAC1701" w14:textId="77777777" w:rsidR="0039681A" w:rsidRPr="00A36E36" w:rsidRDefault="0039681A" w:rsidP="00351087">
      <w:pPr>
        <w:spacing w:before="120" w:after="120"/>
        <w:jc w:val="both"/>
        <w:rPr>
          <w:rFonts w:ascii="Times New Roman" w:hAnsi="Times New Roman" w:cs="Times New Roman"/>
          <w:noProof/>
          <w:color w:val="000000" w:themeColor="text1"/>
          <w:lang w:val="en-IE"/>
        </w:rPr>
        <w:sectPr w:rsidR="0039681A" w:rsidRPr="00A36E36" w:rsidSect="0039681A">
          <w:headerReference w:type="even" r:id="rId185"/>
          <w:headerReference w:type="default" r:id="rId186"/>
          <w:footerReference w:type="default" r:id="rId187"/>
          <w:headerReference w:type="first" r:id="rId188"/>
          <w:pgSz w:w="16838" w:h="11906" w:orient="landscape"/>
          <w:pgMar w:top="1134" w:right="1134" w:bottom="1134" w:left="1134" w:header="567" w:footer="567" w:gutter="0"/>
          <w:cols w:space="708"/>
          <w:docGrid w:linePitch="360"/>
        </w:sectPr>
      </w:pPr>
    </w:p>
    <w:p w14:paraId="3DFB40FA" w14:textId="77777777" w:rsidR="0039681A" w:rsidRPr="00A36E36" w:rsidRDefault="0039681A" w:rsidP="0035108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L.3.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6AF898D3"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b/>
          <w:bCs/>
          <w:noProof/>
          <w:lang w:val="en-IE"/>
        </w:rPr>
        <w:t>Investment 5 - Creation of women’s enterprises</w:t>
      </w:r>
    </w:p>
    <w:p w14:paraId="5E0BC6F8"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measure shall consist of a public investment in a Facility, in order to incentivise private investment and improve access to finance in Italy for the creation and growth of women’s enterprises in Italy through project funding, </w:t>
      </w:r>
      <w:r w:rsidRPr="00A36E36">
        <w:rPr>
          <w:rFonts w:ascii="Times New Roman" w:eastAsia="@MS Mincho" w:hAnsi="Times New Roman" w:cs="Times New Roman"/>
          <w:noProof/>
          <w:lang w:val="en-IE"/>
        </w:rPr>
        <w:t>mentoring, communication activities and entrepreneurial education services</w:t>
      </w:r>
      <w:r w:rsidRPr="00A36E36">
        <w:rPr>
          <w:rFonts w:ascii="Times New Roman" w:hAnsi="Times New Roman" w:cs="Times New Roman"/>
          <w:noProof/>
          <w:lang w:val="en-IE"/>
        </w:rPr>
        <w:t>. The Facility shall operate by providing subsidies and loans directly to the private sector.</w:t>
      </w:r>
    </w:p>
    <w:p w14:paraId="04DCFCBA" w14:textId="77777777" w:rsidR="0039681A" w:rsidRPr="00647572" w:rsidRDefault="0039681A" w:rsidP="00351087">
      <w:pPr>
        <w:spacing w:before="120" w:after="120"/>
        <w:jc w:val="both"/>
        <w:rPr>
          <w:rFonts w:ascii="Times New Roman" w:hAnsi="Times New Roman" w:cs="Times New Roman"/>
          <w:noProof/>
        </w:rPr>
      </w:pPr>
      <w:r w:rsidRPr="00A36E36">
        <w:rPr>
          <w:rFonts w:ascii="Times New Roman" w:hAnsi="Times New Roman" w:cs="Times New Roman"/>
          <w:noProof/>
          <w:lang w:val="en-IE"/>
        </w:rPr>
        <w:t xml:space="preserve">The Facility shall be managed by Invitalia as the implementing partner. </w:t>
      </w:r>
      <w:r w:rsidRPr="00647572">
        <w:rPr>
          <w:rFonts w:ascii="Times New Roman" w:hAnsi="Times New Roman" w:cs="Times New Roman"/>
          <w:noProof/>
        </w:rPr>
        <w:t>The Facility shall include the following product lines:</w:t>
      </w:r>
    </w:p>
    <w:p w14:paraId="2CD81CE0" w14:textId="77777777" w:rsidR="0039681A" w:rsidRPr="00A36E36" w:rsidRDefault="0039681A" w:rsidP="0039681A">
      <w:pPr>
        <w:numPr>
          <w:ilvl w:val="0"/>
          <w:numId w:val="43"/>
        </w:numPr>
        <w:spacing w:before="120" w:after="120" w:line="279" w:lineRule="auto"/>
        <w:jc w:val="both"/>
        <w:rPr>
          <w:rFonts w:ascii="Times New Roman" w:hAnsi="Times New Roman" w:cs="Times New Roman"/>
          <w:noProof/>
          <w:lang w:val="en-IE"/>
        </w:rPr>
      </w:pPr>
      <w:r w:rsidRPr="00A36E36">
        <w:rPr>
          <w:rFonts w:ascii="Times New Roman" w:hAnsi="Times New Roman" w:cs="Times New Roman"/>
          <w:i/>
          <w:iCs/>
          <w:noProof/>
          <w:lang w:val="en-IE"/>
        </w:rPr>
        <w:t xml:space="preserve">Fondo a sostegno dell’impresa femminile, </w:t>
      </w:r>
      <w:r w:rsidRPr="00A36E36">
        <w:rPr>
          <w:rFonts w:ascii="Times New Roman" w:hAnsi="Times New Roman" w:cs="Times New Roman"/>
          <w:noProof/>
          <w:lang w:val="en-IE"/>
        </w:rPr>
        <w:t>which supports female-led business initiatives through grants and interest-free loans; it also finances communication and training initiatives targeted to female students and young women, as well as educational services aimed at disseminating women’s entrepreneurial culture;</w:t>
      </w:r>
    </w:p>
    <w:p w14:paraId="79D884C7" w14:textId="77777777" w:rsidR="0039681A" w:rsidRPr="00A36E36" w:rsidRDefault="0039681A" w:rsidP="0039681A">
      <w:pPr>
        <w:numPr>
          <w:ilvl w:val="0"/>
          <w:numId w:val="43"/>
        </w:numPr>
        <w:spacing w:before="120" w:after="120" w:line="279" w:lineRule="auto"/>
        <w:jc w:val="both"/>
        <w:rPr>
          <w:rFonts w:ascii="Times New Roman" w:hAnsi="Times New Roman" w:cs="Times New Roman"/>
          <w:noProof/>
          <w:lang w:val="en-IE"/>
        </w:rPr>
      </w:pPr>
      <w:r w:rsidRPr="00A36E36">
        <w:rPr>
          <w:rFonts w:ascii="Times New Roman" w:hAnsi="Times New Roman" w:cs="Times New Roman"/>
          <w:i/>
          <w:iCs/>
          <w:noProof/>
          <w:lang w:val="en-IE"/>
        </w:rPr>
        <w:t>Nuove imprese a tasso zero (NITO-ON)</w:t>
      </w:r>
      <w:r w:rsidRPr="00A36E36">
        <w:rPr>
          <w:rFonts w:ascii="Times New Roman" w:hAnsi="Times New Roman" w:cs="Times New Roman"/>
          <w:noProof/>
          <w:lang w:val="en-IE"/>
        </w:rPr>
        <w:t>, which is dedicated to the creation and growth of micro and small businesses led mainly or entirely by young people or women financed through grants and interest-free loans;</w:t>
      </w:r>
    </w:p>
    <w:p w14:paraId="026ACA78" w14:textId="77777777" w:rsidR="0039681A" w:rsidRPr="00A36E36" w:rsidRDefault="0039681A" w:rsidP="0039681A">
      <w:pPr>
        <w:numPr>
          <w:ilvl w:val="0"/>
          <w:numId w:val="43"/>
        </w:numPr>
        <w:spacing w:before="120" w:after="120" w:line="279" w:lineRule="auto"/>
        <w:jc w:val="both"/>
        <w:rPr>
          <w:rFonts w:ascii="Times New Roman" w:hAnsi="Times New Roman" w:cs="Times New Roman"/>
          <w:noProof/>
          <w:lang w:val="en-IE"/>
        </w:rPr>
      </w:pPr>
      <w:r w:rsidRPr="00A36E36">
        <w:rPr>
          <w:rFonts w:ascii="Times New Roman" w:hAnsi="Times New Roman" w:cs="Times New Roman"/>
          <w:i/>
          <w:iCs/>
          <w:noProof/>
          <w:lang w:val="en-IE"/>
        </w:rPr>
        <w:t>Smart &amp; Start Italia</w:t>
      </w:r>
      <w:r w:rsidRPr="00A36E36">
        <w:rPr>
          <w:rFonts w:ascii="Times New Roman" w:hAnsi="Times New Roman" w:cs="Times New Roman"/>
          <w:noProof/>
          <w:lang w:val="en-IE"/>
        </w:rPr>
        <w:t>, which aims to foster innovative, technology-driven start-ups, particularly those with strong digital or research-based elements, financed through loans; for start-ups located in central and southern Italy a percentage of the loan can be converted into a non-repayable grant.</w:t>
      </w:r>
    </w:p>
    <w:p w14:paraId="55E620F4"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Facility, Italy and Invitalia shall sign an Implementing Agreement that shall include the following content:</w:t>
      </w:r>
    </w:p>
    <w:p w14:paraId="788B15CB" w14:textId="77777777" w:rsidR="0039681A" w:rsidRPr="00A36E36" w:rsidRDefault="0039681A" w:rsidP="0039681A">
      <w:pPr>
        <w:pStyle w:val="ListParagraph"/>
        <w:numPr>
          <w:ilvl w:val="0"/>
          <w:numId w:val="144"/>
        </w:numPr>
        <w:spacing w:before="120" w:after="120" w:line="278" w:lineRule="auto"/>
        <w:ind w:left="714" w:hanging="357"/>
        <w:contextualSpacing w:val="0"/>
        <w:jc w:val="both"/>
        <w:rPr>
          <w:rFonts w:ascii="Times New Roman" w:eastAsiaTheme="minorEastAsia" w:hAnsi="Times New Roman" w:cs="Times New Roman"/>
          <w:noProof/>
          <w:lang w:val="en-IE" w:eastAsia="ja-JP"/>
        </w:rPr>
      </w:pPr>
      <w:r w:rsidRPr="00A36E36">
        <w:rPr>
          <w:rFonts w:ascii="Times New Roman" w:eastAsiaTheme="minorEastAsia" w:hAnsi="Times New Roman" w:cs="Times New Roman"/>
          <w:noProof/>
          <w:lang w:val="en-IE" w:eastAsia="ja-JP"/>
        </w:rPr>
        <w:t>Description of the decision-making process of the Facility: The final investment decision of the Facility shall be taken by an investment committee or other relevant equivalent governing body and approved by a majority of votes from members who are independent from the government.</w:t>
      </w:r>
    </w:p>
    <w:p w14:paraId="0AD005D5" w14:textId="77777777" w:rsidR="0039681A" w:rsidRPr="00A36E36" w:rsidRDefault="0039681A" w:rsidP="0039681A">
      <w:pPr>
        <w:pStyle w:val="ListParagraph"/>
        <w:numPr>
          <w:ilvl w:val="0"/>
          <w:numId w:val="144"/>
        </w:numPr>
        <w:spacing w:before="120" w:after="120" w:line="278" w:lineRule="auto"/>
        <w:ind w:hanging="357"/>
        <w:contextualSpacing w:val="0"/>
        <w:jc w:val="both"/>
        <w:rPr>
          <w:rFonts w:ascii="Times New Roman" w:eastAsiaTheme="minorEastAsia" w:hAnsi="Times New Roman" w:cs="Times New Roman"/>
          <w:noProof/>
          <w:lang w:val="en-IE" w:eastAsia="ja-JP"/>
        </w:rPr>
      </w:pPr>
      <w:r w:rsidRPr="00A36E36">
        <w:rPr>
          <w:rFonts w:ascii="Times New Roman" w:eastAsiaTheme="minorEastAsia" w:hAnsi="Times New Roman" w:cs="Times New Roman"/>
          <w:noProof/>
          <w:lang w:val="en-IE" w:eastAsia="ja-JP"/>
        </w:rPr>
        <w:t>Key requirements of the associated investment policy, which shall include:</w:t>
      </w:r>
    </w:p>
    <w:p w14:paraId="697C843C" w14:textId="77777777" w:rsidR="0039681A" w:rsidRPr="00A36E36" w:rsidRDefault="0039681A" w:rsidP="0039681A">
      <w:pPr>
        <w:pStyle w:val="ListParagraph"/>
        <w:numPr>
          <w:ilvl w:val="0"/>
          <w:numId w:val="145"/>
        </w:numPr>
        <w:spacing w:before="120" w:after="120" w:line="278" w:lineRule="auto"/>
        <w:ind w:hanging="357"/>
        <w:contextualSpacing w:val="0"/>
        <w:jc w:val="both"/>
        <w:rPr>
          <w:rFonts w:ascii="Times New Roman" w:eastAsiaTheme="minorEastAsia" w:hAnsi="Times New Roman" w:cs="Times New Roman"/>
          <w:noProof/>
          <w:lang w:val="en-IE" w:eastAsia="ja-JP"/>
        </w:rPr>
      </w:pPr>
      <w:r w:rsidRPr="00A36E36">
        <w:rPr>
          <w:rFonts w:ascii="Times New Roman" w:eastAsiaTheme="minorEastAsia" w:hAnsi="Times New Roman" w:cs="Times New Roman"/>
          <w:noProof/>
          <w:lang w:val="en-IE" w:eastAsia="ja-JP"/>
        </w:rPr>
        <w:t>The description of the financial products and eligible final beneficiaries.</w:t>
      </w:r>
    </w:p>
    <w:p w14:paraId="68E9D30D" w14:textId="77777777" w:rsidR="0039681A" w:rsidRPr="00A36E36" w:rsidRDefault="0039681A" w:rsidP="0039681A">
      <w:pPr>
        <w:pStyle w:val="ListParagraph"/>
        <w:numPr>
          <w:ilvl w:val="0"/>
          <w:numId w:val="145"/>
        </w:numPr>
        <w:spacing w:before="120" w:after="120" w:line="278" w:lineRule="auto"/>
        <w:ind w:hanging="357"/>
        <w:contextualSpacing w:val="0"/>
        <w:jc w:val="both"/>
        <w:rPr>
          <w:rFonts w:ascii="Times New Roman" w:eastAsiaTheme="minorEastAsia" w:hAnsi="Times New Roman" w:cs="Times New Roman"/>
          <w:noProof/>
          <w:lang w:val="en-IE" w:eastAsia="ja-JP"/>
        </w:rPr>
      </w:pPr>
      <w:r w:rsidRPr="00A36E36">
        <w:rPr>
          <w:rFonts w:ascii="Times New Roman" w:eastAsiaTheme="minorEastAsia" w:hAnsi="Times New Roman" w:cs="Times New Roman"/>
          <w:noProof/>
          <w:lang w:val="en-IE" w:eastAsia="ja-JP"/>
        </w:rPr>
        <w:t>The requirement that all investments supported are economically viable.</w:t>
      </w:r>
    </w:p>
    <w:p w14:paraId="1394BA08" w14:textId="77777777" w:rsidR="0039681A" w:rsidRPr="00A36E36" w:rsidRDefault="0039681A" w:rsidP="0039681A">
      <w:pPr>
        <w:pStyle w:val="ListParagraph"/>
        <w:numPr>
          <w:ilvl w:val="0"/>
          <w:numId w:val="145"/>
        </w:numPr>
        <w:spacing w:before="120" w:after="120" w:line="278" w:lineRule="auto"/>
        <w:ind w:hanging="357"/>
        <w:contextualSpacing w:val="0"/>
        <w:jc w:val="both"/>
        <w:rPr>
          <w:rFonts w:ascii="Times New Roman" w:hAnsi="Times New Roman" w:cs="Times New Roman"/>
          <w:noProof/>
          <w:lang w:val="en-IE"/>
        </w:rPr>
      </w:pPr>
      <w:r w:rsidRPr="00A36E36">
        <w:rPr>
          <w:rFonts w:ascii="Times New Roman" w:eastAsiaTheme="minorEastAsia" w:hAnsi="Times New Roman" w:cs="Times New Roman"/>
          <w:noProof/>
          <w:lang w:val="en-IE" w:eastAsia="ja-JP"/>
        </w:rPr>
        <w:t>The requirement to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647572">
        <w:rPr>
          <w:rFonts w:ascii="Times New Roman" w:eastAsiaTheme="minorEastAsia" w:hAnsi="Times New Roman" w:cs="Times New Roman"/>
          <w:noProof/>
          <w:lang w:eastAsia="ja-JP"/>
        </w:rPr>
        <w:footnoteReference w:id="84"/>
      </w:r>
      <w:r w:rsidRPr="00A36E36">
        <w:rPr>
          <w:rFonts w:ascii="Times New Roman" w:eastAsiaTheme="minorEastAsia" w:hAnsi="Times New Roman" w:cs="Times New Roman"/>
          <w:noProof/>
          <w:lang w:val="en-IE" w:eastAsia="ja-JP"/>
        </w:rPr>
        <w:t>, (ii) activities and assets under the EU Emission Trading System (ETS) achieving projected greenhouse gas emissions that are</w:t>
      </w:r>
      <w:r w:rsidRPr="00A36E36">
        <w:rPr>
          <w:rFonts w:ascii="Times New Roman" w:hAnsi="Times New Roman" w:cs="Times New Roman"/>
          <w:noProof/>
          <w:lang w:val="en-IE"/>
        </w:rPr>
        <w:t xml:space="preserve"> not lower than the relevant benchmarks</w:t>
      </w:r>
      <w:r w:rsidRPr="00647572">
        <w:rPr>
          <w:rFonts w:ascii="Times New Roman" w:hAnsi="Times New Roman" w:cs="Times New Roman"/>
          <w:noProof/>
          <w:vertAlign w:val="superscript"/>
        </w:rPr>
        <w:footnoteReference w:id="85"/>
      </w:r>
      <w:r w:rsidRPr="00A36E36">
        <w:rPr>
          <w:rFonts w:ascii="Times New Roman" w:hAnsi="Times New Roman" w:cs="Times New Roman"/>
          <w:noProof/>
          <w:lang w:val="en-IE"/>
        </w:rPr>
        <w:t>, (iii) activities and assets related to waste landfills, incinerators</w:t>
      </w:r>
      <w:r w:rsidRPr="00647572">
        <w:rPr>
          <w:rFonts w:ascii="Times New Roman" w:hAnsi="Times New Roman" w:cs="Times New Roman"/>
          <w:noProof/>
          <w:vertAlign w:val="superscript"/>
        </w:rPr>
        <w:footnoteReference w:id="86"/>
      </w:r>
      <w:r w:rsidRPr="00A36E36">
        <w:rPr>
          <w:rFonts w:ascii="Times New Roman" w:hAnsi="Times New Roman" w:cs="Times New Roman"/>
          <w:noProof/>
          <w:lang w:val="en-IE"/>
        </w:rPr>
        <w:t xml:space="preserve"> and mechanical biological treatment plants</w:t>
      </w:r>
      <w:r w:rsidRPr="00647572">
        <w:rPr>
          <w:rFonts w:ascii="Times New Roman" w:hAnsi="Times New Roman" w:cs="Times New Roman"/>
          <w:noProof/>
          <w:vertAlign w:val="superscript"/>
        </w:rPr>
        <w:footnoteReference w:id="87"/>
      </w:r>
      <w:r w:rsidRPr="00A36E36">
        <w:rPr>
          <w:rFonts w:ascii="Times New Roman" w:hAnsi="Times New Roman" w:cs="Times New Roman"/>
          <w:noProof/>
          <w:lang w:val="en-IE"/>
        </w:rPr>
        <w:t xml:space="preserve">. </w:t>
      </w:r>
    </w:p>
    <w:p w14:paraId="4BB191DB" w14:textId="77777777" w:rsidR="0039681A" w:rsidRPr="00A36E36" w:rsidRDefault="0039681A" w:rsidP="0039681A">
      <w:pPr>
        <w:pStyle w:val="ListParagraph"/>
        <w:numPr>
          <w:ilvl w:val="0"/>
          <w:numId w:val="145"/>
        </w:numPr>
        <w:spacing w:before="120" w:after="120" w:line="278" w:lineRule="auto"/>
        <w:ind w:hanging="357"/>
        <w:contextualSpacing w:val="0"/>
        <w:jc w:val="both"/>
        <w:rPr>
          <w:rFonts w:ascii="Times New Roman" w:hAnsi="Times New Roman" w:cs="Times New Roman"/>
          <w:noProof/>
          <w:lang w:val="en-IE"/>
        </w:rPr>
      </w:pPr>
      <w:r w:rsidRPr="00A36E36">
        <w:rPr>
          <w:rFonts w:ascii="Times New Roman" w:hAnsi="Times New Roman" w:cs="Times New Roman"/>
          <w:bCs/>
          <w:noProof/>
          <w:lang w:val="en-IE"/>
        </w:rPr>
        <w:t>The requirement that final beneficiaries of the Facility shall not receive support from other Union instruments to cover the same cost.</w:t>
      </w:r>
    </w:p>
    <w:p w14:paraId="76356D4D" w14:textId="77777777" w:rsidR="0039681A" w:rsidRPr="00A36E36" w:rsidRDefault="0039681A" w:rsidP="0039681A">
      <w:pPr>
        <w:pStyle w:val="ListParagraph"/>
        <w:numPr>
          <w:ilvl w:val="0"/>
          <w:numId w:val="144"/>
        </w:numPr>
        <w:spacing w:before="120" w:after="120" w:line="278" w:lineRule="auto"/>
        <w:ind w:left="714" w:hanging="357"/>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amount covered by the Implementing Agreement, the fee structure for the Implementing Partner and the requirement to reinvest any reflows according to the investment policy of the Facility.</w:t>
      </w:r>
    </w:p>
    <w:p w14:paraId="7AAF0EA4" w14:textId="77777777" w:rsidR="0039681A" w:rsidRPr="00A36E36" w:rsidRDefault="0039681A" w:rsidP="0039681A">
      <w:pPr>
        <w:pStyle w:val="ListParagraph"/>
        <w:numPr>
          <w:ilvl w:val="0"/>
          <w:numId w:val="144"/>
        </w:numPr>
        <w:spacing w:before="120" w:after="120" w:line="240" w:lineRule="auto"/>
        <w:jc w:val="both"/>
        <w:rPr>
          <w:rFonts w:ascii="Times New Roman" w:hAnsi="Times New Roman" w:cs="Times New Roman"/>
          <w:noProof/>
          <w:lang w:val="en-IE"/>
        </w:rPr>
      </w:pPr>
      <w:r w:rsidRPr="00A36E36">
        <w:rPr>
          <w:rFonts w:ascii="Times New Roman" w:hAnsi="Times New Roman" w:cs="Times New Roman"/>
          <w:bCs/>
          <w:noProof/>
          <w:lang w:val="en-IE"/>
        </w:rPr>
        <w:t>Monitoring</w:t>
      </w:r>
      <w:r w:rsidRPr="00A36E36">
        <w:rPr>
          <w:rFonts w:ascii="Times New Roman" w:hAnsi="Times New Roman" w:cs="Times New Roman"/>
          <w:noProof/>
          <w:lang w:val="en-IE"/>
        </w:rPr>
        <w:t>, audit, and control requirements, including:</w:t>
      </w:r>
    </w:p>
    <w:p w14:paraId="28D1AA88" w14:textId="77777777" w:rsidR="0039681A" w:rsidRPr="00A36E36" w:rsidRDefault="0039681A" w:rsidP="0039681A">
      <w:pPr>
        <w:numPr>
          <w:ilvl w:val="0"/>
          <w:numId w:val="146"/>
        </w:numPr>
        <w:spacing w:before="120" w:after="120" w:line="240" w:lineRule="auto"/>
        <w:jc w:val="both"/>
        <w:rPr>
          <w:rFonts w:ascii="Times New Roman" w:hAnsi="Times New Roman" w:cs="Times New Roman"/>
          <w:noProof/>
          <w:lang w:val="en-IE"/>
        </w:rPr>
      </w:pPr>
      <w:bookmarkStart w:id="22" w:name="_Hlk139218377"/>
      <w:r w:rsidRPr="00A36E36">
        <w:rPr>
          <w:rFonts w:ascii="Times New Roman" w:hAnsi="Times New Roman" w:cs="Times New Roman"/>
          <w:noProof/>
          <w:lang w:val="en-IE"/>
        </w:rPr>
        <w:t>The description of the implementing partner’s monitoring system to report on the investment mobilised.</w:t>
      </w:r>
    </w:p>
    <w:p w14:paraId="0E87EE1D" w14:textId="77777777" w:rsidR="0039681A" w:rsidRPr="00A36E36" w:rsidRDefault="0039681A" w:rsidP="0039681A">
      <w:pPr>
        <w:numPr>
          <w:ilvl w:val="0"/>
          <w:numId w:val="146"/>
        </w:numPr>
        <w:spacing w:before="120"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description of the implementing partner’s procedures that will ensure the prevention, detection and correction of fraud, corruption, and conflicts of interests. </w:t>
      </w:r>
    </w:p>
    <w:p w14:paraId="0FC685B0" w14:textId="77777777" w:rsidR="0039681A" w:rsidRPr="00A36E36" w:rsidRDefault="0039681A" w:rsidP="0039681A">
      <w:pPr>
        <w:numPr>
          <w:ilvl w:val="0"/>
          <w:numId w:val="146"/>
        </w:numPr>
        <w:spacing w:before="120"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committing to finance an operation.</w:t>
      </w:r>
    </w:p>
    <w:bookmarkEnd w:id="22"/>
    <w:p w14:paraId="4E03586D" w14:textId="77777777" w:rsidR="0039681A" w:rsidRPr="00A36E36" w:rsidRDefault="0039681A" w:rsidP="0039681A">
      <w:pPr>
        <w:numPr>
          <w:ilvl w:val="0"/>
          <w:numId w:val="146"/>
        </w:numPr>
        <w:spacing w:before="120" w:after="120" w:line="278" w:lineRule="auto"/>
        <w:ind w:left="1077" w:hanging="357"/>
        <w:jc w:val="both"/>
        <w:rPr>
          <w:rFonts w:ascii="Times New Roman" w:hAnsi="Times New Roman" w:cs="Times New Roman"/>
          <w:noProof/>
          <w:lang w:val="en-IE"/>
        </w:rPr>
      </w:pPr>
      <w:r w:rsidRPr="00A36E36">
        <w:rPr>
          <w:rFonts w:ascii="Times New Roman" w:hAnsi="Times New Roman" w:cs="Times New Roman"/>
          <w:noProof/>
          <w:lang w:val="en-IE"/>
        </w:rPr>
        <w:t xml:space="preserve">The obligation of carrying out risk-based ex-post audits in accordance with an audit plan of Invitalia. These audits shall verify i) that the control systems are effective, including the detection of fraud, corruption, and conflict of interests; ii) compliance with the DNSH principle, and the State Aid rules;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 </w:t>
      </w:r>
    </w:p>
    <w:p w14:paraId="71641CDE" w14:textId="77777777" w:rsidR="0039681A" w:rsidRPr="00A36E36" w:rsidRDefault="0039681A" w:rsidP="00351087">
      <w:pPr>
        <w:spacing w:before="120" w:after="120"/>
        <w:jc w:val="both"/>
        <w:rPr>
          <w:rFonts w:ascii="Times New Roman" w:hAnsi="Times New Roman" w:cs="Times New Roman"/>
          <w:b/>
          <w:bCs/>
          <w:noProof/>
          <w:u w:val="single"/>
          <w:lang w:val="en-IE"/>
        </w:rPr>
        <w:sectPr w:rsidR="0039681A" w:rsidRPr="00A36E36" w:rsidSect="0039681A">
          <w:headerReference w:type="even" r:id="rId189"/>
          <w:headerReference w:type="default" r:id="rId190"/>
          <w:footerReference w:type="default" r:id="rId191"/>
          <w:headerReference w:type="first" r:id="rId192"/>
          <w:pgSz w:w="11906" w:h="16838"/>
          <w:pgMar w:top="1134" w:right="1134" w:bottom="1134" w:left="1134" w:header="567" w:footer="567" w:gutter="0"/>
          <w:cols w:space="708"/>
          <w:docGrid w:linePitch="360"/>
        </w:sectPr>
      </w:pPr>
      <w:r w:rsidRPr="00A36E36">
        <w:rPr>
          <w:rFonts w:ascii="Times New Roman" w:hAnsi="Times New Roman" w:cs="Times New Roman"/>
          <w:b/>
          <w:bCs/>
          <w:noProof/>
          <w:u w:val="single"/>
          <w:lang w:val="en-IE"/>
        </w:rPr>
        <w:br w:type="page"/>
      </w:r>
    </w:p>
    <w:p w14:paraId="28B47799"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L.4.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4"/>
        <w:gridCol w:w="1530"/>
        <w:gridCol w:w="1179"/>
        <w:gridCol w:w="1802"/>
        <w:gridCol w:w="1670"/>
        <w:gridCol w:w="1065"/>
        <w:gridCol w:w="971"/>
        <w:gridCol w:w="1189"/>
        <w:gridCol w:w="979"/>
        <w:gridCol w:w="689"/>
        <w:gridCol w:w="2982"/>
      </w:tblGrid>
      <w:tr w:rsidR="0039681A" w:rsidRPr="0070054C" w14:paraId="29EA1F18" w14:textId="77777777" w:rsidTr="00351087">
        <w:trPr>
          <w:trHeight w:val="701"/>
          <w:tblHeader/>
          <w:jc w:val="center"/>
        </w:trPr>
        <w:tc>
          <w:tcPr>
            <w:tcW w:w="1254" w:type="dxa"/>
            <w:vMerge w:val="restart"/>
            <w:shd w:val="clear" w:color="auto" w:fill="BDD7EE"/>
            <w:vAlign w:val="center"/>
            <w:hideMark/>
          </w:tcPr>
          <w:p w14:paraId="3C3C3412" w14:textId="77777777" w:rsidR="0039681A" w:rsidRPr="00647572" w:rsidRDefault="0039681A" w:rsidP="00351087">
            <w:pPr>
              <w:jc w:val="center"/>
              <w:rPr>
                <w:rFonts w:ascii="Arial Narrow" w:hAnsi="Arial Narrow"/>
                <w:b/>
                <w:bCs/>
                <w:noProof/>
                <w:color w:val="000000"/>
                <w:sz w:val="20"/>
                <w:szCs w:val="20"/>
              </w:rPr>
            </w:pPr>
            <w:r w:rsidRPr="00647572">
              <w:rPr>
                <w:rFonts w:ascii="Arial Narrow" w:hAnsi="Arial Narrow"/>
                <w:b/>
                <w:noProof/>
                <w:color w:val="000000"/>
                <w:sz w:val="20"/>
              </w:rPr>
              <w:t>Sequential Number</w:t>
            </w:r>
          </w:p>
        </w:tc>
        <w:tc>
          <w:tcPr>
            <w:tcW w:w="1530" w:type="dxa"/>
            <w:vMerge w:val="restart"/>
            <w:shd w:val="clear" w:color="auto" w:fill="BDD7EE"/>
            <w:vAlign w:val="center"/>
            <w:hideMark/>
          </w:tcPr>
          <w:p w14:paraId="6CA65BFF" w14:textId="77777777" w:rsidR="0039681A" w:rsidRPr="00A36E36" w:rsidRDefault="0039681A" w:rsidP="00351087">
            <w:pPr>
              <w:jc w:val="center"/>
              <w:rPr>
                <w:rFonts w:ascii="Arial Narrow" w:hAnsi="Arial Narrow"/>
                <w:b/>
                <w:bCs/>
                <w:noProof/>
                <w:color w:val="000000"/>
                <w:sz w:val="20"/>
                <w:szCs w:val="20"/>
                <w:lang w:val="en-IE"/>
              </w:rPr>
            </w:pPr>
            <w:r w:rsidRPr="00A36E36">
              <w:rPr>
                <w:rFonts w:ascii="Arial Narrow" w:hAnsi="Arial Narrow"/>
                <w:b/>
                <w:noProof/>
                <w:color w:val="000000"/>
                <w:sz w:val="20"/>
                <w:lang w:val="en-IE"/>
              </w:rPr>
              <w:t>Related Measure (Reform or Investment)</w:t>
            </w:r>
          </w:p>
        </w:tc>
        <w:tc>
          <w:tcPr>
            <w:tcW w:w="1179" w:type="dxa"/>
            <w:vMerge w:val="restart"/>
            <w:shd w:val="clear" w:color="auto" w:fill="BDD7EE"/>
            <w:vAlign w:val="center"/>
            <w:hideMark/>
          </w:tcPr>
          <w:p w14:paraId="45242E16" w14:textId="77777777" w:rsidR="0039681A" w:rsidRPr="00647572" w:rsidRDefault="0039681A" w:rsidP="00351087">
            <w:pPr>
              <w:jc w:val="center"/>
              <w:rPr>
                <w:rFonts w:ascii="Arial Narrow" w:hAnsi="Arial Narrow"/>
                <w:b/>
                <w:bCs/>
                <w:noProof/>
                <w:color w:val="000000"/>
                <w:sz w:val="20"/>
                <w:szCs w:val="20"/>
              </w:rPr>
            </w:pPr>
            <w:r w:rsidRPr="00647572">
              <w:rPr>
                <w:rFonts w:ascii="Arial Narrow" w:hAnsi="Arial Narrow"/>
                <w:b/>
                <w:noProof/>
                <w:color w:val="000000"/>
                <w:sz w:val="20"/>
              </w:rPr>
              <w:t>Milestone / Target</w:t>
            </w:r>
          </w:p>
        </w:tc>
        <w:tc>
          <w:tcPr>
            <w:tcW w:w="1802" w:type="dxa"/>
            <w:vMerge w:val="restart"/>
            <w:shd w:val="clear" w:color="auto" w:fill="BDD7EE"/>
            <w:vAlign w:val="center"/>
            <w:hideMark/>
          </w:tcPr>
          <w:p w14:paraId="1808E3ED" w14:textId="77777777" w:rsidR="0039681A" w:rsidRPr="00647572" w:rsidRDefault="0039681A" w:rsidP="00351087">
            <w:pPr>
              <w:jc w:val="center"/>
              <w:rPr>
                <w:rFonts w:ascii="Arial Narrow" w:hAnsi="Arial Narrow"/>
                <w:b/>
                <w:bCs/>
                <w:noProof/>
                <w:color w:val="000000"/>
                <w:sz w:val="20"/>
                <w:szCs w:val="20"/>
              </w:rPr>
            </w:pPr>
            <w:r w:rsidRPr="00647572">
              <w:rPr>
                <w:rFonts w:ascii="Arial Narrow" w:hAnsi="Arial Narrow"/>
                <w:b/>
                <w:noProof/>
                <w:color w:val="000000"/>
                <w:sz w:val="20"/>
              </w:rPr>
              <w:t>Name</w:t>
            </w:r>
          </w:p>
        </w:tc>
        <w:tc>
          <w:tcPr>
            <w:tcW w:w="1670" w:type="dxa"/>
            <w:vMerge w:val="restart"/>
            <w:shd w:val="clear" w:color="auto" w:fill="BDD7EE"/>
            <w:vAlign w:val="center"/>
            <w:hideMark/>
          </w:tcPr>
          <w:p w14:paraId="281CBE16" w14:textId="77777777" w:rsidR="0039681A" w:rsidRPr="00647572" w:rsidRDefault="0039681A" w:rsidP="00351087">
            <w:pPr>
              <w:jc w:val="center"/>
              <w:rPr>
                <w:rFonts w:ascii="Arial Narrow" w:hAnsi="Arial Narrow"/>
                <w:b/>
                <w:bCs/>
                <w:noProof/>
                <w:color w:val="000000"/>
                <w:sz w:val="20"/>
                <w:szCs w:val="20"/>
              </w:rPr>
            </w:pPr>
            <w:r w:rsidRPr="00647572">
              <w:rPr>
                <w:rFonts w:ascii="Arial Narrow" w:hAnsi="Arial Narrow"/>
                <w:b/>
                <w:noProof/>
                <w:color w:val="000000"/>
                <w:sz w:val="20"/>
              </w:rPr>
              <w:t xml:space="preserve">Qualitative indicators </w:t>
            </w:r>
            <w:r w:rsidRPr="00647572">
              <w:rPr>
                <w:noProof/>
              </w:rPr>
              <w:br/>
            </w:r>
            <w:r w:rsidRPr="00647572">
              <w:rPr>
                <w:rFonts w:ascii="Arial Narrow" w:hAnsi="Arial Narrow"/>
                <w:b/>
                <w:noProof/>
                <w:color w:val="000000"/>
                <w:sz w:val="20"/>
              </w:rPr>
              <w:t>(for milestones)</w:t>
            </w:r>
          </w:p>
        </w:tc>
        <w:tc>
          <w:tcPr>
            <w:tcW w:w="3225" w:type="dxa"/>
            <w:gridSpan w:val="3"/>
            <w:shd w:val="clear" w:color="auto" w:fill="BDD7EE"/>
            <w:vAlign w:val="center"/>
            <w:hideMark/>
          </w:tcPr>
          <w:p w14:paraId="71B5144D" w14:textId="77777777" w:rsidR="0039681A" w:rsidRPr="00647572" w:rsidRDefault="0039681A" w:rsidP="00351087">
            <w:pPr>
              <w:jc w:val="center"/>
              <w:rPr>
                <w:rFonts w:ascii="Arial Narrow" w:hAnsi="Arial Narrow"/>
                <w:b/>
                <w:bCs/>
                <w:noProof/>
                <w:color w:val="000000"/>
                <w:sz w:val="20"/>
                <w:szCs w:val="20"/>
              </w:rPr>
            </w:pPr>
            <w:r w:rsidRPr="00647572">
              <w:rPr>
                <w:rFonts w:ascii="Arial Narrow" w:hAnsi="Arial Narrow"/>
                <w:b/>
                <w:noProof/>
                <w:color w:val="000000"/>
                <w:sz w:val="20"/>
              </w:rPr>
              <w:t xml:space="preserve">Quantitative indicators </w:t>
            </w:r>
            <w:r w:rsidRPr="00647572">
              <w:rPr>
                <w:noProof/>
              </w:rPr>
              <w:br/>
            </w:r>
            <w:r w:rsidRPr="00647572">
              <w:rPr>
                <w:rFonts w:ascii="Arial Narrow" w:hAnsi="Arial Narrow"/>
                <w:b/>
                <w:noProof/>
                <w:color w:val="000000"/>
                <w:sz w:val="20"/>
              </w:rPr>
              <w:t>(for targets)</w:t>
            </w:r>
          </w:p>
        </w:tc>
        <w:tc>
          <w:tcPr>
            <w:tcW w:w="1668" w:type="dxa"/>
            <w:gridSpan w:val="2"/>
            <w:shd w:val="clear" w:color="auto" w:fill="BDD7EE"/>
            <w:vAlign w:val="center"/>
            <w:hideMark/>
          </w:tcPr>
          <w:p w14:paraId="4AD8C4A9" w14:textId="77777777" w:rsidR="0039681A" w:rsidRPr="00647572" w:rsidRDefault="0039681A" w:rsidP="00351087">
            <w:pPr>
              <w:jc w:val="center"/>
              <w:rPr>
                <w:rFonts w:ascii="Arial Narrow" w:hAnsi="Arial Narrow"/>
                <w:b/>
                <w:bCs/>
                <w:noProof/>
                <w:color w:val="000000"/>
                <w:sz w:val="20"/>
                <w:szCs w:val="20"/>
              </w:rPr>
            </w:pPr>
            <w:r w:rsidRPr="00647572">
              <w:rPr>
                <w:rFonts w:ascii="Arial Narrow" w:hAnsi="Arial Narrow"/>
                <w:b/>
                <w:noProof/>
                <w:color w:val="000000"/>
                <w:sz w:val="20"/>
              </w:rPr>
              <w:t>Indicative timeline for completion</w:t>
            </w:r>
          </w:p>
        </w:tc>
        <w:tc>
          <w:tcPr>
            <w:tcW w:w="2982" w:type="dxa"/>
            <w:vMerge w:val="restart"/>
            <w:shd w:val="clear" w:color="auto" w:fill="BDD7EE"/>
            <w:vAlign w:val="center"/>
            <w:hideMark/>
          </w:tcPr>
          <w:p w14:paraId="78FD5671" w14:textId="77777777" w:rsidR="0039681A" w:rsidRPr="00A36E36" w:rsidRDefault="0039681A" w:rsidP="00351087">
            <w:pPr>
              <w:jc w:val="center"/>
              <w:rPr>
                <w:rFonts w:ascii="Arial Narrow" w:hAnsi="Arial Narrow"/>
                <w:b/>
                <w:bCs/>
                <w:noProof/>
                <w:color w:val="000000"/>
                <w:sz w:val="20"/>
                <w:szCs w:val="20"/>
                <w:lang w:val="en-IE"/>
              </w:rPr>
            </w:pPr>
            <w:r w:rsidRPr="00A36E36">
              <w:rPr>
                <w:rFonts w:ascii="Arial Narrow" w:hAnsi="Arial Narrow"/>
                <w:b/>
                <w:noProof/>
                <w:color w:val="000000"/>
                <w:sz w:val="20"/>
                <w:lang w:val="en-IE"/>
              </w:rPr>
              <w:t>Description of each milestone and target</w:t>
            </w:r>
          </w:p>
        </w:tc>
      </w:tr>
      <w:tr w:rsidR="0039681A" w:rsidRPr="00647572" w14:paraId="5C25C5A8" w14:textId="77777777" w:rsidTr="00351087">
        <w:trPr>
          <w:trHeight w:val="701"/>
          <w:tblHeader/>
          <w:jc w:val="center"/>
        </w:trPr>
        <w:tc>
          <w:tcPr>
            <w:tcW w:w="1254" w:type="dxa"/>
            <w:vMerge/>
            <w:vAlign w:val="center"/>
          </w:tcPr>
          <w:p w14:paraId="15B7A0E1" w14:textId="77777777" w:rsidR="0039681A" w:rsidRPr="00A36E36" w:rsidRDefault="0039681A" w:rsidP="00351087">
            <w:pPr>
              <w:rPr>
                <w:rFonts w:ascii="Arial Narrow" w:hAnsi="Arial Narrow"/>
                <w:b/>
                <w:bCs/>
                <w:noProof/>
                <w:color w:val="000000"/>
                <w:sz w:val="20"/>
                <w:szCs w:val="20"/>
                <w:lang w:val="en-IE"/>
              </w:rPr>
            </w:pPr>
          </w:p>
        </w:tc>
        <w:tc>
          <w:tcPr>
            <w:tcW w:w="1530" w:type="dxa"/>
            <w:vMerge/>
            <w:vAlign w:val="center"/>
          </w:tcPr>
          <w:p w14:paraId="40A3A451" w14:textId="77777777" w:rsidR="0039681A" w:rsidRPr="00A36E36" w:rsidRDefault="0039681A" w:rsidP="00351087">
            <w:pPr>
              <w:rPr>
                <w:rFonts w:ascii="Arial Narrow" w:hAnsi="Arial Narrow"/>
                <w:b/>
                <w:bCs/>
                <w:noProof/>
                <w:color w:val="000000"/>
                <w:sz w:val="20"/>
                <w:szCs w:val="20"/>
                <w:lang w:val="en-IE"/>
              </w:rPr>
            </w:pPr>
          </w:p>
        </w:tc>
        <w:tc>
          <w:tcPr>
            <w:tcW w:w="1179" w:type="dxa"/>
            <w:vMerge/>
            <w:vAlign w:val="center"/>
          </w:tcPr>
          <w:p w14:paraId="60E38354" w14:textId="77777777" w:rsidR="0039681A" w:rsidRPr="00A36E36" w:rsidRDefault="0039681A" w:rsidP="00351087">
            <w:pPr>
              <w:rPr>
                <w:rFonts w:ascii="Arial Narrow" w:hAnsi="Arial Narrow"/>
                <w:b/>
                <w:bCs/>
                <w:noProof/>
                <w:color w:val="000000"/>
                <w:sz w:val="20"/>
                <w:szCs w:val="20"/>
                <w:lang w:val="en-IE"/>
              </w:rPr>
            </w:pPr>
          </w:p>
        </w:tc>
        <w:tc>
          <w:tcPr>
            <w:tcW w:w="1802" w:type="dxa"/>
            <w:vMerge/>
            <w:vAlign w:val="center"/>
          </w:tcPr>
          <w:p w14:paraId="1332076F" w14:textId="77777777" w:rsidR="0039681A" w:rsidRPr="00A36E36" w:rsidRDefault="0039681A" w:rsidP="00351087">
            <w:pPr>
              <w:rPr>
                <w:rFonts w:ascii="Arial Narrow" w:hAnsi="Arial Narrow"/>
                <w:b/>
                <w:bCs/>
                <w:noProof/>
                <w:color w:val="000000"/>
                <w:sz w:val="20"/>
                <w:szCs w:val="20"/>
                <w:lang w:val="en-IE"/>
              </w:rPr>
            </w:pPr>
          </w:p>
        </w:tc>
        <w:tc>
          <w:tcPr>
            <w:tcW w:w="1670" w:type="dxa"/>
            <w:vMerge/>
            <w:vAlign w:val="center"/>
          </w:tcPr>
          <w:p w14:paraId="0153DF9B" w14:textId="77777777" w:rsidR="0039681A" w:rsidRPr="00A36E36" w:rsidRDefault="0039681A" w:rsidP="00351087">
            <w:pPr>
              <w:jc w:val="center"/>
              <w:rPr>
                <w:rFonts w:ascii="Arial Narrow" w:hAnsi="Arial Narrow"/>
                <w:b/>
                <w:bCs/>
                <w:noProof/>
                <w:color w:val="000000"/>
                <w:sz w:val="20"/>
                <w:szCs w:val="20"/>
                <w:lang w:val="en-IE"/>
              </w:rPr>
            </w:pPr>
          </w:p>
        </w:tc>
        <w:tc>
          <w:tcPr>
            <w:tcW w:w="1065" w:type="dxa"/>
            <w:shd w:val="clear" w:color="auto" w:fill="BDD7EE"/>
            <w:vAlign w:val="center"/>
          </w:tcPr>
          <w:p w14:paraId="09B5EC38" w14:textId="77777777" w:rsidR="0039681A" w:rsidRPr="00647572" w:rsidRDefault="0039681A" w:rsidP="00351087">
            <w:pPr>
              <w:jc w:val="center"/>
              <w:rPr>
                <w:rFonts w:ascii="Arial Narrow" w:hAnsi="Arial Narrow"/>
                <w:b/>
                <w:bCs/>
                <w:noProof/>
                <w:color w:val="000000"/>
                <w:sz w:val="20"/>
                <w:szCs w:val="20"/>
              </w:rPr>
            </w:pPr>
            <w:r w:rsidRPr="00647572">
              <w:rPr>
                <w:rFonts w:ascii="Arial Narrow" w:hAnsi="Arial Narrow"/>
                <w:b/>
                <w:noProof/>
                <w:color w:val="000000"/>
                <w:sz w:val="20"/>
              </w:rPr>
              <w:t>Unit of measure</w:t>
            </w:r>
          </w:p>
        </w:tc>
        <w:tc>
          <w:tcPr>
            <w:tcW w:w="971" w:type="dxa"/>
            <w:shd w:val="clear" w:color="auto" w:fill="BDD7EE"/>
            <w:vAlign w:val="center"/>
          </w:tcPr>
          <w:p w14:paraId="2333C895" w14:textId="77777777" w:rsidR="0039681A" w:rsidRPr="00647572" w:rsidRDefault="0039681A" w:rsidP="00351087">
            <w:pPr>
              <w:jc w:val="center"/>
              <w:rPr>
                <w:rFonts w:ascii="Arial Narrow" w:hAnsi="Arial Narrow"/>
                <w:b/>
                <w:bCs/>
                <w:noProof/>
                <w:color w:val="000000"/>
                <w:sz w:val="20"/>
                <w:szCs w:val="20"/>
              </w:rPr>
            </w:pPr>
            <w:r w:rsidRPr="00647572">
              <w:rPr>
                <w:rFonts w:ascii="Arial Narrow" w:hAnsi="Arial Narrow"/>
                <w:b/>
                <w:noProof/>
                <w:color w:val="000000"/>
                <w:sz w:val="20"/>
              </w:rPr>
              <w:t>Baseline</w:t>
            </w:r>
          </w:p>
        </w:tc>
        <w:tc>
          <w:tcPr>
            <w:tcW w:w="1189" w:type="dxa"/>
            <w:shd w:val="clear" w:color="auto" w:fill="BDD7EE"/>
            <w:vAlign w:val="center"/>
          </w:tcPr>
          <w:p w14:paraId="14A2CFDD" w14:textId="77777777" w:rsidR="0039681A" w:rsidRPr="00647572" w:rsidRDefault="0039681A" w:rsidP="00351087">
            <w:pPr>
              <w:jc w:val="center"/>
              <w:rPr>
                <w:rFonts w:ascii="Arial Narrow" w:hAnsi="Arial Narrow"/>
                <w:b/>
                <w:bCs/>
                <w:noProof/>
                <w:color w:val="000000"/>
                <w:sz w:val="20"/>
                <w:szCs w:val="20"/>
              </w:rPr>
            </w:pPr>
            <w:r w:rsidRPr="00647572">
              <w:rPr>
                <w:rFonts w:ascii="Arial Narrow" w:hAnsi="Arial Narrow"/>
                <w:b/>
                <w:noProof/>
                <w:color w:val="000000"/>
                <w:sz w:val="20"/>
              </w:rPr>
              <w:t>Goal</w:t>
            </w:r>
          </w:p>
        </w:tc>
        <w:tc>
          <w:tcPr>
            <w:tcW w:w="979" w:type="dxa"/>
            <w:shd w:val="clear" w:color="auto" w:fill="BDD7EE"/>
            <w:vAlign w:val="center"/>
          </w:tcPr>
          <w:p w14:paraId="450D174E" w14:textId="77777777" w:rsidR="0039681A" w:rsidRPr="00647572" w:rsidRDefault="0039681A" w:rsidP="00351087">
            <w:pPr>
              <w:jc w:val="center"/>
              <w:rPr>
                <w:rFonts w:ascii="Arial Narrow" w:hAnsi="Arial Narrow"/>
                <w:b/>
                <w:bCs/>
                <w:noProof/>
                <w:color w:val="000000"/>
                <w:sz w:val="20"/>
                <w:szCs w:val="20"/>
              </w:rPr>
            </w:pPr>
            <w:r w:rsidRPr="00647572">
              <w:rPr>
                <w:rFonts w:ascii="Arial Narrow" w:hAnsi="Arial Narrow"/>
                <w:b/>
                <w:noProof/>
                <w:color w:val="000000"/>
                <w:sz w:val="20"/>
              </w:rPr>
              <w:t>Quarter</w:t>
            </w:r>
          </w:p>
        </w:tc>
        <w:tc>
          <w:tcPr>
            <w:tcW w:w="689" w:type="dxa"/>
            <w:shd w:val="clear" w:color="auto" w:fill="BDD7EE"/>
            <w:vAlign w:val="center"/>
          </w:tcPr>
          <w:p w14:paraId="2243EE81" w14:textId="77777777" w:rsidR="0039681A" w:rsidRPr="00647572" w:rsidRDefault="0039681A" w:rsidP="00351087">
            <w:pPr>
              <w:jc w:val="center"/>
              <w:rPr>
                <w:rFonts w:ascii="Arial Narrow" w:hAnsi="Arial Narrow"/>
                <w:b/>
                <w:bCs/>
                <w:noProof/>
                <w:color w:val="000000"/>
                <w:sz w:val="20"/>
                <w:szCs w:val="20"/>
              </w:rPr>
            </w:pPr>
            <w:r w:rsidRPr="00647572">
              <w:rPr>
                <w:rFonts w:ascii="Arial Narrow" w:hAnsi="Arial Narrow"/>
                <w:b/>
                <w:noProof/>
                <w:color w:val="000000"/>
                <w:sz w:val="20"/>
              </w:rPr>
              <w:t>Year</w:t>
            </w:r>
          </w:p>
        </w:tc>
        <w:tc>
          <w:tcPr>
            <w:tcW w:w="2982" w:type="dxa"/>
            <w:vMerge/>
            <w:vAlign w:val="center"/>
          </w:tcPr>
          <w:p w14:paraId="2321A0E2" w14:textId="77777777" w:rsidR="0039681A" w:rsidRPr="00647572" w:rsidRDefault="0039681A" w:rsidP="00351087">
            <w:pPr>
              <w:rPr>
                <w:rFonts w:ascii="Arial Narrow" w:hAnsi="Arial Narrow"/>
                <w:b/>
                <w:bCs/>
                <w:noProof/>
                <w:color w:val="000000"/>
                <w:sz w:val="20"/>
                <w:szCs w:val="20"/>
              </w:rPr>
            </w:pPr>
          </w:p>
        </w:tc>
      </w:tr>
      <w:tr w:rsidR="0039681A" w:rsidRPr="0070054C" w14:paraId="3BBE66F2" w14:textId="77777777" w:rsidTr="00351087">
        <w:trPr>
          <w:trHeight w:val="1965"/>
          <w:jc w:val="center"/>
        </w:trPr>
        <w:tc>
          <w:tcPr>
            <w:tcW w:w="1254" w:type="dxa"/>
            <w:shd w:val="clear" w:color="auto" w:fill="C6EFCE"/>
            <w:vAlign w:val="center"/>
            <w:hideMark/>
          </w:tcPr>
          <w:p w14:paraId="301CA9C8"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M5C1-17</w:t>
            </w:r>
          </w:p>
        </w:tc>
        <w:tc>
          <w:tcPr>
            <w:tcW w:w="1530" w:type="dxa"/>
            <w:shd w:val="clear" w:color="auto" w:fill="C6EFCE"/>
            <w:vAlign w:val="center"/>
            <w:hideMark/>
          </w:tcPr>
          <w:p w14:paraId="56AA18C6"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Creation of women's enterprises</w:t>
            </w:r>
          </w:p>
        </w:tc>
        <w:tc>
          <w:tcPr>
            <w:tcW w:w="1179" w:type="dxa"/>
            <w:shd w:val="clear" w:color="auto" w:fill="C6EFCE"/>
            <w:vAlign w:val="center"/>
            <w:hideMark/>
          </w:tcPr>
          <w:p w14:paraId="568549D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802" w:type="dxa"/>
            <w:shd w:val="clear" w:color="auto" w:fill="C6EFCE"/>
            <w:vAlign w:val="center"/>
            <w:hideMark/>
          </w:tcPr>
          <w:p w14:paraId="526E4B6A"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Fund to support women’s entrepreneurship is adopted</w:t>
            </w:r>
          </w:p>
        </w:tc>
        <w:tc>
          <w:tcPr>
            <w:tcW w:w="1670" w:type="dxa"/>
            <w:shd w:val="clear" w:color="auto" w:fill="C6EFCE"/>
            <w:vAlign w:val="center"/>
            <w:hideMark/>
          </w:tcPr>
          <w:p w14:paraId="6C5015F2"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Ministerial Decree for the establishment of the "Fondo Impresa Donna" is approved</w:t>
            </w:r>
          </w:p>
        </w:tc>
        <w:tc>
          <w:tcPr>
            <w:tcW w:w="1065" w:type="dxa"/>
            <w:shd w:val="clear" w:color="auto" w:fill="C6EFCE"/>
            <w:vAlign w:val="center"/>
            <w:hideMark/>
          </w:tcPr>
          <w:p w14:paraId="5766C918"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1" w:type="dxa"/>
            <w:shd w:val="clear" w:color="auto" w:fill="C6EFCE"/>
            <w:vAlign w:val="center"/>
            <w:hideMark/>
          </w:tcPr>
          <w:p w14:paraId="1D3D720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89" w:type="dxa"/>
            <w:shd w:val="clear" w:color="auto" w:fill="C6EFCE"/>
            <w:vAlign w:val="center"/>
            <w:hideMark/>
          </w:tcPr>
          <w:p w14:paraId="594BC43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9" w:type="dxa"/>
            <w:shd w:val="clear" w:color="auto" w:fill="C6EFCE"/>
            <w:vAlign w:val="center"/>
            <w:hideMark/>
          </w:tcPr>
          <w:p w14:paraId="4AB2633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689" w:type="dxa"/>
            <w:shd w:val="clear" w:color="auto" w:fill="C6EFCE"/>
            <w:vAlign w:val="center"/>
            <w:hideMark/>
          </w:tcPr>
          <w:p w14:paraId="38961A64"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982" w:type="dxa"/>
            <w:shd w:val="clear" w:color="auto" w:fill="C6EFCE"/>
            <w:vAlign w:val="center"/>
            <w:hideMark/>
          </w:tcPr>
          <w:p w14:paraId="717F3223" w14:textId="77777777" w:rsidR="0039681A" w:rsidRPr="00A36E36" w:rsidRDefault="0039681A" w:rsidP="00351087">
            <w:pPr>
              <w:rPr>
                <w:rFonts w:ascii="Arial Narrow" w:hAnsi="Arial Narrow"/>
                <w:noProof/>
                <w:color w:val="006100"/>
                <w:sz w:val="16"/>
                <w:szCs w:val="16"/>
                <w:lang w:val="en-IE"/>
              </w:rPr>
            </w:pPr>
            <w:r w:rsidRPr="00A36E36">
              <w:rPr>
                <w:rFonts w:ascii="Arial Narrow" w:hAnsi="Arial Narrow"/>
                <w:noProof/>
                <w:color w:val="006100"/>
                <w:sz w:val="20"/>
                <w:lang w:val="en-IE"/>
              </w:rPr>
              <w:t>The Fund to support women’s entrepreneurship is adopted by mean of Ministerial Decree, which shall establish a set of eligibility criteria in line with the RRF objectives, including the DNSH principle and signature of the funding agreement and operational agreements with the financial intermediary(ies).</w:t>
            </w:r>
          </w:p>
          <w:p w14:paraId="37B35151" w14:textId="77777777" w:rsidR="0039681A" w:rsidRPr="00A36E36" w:rsidRDefault="0039681A" w:rsidP="00351087">
            <w:pPr>
              <w:spacing w:after="0" w:line="240" w:lineRule="auto"/>
              <w:rPr>
                <w:rFonts w:ascii="Arial Narrow" w:hAnsi="Arial Narrow"/>
                <w:noProof/>
                <w:color w:val="006100"/>
                <w:sz w:val="20"/>
                <w:lang w:val="en-IE"/>
              </w:rPr>
            </w:pPr>
            <w:r w:rsidRPr="00A36E36">
              <w:rPr>
                <w:rFonts w:ascii="Arial Narrow" w:hAnsi="Arial Narrow"/>
                <w:noProof/>
                <w:color w:val="006100"/>
                <w:sz w:val="20"/>
                <w:lang w:val="en-IE"/>
              </w:rPr>
              <w:t>These funds shall constitute the "Fondo Impresa Donna", which shall implement the specific measure designed to support female entrepreneurship. Implementing measures shall be pre-agreed upon by the Ministry of Economic Development and the PCM-Department for Equal Opportunities, aiming at:</w:t>
            </w:r>
          </w:p>
          <w:p w14:paraId="754359C7" w14:textId="77777777" w:rsidR="0039681A" w:rsidRPr="00A36E36" w:rsidRDefault="0039681A" w:rsidP="00351087">
            <w:pPr>
              <w:spacing w:after="0" w:line="240" w:lineRule="auto"/>
              <w:rPr>
                <w:rFonts w:ascii="Arial Narrow" w:hAnsi="Arial Narrow"/>
                <w:noProof/>
                <w:color w:val="006100"/>
                <w:sz w:val="16"/>
                <w:szCs w:val="16"/>
                <w:lang w:val="en-IE"/>
              </w:rPr>
            </w:pPr>
          </w:p>
          <w:p w14:paraId="33D820D4" w14:textId="77777777" w:rsidR="0039681A" w:rsidRPr="00A36E36" w:rsidRDefault="0039681A" w:rsidP="00351087">
            <w:pPr>
              <w:spacing w:after="0" w:line="240" w:lineRule="auto"/>
              <w:rPr>
                <w:rFonts w:ascii="Arial Narrow" w:hAnsi="Arial Narrow"/>
                <w:noProof/>
                <w:color w:val="006100"/>
                <w:sz w:val="20"/>
                <w:lang w:val="en-IE"/>
              </w:rPr>
            </w:pPr>
            <w:r w:rsidRPr="00A36E36">
              <w:rPr>
                <w:rFonts w:ascii="Arial Narrow" w:hAnsi="Arial Narrow"/>
                <w:noProof/>
                <w:color w:val="006100"/>
                <w:sz w:val="20"/>
                <w:lang w:val="en-IE"/>
              </w:rPr>
              <w:t>- strengthening the existing measures already managed by in-house bodies of Ministry of Economic Development (such as NITO-ON, Smart &amp; Start) through a capital injection which shall be reserved only to women’s businesses;</w:t>
            </w:r>
          </w:p>
          <w:p w14:paraId="3C004210" w14:textId="77777777" w:rsidR="0039681A" w:rsidRPr="00A36E36" w:rsidRDefault="0039681A" w:rsidP="00351087">
            <w:pPr>
              <w:spacing w:after="0"/>
              <w:rPr>
                <w:rFonts w:ascii="Arial Narrow" w:hAnsi="Arial Narrow"/>
                <w:noProof/>
                <w:color w:val="006100"/>
                <w:sz w:val="16"/>
                <w:szCs w:val="16"/>
                <w:lang w:val="en-IE"/>
              </w:rPr>
            </w:pPr>
            <w:r w:rsidRPr="00A36E36">
              <w:rPr>
                <w:rFonts w:ascii="Arial Narrow" w:hAnsi="Arial Narrow"/>
                <w:noProof/>
                <w:color w:val="006100"/>
                <w:sz w:val="20"/>
                <w:lang w:val="en-IE"/>
              </w:rPr>
              <w:t>- providing for a top-up of the Female Entrepreneurship Fund established by 2021 Budget Law (from Q3 2022 on);</w:t>
            </w:r>
          </w:p>
          <w:p w14:paraId="70F32AD0"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 designing accompanying measures, monitoring and communication campaigns. The PCM-Department for Equal Opportunities shall implement a multi-year information campaign to promote female entrepreneurship, for vocational guidance activities for women of every age and female students in universities towards subjects and professions in which women are underrepresented and the creation of a communication platform.</w:t>
            </w:r>
          </w:p>
        </w:tc>
      </w:tr>
      <w:tr w:rsidR="0039681A" w:rsidRPr="0070054C" w14:paraId="3F1F1CBD" w14:textId="77777777" w:rsidTr="00351087">
        <w:trPr>
          <w:trHeight w:val="561"/>
          <w:jc w:val="center"/>
        </w:trPr>
        <w:tc>
          <w:tcPr>
            <w:tcW w:w="1254" w:type="dxa"/>
            <w:shd w:val="clear" w:color="auto" w:fill="C6EFCE"/>
            <w:vAlign w:val="center"/>
            <w:hideMark/>
          </w:tcPr>
          <w:p w14:paraId="128035A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M5C1-18</w:t>
            </w:r>
          </w:p>
        </w:tc>
        <w:tc>
          <w:tcPr>
            <w:tcW w:w="1530" w:type="dxa"/>
            <w:shd w:val="clear" w:color="auto" w:fill="C6EFCE"/>
            <w:vAlign w:val="center"/>
            <w:hideMark/>
          </w:tcPr>
          <w:p w14:paraId="5B96CBB6"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Creation of women's enterprises</w:t>
            </w:r>
          </w:p>
        </w:tc>
        <w:tc>
          <w:tcPr>
            <w:tcW w:w="1179" w:type="dxa"/>
            <w:shd w:val="clear" w:color="auto" w:fill="C6EFCE"/>
            <w:vAlign w:val="center"/>
            <w:hideMark/>
          </w:tcPr>
          <w:p w14:paraId="4311FDF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802" w:type="dxa"/>
            <w:shd w:val="clear" w:color="auto" w:fill="C6EFCE"/>
            <w:vAlign w:val="center"/>
            <w:hideMark/>
          </w:tcPr>
          <w:p w14:paraId="24493923"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 Financial support to enterprises has been committed </w:t>
            </w:r>
          </w:p>
        </w:tc>
        <w:tc>
          <w:tcPr>
            <w:tcW w:w="1670" w:type="dxa"/>
            <w:shd w:val="clear" w:color="auto" w:fill="C6EFCE"/>
            <w:vAlign w:val="center"/>
            <w:hideMark/>
          </w:tcPr>
          <w:p w14:paraId="2821BAF9"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65" w:type="dxa"/>
            <w:shd w:val="clear" w:color="auto" w:fill="C6EFCE"/>
            <w:vAlign w:val="center"/>
            <w:hideMark/>
          </w:tcPr>
          <w:p w14:paraId="310EB255"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71" w:type="dxa"/>
            <w:shd w:val="clear" w:color="auto" w:fill="C6EFCE"/>
            <w:vAlign w:val="center"/>
            <w:hideMark/>
          </w:tcPr>
          <w:p w14:paraId="1BDC327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89" w:type="dxa"/>
            <w:shd w:val="clear" w:color="auto" w:fill="C6EFCE"/>
            <w:vAlign w:val="center"/>
            <w:hideMark/>
          </w:tcPr>
          <w:p w14:paraId="69897D1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700</w:t>
            </w:r>
          </w:p>
        </w:tc>
        <w:tc>
          <w:tcPr>
            <w:tcW w:w="979" w:type="dxa"/>
            <w:shd w:val="clear" w:color="auto" w:fill="C6EFCE"/>
            <w:vAlign w:val="center"/>
            <w:hideMark/>
          </w:tcPr>
          <w:p w14:paraId="5A909E1E"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689" w:type="dxa"/>
            <w:shd w:val="clear" w:color="auto" w:fill="C6EFCE"/>
            <w:vAlign w:val="center"/>
            <w:hideMark/>
          </w:tcPr>
          <w:p w14:paraId="790EB8A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2982" w:type="dxa"/>
            <w:shd w:val="clear" w:color="auto" w:fill="C6EFCE"/>
            <w:vAlign w:val="center"/>
            <w:hideMark/>
          </w:tcPr>
          <w:p w14:paraId="44CF54CF"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Financial support has been committed to at least 700 additional enterprises compared to the baseline. </w:t>
            </w:r>
          </w:p>
          <w:p w14:paraId="60F55733"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lang w:val="en-IE"/>
              </w:rPr>
              <w:t>The implementation of support to female entrepreneurship is undertaken through instruments already active (NITO-ON, Smart &amp; Start) and the new fund established by the Budget Law for 2021 (women’s enterprises supported until November 2020 by existing financial instruments as the baseline).</w:t>
            </w:r>
          </w:p>
        </w:tc>
      </w:tr>
      <w:tr w:rsidR="0039681A" w:rsidRPr="0070054C" w14:paraId="0E609F3E" w14:textId="77777777" w:rsidTr="00AF5341">
        <w:trPr>
          <w:trHeight w:val="765"/>
          <w:jc w:val="center"/>
        </w:trPr>
        <w:tc>
          <w:tcPr>
            <w:tcW w:w="1254"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9E5701"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M5C1-19bis</w:t>
            </w:r>
          </w:p>
        </w:tc>
        <w:tc>
          <w:tcPr>
            <w:tcW w:w="153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7C7AC3"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Creation of women’s enterprises</w:t>
            </w:r>
          </w:p>
        </w:tc>
        <w:tc>
          <w:tcPr>
            <w:tcW w:w="11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27E439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80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F2B20D"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Implementing Agreement</w:t>
            </w:r>
          </w:p>
        </w:tc>
        <w:tc>
          <w:tcPr>
            <w:tcW w:w="167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A54747" w14:textId="0E22209C"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Implementing Agreement</w:t>
            </w:r>
          </w:p>
        </w:tc>
        <w:tc>
          <w:tcPr>
            <w:tcW w:w="1065"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AC7597"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27FE8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5CE86C"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7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4D4D7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89"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A21DC8"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98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5D6109" w14:textId="77777777" w:rsidR="0039681A" w:rsidRPr="00A36E36"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Implementing Agreement.</w:t>
            </w:r>
          </w:p>
        </w:tc>
      </w:tr>
      <w:tr w:rsidR="0039681A" w:rsidRPr="0070054C" w14:paraId="49B19354" w14:textId="77777777" w:rsidTr="00351087">
        <w:trPr>
          <w:trHeight w:val="703"/>
          <w:jc w:val="center"/>
        </w:trPr>
        <w:tc>
          <w:tcPr>
            <w:tcW w:w="1254" w:type="dxa"/>
            <w:shd w:val="clear" w:color="auto" w:fill="C6EFCE"/>
            <w:vAlign w:val="center"/>
          </w:tcPr>
          <w:p w14:paraId="2BC9C280"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szCs w:val="20"/>
              </w:rPr>
              <w:t>M5C1-20</w:t>
            </w:r>
          </w:p>
        </w:tc>
        <w:tc>
          <w:tcPr>
            <w:tcW w:w="1530" w:type="dxa"/>
            <w:shd w:val="clear" w:color="auto" w:fill="C6EFCE"/>
            <w:vAlign w:val="center"/>
          </w:tcPr>
          <w:p w14:paraId="76376C15"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5 - Creation of women’s enterprises</w:t>
            </w:r>
          </w:p>
        </w:tc>
        <w:tc>
          <w:tcPr>
            <w:tcW w:w="1179" w:type="dxa"/>
            <w:shd w:val="clear" w:color="auto" w:fill="C6EFCE"/>
            <w:vAlign w:val="center"/>
          </w:tcPr>
          <w:p w14:paraId="473A5BB0" w14:textId="77777777" w:rsidR="0039681A" w:rsidRPr="00647572" w:rsidDel="000073E7" w:rsidRDefault="0039681A" w:rsidP="00351087">
            <w:pPr>
              <w:jc w:val="center"/>
              <w:rPr>
                <w:rFonts w:ascii="Arial Narrow" w:hAnsi="Arial Narrow"/>
                <w:noProof/>
                <w:color w:val="006100"/>
                <w:sz w:val="20"/>
              </w:rPr>
            </w:pPr>
            <w:r w:rsidRPr="00647572">
              <w:rPr>
                <w:rFonts w:ascii="Arial Narrow" w:hAnsi="Arial Narrow"/>
                <w:noProof/>
                <w:color w:val="006100"/>
                <w:sz w:val="20"/>
              </w:rPr>
              <w:t>Target</w:t>
            </w:r>
          </w:p>
        </w:tc>
        <w:tc>
          <w:tcPr>
            <w:tcW w:w="1802" w:type="dxa"/>
            <w:shd w:val="clear" w:color="auto" w:fill="C6EFCE"/>
            <w:vAlign w:val="center"/>
          </w:tcPr>
          <w:p w14:paraId="24DC44BB" w14:textId="77777777" w:rsidR="0039681A" w:rsidRPr="00E67974" w:rsidRDefault="0039681A" w:rsidP="00351087">
            <w:pPr>
              <w:jc w:val="center"/>
              <w:rPr>
                <w:rFonts w:ascii="Arial Narrow" w:hAnsi="Arial Narrow"/>
                <w:noProof/>
                <w:color w:val="006100"/>
                <w:sz w:val="20"/>
                <w:lang w:val="en-IE"/>
              </w:rPr>
            </w:pPr>
            <w:r w:rsidRPr="00E67974">
              <w:rPr>
                <w:rFonts w:ascii="Arial Narrow" w:hAnsi="Arial Narrow"/>
                <w:noProof/>
                <w:color w:val="006100"/>
                <w:sz w:val="20"/>
                <w:lang w:val="en-IE"/>
              </w:rPr>
              <w:t>Transfer to Invitalia and legal agreements signed with final beneficiaries</w:t>
            </w:r>
          </w:p>
        </w:tc>
        <w:tc>
          <w:tcPr>
            <w:tcW w:w="1670" w:type="dxa"/>
            <w:shd w:val="clear" w:color="auto" w:fill="C6EFCE"/>
            <w:vAlign w:val="center"/>
          </w:tcPr>
          <w:p w14:paraId="314592F3" w14:textId="77777777" w:rsidR="0039681A" w:rsidRPr="00E67974" w:rsidDel="000073E7" w:rsidRDefault="0039681A" w:rsidP="00351087">
            <w:pPr>
              <w:jc w:val="center"/>
              <w:rPr>
                <w:rFonts w:ascii="Arial Narrow" w:hAnsi="Arial Narrow"/>
                <w:noProof/>
                <w:color w:val="006100"/>
                <w:sz w:val="20"/>
              </w:rPr>
            </w:pPr>
            <w:r w:rsidRPr="00E67974">
              <w:rPr>
                <w:rFonts w:ascii="Arial Narrow" w:hAnsi="Arial Narrow"/>
                <w:noProof/>
                <w:color w:val="006100"/>
                <w:sz w:val="20"/>
              </w:rPr>
              <w:t>N/A</w:t>
            </w:r>
          </w:p>
        </w:tc>
        <w:tc>
          <w:tcPr>
            <w:tcW w:w="1065" w:type="dxa"/>
            <w:tcBorders>
              <w:top w:val="single" w:sz="6" w:space="0" w:color="auto"/>
              <w:left w:val="single" w:sz="6" w:space="0" w:color="auto"/>
              <w:bottom w:val="single" w:sz="6" w:space="0" w:color="auto"/>
              <w:right w:val="single" w:sz="6" w:space="0" w:color="auto"/>
            </w:tcBorders>
            <w:shd w:val="clear" w:color="auto" w:fill="C6EFCE"/>
            <w:vAlign w:val="center"/>
          </w:tcPr>
          <w:p w14:paraId="55234606" w14:textId="77777777" w:rsidR="0039681A" w:rsidRPr="00E67974" w:rsidRDefault="0039681A" w:rsidP="00351087">
            <w:pPr>
              <w:jc w:val="center"/>
              <w:rPr>
                <w:rFonts w:ascii="Arial Narrow" w:hAnsi="Arial Narrow"/>
                <w:noProof/>
                <w:color w:val="006100"/>
                <w:sz w:val="20"/>
              </w:rPr>
            </w:pPr>
            <w:r w:rsidRPr="00E67974">
              <w:rPr>
                <w:rFonts w:ascii="Arial Narrow" w:hAnsi="Arial Narrow"/>
                <w:noProof/>
                <w:color w:val="006100"/>
                <w:sz w:val="20"/>
              </w:rPr>
              <w:t>Percentage (%)</w:t>
            </w:r>
          </w:p>
        </w:tc>
        <w:tc>
          <w:tcPr>
            <w:tcW w:w="971" w:type="dxa"/>
            <w:tcBorders>
              <w:top w:val="single" w:sz="6" w:space="0" w:color="auto"/>
              <w:left w:val="single" w:sz="6" w:space="0" w:color="auto"/>
              <w:bottom w:val="single" w:sz="6" w:space="0" w:color="auto"/>
              <w:right w:val="single" w:sz="6" w:space="0" w:color="auto"/>
            </w:tcBorders>
            <w:shd w:val="clear" w:color="auto" w:fill="C6EFCE"/>
            <w:vAlign w:val="center"/>
          </w:tcPr>
          <w:p w14:paraId="4542348A" w14:textId="77777777" w:rsidR="0039681A" w:rsidRPr="00E67974" w:rsidRDefault="0039681A" w:rsidP="00351087">
            <w:pPr>
              <w:jc w:val="center"/>
              <w:rPr>
                <w:rFonts w:ascii="Arial Narrow" w:hAnsi="Arial Narrow"/>
                <w:noProof/>
                <w:color w:val="006100"/>
                <w:sz w:val="20"/>
              </w:rPr>
            </w:pPr>
            <w:r w:rsidRPr="00E67974">
              <w:rPr>
                <w:rFonts w:ascii="Arial Narrow" w:hAnsi="Arial Narrow"/>
                <w:noProof/>
                <w:color w:val="006100"/>
                <w:sz w:val="20"/>
              </w:rPr>
              <w:t>0</w:t>
            </w:r>
          </w:p>
        </w:tc>
        <w:tc>
          <w:tcPr>
            <w:tcW w:w="1189" w:type="dxa"/>
            <w:tcBorders>
              <w:top w:val="single" w:sz="6" w:space="0" w:color="auto"/>
              <w:left w:val="single" w:sz="6" w:space="0" w:color="auto"/>
              <w:bottom w:val="single" w:sz="6" w:space="0" w:color="auto"/>
              <w:right w:val="single" w:sz="6" w:space="0" w:color="auto"/>
            </w:tcBorders>
            <w:shd w:val="clear" w:color="auto" w:fill="C6EFCE"/>
            <w:vAlign w:val="center"/>
          </w:tcPr>
          <w:p w14:paraId="17E65C3D" w14:textId="77777777" w:rsidR="0039681A" w:rsidRPr="00E67974" w:rsidDel="000073E7" w:rsidRDefault="0039681A" w:rsidP="00351087">
            <w:pPr>
              <w:jc w:val="center"/>
              <w:rPr>
                <w:rFonts w:ascii="Arial Narrow" w:hAnsi="Arial Narrow"/>
                <w:noProof/>
                <w:color w:val="006100"/>
                <w:sz w:val="20"/>
              </w:rPr>
            </w:pPr>
            <w:r w:rsidRPr="00E67974">
              <w:rPr>
                <w:rFonts w:ascii="Arial Narrow" w:hAnsi="Arial Narrow"/>
                <w:noProof/>
                <w:color w:val="006100"/>
                <w:sz w:val="20"/>
              </w:rPr>
              <w:t>100</w:t>
            </w:r>
          </w:p>
        </w:tc>
        <w:tc>
          <w:tcPr>
            <w:tcW w:w="979" w:type="dxa"/>
            <w:tcBorders>
              <w:top w:val="single" w:sz="6" w:space="0" w:color="auto"/>
              <w:left w:val="single" w:sz="6" w:space="0" w:color="auto"/>
              <w:bottom w:val="single" w:sz="6" w:space="0" w:color="auto"/>
              <w:right w:val="single" w:sz="6" w:space="0" w:color="auto"/>
            </w:tcBorders>
            <w:shd w:val="clear" w:color="auto" w:fill="C6EFCE"/>
            <w:vAlign w:val="center"/>
          </w:tcPr>
          <w:p w14:paraId="7B6D5C49" w14:textId="77777777" w:rsidR="0039681A" w:rsidRPr="00E67974" w:rsidRDefault="0039681A" w:rsidP="00351087">
            <w:pPr>
              <w:jc w:val="center"/>
              <w:rPr>
                <w:rFonts w:ascii="Arial Narrow" w:hAnsi="Arial Narrow"/>
                <w:noProof/>
                <w:color w:val="006100"/>
                <w:sz w:val="20"/>
              </w:rPr>
            </w:pPr>
            <w:r w:rsidRPr="00E67974">
              <w:rPr>
                <w:rFonts w:ascii="Arial Narrow" w:hAnsi="Arial Narrow"/>
                <w:noProof/>
                <w:color w:val="006100"/>
                <w:sz w:val="20"/>
              </w:rPr>
              <w:t>Q2</w:t>
            </w:r>
          </w:p>
        </w:tc>
        <w:tc>
          <w:tcPr>
            <w:tcW w:w="689" w:type="dxa"/>
            <w:tcBorders>
              <w:top w:val="single" w:sz="6" w:space="0" w:color="auto"/>
              <w:left w:val="single" w:sz="6" w:space="0" w:color="auto"/>
              <w:bottom w:val="single" w:sz="6" w:space="0" w:color="auto"/>
              <w:right w:val="single" w:sz="6" w:space="0" w:color="auto"/>
            </w:tcBorders>
            <w:shd w:val="clear" w:color="auto" w:fill="C6EFCE"/>
            <w:vAlign w:val="center"/>
          </w:tcPr>
          <w:p w14:paraId="2D7A4B57" w14:textId="77777777" w:rsidR="0039681A" w:rsidRPr="00E67974" w:rsidRDefault="0039681A" w:rsidP="00351087">
            <w:pPr>
              <w:jc w:val="center"/>
              <w:rPr>
                <w:rFonts w:ascii="Arial Narrow" w:hAnsi="Arial Narrow"/>
                <w:noProof/>
                <w:color w:val="006100"/>
                <w:sz w:val="20"/>
              </w:rPr>
            </w:pPr>
            <w:r w:rsidRPr="00E67974">
              <w:rPr>
                <w:rFonts w:ascii="Arial Narrow" w:hAnsi="Arial Narrow"/>
                <w:noProof/>
                <w:color w:val="006100"/>
                <w:sz w:val="20"/>
              </w:rPr>
              <w:t>2026</w:t>
            </w:r>
          </w:p>
        </w:tc>
        <w:tc>
          <w:tcPr>
            <w:tcW w:w="2982" w:type="dxa"/>
            <w:shd w:val="clear" w:color="auto" w:fill="C6EFCE"/>
            <w:vAlign w:val="center"/>
          </w:tcPr>
          <w:p w14:paraId="47A914F5" w14:textId="4AD56C22" w:rsidR="0039681A" w:rsidRPr="00E67974" w:rsidRDefault="0039681A" w:rsidP="00351087">
            <w:pPr>
              <w:rPr>
                <w:rFonts w:ascii="Arial Narrow" w:hAnsi="Arial Narrow"/>
                <w:noProof/>
                <w:color w:val="006100"/>
                <w:sz w:val="20"/>
                <w:szCs w:val="20"/>
                <w:lang w:val="en-IE"/>
              </w:rPr>
            </w:pPr>
            <w:r w:rsidRPr="1FD14961">
              <w:rPr>
                <w:rFonts w:ascii="Arial Narrow" w:hAnsi="Arial Narrow"/>
                <w:noProof/>
                <w:color w:val="006100"/>
                <w:sz w:val="20"/>
                <w:szCs w:val="20"/>
                <w:lang w:val="en-IE"/>
              </w:rPr>
              <w:t>Italy shall transfer EUR</w:t>
            </w:r>
            <w:r w:rsidR="00F025C3">
              <w:rPr>
                <w:rFonts w:ascii="Arial Narrow" w:hAnsi="Arial Narrow"/>
                <w:noProof/>
                <w:color w:val="006100"/>
                <w:sz w:val="20"/>
                <w:szCs w:val="20"/>
                <w:lang w:val="en-IE"/>
              </w:rPr>
              <w:t> </w:t>
            </w:r>
            <w:r w:rsidRPr="1FD14961">
              <w:rPr>
                <w:rFonts w:ascii="Arial Narrow" w:hAnsi="Arial Narrow"/>
                <w:noProof/>
                <w:color w:val="006100"/>
                <w:sz w:val="20"/>
                <w:szCs w:val="20"/>
                <w:lang w:val="en-IE"/>
              </w:rPr>
              <w:t>399</w:t>
            </w:r>
            <w:r w:rsidR="00F025C3">
              <w:rPr>
                <w:rFonts w:ascii="Arial Narrow" w:hAnsi="Arial Narrow"/>
                <w:noProof/>
                <w:color w:val="006100"/>
                <w:sz w:val="20"/>
                <w:szCs w:val="20"/>
                <w:lang w:val="en-IE"/>
              </w:rPr>
              <w:t> </w:t>
            </w:r>
            <w:r w:rsidRPr="1FD14961">
              <w:rPr>
                <w:rFonts w:ascii="Arial Narrow" w:hAnsi="Arial Narrow"/>
                <w:noProof/>
                <w:color w:val="006100"/>
                <w:sz w:val="20"/>
                <w:szCs w:val="20"/>
                <w:lang w:val="en-IE"/>
              </w:rPr>
              <w:t>099</w:t>
            </w:r>
            <w:r w:rsidR="00F025C3">
              <w:rPr>
                <w:rFonts w:ascii="Arial Narrow" w:hAnsi="Arial Narrow"/>
                <w:noProof/>
                <w:color w:val="006100"/>
                <w:sz w:val="20"/>
                <w:szCs w:val="20"/>
                <w:lang w:val="en-IE"/>
              </w:rPr>
              <w:t> </w:t>
            </w:r>
            <w:r w:rsidRPr="1FD14961">
              <w:rPr>
                <w:rFonts w:ascii="Arial Narrow" w:hAnsi="Arial Narrow"/>
                <w:noProof/>
                <w:color w:val="006100"/>
                <w:sz w:val="20"/>
                <w:szCs w:val="20"/>
                <w:lang w:val="en-IE"/>
              </w:rPr>
              <w:t xml:space="preserve">241,07 to Invitalia for the Facility. </w:t>
            </w:r>
          </w:p>
          <w:p w14:paraId="3C95D85D" w14:textId="77777777" w:rsidR="0039681A" w:rsidRPr="007473DA" w:rsidDel="000073E7" w:rsidRDefault="0039681A" w:rsidP="00351087">
            <w:pPr>
              <w:rPr>
                <w:noProof/>
                <w:lang w:val="en-IE"/>
              </w:rPr>
            </w:pPr>
            <w:r w:rsidRPr="7E635EEE">
              <w:rPr>
                <w:rFonts w:ascii="Arial Narrow" w:hAnsi="Arial Narrow"/>
                <w:noProof/>
                <w:color w:val="006100"/>
                <w:sz w:val="20"/>
                <w:szCs w:val="20"/>
                <w:lang w:val="en-IE"/>
              </w:rPr>
              <w:t xml:space="preserve">Invitalia shall have entered into legal financing agreements with final beneficiaries for an amount necessary to use 100% of the RRF investment into the Facility (taking into account management and fees for communication and educational services). </w:t>
            </w:r>
          </w:p>
          <w:p w14:paraId="5B9A4E10" w14:textId="51FFD0DD" w:rsidR="0039681A" w:rsidRPr="00E67974" w:rsidDel="000073E7" w:rsidRDefault="0039681A" w:rsidP="00351087">
            <w:pPr>
              <w:rPr>
                <w:rFonts w:ascii="Arial Narrow" w:hAnsi="Arial Narrow"/>
                <w:noProof/>
                <w:color w:val="006100"/>
                <w:sz w:val="20"/>
                <w:szCs w:val="20"/>
                <w:lang w:val="en-IE"/>
              </w:rPr>
            </w:pPr>
            <w:r w:rsidRPr="1FD14961">
              <w:rPr>
                <w:rFonts w:ascii="Arial Narrow" w:hAnsi="Arial Narrow"/>
                <w:noProof/>
                <w:color w:val="006100"/>
                <w:sz w:val="20"/>
                <w:szCs w:val="20"/>
                <w:lang w:val="en-IE"/>
              </w:rPr>
              <w:t>Italy shall amend the implementing agreement indicating the total envelope of EUR</w:t>
            </w:r>
            <w:r w:rsidR="00F025C3">
              <w:rPr>
                <w:rFonts w:ascii="Arial Narrow" w:hAnsi="Arial Narrow"/>
                <w:noProof/>
                <w:color w:val="006100"/>
                <w:sz w:val="20"/>
                <w:szCs w:val="20"/>
                <w:lang w:val="en-IE"/>
              </w:rPr>
              <w:t> </w:t>
            </w:r>
            <w:r w:rsidRPr="1FD14961">
              <w:rPr>
                <w:rFonts w:ascii="Arial Narrow" w:hAnsi="Arial Narrow"/>
                <w:noProof/>
                <w:color w:val="006100"/>
                <w:sz w:val="20"/>
                <w:szCs w:val="20"/>
                <w:lang w:val="en-IE"/>
              </w:rPr>
              <w:t>399</w:t>
            </w:r>
            <w:r w:rsidR="00F025C3">
              <w:rPr>
                <w:rFonts w:ascii="Arial Narrow" w:hAnsi="Arial Narrow"/>
                <w:noProof/>
                <w:color w:val="006100"/>
                <w:sz w:val="20"/>
                <w:szCs w:val="20"/>
                <w:lang w:val="en-IE"/>
              </w:rPr>
              <w:t> </w:t>
            </w:r>
            <w:r w:rsidRPr="1FD14961">
              <w:rPr>
                <w:rFonts w:ascii="Arial Narrow" w:hAnsi="Arial Narrow"/>
                <w:noProof/>
                <w:color w:val="006100"/>
                <w:sz w:val="20"/>
                <w:szCs w:val="20"/>
                <w:lang w:val="en-IE"/>
              </w:rPr>
              <w:t>099</w:t>
            </w:r>
            <w:r w:rsidR="00F025C3">
              <w:rPr>
                <w:rFonts w:ascii="Arial Narrow" w:hAnsi="Arial Narrow"/>
                <w:noProof/>
                <w:color w:val="006100"/>
                <w:sz w:val="20"/>
                <w:szCs w:val="20"/>
                <w:lang w:val="en-IE"/>
              </w:rPr>
              <w:t> </w:t>
            </w:r>
            <w:r w:rsidRPr="1FD14961">
              <w:rPr>
                <w:rFonts w:ascii="Arial Narrow" w:hAnsi="Arial Narrow"/>
                <w:noProof/>
                <w:color w:val="006100"/>
                <w:sz w:val="20"/>
                <w:szCs w:val="20"/>
                <w:lang w:val="en-IE"/>
              </w:rPr>
              <w:t>241,07</w:t>
            </w:r>
          </w:p>
        </w:tc>
      </w:tr>
    </w:tbl>
    <w:p w14:paraId="3C6DDD59" w14:textId="77777777" w:rsidR="0039681A" w:rsidRPr="00A36E36" w:rsidRDefault="0039681A" w:rsidP="00351087">
      <w:pPr>
        <w:tabs>
          <w:tab w:val="left" w:pos="12085"/>
        </w:tabs>
        <w:rPr>
          <w:rFonts w:ascii="Times New Roman" w:hAnsi="Times New Roman" w:cs="Times New Roman"/>
          <w:noProof/>
          <w:lang w:val="en-IE"/>
        </w:rPr>
        <w:sectPr w:rsidR="0039681A" w:rsidRPr="00A36E36" w:rsidSect="0039681A">
          <w:headerReference w:type="even" r:id="rId193"/>
          <w:headerReference w:type="default" r:id="rId194"/>
          <w:footerReference w:type="default" r:id="rId195"/>
          <w:headerReference w:type="first" r:id="rId196"/>
          <w:pgSz w:w="16838" w:h="11906" w:orient="landscape"/>
          <w:pgMar w:top="1134" w:right="1134" w:bottom="1134" w:left="1134" w:header="567" w:footer="567" w:gutter="0"/>
          <w:cols w:space="708"/>
          <w:docGrid w:linePitch="360"/>
        </w:sectPr>
      </w:pPr>
    </w:p>
    <w:p w14:paraId="5BF3DF4B" w14:textId="77777777" w:rsidR="0039681A" w:rsidRPr="00A36E36" w:rsidRDefault="0039681A" w:rsidP="00351087">
      <w:pPr>
        <w:pStyle w:val="Heading2"/>
        <w:ind w:left="1080"/>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M. MISSION 5 COMPONENT 2: Social infrastructures, families, communities and third sector</w:t>
      </w:r>
    </w:p>
    <w:p w14:paraId="35CA37FC"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planned reforms and investments included in this component aim at strengthening resilience by supporting the integration and inclusion of the most vulnerable, along individual, family and social dimensions. This component provides a national strategy for the active inclusion of vulnerable population groups. The objectives of this component are: (I) strengthening the role for integrated social services to support families, minors and adolescents, to support parenting skills and protect vulnerable families as well as persons with disabilities, including through the enhancement of social infrastructures involving the third sector; (II) improving the autonomy of people with disabilities, by providing community and home-based social and health services and removing barriers to accessing housing and job opportunities; (III) improving the inclusion of people in extreme marginalization and housing deprivation (e.g. homeless people) through a wider offer of temporary accommodation assistance facilities and services, personalized paths towards autonomy and personal resilience; (IV) strengthening the availability of more affordable public and private housing and urban and territorial regeneration; (V) developing the resilience capacity of the most vulnerable through the dissemination of the culture of sport and the setup of sports infrastructures through the creation of urban parks where sports activities may be combined with entertainment activities for the benefit of the communities.</w:t>
      </w:r>
    </w:p>
    <w:p w14:paraId="29D27C11"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implementation of these measures is expected to contribute addressing the challenges covered by the 2019 country-specific recommendations 2 on social policy urging Italy to “ensure that […] social policies are effectively integrated and reach out notably to young people and vulnerable groups” and by the 2020 country-specific recommendations 2 to “provide adequate (…) access to social protection”. </w:t>
      </w:r>
    </w:p>
    <w:p w14:paraId="0AEE5087" w14:textId="77777777" w:rsidR="0039681A" w:rsidRPr="00A36E36" w:rsidRDefault="0039681A" w:rsidP="0035108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M.1.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7393EEEE" w14:textId="77777777" w:rsidR="0039681A" w:rsidRPr="00A36E36" w:rsidRDefault="0039681A" w:rsidP="0035108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Reform 1 - Framework Law for Disability</w:t>
      </w:r>
    </w:p>
    <w:p w14:paraId="0D4220E4"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noProof/>
          <w:lang w:val="en-IE"/>
        </w:rPr>
        <w:t xml:space="preserve">The main objective of the reform is to modify the legislation on disabilities and promote the de-institutionalization (i.e., transfer from public or private institutions to their families or into community-based homes) and autonomy of people with disabilities. This shall entail (I) strengthening the offer of social services, (II) simplifying access to social and health services, (III) reforms of disability assessments, (IV) promoting independent living projects, (V) promoting the work of teams of experts that may support people with disabilities with multidimensional needs. </w:t>
      </w:r>
    </w:p>
    <w:p w14:paraId="3CF48B31" w14:textId="77777777" w:rsidR="0039681A" w:rsidRPr="00A36E36" w:rsidRDefault="0039681A" w:rsidP="0035108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Reform 2 - Reform for non-self-sufficient elderly persons</w:t>
      </w:r>
    </w:p>
    <w:p w14:paraId="0C8CB1C4" w14:textId="77777777" w:rsidR="0039681A" w:rsidRPr="00A36E36" w:rsidRDefault="0039681A" w:rsidP="00351087">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The objective of this measure is to reform social services and improving the living conditions of non-self-sufficient elderly people. This reform shall include: (I) simplifying older people’s access to services through the creation of single points of social and health access, (II) identifying ways of recognizing non-self-sufficiency based on the need for assistance, (III) providing a multidimensional assessment, (IV) defining individualized projects that promote de-institutionalization. This reform is anticipated by specific interventions envisaged by the Plan, included both in the health mission (M6), with reference to projects that strengthen local health services and home care, and in this component, with specific reference to the investment 1, intervention II aimed at the de-institutionalisation. </w:t>
      </w:r>
    </w:p>
    <w:p w14:paraId="0C8C7350" w14:textId="77777777" w:rsidR="0039681A" w:rsidRPr="00A36E36" w:rsidRDefault="0039681A" w:rsidP="0035108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1 - Supporting vulnerable people and preventing institutionalization</w:t>
      </w:r>
    </w:p>
    <w:p w14:paraId="03308601" w14:textId="77777777" w:rsidR="0039681A" w:rsidRPr="00A36E36" w:rsidRDefault="0039681A" w:rsidP="00351087">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The objective of this measure is to support vulnerable people and prevent institutionalisation. This measure consists of interventions for vulnerable families and children, elderly people and social workers in at least 85% of the Italian social districts. </w:t>
      </w:r>
    </w:p>
    <w:p w14:paraId="779181D7" w14:textId="77777777" w:rsidR="0039681A" w:rsidRPr="00A36E36" w:rsidRDefault="0039681A" w:rsidP="00351087">
      <w:pPr>
        <w:rPr>
          <w:rFonts w:ascii="Times New Roman" w:hAnsi="Times New Roman" w:cs="Times New Roman"/>
          <w:b/>
          <w:noProof/>
          <w:lang w:val="en-IE"/>
        </w:rPr>
      </w:pPr>
      <w:r w:rsidRPr="00A36E36">
        <w:rPr>
          <w:rFonts w:ascii="Times New Roman" w:hAnsi="Times New Roman" w:cs="Times New Roman"/>
          <w:b/>
          <w:noProof/>
          <w:lang w:val="en-IE"/>
        </w:rPr>
        <w:br w:type="page"/>
      </w:r>
    </w:p>
    <w:p w14:paraId="242F1F21" w14:textId="77777777" w:rsidR="0039681A" w:rsidRPr="00A36E36" w:rsidRDefault="0039681A" w:rsidP="0035108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2 - Autonomy patterns for people with disabilities</w:t>
      </w:r>
    </w:p>
    <w:p w14:paraId="3EC9EF82" w14:textId="77777777" w:rsidR="0039681A" w:rsidRPr="00A36E36" w:rsidRDefault="0039681A" w:rsidP="00351087">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The objective of this measure is to increase the autonomy of people with disabilities, accelerating the process of de-institutionalisation. The measure consists in providing access to housing or home-based solutions, as well as digital technology and trainings.</w:t>
      </w:r>
    </w:p>
    <w:p w14:paraId="63F622BE"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3 - Housing First and Post Stations</w:t>
      </w:r>
    </w:p>
    <w:p w14:paraId="749FCF07"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measure is to protect and support the inclusion of marginalised people. The measure consists in two types of arrangements: the ‘housing first’ solutions, which involve municipalities providing tailored projects</w:t>
      </w:r>
      <w:r w:rsidRPr="00A36E36" w:rsidDel="00276517">
        <w:rPr>
          <w:rFonts w:ascii="Times New Roman" w:hAnsi="Times New Roman" w:cs="Times New Roman"/>
          <w:noProof/>
          <w:lang w:val="en-IE"/>
        </w:rPr>
        <w:t xml:space="preserve"> </w:t>
      </w:r>
      <w:r w:rsidRPr="00A36E36">
        <w:rPr>
          <w:rFonts w:ascii="Times New Roman" w:hAnsi="Times New Roman" w:cs="Times New Roman"/>
          <w:noProof/>
          <w:lang w:val="en-IE"/>
        </w:rPr>
        <w:t>and accommodation to individuals, small groups or families up to 24 months; and the ‘post stations’ solutions, which consist of service and inclusion centres for homeless people, offering essential services such as basic goods and mail distribution, meals and healthcare.</w:t>
      </w:r>
    </w:p>
    <w:p w14:paraId="31D630FC" w14:textId="77777777" w:rsidR="0039681A" w:rsidRPr="00A36E36" w:rsidRDefault="0039681A" w:rsidP="00351087">
      <w:pPr>
        <w:spacing w:before="120" w:after="120"/>
        <w:jc w:val="both"/>
        <w:rPr>
          <w:rFonts w:ascii="Times New Roman" w:hAnsi="Times New Roman" w:cs="Times New Roman"/>
          <w:noProof/>
          <w:lang w:val="en-IE"/>
        </w:rPr>
      </w:pPr>
    </w:p>
    <w:p w14:paraId="01220DB1" w14:textId="77777777" w:rsidR="0039681A" w:rsidRPr="00A36E36" w:rsidRDefault="0039681A" w:rsidP="00351087">
      <w:pPr>
        <w:spacing w:before="120" w:after="120"/>
        <w:jc w:val="both"/>
        <w:rPr>
          <w:rFonts w:ascii="Times New Roman" w:hAnsi="Times New Roman" w:cs="Times New Roman"/>
          <w:noProof/>
          <w:lang w:val="en-IE"/>
        </w:rPr>
        <w:sectPr w:rsidR="0039681A" w:rsidRPr="00A36E36" w:rsidSect="00AF5341">
          <w:headerReference w:type="even" r:id="rId197"/>
          <w:headerReference w:type="default" r:id="rId198"/>
          <w:footerReference w:type="default" r:id="rId199"/>
          <w:headerReference w:type="first" r:id="rId200"/>
          <w:pgSz w:w="11906" w:h="16838"/>
          <w:pgMar w:top="1440" w:right="1440" w:bottom="1440" w:left="1440" w:header="708" w:footer="708" w:gutter="0"/>
          <w:cols w:space="708"/>
          <w:docGrid w:linePitch="360"/>
        </w:sectPr>
      </w:pPr>
    </w:p>
    <w:p w14:paraId="1273E01F" w14:textId="77777777" w:rsidR="0039681A" w:rsidRPr="00A36E36" w:rsidRDefault="0039681A" w:rsidP="0035108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M.2.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tbl>
      <w:tblPr>
        <w:tblW w:w="15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4"/>
        <w:gridCol w:w="1559"/>
        <w:gridCol w:w="1134"/>
        <w:gridCol w:w="1783"/>
        <w:gridCol w:w="1400"/>
        <w:gridCol w:w="1070"/>
        <w:gridCol w:w="992"/>
        <w:gridCol w:w="992"/>
        <w:gridCol w:w="851"/>
        <w:gridCol w:w="1559"/>
        <w:gridCol w:w="2936"/>
      </w:tblGrid>
      <w:tr w:rsidR="0039681A" w:rsidRPr="0070054C" w14:paraId="3092017B" w14:textId="77777777">
        <w:trPr>
          <w:trHeight w:val="927"/>
          <w:tblHeader/>
          <w:jc w:val="center"/>
        </w:trPr>
        <w:tc>
          <w:tcPr>
            <w:tcW w:w="1124" w:type="dxa"/>
            <w:vMerge w:val="restart"/>
            <w:shd w:val="clear" w:color="auto" w:fill="BDD7EE"/>
            <w:vAlign w:val="center"/>
            <w:hideMark/>
          </w:tcPr>
          <w:p w14:paraId="0269CE2C"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Sequential Number</w:t>
            </w:r>
          </w:p>
        </w:tc>
        <w:tc>
          <w:tcPr>
            <w:tcW w:w="1559" w:type="dxa"/>
            <w:vMerge w:val="restart"/>
            <w:shd w:val="clear" w:color="auto" w:fill="BDD7EE"/>
            <w:vAlign w:val="center"/>
            <w:hideMark/>
          </w:tcPr>
          <w:p w14:paraId="301722D9"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134" w:type="dxa"/>
            <w:vMerge w:val="restart"/>
            <w:shd w:val="clear" w:color="auto" w:fill="BDD7EE"/>
            <w:vAlign w:val="center"/>
            <w:hideMark/>
          </w:tcPr>
          <w:p w14:paraId="02A0AB27"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Milestone / Target</w:t>
            </w:r>
          </w:p>
        </w:tc>
        <w:tc>
          <w:tcPr>
            <w:tcW w:w="1783" w:type="dxa"/>
            <w:vMerge w:val="restart"/>
            <w:shd w:val="clear" w:color="auto" w:fill="BDD7EE"/>
            <w:vAlign w:val="center"/>
            <w:hideMark/>
          </w:tcPr>
          <w:p w14:paraId="68D2AE80"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Name</w:t>
            </w:r>
          </w:p>
        </w:tc>
        <w:tc>
          <w:tcPr>
            <w:tcW w:w="1400" w:type="dxa"/>
            <w:vMerge w:val="restart"/>
            <w:shd w:val="clear" w:color="auto" w:fill="BDD7EE"/>
            <w:vAlign w:val="center"/>
            <w:hideMark/>
          </w:tcPr>
          <w:p w14:paraId="757D56F4"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054" w:type="dxa"/>
            <w:gridSpan w:val="3"/>
            <w:shd w:val="clear" w:color="auto" w:fill="BDD7EE"/>
            <w:vAlign w:val="center"/>
            <w:hideMark/>
          </w:tcPr>
          <w:p w14:paraId="647DBDC2"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2410" w:type="dxa"/>
            <w:gridSpan w:val="2"/>
            <w:shd w:val="clear" w:color="auto" w:fill="BDD7EE"/>
            <w:vAlign w:val="center"/>
            <w:hideMark/>
          </w:tcPr>
          <w:p w14:paraId="46E5A3B4"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2936" w:type="dxa"/>
            <w:vMerge w:val="restart"/>
            <w:shd w:val="clear" w:color="auto" w:fill="BDD7EE"/>
            <w:vAlign w:val="center"/>
            <w:hideMark/>
          </w:tcPr>
          <w:p w14:paraId="72C5FD44"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7854D1DA" w14:textId="77777777">
        <w:trPr>
          <w:trHeight w:val="654"/>
          <w:tblHeader/>
          <w:jc w:val="center"/>
        </w:trPr>
        <w:tc>
          <w:tcPr>
            <w:tcW w:w="1124" w:type="dxa"/>
            <w:vMerge/>
            <w:vAlign w:val="center"/>
            <w:hideMark/>
          </w:tcPr>
          <w:p w14:paraId="6C4F9530" w14:textId="77777777" w:rsidR="0039681A" w:rsidRPr="00A36E36" w:rsidRDefault="0039681A">
            <w:pPr>
              <w:jc w:val="center"/>
              <w:rPr>
                <w:rFonts w:ascii="Arial Narrow" w:hAnsi="Arial Narrow"/>
                <w:b/>
                <w:noProof/>
                <w:sz w:val="20"/>
                <w:szCs w:val="20"/>
                <w:lang w:val="en-IE"/>
              </w:rPr>
            </w:pPr>
          </w:p>
        </w:tc>
        <w:tc>
          <w:tcPr>
            <w:tcW w:w="1559" w:type="dxa"/>
            <w:vMerge/>
            <w:vAlign w:val="center"/>
            <w:hideMark/>
          </w:tcPr>
          <w:p w14:paraId="441B338B" w14:textId="77777777" w:rsidR="0039681A" w:rsidRPr="00A36E36" w:rsidRDefault="0039681A">
            <w:pPr>
              <w:jc w:val="center"/>
              <w:rPr>
                <w:rFonts w:ascii="Arial Narrow" w:hAnsi="Arial Narrow"/>
                <w:b/>
                <w:noProof/>
                <w:sz w:val="20"/>
                <w:szCs w:val="20"/>
                <w:lang w:val="en-IE"/>
              </w:rPr>
            </w:pPr>
          </w:p>
        </w:tc>
        <w:tc>
          <w:tcPr>
            <w:tcW w:w="1134" w:type="dxa"/>
            <w:vMerge/>
            <w:vAlign w:val="center"/>
            <w:hideMark/>
          </w:tcPr>
          <w:p w14:paraId="629544EB" w14:textId="77777777" w:rsidR="0039681A" w:rsidRPr="00A36E36" w:rsidRDefault="0039681A">
            <w:pPr>
              <w:jc w:val="center"/>
              <w:rPr>
                <w:rFonts w:ascii="Arial Narrow" w:hAnsi="Arial Narrow"/>
                <w:b/>
                <w:noProof/>
                <w:sz w:val="20"/>
                <w:szCs w:val="20"/>
                <w:lang w:val="en-IE"/>
              </w:rPr>
            </w:pPr>
          </w:p>
        </w:tc>
        <w:tc>
          <w:tcPr>
            <w:tcW w:w="1783" w:type="dxa"/>
            <w:vMerge/>
            <w:vAlign w:val="center"/>
            <w:hideMark/>
          </w:tcPr>
          <w:p w14:paraId="1381DB04" w14:textId="77777777" w:rsidR="0039681A" w:rsidRPr="00A36E36" w:rsidRDefault="0039681A">
            <w:pPr>
              <w:jc w:val="center"/>
              <w:rPr>
                <w:rFonts w:ascii="Arial Narrow" w:hAnsi="Arial Narrow"/>
                <w:b/>
                <w:noProof/>
                <w:sz w:val="20"/>
                <w:szCs w:val="20"/>
                <w:lang w:val="en-IE"/>
              </w:rPr>
            </w:pPr>
          </w:p>
        </w:tc>
        <w:tc>
          <w:tcPr>
            <w:tcW w:w="1400" w:type="dxa"/>
            <w:vMerge/>
            <w:vAlign w:val="center"/>
            <w:hideMark/>
          </w:tcPr>
          <w:p w14:paraId="77BBF4A7" w14:textId="77777777" w:rsidR="0039681A" w:rsidRPr="00A36E36" w:rsidRDefault="0039681A">
            <w:pPr>
              <w:jc w:val="center"/>
              <w:rPr>
                <w:rFonts w:ascii="Arial Narrow" w:hAnsi="Arial Narrow"/>
                <w:b/>
                <w:noProof/>
                <w:sz w:val="20"/>
                <w:szCs w:val="20"/>
                <w:lang w:val="en-IE"/>
              </w:rPr>
            </w:pPr>
          </w:p>
        </w:tc>
        <w:tc>
          <w:tcPr>
            <w:tcW w:w="1070" w:type="dxa"/>
            <w:shd w:val="clear" w:color="auto" w:fill="BDD7EE"/>
            <w:vAlign w:val="center"/>
            <w:hideMark/>
          </w:tcPr>
          <w:p w14:paraId="00A5A076"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Unit of measure</w:t>
            </w:r>
          </w:p>
        </w:tc>
        <w:tc>
          <w:tcPr>
            <w:tcW w:w="992" w:type="dxa"/>
            <w:shd w:val="clear" w:color="auto" w:fill="BDD7EE"/>
            <w:vAlign w:val="center"/>
            <w:hideMark/>
          </w:tcPr>
          <w:p w14:paraId="6D0970A8"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Baseline</w:t>
            </w:r>
          </w:p>
        </w:tc>
        <w:tc>
          <w:tcPr>
            <w:tcW w:w="992" w:type="dxa"/>
            <w:shd w:val="clear" w:color="auto" w:fill="BDD7EE"/>
            <w:vAlign w:val="center"/>
            <w:hideMark/>
          </w:tcPr>
          <w:p w14:paraId="1E33DA2A"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Goal</w:t>
            </w:r>
          </w:p>
        </w:tc>
        <w:tc>
          <w:tcPr>
            <w:tcW w:w="851" w:type="dxa"/>
            <w:shd w:val="clear" w:color="auto" w:fill="BDD7EE"/>
            <w:vAlign w:val="center"/>
            <w:hideMark/>
          </w:tcPr>
          <w:p w14:paraId="4645494F"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Quarter</w:t>
            </w:r>
          </w:p>
        </w:tc>
        <w:tc>
          <w:tcPr>
            <w:tcW w:w="1559" w:type="dxa"/>
            <w:shd w:val="clear" w:color="auto" w:fill="BDD7EE"/>
            <w:vAlign w:val="center"/>
            <w:hideMark/>
          </w:tcPr>
          <w:p w14:paraId="6B1A438C"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Year</w:t>
            </w:r>
          </w:p>
        </w:tc>
        <w:tc>
          <w:tcPr>
            <w:tcW w:w="2936" w:type="dxa"/>
            <w:vMerge/>
            <w:vAlign w:val="center"/>
            <w:hideMark/>
          </w:tcPr>
          <w:p w14:paraId="699E489E" w14:textId="77777777" w:rsidR="0039681A" w:rsidRPr="00647572" w:rsidRDefault="0039681A">
            <w:pPr>
              <w:rPr>
                <w:rFonts w:ascii="Arial Narrow" w:hAnsi="Arial Narrow"/>
                <w:b/>
                <w:noProof/>
                <w:sz w:val="20"/>
                <w:szCs w:val="20"/>
              </w:rPr>
            </w:pPr>
          </w:p>
        </w:tc>
      </w:tr>
      <w:tr w:rsidR="0039681A" w:rsidRPr="0070054C" w14:paraId="15997AD5" w14:textId="77777777">
        <w:trPr>
          <w:trHeight w:val="309"/>
          <w:jc w:val="center"/>
        </w:trPr>
        <w:tc>
          <w:tcPr>
            <w:tcW w:w="1124" w:type="dxa"/>
            <w:shd w:val="clear" w:color="auto" w:fill="C6EFCE"/>
            <w:noWrap/>
            <w:vAlign w:val="center"/>
            <w:hideMark/>
          </w:tcPr>
          <w:p w14:paraId="69038D1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M5C2-1</w:t>
            </w:r>
          </w:p>
        </w:tc>
        <w:tc>
          <w:tcPr>
            <w:tcW w:w="1559" w:type="dxa"/>
            <w:shd w:val="clear" w:color="auto" w:fill="C6EFCE"/>
            <w:noWrap/>
            <w:vAlign w:val="center"/>
            <w:hideMark/>
          </w:tcPr>
          <w:p w14:paraId="48484641"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Framework law for disability</w:t>
            </w:r>
          </w:p>
        </w:tc>
        <w:tc>
          <w:tcPr>
            <w:tcW w:w="1134" w:type="dxa"/>
            <w:shd w:val="clear" w:color="auto" w:fill="C6EFCE"/>
            <w:noWrap/>
            <w:vAlign w:val="center"/>
            <w:hideMark/>
          </w:tcPr>
          <w:p w14:paraId="17BC0D7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83" w:type="dxa"/>
            <w:shd w:val="clear" w:color="auto" w:fill="C6EFCE"/>
            <w:noWrap/>
            <w:vAlign w:val="center"/>
            <w:hideMark/>
          </w:tcPr>
          <w:p w14:paraId="245D96FA"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Framework Law to strengthen the autonomy of people with disabilities</w:t>
            </w:r>
          </w:p>
        </w:tc>
        <w:tc>
          <w:tcPr>
            <w:tcW w:w="1400" w:type="dxa"/>
            <w:shd w:val="clear" w:color="auto" w:fill="C6EFCE"/>
            <w:noWrap/>
            <w:vAlign w:val="center"/>
            <w:hideMark/>
          </w:tcPr>
          <w:p w14:paraId="3575BB41" w14:textId="77777777" w:rsidR="0039681A" w:rsidRPr="00A36E36" w:rsidRDefault="0039681A">
            <w:pPr>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Framework Law</w:t>
            </w:r>
          </w:p>
        </w:tc>
        <w:tc>
          <w:tcPr>
            <w:tcW w:w="1070" w:type="dxa"/>
            <w:shd w:val="clear" w:color="auto" w:fill="C6EFCE"/>
            <w:noWrap/>
            <w:vAlign w:val="center"/>
            <w:hideMark/>
          </w:tcPr>
          <w:p w14:paraId="009D7C91"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34C072E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56042862"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shd w:val="clear" w:color="auto" w:fill="C6EFCE"/>
            <w:noWrap/>
            <w:vAlign w:val="center"/>
            <w:hideMark/>
          </w:tcPr>
          <w:p w14:paraId="788E2C99"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1559" w:type="dxa"/>
            <w:shd w:val="clear" w:color="auto" w:fill="C6EFCE"/>
            <w:noWrap/>
            <w:vAlign w:val="center"/>
            <w:hideMark/>
          </w:tcPr>
          <w:p w14:paraId="0151EEC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2936" w:type="dxa"/>
            <w:shd w:val="clear" w:color="auto" w:fill="C6EFCE"/>
            <w:noWrap/>
            <w:vAlign w:val="center"/>
            <w:hideMark/>
          </w:tcPr>
          <w:p w14:paraId="3F432D2D"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Framework Law, which consists of a delegation law, shall strengthen the autonomy of people with disabilities, according to the principles of UNCRPD and European Strategy 2021-2030 for the rights of persons with disabilities, which shall as a minimum include: (i) the comprehensive definition and enhancement of the offer of social services for disabled people together with the promotion of de-institutionalisation and independent living, (ii) the simplification of procedures for access to health and social services, and (iii) the review of procedures for assessing the condition of disability, towards a multidimensional evaluation of the condition of every person.</w:t>
            </w:r>
          </w:p>
          <w:p w14:paraId="0F28F71C"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People with disabilities are those defined according to the principles of the UN CRPD, by the Law n. 104/1992. In Italy the assessment process is under competence of the Regions and the person is evaluated by the Local Health Services or by the National Institute of Social Welfare.</w:t>
            </w:r>
          </w:p>
          <w:p w14:paraId="319CB15C"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law shall be proposed by the Minister for the Disabilities for the approval by the Council of Ministers, according to the set road map.</w:t>
            </w:r>
          </w:p>
          <w:p w14:paraId="634CD523"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adoption of the Framework Law shall be followed up by the reorganization of local social services, the definition of quality standards and by providing ICT platform to enhance and make more efficient the services.</w:t>
            </w:r>
          </w:p>
        </w:tc>
      </w:tr>
      <w:tr w:rsidR="0039681A" w:rsidRPr="0070054C" w14:paraId="578C0745" w14:textId="77777777">
        <w:trPr>
          <w:trHeight w:val="309"/>
          <w:jc w:val="center"/>
        </w:trPr>
        <w:tc>
          <w:tcPr>
            <w:tcW w:w="1124" w:type="dxa"/>
            <w:shd w:val="clear" w:color="auto" w:fill="C6EFCE"/>
            <w:noWrap/>
            <w:vAlign w:val="center"/>
            <w:hideMark/>
          </w:tcPr>
          <w:p w14:paraId="3C09EC0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M5C2-2</w:t>
            </w:r>
          </w:p>
        </w:tc>
        <w:tc>
          <w:tcPr>
            <w:tcW w:w="1559" w:type="dxa"/>
            <w:shd w:val="clear" w:color="auto" w:fill="C6EFCE"/>
            <w:noWrap/>
            <w:vAlign w:val="center"/>
            <w:hideMark/>
          </w:tcPr>
          <w:p w14:paraId="63B1DB81"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Framework law for disability</w:t>
            </w:r>
          </w:p>
        </w:tc>
        <w:tc>
          <w:tcPr>
            <w:tcW w:w="1134" w:type="dxa"/>
            <w:shd w:val="clear" w:color="auto" w:fill="C6EFCE"/>
            <w:noWrap/>
            <w:vAlign w:val="center"/>
            <w:hideMark/>
          </w:tcPr>
          <w:p w14:paraId="393EDED2"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783" w:type="dxa"/>
            <w:shd w:val="clear" w:color="auto" w:fill="C6EFCE"/>
            <w:noWrap/>
            <w:vAlign w:val="center"/>
            <w:hideMark/>
          </w:tcPr>
          <w:p w14:paraId="3BF6FAE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legislative decrees developing the provisions set out by the Framework Law to strengthen the autonomy of people with disabilities</w:t>
            </w:r>
          </w:p>
        </w:tc>
        <w:tc>
          <w:tcPr>
            <w:tcW w:w="1400" w:type="dxa"/>
            <w:shd w:val="clear" w:color="auto" w:fill="C6EFCE"/>
            <w:noWrap/>
            <w:vAlign w:val="center"/>
            <w:hideMark/>
          </w:tcPr>
          <w:p w14:paraId="0D0436E1" w14:textId="77777777" w:rsidR="0039681A" w:rsidRPr="00A36E36" w:rsidRDefault="0039681A">
            <w:pPr>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 legislative Decrees</w:t>
            </w:r>
          </w:p>
        </w:tc>
        <w:tc>
          <w:tcPr>
            <w:tcW w:w="1070" w:type="dxa"/>
            <w:shd w:val="clear" w:color="auto" w:fill="C6EFCE"/>
            <w:noWrap/>
            <w:vAlign w:val="center"/>
            <w:hideMark/>
          </w:tcPr>
          <w:p w14:paraId="75BA09B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7D1473BE"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14A9495F"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shd w:val="clear" w:color="auto" w:fill="C6EFCE"/>
            <w:noWrap/>
            <w:vAlign w:val="center"/>
            <w:hideMark/>
          </w:tcPr>
          <w:p w14:paraId="3D70730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1559" w:type="dxa"/>
            <w:shd w:val="clear" w:color="auto" w:fill="C6EFCE"/>
            <w:noWrap/>
            <w:vAlign w:val="center"/>
            <w:hideMark/>
          </w:tcPr>
          <w:p w14:paraId="1DFA22F2"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2024</w:t>
            </w:r>
          </w:p>
        </w:tc>
        <w:tc>
          <w:tcPr>
            <w:tcW w:w="2936" w:type="dxa"/>
            <w:shd w:val="clear" w:color="auto" w:fill="C6EFCE"/>
            <w:noWrap/>
            <w:vAlign w:val="center"/>
            <w:hideMark/>
          </w:tcPr>
          <w:p w14:paraId="201B6F5D"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legislative decrees shall develop the provisions set out by the Framework Law to strengthen the autonomy of people with disabilities: (I) strengthening the offer of social services, (II) simplifying access to social and health services, (III) reforms of disability assessments, (IV) promoting independent living projects, (V) promoting the work of teams of experts that may support people with disabilities with multidimensional needs.</w:t>
            </w:r>
          </w:p>
        </w:tc>
      </w:tr>
      <w:tr w:rsidR="0039681A" w:rsidRPr="00647572" w14:paraId="69E5C453" w14:textId="77777777">
        <w:trPr>
          <w:trHeight w:val="309"/>
          <w:jc w:val="center"/>
        </w:trPr>
        <w:tc>
          <w:tcPr>
            <w:tcW w:w="1124" w:type="dxa"/>
            <w:shd w:val="clear" w:color="auto" w:fill="C6EFCE"/>
            <w:noWrap/>
            <w:vAlign w:val="center"/>
            <w:hideMark/>
          </w:tcPr>
          <w:p w14:paraId="31FFBCA8"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M5C2-3</w:t>
            </w:r>
          </w:p>
        </w:tc>
        <w:tc>
          <w:tcPr>
            <w:tcW w:w="1559" w:type="dxa"/>
            <w:shd w:val="clear" w:color="auto" w:fill="C6EFCE"/>
            <w:noWrap/>
            <w:vAlign w:val="center"/>
            <w:hideMark/>
          </w:tcPr>
          <w:p w14:paraId="3AF543A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2 - Reform for non-self-sufficient elderly persons</w:t>
            </w:r>
          </w:p>
        </w:tc>
        <w:tc>
          <w:tcPr>
            <w:tcW w:w="1134" w:type="dxa"/>
            <w:shd w:val="clear" w:color="auto" w:fill="C6EFCE"/>
            <w:noWrap/>
            <w:vAlign w:val="center"/>
            <w:hideMark/>
          </w:tcPr>
          <w:p w14:paraId="6E3180E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83" w:type="dxa"/>
            <w:shd w:val="clear" w:color="auto" w:fill="C6EFCE"/>
            <w:noWrap/>
            <w:vAlign w:val="center"/>
            <w:hideMark/>
          </w:tcPr>
          <w:p w14:paraId="7C2C4928"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a Framework Law which strengthens the actions in favour of non self-sufficiency elderly people</w:t>
            </w:r>
          </w:p>
        </w:tc>
        <w:tc>
          <w:tcPr>
            <w:tcW w:w="1400" w:type="dxa"/>
            <w:shd w:val="clear" w:color="auto" w:fill="C6EFCE"/>
            <w:noWrap/>
            <w:vAlign w:val="center"/>
            <w:hideMark/>
          </w:tcPr>
          <w:p w14:paraId="49FF78F2"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w:t>
            </w:r>
            <w:r w:rsidRPr="00A36E36">
              <w:rPr>
                <w:rFonts w:ascii="Arial Narrow" w:hAnsi="Arial Narrow"/>
                <w:noProof/>
                <w:sz w:val="20"/>
                <w:lang w:val="en-IE"/>
              </w:rPr>
              <w:t xml:space="preserve"> </w:t>
            </w:r>
            <w:r w:rsidRPr="00A36E36">
              <w:rPr>
                <w:rFonts w:ascii="Arial Narrow" w:hAnsi="Arial Narrow"/>
                <w:noProof/>
                <w:color w:val="006100"/>
                <w:sz w:val="20"/>
                <w:lang w:val="en-IE"/>
              </w:rPr>
              <w:t>Framework Law which strengthens the actions in favour of non self-sufficiency elderly people</w:t>
            </w:r>
          </w:p>
        </w:tc>
        <w:tc>
          <w:tcPr>
            <w:tcW w:w="1070" w:type="dxa"/>
            <w:shd w:val="clear" w:color="auto" w:fill="C6EFCE"/>
            <w:noWrap/>
            <w:vAlign w:val="center"/>
            <w:hideMark/>
          </w:tcPr>
          <w:p w14:paraId="68CFA7A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0160171A"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5E62FAF6"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shd w:val="clear" w:color="auto" w:fill="C6EFCE"/>
            <w:noWrap/>
            <w:vAlign w:val="center"/>
            <w:hideMark/>
          </w:tcPr>
          <w:p w14:paraId="1642AA4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1559" w:type="dxa"/>
            <w:shd w:val="clear" w:color="auto" w:fill="C6EFCE"/>
            <w:noWrap/>
            <w:vAlign w:val="center"/>
            <w:hideMark/>
          </w:tcPr>
          <w:p w14:paraId="168A3A5C"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2023</w:t>
            </w:r>
          </w:p>
        </w:tc>
        <w:tc>
          <w:tcPr>
            <w:tcW w:w="2936" w:type="dxa"/>
            <w:shd w:val="clear" w:color="auto" w:fill="C6EFCE"/>
            <w:noWrap/>
            <w:vAlign w:val="center"/>
            <w:hideMark/>
          </w:tcPr>
          <w:p w14:paraId="4FED9E7B" w14:textId="77777777" w:rsidR="0039681A" w:rsidRPr="00647572" w:rsidRDefault="0039681A">
            <w:pPr>
              <w:rPr>
                <w:rFonts w:ascii="Arial Narrow" w:hAnsi="Arial Narrow"/>
                <w:noProof/>
                <w:color w:val="006100"/>
                <w:sz w:val="20"/>
                <w:szCs w:val="20"/>
              </w:rPr>
            </w:pPr>
            <w:r w:rsidRPr="00A36E36">
              <w:rPr>
                <w:rFonts w:ascii="Arial Narrow" w:hAnsi="Arial Narrow"/>
                <w:noProof/>
                <w:color w:val="006100"/>
                <w:sz w:val="20"/>
                <w:lang w:val="en-IE"/>
              </w:rPr>
              <w:t xml:space="preserve">The Framework Law proposed by the Government shall strengthen the actions in favour of non self-sufficient elderly people. The law shall simplify and provide Points of Single Contact for social and health services, review the procedures for assessing the condition of non self-sufficient elderly person, and increase the set of social and health care services that may be provided at home. </w:t>
            </w:r>
            <w:r w:rsidRPr="00647572">
              <w:rPr>
                <w:rFonts w:ascii="Arial Narrow" w:hAnsi="Arial Narrow"/>
                <w:noProof/>
                <w:color w:val="006100"/>
                <w:sz w:val="20"/>
              </w:rPr>
              <w:t>The law shall also identify the necessary financial resources.</w:t>
            </w:r>
          </w:p>
        </w:tc>
      </w:tr>
      <w:tr w:rsidR="0039681A" w:rsidRPr="0070054C" w14:paraId="36E0E739" w14:textId="77777777">
        <w:trPr>
          <w:trHeight w:val="309"/>
          <w:jc w:val="center"/>
        </w:trPr>
        <w:tc>
          <w:tcPr>
            <w:tcW w:w="1124" w:type="dxa"/>
            <w:shd w:val="clear" w:color="auto" w:fill="C6EFCE"/>
            <w:noWrap/>
            <w:vAlign w:val="center"/>
            <w:hideMark/>
          </w:tcPr>
          <w:p w14:paraId="2EA996B8"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M5C2-4</w:t>
            </w:r>
          </w:p>
        </w:tc>
        <w:tc>
          <w:tcPr>
            <w:tcW w:w="1559" w:type="dxa"/>
            <w:shd w:val="clear" w:color="auto" w:fill="C6EFCE"/>
            <w:noWrap/>
            <w:vAlign w:val="center"/>
            <w:hideMark/>
          </w:tcPr>
          <w:p w14:paraId="3B07E04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 Reform for non-self-sufficient elderly persons</w:t>
            </w:r>
          </w:p>
        </w:tc>
        <w:tc>
          <w:tcPr>
            <w:tcW w:w="1134" w:type="dxa"/>
            <w:shd w:val="clear" w:color="auto" w:fill="C6EFCE"/>
            <w:noWrap/>
            <w:vAlign w:val="center"/>
            <w:hideMark/>
          </w:tcPr>
          <w:p w14:paraId="38337F39"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783" w:type="dxa"/>
            <w:shd w:val="clear" w:color="auto" w:fill="C6EFCE"/>
            <w:noWrap/>
            <w:vAlign w:val="center"/>
            <w:hideMark/>
          </w:tcPr>
          <w:p w14:paraId="2AA4847A"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legislative decree that develops the provisions set out by the Framework Law to strengthen the actions in favour of non self-sufficiency elderly people</w:t>
            </w:r>
          </w:p>
        </w:tc>
        <w:tc>
          <w:tcPr>
            <w:tcW w:w="1400" w:type="dxa"/>
            <w:shd w:val="clear" w:color="auto" w:fill="C6EFCE"/>
            <w:noWrap/>
            <w:vAlign w:val="center"/>
            <w:hideMark/>
          </w:tcPr>
          <w:p w14:paraId="047AFCD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 legislative Decree</w:t>
            </w:r>
          </w:p>
        </w:tc>
        <w:tc>
          <w:tcPr>
            <w:tcW w:w="1070" w:type="dxa"/>
            <w:shd w:val="clear" w:color="auto" w:fill="C6EFCE"/>
            <w:noWrap/>
            <w:vAlign w:val="center"/>
            <w:hideMark/>
          </w:tcPr>
          <w:p w14:paraId="7D426046"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76746905"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6AEDCDF0"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N/ A</w:t>
            </w:r>
          </w:p>
        </w:tc>
        <w:tc>
          <w:tcPr>
            <w:tcW w:w="851" w:type="dxa"/>
            <w:shd w:val="clear" w:color="auto" w:fill="C6EFCE"/>
            <w:noWrap/>
            <w:vAlign w:val="center"/>
            <w:hideMark/>
          </w:tcPr>
          <w:p w14:paraId="40026A6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1559" w:type="dxa"/>
            <w:shd w:val="clear" w:color="auto" w:fill="C6EFCE"/>
            <w:noWrap/>
            <w:vAlign w:val="center"/>
            <w:hideMark/>
          </w:tcPr>
          <w:p w14:paraId="37B8886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2936" w:type="dxa"/>
            <w:shd w:val="clear" w:color="auto" w:fill="C6EFCE"/>
            <w:noWrap/>
            <w:vAlign w:val="center"/>
            <w:hideMark/>
          </w:tcPr>
          <w:p w14:paraId="3D56680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legislative decree shall concretize the provisions set out by the Framework Law to strengthen the actions in favour of non self-sufficient elderly people, implementing the different measures.</w:t>
            </w:r>
          </w:p>
        </w:tc>
      </w:tr>
      <w:tr w:rsidR="0039681A" w:rsidRPr="0070054C" w14:paraId="7C62EECD" w14:textId="77777777">
        <w:trPr>
          <w:trHeight w:val="309"/>
          <w:jc w:val="center"/>
        </w:trPr>
        <w:tc>
          <w:tcPr>
            <w:tcW w:w="1124" w:type="dxa"/>
            <w:shd w:val="clear" w:color="auto" w:fill="C6EFCE"/>
            <w:noWrap/>
            <w:vAlign w:val="center"/>
            <w:hideMark/>
          </w:tcPr>
          <w:p w14:paraId="6D134F0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M5C2-5</w:t>
            </w:r>
          </w:p>
        </w:tc>
        <w:tc>
          <w:tcPr>
            <w:tcW w:w="1559" w:type="dxa"/>
            <w:shd w:val="clear" w:color="auto" w:fill="C6EFCE"/>
            <w:noWrap/>
            <w:vAlign w:val="center"/>
            <w:hideMark/>
          </w:tcPr>
          <w:p w14:paraId="18CB607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1 - Supporting vulnerable people and preventing institutionalization</w:t>
            </w:r>
          </w:p>
        </w:tc>
        <w:tc>
          <w:tcPr>
            <w:tcW w:w="1134" w:type="dxa"/>
            <w:shd w:val="clear" w:color="auto" w:fill="C6EFCE"/>
            <w:noWrap/>
            <w:vAlign w:val="center"/>
            <w:hideMark/>
          </w:tcPr>
          <w:p w14:paraId="4D3F78A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783" w:type="dxa"/>
            <w:shd w:val="clear" w:color="auto" w:fill="C6EFCE"/>
            <w:noWrap/>
            <w:vAlign w:val="center"/>
            <w:hideMark/>
          </w:tcPr>
          <w:p w14:paraId="1703D7CA"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operational Plan</w:t>
            </w:r>
          </w:p>
        </w:tc>
        <w:tc>
          <w:tcPr>
            <w:tcW w:w="1400" w:type="dxa"/>
            <w:shd w:val="clear" w:color="auto" w:fill="C6EFCE"/>
            <w:noWrap/>
            <w:vAlign w:val="center"/>
            <w:hideMark/>
          </w:tcPr>
          <w:p w14:paraId="097A1A4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 Operational plan of interventions</w:t>
            </w:r>
          </w:p>
        </w:tc>
        <w:tc>
          <w:tcPr>
            <w:tcW w:w="1070" w:type="dxa"/>
            <w:shd w:val="clear" w:color="auto" w:fill="C6EFCE"/>
            <w:noWrap/>
            <w:vAlign w:val="center"/>
            <w:hideMark/>
          </w:tcPr>
          <w:p w14:paraId="2C4FE579"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10232335"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2F0A7056"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shd w:val="clear" w:color="auto" w:fill="C6EFCE"/>
            <w:noWrap/>
            <w:vAlign w:val="center"/>
            <w:hideMark/>
          </w:tcPr>
          <w:p w14:paraId="3E84630B"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1559" w:type="dxa"/>
            <w:shd w:val="clear" w:color="auto" w:fill="C6EFCE"/>
            <w:noWrap/>
            <w:vAlign w:val="center"/>
            <w:hideMark/>
          </w:tcPr>
          <w:p w14:paraId="77D861A1"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2021</w:t>
            </w:r>
          </w:p>
        </w:tc>
        <w:tc>
          <w:tcPr>
            <w:tcW w:w="2936" w:type="dxa"/>
            <w:shd w:val="clear" w:color="auto" w:fill="C6EFCE"/>
            <w:noWrap/>
            <w:vAlign w:val="center"/>
            <w:hideMark/>
          </w:tcPr>
          <w:p w14:paraId="43264603"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operational plan shall define the requirements of projects that may be presented by local entities, which relate to four dimensions: (i) support to parents of children aged 0 to 17 years, (ii) support to elderly autonomy, (iii) home services to elderly, and (iv) support to social workers.</w:t>
            </w:r>
          </w:p>
          <w:p w14:paraId="2E58C9E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action ‘Support to parents’ shall consist, as a minimum, of providing support to recipient families for at least 18 months with (i) a pre-assessment of the family environment and children situation, (ii) an assessment of the situation made a multidisciplinary team of qualified professionals and (iii) provide at least one of the following services: home services, participation to support groups for parents and children; cooperation among schools, families and social services and/or shared family care services.</w:t>
            </w:r>
          </w:p>
          <w:p w14:paraId="1F46F445"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action ‘elderly autonomy’ shall consist, as a minimum, of reconverting retirement homes for elderly people in groups of autonomous apartments, equipped with all necessary facilities and services, including home automation, telemedicine and remote monitoring.</w:t>
            </w:r>
          </w:p>
          <w:p w14:paraId="0015C1E1"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action ‘home services to elderly’ is aimed at providing specific training to professionals for home services to elderly people.</w:t>
            </w:r>
          </w:p>
          <w:p w14:paraId="5DBB7ACD"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action ‘support to social workers’ shall consist of supporting social operators and reinforcing their professionalism and sharing competences, mainly by introducing instruments for sharing competences and provide supervision services to operators to support the work of operators</w:t>
            </w:r>
          </w:p>
        </w:tc>
      </w:tr>
      <w:tr w:rsidR="0039681A" w:rsidRPr="0070054C" w14:paraId="79B52416" w14:textId="77777777">
        <w:trPr>
          <w:trHeight w:val="309"/>
          <w:jc w:val="center"/>
        </w:trPr>
        <w:tc>
          <w:tcPr>
            <w:tcW w:w="1124" w:type="dxa"/>
            <w:shd w:val="clear" w:color="auto" w:fill="C6EFCE"/>
            <w:noWrap/>
            <w:vAlign w:val="center"/>
            <w:hideMark/>
          </w:tcPr>
          <w:p w14:paraId="7A701E43" w14:textId="77777777" w:rsidR="0039681A" w:rsidRPr="00647572" w:rsidRDefault="0039681A">
            <w:pPr>
              <w:spacing w:before="120"/>
              <w:jc w:val="center"/>
              <w:rPr>
                <w:rFonts w:ascii="Arial Narrow" w:eastAsia="Calibri" w:hAnsi="Arial Narrow"/>
                <w:noProof/>
                <w:color w:val="006100"/>
                <w:sz w:val="20"/>
                <w:szCs w:val="20"/>
              </w:rPr>
            </w:pPr>
            <w:r w:rsidRPr="00647572">
              <w:rPr>
                <w:rFonts w:ascii="Arial Narrow" w:hAnsi="Arial Narrow"/>
                <w:noProof/>
                <w:color w:val="006100"/>
                <w:sz w:val="20"/>
              </w:rPr>
              <w:t>M5C2-7</w:t>
            </w:r>
          </w:p>
        </w:tc>
        <w:tc>
          <w:tcPr>
            <w:tcW w:w="1559" w:type="dxa"/>
            <w:shd w:val="clear" w:color="auto" w:fill="C6EFCE"/>
            <w:noWrap/>
            <w:vAlign w:val="center"/>
            <w:hideMark/>
          </w:tcPr>
          <w:p w14:paraId="3A45F0D8" w14:textId="77777777" w:rsidR="0039681A" w:rsidRPr="00A36E36" w:rsidRDefault="0039681A">
            <w:pPr>
              <w:spacing w:before="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2 - Autonomy patterns for people with disabilities</w:t>
            </w:r>
          </w:p>
        </w:tc>
        <w:tc>
          <w:tcPr>
            <w:tcW w:w="1134" w:type="dxa"/>
            <w:shd w:val="clear" w:color="auto" w:fill="C6EFCE"/>
            <w:noWrap/>
            <w:vAlign w:val="center"/>
            <w:hideMark/>
          </w:tcPr>
          <w:p w14:paraId="283555BA"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783" w:type="dxa"/>
            <w:shd w:val="clear" w:color="auto" w:fill="C6EFCE"/>
            <w:noWrap/>
            <w:vAlign w:val="center"/>
            <w:hideMark/>
          </w:tcPr>
          <w:p w14:paraId="21269072" w14:textId="77777777" w:rsidR="0039681A" w:rsidRPr="00A36E36" w:rsidRDefault="0039681A">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Social districts have delivered at least one project in relation to the renovation of home spaces and/or provision of ICT devices to disabled people, accompanied by training on digital skills</w:t>
            </w:r>
          </w:p>
        </w:tc>
        <w:tc>
          <w:tcPr>
            <w:tcW w:w="1400" w:type="dxa"/>
            <w:shd w:val="clear" w:color="auto" w:fill="C6EFCE"/>
            <w:noWrap/>
            <w:vAlign w:val="center"/>
            <w:hideMark/>
          </w:tcPr>
          <w:p w14:paraId="5F803104"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070" w:type="dxa"/>
            <w:shd w:val="clear" w:color="auto" w:fill="C6EFCE"/>
            <w:noWrap/>
            <w:vAlign w:val="center"/>
            <w:hideMark/>
          </w:tcPr>
          <w:p w14:paraId="53E54ADB"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Number</w:t>
            </w:r>
          </w:p>
        </w:tc>
        <w:tc>
          <w:tcPr>
            <w:tcW w:w="992" w:type="dxa"/>
            <w:shd w:val="clear" w:color="auto" w:fill="C6EFCE"/>
            <w:noWrap/>
            <w:vAlign w:val="center"/>
            <w:hideMark/>
          </w:tcPr>
          <w:p w14:paraId="1E759CAF"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0</w:t>
            </w:r>
          </w:p>
        </w:tc>
        <w:tc>
          <w:tcPr>
            <w:tcW w:w="992" w:type="dxa"/>
            <w:shd w:val="clear" w:color="auto" w:fill="C6EFCE"/>
            <w:noWrap/>
            <w:vAlign w:val="center"/>
            <w:hideMark/>
          </w:tcPr>
          <w:p w14:paraId="2108B959"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500</w:t>
            </w:r>
          </w:p>
        </w:tc>
        <w:tc>
          <w:tcPr>
            <w:tcW w:w="851" w:type="dxa"/>
            <w:shd w:val="clear" w:color="auto" w:fill="C6EFCE"/>
            <w:noWrap/>
            <w:vAlign w:val="center"/>
            <w:hideMark/>
          </w:tcPr>
          <w:p w14:paraId="66BB41A7"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1559" w:type="dxa"/>
            <w:shd w:val="clear" w:color="auto" w:fill="C6EFCE"/>
            <w:noWrap/>
            <w:vAlign w:val="center"/>
            <w:hideMark/>
          </w:tcPr>
          <w:p w14:paraId="38D297F5"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2022</w:t>
            </w:r>
          </w:p>
        </w:tc>
        <w:tc>
          <w:tcPr>
            <w:tcW w:w="2936" w:type="dxa"/>
            <w:shd w:val="clear" w:color="auto" w:fill="C6EFCE"/>
            <w:noWrap/>
            <w:vAlign w:val="center"/>
            <w:hideMark/>
          </w:tcPr>
          <w:p w14:paraId="021C6840" w14:textId="77777777" w:rsidR="0039681A" w:rsidRPr="00A36E36" w:rsidRDefault="0039681A">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 xml:space="preserve">At least 500 projects in relation to the renovation of home spaces and/or provision of ICT devices to disabled people, accompanied by training on digital skills is delivered by social districts. </w:t>
            </w:r>
          </w:p>
          <w:p w14:paraId="16D8155A" w14:textId="77777777" w:rsidR="0039681A" w:rsidRPr="00A36E36" w:rsidRDefault="0039681A">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satisfactory fulfilment of the target also depends on the satisfactory fulfilment of a secondary target: at least 500 social districts have delivered at least one project in relation to the renovation of home spaces and/or provision of ICT devices to disabled people, accompanied by training on digital skills.</w:t>
            </w:r>
          </w:p>
          <w:p w14:paraId="7AB7D6B7" w14:textId="77777777" w:rsidR="0039681A" w:rsidRPr="00A36E36" w:rsidRDefault="0039681A">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Delivery of at least one project from at least 500 social districts, which have participated in the non-competitive procedure.</w:t>
            </w:r>
          </w:p>
        </w:tc>
      </w:tr>
      <w:tr w:rsidR="0039681A" w:rsidRPr="0070054C" w14:paraId="5E2D392F" w14:textId="77777777">
        <w:trPr>
          <w:trHeight w:val="309"/>
          <w:jc w:val="center"/>
        </w:trPr>
        <w:tc>
          <w:tcPr>
            <w:tcW w:w="1124" w:type="dxa"/>
            <w:shd w:val="clear" w:color="auto" w:fill="C6EFCE"/>
            <w:noWrap/>
            <w:vAlign w:val="center"/>
            <w:hideMark/>
          </w:tcPr>
          <w:p w14:paraId="353658B4" w14:textId="77777777" w:rsidR="0039681A" w:rsidRPr="00647572" w:rsidRDefault="0039681A">
            <w:pPr>
              <w:spacing w:before="120"/>
              <w:jc w:val="center"/>
              <w:rPr>
                <w:rFonts w:ascii="Arial Narrow" w:eastAsia="Calibri" w:hAnsi="Arial Narrow"/>
                <w:noProof/>
                <w:color w:val="006100"/>
                <w:sz w:val="20"/>
                <w:szCs w:val="20"/>
              </w:rPr>
            </w:pPr>
            <w:r w:rsidRPr="00647572">
              <w:rPr>
                <w:rFonts w:ascii="Arial Narrow" w:hAnsi="Arial Narrow"/>
                <w:noProof/>
                <w:color w:val="006100"/>
                <w:sz w:val="20"/>
              </w:rPr>
              <w:t>M5C2-9</w:t>
            </w:r>
          </w:p>
        </w:tc>
        <w:tc>
          <w:tcPr>
            <w:tcW w:w="1559" w:type="dxa"/>
            <w:shd w:val="clear" w:color="auto" w:fill="C6EFCE"/>
            <w:noWrap/>
            <w:vAlign w:val="center"/>
            <w:hideMark/>
          </w:tcPr>
          <w:p w14:paraId="00F5BCD9" w14:textId="77777777" w:rsidR="0039681A" w:rsidRPr="00A36E36" w:rsidRDefault="0039681A">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3 - Housing First and Post Stations</w:t>
            </w:r>
          </w:p>
        </w:tc>
        <w:tc>
          <w:tcPr>
            <w:tcW w:w="1134" w:type="dxa"/>
            <w:shd w:val="clear" w:color="auto" w:fill="C6EFCE"/>
            <w:noWrap/>
            <w:vAlign w:val="center"/>
            <w:hideMark/>
          </w:tcPr>
          <w:p w14:paraId="6E5A80EF"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783" w:type="dxa"/>
            <w:shd w:val="clear" w:color="auto" w:fill="C6EFCE"/>
            <w:noWrap/>
            <w:vAlign w:val="center"/>
            <w:hideMark/>
          </w:tcPr>
          <w:p w14:paraId="21114232" w14:textId="77777777" w:rsidR="0039681A" w:rsidRPr="00A36E36" w:rsidRDefault="0039681A">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Entry into force of the operational Plan regarding projects on Housing First and Post Stations, defining the requirements of projects that can be presented by local entities, and launch of call for proposal</w:t>
            </w:r>
          </w:p>
        </w:tc>
        <w:tc>
          <w:tcPr>
            <w:tcW w:w="1400" w:type="dxa"/>
            <w:shd w:val="clear" w:color="auto" w:fill="C6EFCE"/>
            <w:noWrap/>
            <w:vAlign w:val="center"/>
            <w:hideMark/>
          </w:tcPr>
          <w:p w14:paraId="2E253070" w14:textId="77777777" w:rsidR="0039681A" w:rsidRPr="00A36E36" w:rsidRDefault="0039681A">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Provisions in the law indicating the entry into force of the Operational plan of interventions</w:t>
            </w:r>
          </w:p>
        </w:tc>
        <w:tc>
          <w:tcPr>
            <w:tcW w:w="1070" w:type="dxa"/>
            <w:shd w:val="clear" w:color="auto" w:fill="C6EFCE"/>
            <w:noWrap/>
            <w:vAlign w:val="center"/>
            <w:hideMark/>
          </w:tcPr>
          <w:p w14:paraId="63BFFBF9"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57325DA4"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423F42C8"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851" w:type="dxa"/>
            <w:shd w:val="clear" w:color="auto" w:fill="C6EFCE"/>
            <w:noWrap/>
            <w:vAlign w:val="center"/>
            <w:hideMark/>
          </w:tcPr>
          <w:p w14:paraId="0FF1C335"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Q1</w:t>
            </w:r>
          </w:p>
        </w:tc>
        <w:tc>
          <w:tcPr>
            <w:tcW w:w="1559" w:type="dxa"/>
            <w:shd w:val="clear" w:color="auto" w:fill="C6EFCE"/>
            <w:noWrap/>
            <w:vAlign w:val="center"/>
            <w:hideMark/>
          </w:tcPr>
          <w:p w14:paraId="48DA85D8"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2022</w:t>
            </w:r>
          </w:p>
        </w:tc>
        <w:tc>
          <w:tcPr>
            <w:tcW w:w="2936" w:type="dxa"/>
            <w:shd w:val="clear" w:color="auto" w:fill="C6EFCE"/>
            <w:noWrap/>
            <w:vAlign w:val="center"/>
            <w:hideMark/>
          </w:tcPr>
          <w:p w14:paraId="024D9527" w14:textId="77777777" w:rsidR="0039681A" w:rsidRPr="00A36E36" w:rsidRDefault="0039681A">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operational Plan regarding projects on Housing First and Post Stations, shall define the requirements of projects that may be presented by local entities, and launch of call for proposal.</w:t>
            </w:r>
          </w:p>
          <w:p w14:paraId="755F98EF" w14:textId="77777777" w:rsidR="0039681A" w:rsidRPr="00A36E36" w:rsidRDefault="0039681A">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Projects on Housing First envisage that local entities make flats available for single individuals, small groups or families up to 24 months, preferably through buildings’ refurbishment and renovation of State property. This shall be complemented by development and autonomy programmes.</w:t>
            </w:r>
          </w:p>
          <w:p w14:paraId="6F7B09A0" w14:textId="77777777" w:rsidR="0039681A" w:rsidRPr="00A36E36" w:rsidRDefault="0039681A">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Projects on Post Stations envisage the development of service and inclusion centres for homeless people. This shall be complemented by job placement programmes, in collaboration with employment centres.</w:t>
            </w:r>
          </w:p>
        </w:tc>
      </w:tr>
    </w:tbl>
    <w:p w14:paraId="07F795DF" w14:textId="77777777" w:rsidR="0039681A" w:rsidRPr="00A36E36" w:rsidRDefault="0039681A" w:rsidP="00351087">
      <w:pPr>
        <w:spacing w:before="120" w:after="120"/>
        <w:jc w:val="both"/>
        <w:rPr>
          <w:rFonts w:ascii="Times New Roman" w:hAnsi="Times New Roman" w:cs="Times New Roman"/>
          <w:noProof/>
          <w:lang w:val="en-IE"/>
        </w:rPr>
        <w:sectPr w:rsidR="0039681A" w:rsidRPr="00A36E36" w:rsidSect="0039681A">
          <w:headerReference w:type="even" r:id="rId201"/>
          <w:headerReference w:type="default" r:id="rId202"/>
          <w:footerReference w:type="default" r:id="rId203"/>
          <w:headerReference w:type="first" r:id="rId204"/>
          <w:pgSz w:w="16838" w:h="11906" w:orient="landscape"/>
          <w:pgMar w:top="1134" w:right="1134" w:bottom="1134" w:left="1134" w:header="567" w:footer="567" w:gutter="0"/>
          <w:cols w:space="708"/>
          <w:docGrid w:linePitch="360"/>
        </w:sectPr>
      </w:pPr>
    </w:p>
    <w:p w14:paraId="403D3EAA" w14:textId="77777777" w:rsidR="0039681A" w:rsidRPr="00A36E36" w:rsidRDefault="0039681A" w:rsidP="00351087">
      <w:pPr>
        <w:pStyle w:val="Heading3"/>
        <w:numPr>
          <w:ilvl w:val="2"/>
          <w:numId w:val="0"/>
        </w:numPr>
        <w:ind w:left="850" w:hanging="850"/>
        <w:rPr>
          <w:rFonts w:ascii="Times New Roman" w:hAnsi="Times New Roman" w:cs="Times New Roman"/>
          <w:b/>
          <w:i/>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M.3.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the loan</w:t>
      </w:r>
    </w:p>
    <w:p w14:paraId="0899D182" w14:textId="77777777" w:rsidR="0039681A" w:rsidRPr="00A36E36" w:rsidRDefault="0039681A" w:rsidP="0035108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1 - Supporting vulnerable people and preventing institutionalization</w:t>
      </w:r>
    </w:p>
    <w:p w14:paraId="10072239" w14:textId="77777777" w:rsidR="0039681A" w:rsidRPr="00A36E36" w:rsidRDefault="0039681A" w:rsidP="00351087">
      <w:pPr>
        <w:spacing w:before="120" w:after="120"/>
        <w:jc w:val="both"/>
        <w:rPr>
          <w:rFonts w:ascii="Arial Narrow" w:hAnsi="Arial Narrow"/>
          <w:noProof/>
          <w:color w:val="006100"/>
          <w:sz w:val="20"/>
          <w:szCs w:val="20"/>
          <w:lang w:val="en-IE"/>
        </w:rPr>
      </w:pPr>
      <w:r w:rsidRPr="00A36E36">
        <w:rPr>
          <w:rFonts w:ascii="Times New Roman" w:hAnsi="Times New Roman" w:cs="Times New Roman"/>
          <w:noProof/>
          <w:lang w:val="en-IE"/>
        </w:rPr>
        <w:t xml:space="preserve">The objective of this measure is to support vulnerable people and prevent institutionalisation. This measure consists of interventions for vulnerable families and children, elderly people and social workers in at least 498 of the Italian social districts. </w:t>
      </w:r>
    </w:p>
    <w:p w14:paraId="7CB8AECF" w14:textId="77777777" w:rsidR="0039681A" w:rsidRPr="00A36E36" w:rsidRDefault="0039681A" w:rsidP="0035108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2 - Autonomy patterns for people with disabilities</w:t>
      </w:r>
    </w:p>
    <w:p w14:paraId="54172DB0" w14:textId="37ECAB5B" w:rsidR="0039681A" w:rsidRPr="00A36E36" w:rsidRDefault="0039681A" w:rsidP="00351087">
      <w:pPr>
        <w:spacing w:before="120" w:after="120"/>
        <w:jc w:val="both"/>
        <w:rPr>
          <w:rFonts w:ascii="Times New Roman" w:hAnsi="Times New Roman" w:cs="Times New Roman"/>
          <w:noProof/>
          <w:lang w:val="en-IE"/>
        </w:rPr>
      </w:pPr>
      <w:r w:rsidRPr="54F9E624">
        <w:rPr>
          <w:rFonts w:ascii="Times New Roman" w:hAnsi="Times New Roman" w:cs="Times New Roman"/>
          <w:noProof/>
          <w:lang w:val="en-IE"/>
        </w:rPr>
        <w:t>The objective of this measure is to increase the autonomy of people with disabilities, accelerating the process of de-institutionalisation. The measure consists in providing access to housing, and/or digital technology and training.</w:t>
      </w:r>
    </w:p>
    <w:p w14:paraId="1840A7C2"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3 - Housing First and Post Stations</w:t>
      </w:r>
    </w:p>
    <w:p w14:paraId="037089C2" w14:textId="0D768C51" w:rsidR="0039681A" w:rsidRPr="00A36E36" w:rsidRDefault="0039681A" w:rsidP="00351087">
      <w:pPr>
        <w:spacing w:before="120" w:after="120"/>
        <w:jc w:val="both"/>
        <w:rPr>
          <w:rFonts w:ascii="Times New Roman" w:hAnsi="Times New Roman" w:cs="Times New Roman"/>
          <w:noProof/>
          <w:lang w:val="en-IE"/>
        </w:rPr>
      </w:pPr>
      <w:r w:rsidRPr="54F9E624">
        <w:rPr>
          <w:rFonts w:ascii="Times New Roman" w:hAnsi="Times New Roman" w:cs="Times New Roman"/>
          <w:noProof/>
          <w:lang w:val="en-IE"/>
        </w:rPr>
        <w:t xml:space="preserve">The objective of this measure is to protect and support the inclusion of marginalised people. The measure consists in two types of arrangements: the ‘housing first’ solutions, which involve municipalities providing tailored projects and accommodation to individuals, small groups or families up to 24 months; and the ‘post stations’ solutions, which consist of service and inclusion centres for </w:t>
      </w:r>
      <w:r w:rsidRPr="54F9E624">
        <w:rPr>
          <w:rFonts w:ascii="Times New Roman" w:eastAsia="Times New Roman" w:hAnsi="Times New Roman" w:cs="Times New Roman"/>
          <w:noProof/>
          <w:lang w:val="en-IE"/>
        </w:rPr>
        <w:t>people experiencing conditions that may include but are not limited to severe material deprivation or homelessness, or in conditions of extreme marginalization</w:t>
      </w:r>
      <w:r w:rsidRPr="54F9E624">
        <w:rPr>
          <w:rFonts w:ascii="Times New Roman" w:hAnsi="Times New Roman" w:cs="Times New Roman"/>
          <w:noProof/>
          <w:lang w:val="en-IE"/>
        </w:rPr>
        <w:t xml:space="preserve">, offering essential services such as basic goods and mail distribution, meals and healthcare. </w:t>
      </w:r>
    </w:p>
    <w:p w14:paraId="0F618782" w14:textId="77777777" w:rsidR="0039681A" w:rsidRPr="00A36E36" w:rsidRDefault="0039681A" w:rsidP="00351087">
      <w:pPr>
        <w:spacing w:before="120" w:after="120"/>
        <w:jc w:val="both"/>
        <w:rPr>
          <w:rFonts w:ascii="Times New Roman" w:hAnsi="Times New Roman" w:cs="Times New Roman"/>
          <w:b/>
          <w:bCs/>
          <w:noProof/>
          <w:u w:val="single"/>
          <w:lang w:val="en-IE"/>
        </w:rPr>
      </w:pPr>
      <w:r w:rsidRPr="00A36E36">
        <w:rPr>
          <w:rFonts w:ascii="Times New Roman" w:hAnsi="Times New Roman" w:cs="Times New Roman"/>
          <w:b/>
          <w:noProof/>
          <w:lang w:val="en-IE"/>
        </w:rPr>
        <w:t>Investment 4 - Investments in projects of urban regeneration, aimed at reducing situations of marginalization and social degradation</w:t>
      </w:r>
    </w:p>
    <w:p w14:paraId="2B984A43" w14:textId="2807AA91" w:rsidR="0039681A" w:rsidRPr="00A36E36" w:rsidRDefault="0039681A" w:rsidP="00351087">
      <w:pPr>
        <w:spacing w:before="120" w:after="120"/>
        <w:jc w:val="both"/>
        <w:rPr>
          <w:rFonts w:ascii="Times New Roman" w:eastAsia="Calibri" w:hAnsi="Times New Roman" w:cs="Times New Roman"/>
          <w:noProof/>
          <w:lang w:val="en-IE"/>
        </w:rPr>
      </w:pPr>
      <w:r w:rsidRPr="332E0D64">
        <w:rPr>
          <w:rFonts w:ascii="Times New Roman" w:hAnsi="Times New Roman" w:cs="Times New Roman"/>
          <w:noProof/>
          <w:lang w:val="en-IE"/>
        </w:rPr>
        <w:t>The objective of this measure is to reduce marginalisation and social degradation by increasing the social and environmental quality of municipalities, as well as access to social and cultural services. The investment consists in</w:t>
      </w:r>
      <w:r w:rsidR="00381DB1">
        <w:rPr>
          <w:rFonts w:ascii="Times New Roman" w:hAnsi="Times New Roman" w:cs="Times New Roman"/>
          <w:noProof/>
          <w:lang w:val="en-IE"/>
        </w:rPr>
        <w:t xml:space="preserve"> </w:t>
      </w:r>
      <w:r w:rsidRPr="332E0D64">
        <w:rPr>
          <w:rFonts w:ascii="Times New Roman" w:hAnsi="Times New Roman" w:cs="Times New Roman"/>
          <w:noProof/>
          <w:lang w:val="en-IE"/>
        </w:rPr>
        <w:t>supporting projects of urban regeneration which may include but are not limited to interventions in public areas,</w:t>
      </w:r>
      <w:r w:rsidR="00381DB1">
        <w:rPr>
          <w:rFonts w:ascii="Times New Roman" w:hAnsi="Times New Roman" w:cs="Times New Roman"/>
          <w:noProof/>
          <w:lang w:val="en-IE"/>
        </w:rPr>
        <w:t xml:space="preserve"> </w:t>
      </w:r>
      <w:r w:rsidRPr="332E0D64">
        <w:rPr>
          <w:rFonts w:ascii="Times New Roman" w:hAnsi="Times New Roman" w:cs="Times New Roman"/>
          <w:noProof/>
          <w:lang w:val="en-IE"/>
        </w:rPr>
        <w:t>buildings, or for sustainable mobility..</w:t>
      </w:r>
    </w:p>
    <w:p w14:paraId="0C65C37C" w14:textId="77777777" w:rsidR="0039681A" w:rsidRPr="00A36E36" w:rsidRDefault="0039681A" w:rsidP="00351087">
      <w:pPr>
        <w:spacing w:before="120" w:after="120"/>
        <w:jc w:val="both"/>
        <w:rPr>
          <w:rFonts w:ascii="Times New Roman" w:eastAsia="Calibri" w:hAnsi="Times New Roman" w:cs="Times New Roman"/>
          <w:b/>
          <w:bCs/>
          <w:noProof/>
          <w:lang w:val="en-IE"/>
        </w:rPr>
      </w:pPr>
      <w:r w:rsidRPr="6D16DF82">
        <w:rPr>
          <w:rFonts w:ascii="Times New Roman" w:hAnsi="Times New Roman" w:cs="Times New Roman"/>
          <w:b/>
          <w:bCs/>
          <w:noProof/>
          <w:lang w:val="en-IE"/>
        </w:rPr>
        <w:t>Investment 5 - Urban Integration Plans (general projects and Overcoming illegal settlements to fight labour exploitation in agriculture)</w:t>
      </w:r>
    </w:p>
    <w:p w14:paraId="3709290A" w14:textId="0BB185A9" w:rsidR="0039681A" w:rsidRPr="00A36E36" w:rsidRDefault="0039681A" w:rsidP="00351087">
      <w:pPr>
        <w:spacing w:before="120" w:after="120"/>
        <w:jc w:val="both"/>
        <w:rPr>
          <w:rFonts w:ascii="Times New Roman" w:hAnsi="Times New Roman" w:cs="Times New Roman"/>
          <w:noProof/>
          <w:lang w:val="en-IE"/>
        </w:rPr>
      </w:pPr>
      <w:r w:rsidRPr="0C82FC70">
        <w:rPr>
          <w:rFonts w:ascii="Times New Roman" w:hAnsi="Times New Roman" w:cs="Times New Roman"/>
          <w:noProof/>
          <w:lang w:val="en-IE"/>
        </w:rPr>
        <w:t>The objective of this measure is to regenerate large degraded urban areas. This investment entails three types of interventions: (I)</w:t>
      </w:r>
      <w:r w:rsidR="00381DB1">
        <w:rPr>
          <w:rFonts w:ascii="Times New Roman" w:hAnsi="Times New Roman" w:cs="Times New Roman"/>
          <w:noProof/>
          <w:lang w:val="en-IE"/>
        </w:rPr>
        <w:t xml:space="preserve"> </w:t>
      </w:r>
      <w:r w:rsidRPr="0C82FC70">
        <w:rPr>
          <w:rFonts w:ascii="Times New Roman" w:hAnsi="Times New Roman" w:cs="Times New Roman"/>
          <w:noProof/>
          <w:lang w:val="en-IE"/>
        </w:rPr>
        <w:t>urban integrated plan projects</w:t>
      </w:r>
      <w:r w:rsidR="00381DB1">
        <w:rPr>
          <w:rFonts w:ascii="Times New Roman" w:hAnsi="Times New Roman" w:cs="Times New Roman"/>
          <w:noProof/>
          <w:lang w:val="en-IE"/>
        </w:rPr>
        <w:t xml:space="preserve"> </w:t>
      </w:r>
      <w:r w:rsidRPr="0C82FC70">
        <w:rPr>
          <w:rFonts w:ascii="Times New Roman" w:hAnsi="Times New Roman" w:cs="Times New Roman"/>
          <w:noProof/>
          <w:lang w:val="en-IE"/>
        </w:rPr>
        <w:t>, ; (II) housing solutions to overcome illegal settlements; (III) a thematic fund (Fund of Funds), in collaboration with the EIB, to encourage private investment in urban regeneration initiatives that support the climate and digital transitions.</w:t>
      </w:r>
    </w:p>
    <w:p w14:paraId="757838ED" w14:textId="77777777" w:rsidR="0039681A" w:rsidRPr="00A36E36" w:rsidRDefault="0039681A" w:rsidP="0035108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6 - Innovative Plan for Housing Quality</w:t>
      </w:r>
    </w:p>
    <w:p w14:paraId="202CC334" w14:textId="02C658C9" w:rsidR="0039681A" w:rsidRPr="00A36E36" w:rsidRDefault="0039681A" w:rsidP="00351087">
      <w:pPr>
        <w:spacing w:before="120" w:after="120"/>
        <w:jc w:val="both"/>
        <w:rPr>
          <w:rFonts w:ascii="Times New Roman" w:hAnsi="Times New Roman" w:cs="Times New Roman"/>
          <w:noProof/>
          <w:lang w:val="en-IE"/>
        </w:rPr>
      </w:pPr>
      <w:r w:rsidRPr="54F9E624">
        <w:rPr>
          <w:rFonts w:ascii="Times New Roman" w:hAnsi="Times New Roman" w:cs="Times New Roman"/>
          <w:noProof/>
          <w:lang w:val="en-IE"/>
        </w:rPr>
        <w:t>The objective of this measure is to increase the quality or the quantity of public housing and to renovate degraded areas. The investment consists in: (I) renovation (including energy efficiency interventions) and expansion of public housing; (II) regeneration of urban spaces and public and private properties.</w:t>
      </w:r>
    </w:p>
    <w:p w14:paraId="704952F7" w14:textId="77777777" w:rsidR="0039681A" w:rsidRPr="00A36E36" w:rsidRDefault="0039681A" w:rsidP="0035108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7 - Sport and Social Inclusion</w:t>
      </w:r>
    </w:p>
    <w:p w14:paraId="4800CCF5" w14:textId="1394CD49" w:rsidR="0039681A" w:rsidRPr="00A36E36" w:rsidRDefault="0039681A" w:rsidP="00351087">
      <w:pPr>
        <w:spacing w:before="120" w:after="120"/>
        <w:jc w:val="both"/>
        <w:rPr>
          <w:rFonts w:ascii="Times New Roman" w:hAnsi="Times New Roman" w:cs="Times New Roman"/>
          <w:noProof/>
          <w:lang w:val="en-IE"/>
        </w:rPr>
      </w:pPr>
      <w:r w:rsidRPr="54F9E624">
        <w:rPr>
          <w:rFonts w:ascii="Times New Roman" w:hAnsi="Times New Roman" w:cs="Times New Roman"/>
          <w:noProof/>
          <w:lang w:val="en-IE"/>
        </w:rPr>
        <w:t>The objective of this measure is to regenerate sport facilities and their sorroundings in urban areas. The investment consists in supporting the construction</w:t>
      </w:r>
      <w:r w:rsidR="00381DB1">
        <w:rPr>
          <w:rFonts w:ascii="Times New Roman" w:hAnsi="Times New Roman" w:cs="Times New Roman"/>
          <w:noProof/>
          <w:lang w:val="en-IE"/>
        </w:rPr>
        <w:t xml:space="preserve"> </w:t>
      </w:r>
      <w:r w:rsidRPr="54F9E624">
        <w:rPr>
          <w:rFonts w:ascii="Times New Roman" w:hAnsi="Times New Roman" w:cs="Times New Roman"/>
          <w:noProof/>
          <w:lang w:val="en-IE"/>
        </w:rPr>
        <w:t>or renovation of sport facilities.</w:t>
      </w:r>
    </w:p>
    <w:p w14:paraId="61C3BD53" w14:textId="77777777" w:rsidR="0039681A" w:rsidRPr="00A36E36" w:rsidRDefault="0039681A" w:rsidP="00351087">
      <w:pPr>
        <w:spacing w:before="120" w:after="120"/>
        <w:jc w:val="both"/>
        <w:rPr>
          <w:rFonts w:ascii="Times New Roman" w:hAnsi="Times New Roman" w:cs="Times New Roman"/>
          <w:noProof/>
          <w:lang w:val="en-IE"/>
        </w:rPr>
      </w:pPr>
    </w:p>
    <w:p w14:paraId="2D430FB1" w14:textId="77777777" w:rsidR="0039681A" w:rsidRPr="00A36E36" w:rsidRDefault="0039681A" w:rsidP="00351087">
      <w:pPr>
        <w:spacing w:before="120" w:after="120"/>
        <w:jc w:val="both"/>
        <w:rPr>
          <w:rFonts w:ascii="Times New Roman" w:hAnsi="Times New Roman" w:cs="Times New Roman"/>
          <w:noProof/>
          <w:lang w:val="en-IE"/>
        </w:rPr>
        <w:sectPr w:rsidR="0039681A" w:rsidRPr="00A36E36" w:rsidSect="0039681A">
          <w:headerReference w:type="even" r:id="rId205"/>
          <w:headerReference w:type="default" r:id="rId206"/>
          <w:footerReference w:type="default" r:id="rId207"/>
          <w:headerReference w:type="first" r:id="rId208"/>
          <w:pgSz w:w="11906" w:h="16838"/>
          <w:pgMar w:top="1134" w:right="1134" w:bottom="1134" w:left="1134" w:header="567" w:footer="567" w:gutter="0"/>
          <w:cols w:space="708"/>
          <w:docGrid w:linePitch="360"/>
        </w:sectPr>
      </w:pPr>
    </w:p>
    <w:p w14:paraId="00BDBA6B" w14:textId="77777777" w:rsidR="0039681A" w:rsidRPr="00A36E36" w:rsidRDefault="0039681A" w:rsidP="00351087">
      <w:pPr>
        <w:pStyle w:val="Heading3"/>
        <w:numPr>
          <w:ilvl w:val="2"/>
          <w:numId w:val="0"/>
        </w:numPr>
        <w:ind w:left="850" w:hanging="850"/>
        <w:rPr>
          <w:rFonts w:ascii="Times New Roman" w:hAnsi="Times New Roman" w:cs="Times New Roman"/>
          <w:b/>
          <w:i/>
          <w:noProof/>
          <w:sz w:val="24"/>
          <w:szCs w:val="24"/>
          <w:u w:val="single"/>
          <w:lang w:val="en-IE"/>
        </w:rPr>
      </w:pPr>
      <w:r w:rsidRPr="00A36E36">
        <w:rPr>
          <w:rFonts w:ascii="Times New Roman" w:hAnsi="Times New Roman" w:cs="Times New Roman"/>
          <w:b/>
          <w:noProof/>
          <w:sz w:val="24"/>
          <w:szCs w:val="24"/>
          <w:u w:val="single"/>
          <w:lang w:val="en-IE"/>
        </w:rPr>
        <w:t xml:space="preserve">M.4.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the loan</w:t>
      </w:r>
    </w:p>
    <w:tbl>
      <w:tblPr>
        <w:tblW w:w="14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0"/>
        <w:gridCol w:w="1511"/>
        <w:gridCol w:w="973"/>
        <w:gridCol w:w="1320"/>
        <w:gridCol w:w="1320"/>
        <w:gridCol w:w="1092"/>
        <w:gridCol w:w="1092"/>
        <w:gridCol w:w="1133"/>
        <w:gridCol w:w="1078"/>
        <w:gridCol w:w="1038"/>
        <w:gridCol w:w="3143"/>
      </w:tblGrid>
      <w:tr w:rsidR="0039681A" w:rsidRPr="0070054C" w14:paraId="17F5827B" w14:textId="77777777" w:rsidTr="0030508A">
        <w:trPr>
          <w:tblHeader/>
          <w:jc w:val="center"/>
        </w:trPr>
        <w:tc>
          <w:tcPr>
            <w:tcW w:w="1120" w:type="dxa"/>
            <w:vMerge w:val="restart"/>
            <w:shd w:val="clear" w:color="auto" w:fill="BDD7EE"/>
            <w:vAlign w:val="center"/>
            <w:hideMark/>
          </w:tcPr>
          <w:p w14:paraId="24D86839" w14:textId="77777777" w:rsidR="0039681A" w:rsidRPr="00647572" w:rsidRDefault="0039681A">
            <w:pPr>
              <w:jc w:val="center"/>
              <w:rPr>
                <w:rFonts w:ascii="Arial Narrow" w:hAnsi="Arial Narrow"/>
                <w:b/>
                <w:noProof/>
                <w:color w:val="000000"/>
                <w:sz w:val="20"/>
                <w:szCs w:val="20"/>
              </w:rPr>
            </w:pPr>
            <w:r w:rsidRPr="00647572">
              <w:rPr>
                <w:rFonts w:ascii="Arial Narrow" w:hAnsi="Arial Narrow"/>
                <w:b/>
                <w:noProof/>
                <w:color w:val="000000"/>
                <w:sz w:val="20"/>
              </w:rPr>
              <w:t>Sequential Number</w:t>
            </w:r>
          </w:p>
        </w:tc>
        <w:tc>
          <w:tcPr>
            <w:tcW w:w="1511" w:type="dxa"/>
            <w:vMerge w:val="restart"/>
            <w:shd w:val="clear" w:color="auto" w:fill="BDD7EE"/>
            <w:vAlign w:val="center"/>
            <w:hideMark/>
          </w:tcPr>
          <w:p w14:paraId="1D2323E5" w14:textId="77777777" w:rsidR="0039681A" w:rsidRPr="00A36E36" w:rsidRDefault="0039681A">
            <w:pPr>
              <w:jc w:val="center"/>
              <w:rPr>
                <w:rFonts w:ascii="Arial Narrow" w:hAnsi="Arial Narrow"/>
                <w:b/>
                <w:noProof/>
                <w:color w:val="000000"/>
                <w:sz w:val="20"/>
                <w:szCs w:val="20"/>
                <w:lang w:val="en-IE"/>
              </w:rPr>
            </w:pPr>
            <w:r w:rsidRPr="00A36E36">
              <w:rPr>
                <w:rFonts w:ascii="Arial Narrow" w:hAnsi="Arial Narrow"/>
                <w:b/>
                <w:noProof/>
                <w:color w:val="000000"/>
                <w:sz w:val="20"/>
                <w:lang w:val="en-IE"/>
              </w:rPr>
              <w:t>Related Measure (Reform or Investment)</w:t>
            </w:r>
          </w:p>
        </w:tc>
        <w:tc>
          <w:tcPr>
            <w:tcW w:w="973" w:type="dxa"/>
            <w:vMerge w:val="restart"/>
            <w:shd w:val="clear" w:color="auto" w:fill="BDD7EE"/>
            <w:vAlign w:val="center"/>
            <w:hideMark/>
          </w:tcPr>
          <w:p w14:paraId="6824C777" w14:textId="77777777" w:rsidR="0039681A" w:rsidRPr="00647572" w:rsidRDefault="0039681A">
            <w:pPr>
              <w:jc w:val="center"/>
              <w:rPr>
                <w:rFonts w:ascii="Arial Narrow" w:hAnsi="Arial Narrow"/>
                <w:b/>
                <w:noProof/>
                <w:color w:val="000000"/>
                <w:sz w:val="20"/>
                <w:szCs w:val="20"/>
              </w:rPr>
            </w:pPr>
            <w:r w:rsidRPr="00647572">
              <w:rPr>
                <w:rFonts w:ascii="Arial Narrow" w:hAnsi="Arial Narrow"/>
                <w:b/>
                <w:noProof/>
                <w:color w:val="000000"/>
                <w:sz w:val="20"/>
              </w:rPr>
              <w:t>Milestone /Target</w:t>
            </w:r>
          </w:p>
        </w:tc>
        <w:tc>
          <w:tcPr>
            <w:tcW w:w="1320" w:type="dxa"/>
            <w:vMerge w:val="restart"/>
            <w:shd w:val="clear" w:color="auto" w:fill="BDD7EE"/>
            <w:vAlign w:val="center"/>
            <w:hideMark/>
          </w:tcPr>
          <w:p w14:paraId="66051C6C" w14:textId="77777777" w:rsidR="0039681A" w:rsidRPr="00647572" w:rsidRDefault="0039681A">
            <w:pPr>
              <w:jc w:val="center"/>
              <w:rPr>
                <w:rFonts w:ascii="Arial Narrow" w:hAnsi="Arial Narrow"/>
                <w:b/>
                <w:noProof/>
                <w:color w:val="000000"/>
                <w:sz w:val="20"/>
                <w:szCs w:val="20"/>
              </w:rPr>
            </w:pPr>
            <w:r w:rsidRPr="00647572">
              <w:rPr>
                <w:rFonts w:ascii="Arial Narrow" w:hAnsi="Arial Narrow"/>
                <w:b/>
                <w:noProof/>
                <w:color w:val="000000"/>
                <w:sz w:val="20"/>
              </w:rPr>
              <w:t>Name</w:t>
            </w:r>
          </w:p>
        </w:tc>
        <w:tc>
          <w:tcPr>
            <w:tcW w:w="1320" w:type="dxa"/>
            <w:vMerge w:val="restart"/>
            <w:shd w:val="clear" w:color="auto" w:fill="BDD7EE"/>
            <w:vAlign w:val="center"/>
            <w:hideMark/>
          </w:tcPr>
          <w:p w14:paraId="6D204AE0" w14:textId="77777777" w:rsidR="0039681A" w:rsidRPr="00647572" w:rsidRDefault="0039681A">
            <w:pPr>
              <w:jc w:val="center"/>
              <w:rPr>
                <w:rFonts w:ascii="Arial Narrow" w:hAnsi="Arial Narrow"/>
                <w:b/>
                <w:noProof/>
                <w:color w:val="000000"/>
                <w:sz w:val="20"/>
                <w:szCs w:val="20"/>
              </w:rPr>
            </w:pPr>
            <w:r w:rsidRPr="00647572">
              <w:rPr>
                <w:rFonts w:ascii="Arial Narrow" w:hAnsi="Arial Narrow"/>
                <w:b/>
                <w:noProof/>
                <w:color w:val="000000"/>
                <w:sz w:val="20"/>
              </w:rPr>
              <w:t>Qualitative indicators (for milestones)</w:t>
            </w:r>
          </w:p>
        </w:tc>
        <w:tc>
          <w:tcPr>
            <w:tcW w:w="3317" w:type="dxa"/>
            <w:gridSpan w:val="3"/>
            <w:shd w:val="clear" w:color="auto" w:fill="BDD7EE"/>
            <w:vAlign w:val="center"/>
            <w:hideMark/>
          </w:tcPr>
          <w:p w14:paraId="0AE565F2" w14:textId="77777777" w:rsidR="0039681A" w:rsidRPr="00647572" w:rsidRDefault="0039681A">
            <w:pPr>
              <w:jc w:val="center"/>
              <w:rPr>
                <w:rFonts w:ascii="Arial Narrow" w:hAnsi="Arial Narrow"/>
                <w:b/>
                <w:noProof/>
                <w:color w:val="000000"/>
                <w:sz w:val="20"/>
                <w:szCs w:val="20"/>
              </w:rPr>
            </w:pPr>
            <w:r w:rsidRPr="00647572">
              <w:rPr>
                <w:rFonts w:ascii="Arial Narrow" w:hAnsi="Arial Narrow"/>
                <w:b/>
                <w:noProof/>
                <w:color w:val="000000"/>
                <w:sz w:val="20"/>
              </w:rPr>
              <w:t>Quantitative indicators (for targets)</w:t>
            </w:r>
          </w:p>
        </w:tc>
        <w:tc>
          <w:tcPr>
            <w:tcW w:w="2116" w:type="dxa"/>
            <w:gridSpan w:val="2"/>
            <w:shd w:val="clear" w:color="auto" w:fill="BDD7EE"/>
            <w:vAlign w:val="center"/>
            <w:hideMark/>
          </w:tcPr>
          <w:p w14:paraId="1D849E0D" w14:textId="77777777" w:rsidR="0039681A" w:rsidRPr="00647572" w:rsidRDefault="0039681A">
            <w:pPr>
              <w:jc w:val="center"/>
              <w:rPr>
                <w:rFonts w:ascii="Arial Narrow" w:hAnsi="Arial Narrow"/>
                <w:b/>
                <w:noProof/>
                <w:color w:val="000000"/>
                <w:sz w:val="20"/>
                <w:szCs w:val="20"/>
              </w:rPr>
            </w:pPr>
            <w:r w:rsidRPr="00647572">
              <w:rPr>
                <w:rFonts w:ascii="Arial Narrow" w:hAnsi="Arial Narrow"/>
                <w:b/>
                <w:noProof/>
                <w:color w:val="000000"/>
                <w:sz w:val="20"/>
              </w:rPr>
              <w:t>Indicative timeline for completion</w:t>
            </w:r>
          </w:p>
        </w:tc>
        <w:tc>
          <w:tcPr>
            <w:tcW w:w="3143" w:type="dxa"/>
            <w:vMerge w:val="restart"/>
            <w:shd w:val="clear" w:color="auto" w:fill="BDD7EE"/>
            <w:vAlign w:val="center"/>
            <w:hideMark/>
          </w:tcPr>
          <w:p w14:paraId="03B027DA" w14:textId="77777777" w:rsidR="0039681A" w:rsidRPr="00A36E36" w:rsidRDefault="0039681A">
            <w:pPr>
              <w:jc w:val="center"/>
              <w:rPr>
                <w:rFonts w:ascii="Arial Narrow" w:hAnsi="Arial Narrow"/>
                <w:b/>
                <w:noProof/>
                <w:color w:val="000000"/>
                <w:sz w:val="20"/>
                <w:szCs w:val="20"/>
                <w:lang w:val="en-IE"/>
              </w:rPr>
            </w:pPr>
            <w:r w:rsidRPr="00A36E36">
              <w:rPr>
                <w:rFonts w:ascii="Arial Narrow" w:hAnsi="Arial Narrow"/>
                <w:b/>
                <w:noProof/>
                <w:color w:val="000000"/>
                <w:sz w:val="20"/>
                <w:lang w:val="en-IE"/>
              </w:rPr>
              <w:t>Description of each milestone and target</w:t>
            </w:r>
          </w:p>
        </w:tc>
      </w:tr>
      <w:tr w:rsidR="0039681A" w:rsidRPr="00647572" w14:paraId="63EF462C" w14:textId="77777777" w:rsidTr="0030508A">
        <w:trPr>
          <w:tblHeader/>
          <w:jc w:val="center"/>
        </w:trPr>
        <w:tc>
          <w:tcPr>
            <w:tcW w:w="1120" w:type="dxa"/>
            <w:vMerge/>
            <w:vAlign w:val="center"/>
            <w:hideMark/>
          </w:tcPr>
          <w:p w14:paraId="409B6992" w14:textId="77777777" w:rsidR="0039681A" w:rsidRPr="00A36E36" w:rsidRDefault="0039681A">
            <w:pPr>
              <w:jc w:val="center"/>
              <w:rPr>
                <w:rFonts w:ascii="Arial Narrow" w:hAnsi="Arial Narrow"/>
                <w:b/>
                <w:noProof/>
                <w:color w:val="000000"/>
                <w:sz w:val="20"/>
                <w:szCs w:val="20"/>
                <w:lang w:val="en-IE"/>
              </w:rPr>
            </w:pPr>
          </w:p>
        </w:tc>
        <w:tc>
          <w:tcPr>
            <w:tcW w:w="1511" w:type="dxa"/>
            <w:vMerge/>
            <w:vAlign w:val="center"/>
            <w:hideMark/>
          </w:tcPr>
          <w:p w14:paraId="252DEB6B" w14:textId="77777777" w:rsidR="0039681A" w:rsidRPr="00A36E36" w:rsidRDefault="0039681A">
            <w:pPr>
              <w:jc w:val="center"/>
              <w:rPr>
                <w:rFonts w:ascii="Arial Narrow" w:hAnsi="Arial Narrow"/>
                <w:b/>
                <w:noProof/>
                <w:color w:val="000000"/>
                <w:sz w:val="20"/>
                <w:szCs w:val="20"/>
                <w:lang w:val="en-IE"/>
              </w:rPr>
            </w:pPr>
          </w:p>
        </w:tc>
        <w:tc>
          <w:tcPr>
            <w:tcW w:w="973" w:type="dxa"/>
            <w:vMerge/>
            <w:vAlign w:val="center"/>
            <w:hideMark/>
          </w:tcPr>
          <w:p w14:paraId="6DAD387E" w14:textId="77777777" w:rsidR="0039681A" w:rsidRPr="00A36E36" w:rsidRDefault="0039681A">
            <w:pPr>
              <w:jc w:val="center"/>
              <w:rPr>
                <w:rFonts w:ascii="Arial Narrow" w:hAnsi="Arial Narrow"/>
                <w:b/>
                <w:noProof/>
                <w:color w:val="000000"/>
                <w:sz w:val="20"/>
                <w:szCs w:val="20"/>
                <w:lang w:val="en-IE"/>
              </w:rPr>
            </w:pPr>
          </w:p>
        </w:tc>
        <w:tc>
          <w:tcPr>
            <w:tcW w:w="1320" w:type="dxa"/>
            <w:vMerge/>
            <w:vAlign w:val="center"/>
            <w:hideMark/>
          </w:tcPr>
          <w:p w14:paraId="295D24B3" w14:textId="77777777" w:rsidR="0039681A" w:rsidRPr="00A36E36" w:rsidRDefault="0039681A">
            <w:pPr>
              <w:jc w:val="center"/>
              <w:rPr>
                <w:rFonts w:ascii="Arial Narrow" w:hAnsi="Arial Narrow"/>
                <w:b/>
                <w:noProof/>
                <w:color w:val="000000"/>
                <w:sz w:val="20"/>
                <w:szCs w:val="20"/>
                <w:lang w:val="en-IE"/>
              </w:rPr>
            </w:pPr>
          </w:p>
        </w:tc>
        <w:tc>
          <w:tcPr>
            <w:tcW w:w="1320" w:type="dxa"/>
            <w:vMerge/>
            <w:vAlign w:val="center"/>
            <w:hideMark/>
          </w:tcPr>
          <w:p w14:paraId="7555A24B" w14:textId="77777777" w:rsidR="0039681A" w:rsidRPr="00A36E36" w:rsidRDefault="0039681A">
            <w:pPr>
              <w:jc w:val="center"/>
              <w:rPr>
                <w:rFonts w:ascii="Arial Narrow" w:hAnsi="Arial Narrow"/>
                <w:b/>
                <w:noProof/>
                <w:color w:val="000000"/>
                <w:sz w:val="20"/>
                <w:szCs w:val="20"/>
                <w:lang w:val="en-IE"/>
              </w:rPr>
            </w:pPr>
          </w:p>
        </w:tc>
        <w:tc>
          <w:tcPr>
            <w:tcW w:w="1092" w:type="dxa"/>
            <w:shd w:val="clear" w:color="auto" w:fill="BDD7EE"/>
            <w:vAlign w:val="center"/>
            <w:hideMark/>
          </w:tcPr>
          <w:p w14:paraId="71400B15" w14:textId="77777777" w:rsidR="0039681A" w:rsidRPr="00647572" w:rsidRDefault="0039681A">
            <w:pPr>
              <w:jc w:val="center"/>
              <w:rPr>
                <w:rFonts w:ascii="Arial Narrow" w:hAnsi="Arial Narrow"/>
                <w:b/>
                <w:noProof/>
                <w:color w:val="000000"/>
                <w:sz w:val="20"/>
                <w:szCs w:val="20"/>
              </w:rPr>
            </w:pPr>
            <w:r w:rsidRPr="00647572">
              <w:rPr>
                <w:rFonts w:ascii="Arial Narrow" w:hAnsi="Arial Narrow"/>
                <w:b/>
                <w:noProof/>
                <w:color w:val="000000"/>
                <w:sz w:val="20"/>
              </w:rPr>
              <w:t>Unit of measure</w:t>
            </w:r>
          </w:p>
        </w:tc>
        <w:tc>
          <w:tcPr>
            <w:tcW w:w="1092" w:type="dxa"/>
            <w:shd w:val="clear" w:color="auto" w:fill="BDD7EE"/>
            <w:vAlign w:val="center"/>
            <w:hideMark/>
          </w:tcPr>
          <w:p w14:paraId="40F61DF0" w14:textId="77777777" w:rsidR="0039681A" w:rsidRPr="00647572" w:rsidRDefault="0039681A">
            <w:pPr>
              <w:jc w:val="center"/>
              <w:rPr>
                <w:rFonts w:ascii="Arial Narrow" w:hAnsi="Arial Narrow"/>
                <w:b/>
                <w:noProof/>
                <w:color w:val="000000"/>
                <w:sz w:val="20"/>
                <w:szCs w:val="20"/>
              </w:rPr>
            </w:pPr>
            <w:r w:rsidRPr="00647572">
              <w:rPr>
                <w:rFonts w:ascii="Arial Narrow" w:hAnsi="Arial Narrow"/>
                <w:b/>
                <w:noProof/>
                <w:color w:val="000000"/>
                <w:sz w:val="20"/>
              </w:rPr>
              <w:t>Baseline</w:t>
            </w:r>
          </w:p>
        </w:tc>
        <w:tc>
          <w:tcPr>
            <w:tcW w:w="1133" w:type="dxa"/>
            <w:shd w:val="clear" w:color="auto" w:fill="BDD7EE"/>
            <w:vAlign w:val="center"/>
            <w:hideMark/>
          </w:tcPr>
          <w:p w14:paraId="3CE75D06" w14:textId="77777777" w:rsidR="0039681A" w:rsidRPr="00647572" w:rsidRDefault="0039681A">
            <w:pPr>
              <w:jc w:val="center"/>
              <w:rPr>
                <w:rFonts w:ascii="Arial Narrow" w:hAnsi="Arial Narrow"/>
                <w:b/>
                <w:noProof/>
                <w:color w:val="000000"/>
                <w:sz w:val="20"/>
                <w:szCs w:val="20"/>
              </w:rPr>
            </w:pPr>
            <w:r w:rsidRPr="00647572">
              <w:rPr>
                <w:rFonts w:ascii="Arial Narrow" w:hAnsi="Arial Narrow"/>
                <w:b/>
                <w:noProof/>
                <w:color w:val="000000"/>
                <w:sz w:val="20"/>
              </w:rPr>
              <w:t>Goal</w:t>
            </w:r>
          </w:p>
        </w:tc>
        <w:tc>
          <w:tcPr>
            <w:tcW w:w="1078" w:type="dxa"/>
            <w:shd w:val="clear" w:color="auto" w:fill="BDD7EE"/>
            <w:vAlign w:val="center"/>
            <w:hideMark/>
          </w:tcPr>
          <w:p w14:paraId="12E88B0B" w14:textId="77777777" w:rsidR="0039681A" w:rsidRPr="00647572" w:rsidRDefault="0039681A">
            <w:pPr>
              <w:jc w:val="center"/>
              <w:rPr>
                <w:rFonts w:ascii="Arial Narrow" w:hAnsi="Arial Narrow"/>
                <w:b/>
                <w:noProof/>
                <w:color w:val="000000"/>
                <w:sz w:val="20"/>
                <w:szCs w:val="20"/>
              </w:rPr>
            </w:pPr>
            <w:r w:rsidRPr="00647572">
              <w:rPr>
                <w:rFonts w:ascii="Arial Narrow" w:hAnsi="Arial Narrow"/>
                <w:b/>
                <w:noProof/>
                <w:color w:val="000000"/>
                <w:sz w:val="20"/>
              </w:rPr>
              <w:t>Quarter</w:t>
            </w:r>
          </w:p>
        </w:tc>
        <w:tc>
          <w:tcPr>
            <w:tcW w:w="1038" w:type="dxa"/>
            <w:shd w:val="clear" w:color="auto" w:fill="BDD7EE"/>
            <w:vAlign w:val="center"/>
            <w:hideMark/>
          </w:tcPr>
          <w:p w14:paraId="7E2AF2FE" w14:textId="77777777" w:rsidR="0039681A" w:rsidRPr="00647572" w:rsidRDefault="0039681A">
            <w:pPr>
              <w:jc w:val="center"/>
              <w:rPr>
                <w:rFonts w:ascii="Arial Narrow" w:hAnsi="Arial Narrow"/>
                <w:b/>
                <w:noProof/>
                <w:color w:val="000000"/>
                <w:sz w:val="20"/>
                <w:szCs w:val="20"/>
              </w:rPr>
            </w:pPr>
            <w:r w:rsidRPr="00647572">
              <w:rPr>
                <w:rFonts w:ascii="Arial Narrow" w:hAnsi="Arial Narrow"/>
                <w:b/>
                <w:noProof/>
                <w:color w:val="000000"/>
                <w:sz w:val="20"/>
              </w:rPr>
              <w:t>Year</w:t>
            </w:r>
          </w:p>
        </w:tc>
        <w:tc>
          <w:tcPr>
            <w:tcW w:w="3143" w:type="dxa"/>
            <w:vMerge/>
            <w:vAlign w:val="center"/>
            <w:hideMark/>
          </w:tcPr>
          <w:p w14:paraId="50B8FDD9" w14:textId="77777777" w:rsidR="0039681A" w:rsidRPr="00647572" w:rsidRDefault="0039681A">
            <w:pPr>
              <w:rPr>
                <w:rFonts w:ascii="Arial Narrow" w:hAnsi="Arial Narrow"/>
                <w:b/>
                <w:noProof/>
                <w:color w:val="000000"/>
                <w:sz w:val="20"/>
                <w:szCs w:val="20"/>
              </w:rPr>
            </w:pPr>
          </w:p>
        </w:tc>
      </w:tr>
      <w:tr w:rsidR="0039681A" w:rsidRPr="0070054C" w14:paraId="797B4A62" w14:textId="77777777" w:rsidTr="0030508A">
        <w:trPr>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6D63E5B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M5C2-6</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2C71891C" w14:textId="77777777" w:rsidR="0039681A" w:rsidRPr="00A36E36" w:rsidRDefault="0039681A">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1 - Supporting vulnerable people and preventing institutionalization</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1AA5BDFB"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szCs w:val="20"/>
              </w:rPr>
              <w:t>Target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6376129C" w14:textId="77777777" w:rsidR="0039681A" w:rsidRPr="00A36E36" w:rsidRDefault="0039681A">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 xml:space="preserve">Actions to support vulnerable people in social districts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43B4CF00"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0A761529"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szCs w:val="20"/>
              </w:rPr>
              <w:t>Number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6F16776B"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4BF0468C"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498</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5BCF3A4E" w14:textId="77777777" w:rsidR="0039681A" w:rsidRPr="00647572" w:rsidRDefault="0039681A">
            <w:pPr>
              <w:spacing w:before="120" w:after="120"/>
              <w:jc w:val="center"/>
              <w:rPr>
                <w:rFonts w:ascii="Arial Narrow" w:hAnsi="Arial Narrow"/>
                <w:noProof/>
                <w:color w:val="006100"/>
                <w:sz w:val="20"/>
                <w:szCs w:val="20"/>
              </w:rPr>
            </w:pPr>
            <w:r w:rsidRPr="0D7C8DBA">
              <w:rPr>
                <w:rFonts w:ascii="Arial Narrow" w:hAnsi="Arial Narrow"/>
                <w:noProof/>
                <w:color w:val="006100"/>
                <w:sz w:val="20"/>
                <w:szCs w:val="20"/>
              </w:rPr>
              <w:t>Q2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37FCAD2F"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738CBEA9" w14:textId="77777777" w:rsidR="0039681A" w:rsidRPr="00A36E36" w:rsidRDefault="0039681A">
            <w:pPr>
              <w:spacing w:before="120" w:after="120"/>
              <w:rPr>
                <w:rFonts w:ascii="Arial Narrow" w:hAnsi="Arial Narrow"/>
                <w:noProof/>
                <w:color w:val="006100"/>
                <w:sz w:val="20"/>
                <w:szCs w:val="20"/>
                <w:lang w:val="en-IE"/>
              </w:rPr>
            </w:pPr>
            <w:r w:rsidRPr="307B4299">
              <w:rPr>
                <w:rFonts w:ascii="Arial Narrow" w:hAnsi="Arial Narrow"/>
                <w:noProof/>
                <w:color w:val="006100"/>
                <w:sz w:val="20"/>
                <w:szCs w:val="20"/>
                <w:lang w:val="en-IE"/>
              </w:rPr>
              <w:t>At least 498 social districts shall finalise at least one of the following actions: (I) supporting vulnerable families and children; (II) supporting autonomous living of elderly people; (III) provision of home social services to guarantee early supported discharge and prevent hospitalisation; (IV) supporting social workers.</w:t>
            </w:r>
          </w:p>
        </w:tc>
      </w:tr>
      <w:tr w:rsidR="0039681A" w:rsidRPr="0070054C" w14:paraId="7E491C3F" w14:textId="77777777" w:rsidTr="0030508A">
        <w:trPr>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09E18E83"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szCs w:val="20"/>
              </w:rPr>
              <w:t>M5C2-8</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2D24E346" w14:textId="77777777" w:rsidR="0039681A" w:rsidRPr="00A36E36" w:rsidRDefault="0039681A">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2 - Autonomy patterns for people with disabilities</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7B2FCA4B"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Target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7370A597" w14:textId="50C61B57" w:rsidR="0039681A" w:rsidRPr="00A36E36" w:rsidRDefault="0039681A" w:rsidP="00351087">
            <w:pPr>
              <w:spacing w:before="120" w:after="120"/>
              <w:jc w:val="center"/>
              <w:rPr>
                <w:rFonts w:ascii="Arial Narrow" w:hAnsi="Arial Narrow"/>
                <w:noProof/>
                <w:color w:val="006100"/>
                <w:sz w:val="20"/>
                <w:szCs w:val="20"/>
                <w:lang w:val="en-IE"/>
              </w:rPr>
            </w:pPr>
            <w:r w:rsidRPr="54F9E624">
              <w:rPr>
                <w:rFonts w:ascii="Arial Narrow" w:hAnsi="Arial Narrow"/>
                <w:noProof/>
                <w:color w:val="006100"/>
                <w:sz w:val="20"/>
                <w:szCs w:val="20"/>
                <w:lang w:val="en-IE"/>
              </w:rPr>
              <w:t>Beneficiaries have been provided access to housing and/or ICT devices accompanied by training on digital skills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438D85EB"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27577026"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Number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60762B3C"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306576F0"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szCs w:val="20"/>
              </w:rPr>
              <w:t>3 120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3F909C5F" w14:textId="77777777" w:rsidR="0039681A" w:rsidRPr="00647572" w:rsidRDefault="0039681A">
            <w:pPr>
              <w:spacing w:before="120" w:after="120"/>
              <w:jc w:val="center"/>
              <w:rPr>
                <w:rFonts w:ascii="Arial Narrow" w:hAnsi="Arial Narrow"/>
                <w:noProof/>
                <w:color w:val="006100"/>
                <w:sz w:val="20"/>
                <w:szCs w:val="20"/>
              </w:rPr>
            </w:pPr>
            <w:r w:rsidRPr="0349C3CC">
              <w:rPr>
                <w:rFonts w:ascii="Arial Narrow" w:hAnsi="Arial Narrow"/>
                <w:noProof/>
                <w:color w:val="006100"/>
                <w:sz w:val="20"/>
                <w:szCs w:val="20"/>
              </w:rPr>
              <w:t>Q2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29CBB16B"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06622599" w14:textId="22BED919" w:rsidR="0039681A" w:rsidRPr="00A36E36" w:rsidRDefault="0039681A" w:rsidP="00351087">
            <w:pPr>
              <w:spacing w:before="120" w:after="120"/>
              <w:rPr>
                <w:rFonts w:ascii="Arial Narrow" w:hAnsi="Arial Narrow"/>
                <w:noProof/>
                <w:color w:val="006100"/>
                <w:sz w:val="20"/>
                <w:szCs w:val="20"/>
                <w:lang w:val="en-IE"/>
              </w:rPr>
            </w:pPr>
            <w:r w:rsidRPr="54F9E624">
              <w:rPr>
                <w:rFonts w:ascii="Arial Narrow" w:hAnsi="Arial Narrow"/>
                <w:noProof/>
                <w:color w:val="006100"/>
                <w:sz w:val="20"/>
                <w:szCs w:val="20"/>
                <w:lang w:val="en-IE"/>
              </w:rPr>
              <w:t>At least 3 120 beneficiaries have been provided access to</w:t>
            </w:r>
            <w:r w:rsidR="00381DB1">
              <w:rPr>
                <w:rFonts w:ascii="Arial Narrow" w:hAnsi="Arial Narrow"/>
                <w:noProof/>
                <w:color w:val="006100"/>
                <w:sz w:val="20"/>
                <w:szCs w:val="20"/>
                <w:lang w:val="en-IE"/>
              </w:rPr>
              <w:t xml:space="preserve"> </w:t>
            </w:r>
            <w:r w:rsidRPr="54F9E624">
              <w:rPr>
                <w:rFonts w:ascii="Arial Narrow" w:hAnsi="Arial Narrow"/>
                <w:noProof/>
                <w:color w:val="006100"/>
                <w:sz w:val="20"/>
                <w:szCs w:val="20"/>
                <w:lang w:val="en-IE"/>
              </w:rPr>
              <w:t>housing and/or ICT devices. The beneficiaries receiving ICT devices shall also participate in training on digital skills.</w:t>
            </w:r>
          </w:p>
        </w:tc>
      </w:tr>
      <w:tr w:rsidR="0039681A" w:rsidRPr="0070054C" w14:paraId="48B30612" w14:textId="77777777" w:rsidTr="0030508A">
        <w:trPr>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55CD8988"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szCs w:val="20"/>
              </w:rPr>
              <w:t>M5C2-10</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49220EEE" w14:textId="77777777" w:rsidR="0039681A" w:rsidRPr="00A36E36" w:rsidRDefault="0039681A">
            <w:pPr>
              <w:spacing w:before="120" w:after="120"/>
              <w:jc w:val="center"/>
              <w:rPr>
                <w:rFonts w:ascii="Arial Narrow" w:hAnsi="Arial Narrow"/>
                <w:noProof/>
                <w:color w:val="006100"/>
                <w:sz w:val="20"/>
                <w:lang w:val="en-IE"/>
              </w:rPr>
            </w:pPr>
            <w:r w:rsidRPr="00A36E36">
              <w:rPr>
                <w:rFonts w:ascii="Arial Narrow" w:hAnsi="Arial Narrow"/>
                <w:noProof/>
                <w:color w:val="006100"/>
                <w:sz w:val="20"/>
                <w:lang w:val="en-IE"/>
              </w:rPr>
              <w:t>Investment 3 - Housing First and Post Stations</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3AA3A936"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Target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339F53E9" w14:textId="77777777" w:rsidR="0039681A" w:rsidRPr="00A36E36" w:rsidRDefault="0039681A" w:rsidP="00351087">
            <w:pPr>
              <w:spacing w:before="120" w:after="120"/>
              <w:jc w:val="center"/>
              <w:rPr>
                <w:rFonts w:ascii="Arial Narrow" w:hAnsi="Arial Narrow"/>
                <w:noProof/>
                <w:color w:val="006100"/>
                <w:sz w:val="20"/>
                <w:szCs w:val="20"/>
                <w:lang w:val="en-IE"/>
              </w:rPr>
            </w:pPr>
            <w:r w:rsidRPr="54F9E624">
              <w:rPr>
                <w:rFonts w:ascii="Arial Narrow" w:hAnsi="Arial Narrow"/>
                <w:noProof/>
                <w:color w:val="006100"/>
                <w:sz w:val="20"/>
                <w:szCs w:val="20"/>
                <w:lang w:val="en-IE"/>
              </w:rPr>
              <w:t>Housing First and Post Stations projects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0262DC94"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25B4BF75"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Number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2221ACFF"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00F673AE"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szCs w:val="20"/>
              </w:rPr>
              <w:t>12 364</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09C080CD" w14:textId="77777777" w:rsidR="0039681A" w:rsidRPr="00647572" w:rsidRDefault="0039681A">
            <w:pPr>
              <w:spacing w:before="120" w:after="120"/>
              <w:jc w:val="center"/>
              <w:rPr>
                <w:rFonts w:ascii="Arial Narrow" w:hAnsi="Arial Narrow"/>
                <w:noProof/>
                <w:color w:val="006100"/>
                <w:sz w:val="20"/>
                <w:szCs w:val="20"/>
              </w:rPr>
            </w:pPr>
            <w:r w:rsidRPr="0349C3CC">
              <w:rPr>
                <w:rFonts w:ascii="Arial Narrow" w:hAnsi="Arial Narrow"/>
                <w:noProof/>
                <w:color w:val="006100"/>
                <w:sz w:val="20"/>
                <w:szCs w:val="20"/>
              </w:rPr>
              <w:t>Q2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391A00DB" w14:textId="77777777" w:rsidR="0039681A" w:rsidRPr="00647572" w:rsidRDefault="0039681A">
            <w:pPr>
              <w:spacing w:before="120" w:after="120"/>
              <w:jc w:val="center"/>
              <w:rPr>
                <w:rFonts w:ascii="Arial Narrow" w:hAnsi="Arial Narrow"/>
                <w:noProof/>
                <w:color w:val="006100"/>
                <w:sz w:val="20"/>
              </w:rPr>
            </w:pPr>
            <w:r w:rsidRPr="00647572">
              <w:rPr>
                <w:rFonts w:ascii="Arial Narrow" w:hAnsi="Arial Narrow"/>
                <w:noProof/>
                <w:color w:val="006100"/>
                <w:sz w:val="20"/>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359FA25F"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For housing first, 1 318 signed individualised projects </w:t>
            </w:r>
            <w:r w:rsidRPr="00A36E36">
              <w:rPr>
                <w:rFonts w:ascii="Arial Narrow" w:hAnsi="Arial Narrow"/>
                <w:i/>
                <w:iCs/>
                <w:noProof/>
                <w:color w:val="006100"/>
                <w:sz w:val="20"/>
                <w:szCs w:val="20"/>
                <w:lang w:val="en-IE"/>
              </w:rPr>
              <w:t>(‘progetto personalizzato’)</w:t>
            </w:r>
            <w:r w:rsidRPr="00A36E36">
              <w:rPr>
                <w:rFonts w:ascii="Arial Narrow" w:hAnsi="Arial Narrow"/>
                <w:noProof/>
                <w:color w:val="006100"/>
                <w:sz w:val="20"/>
                <w:szCs w:val="20"/>
                <w:lang w:val="en-IE"/>
              </w:rPr>
              <w:t xml:space="preserve"> attesting that temporary accommodation was provided for a minimum of 6 and a maximum of 24 months. In addition, for each beneficiary, a certificate of completion of works for the infrastructure of the relative project shall also be provided.</w:t>
            </w:r>
          </w:p>
          <w:p w14:paraId="4824D959" w14:textId="77777777" w:rsidR="0039681A" w:rsidRPr="00A36E36" w:rsidRDefault="0039681A" w:rsidP="00351087">
            <w:pPr>
              <w:spacing w:before="120" w:after="120"/>
              <w:rPr>
                <w:rFonts w:ascii="Arial Narrow" w:hAnsi="Arial Narrow"/>
                <w:noProof/>
                <w:color w:val="006100"/>
                <w:sz w:val="20"/>
                <w:szCs w:val="20"/>
                <w:lang w:val="en-IE"/>
              </w:rPr>
            </w:pPr>
            <w:r w:rsidRPr="54F9E624">
              <w:rPr>
                <w:rFonts w:ascii="Arial Narrow" w:hAnsi="Arial Narrow"/>
                <w:noProof/>
                <w:color w:val="006100"/>
                <w:sz w:val="20"/>
                <w:szCs w:val="20"/>
                <w:lang w:val="en-IE"/>
              </w:rPr>
              <w:t xml:space="preserve">For post stations, 11 046 signed individualised projects </w:t>
            </w:r>
            <w:r w:rsidRPr="54F9E624">
              <w:rPr>
                <w:rFonts w:ascii="Arial Narrow" w:hAnsi="Arial Narrow"/>
                <w:i/>
                <w:iCs/>
                <w:noProof/>
                <w:color w:val="006100"/>
                <w:sz w:val="20"/>
                <w:szCs w:val="20"/>
                <w:lang w:val="en-IE"/>
              </w:rPr>
              <w:t>(‘progetto personalizzato’)</w:t>
            </w:r>
            <w:r w:rsidRPr="54F9E624">
              <w:rPr>
                <w:rFonts w:ascii="Arial Narrow" w:hAnsi="Arial Narrow"/>
                <w:noProof/>
                <w:color w:val="006100"/>
                <w:sz w:val="20"/>
                <w:szCs w:val="20"/>
                <w:lang w:val="en-IE"/>
              </w:rPr>
              <w:t xml:space="preserve"> attesting that the service was provided. For each beneficiary, a certificate of completion of works for the infrastructure of the relative project shall also be provided.</w:t>
            </w:r>
          </w:p>
        </w:tc>
      </w:tr>
      <w:tr w:rsidR="0039681A" w:rsidRPr="0070054C" w14:paraId="2BB27513" w14:textId="77777777" w:rsidTr="0030508A">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FCB91B"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M5C2-11</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560F1B" w14:textId="77777777" w:rsidR="0039681A" w:rsidRPr="00A36E36" w:rsidRDefault="0039681A">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4 - Investments in projects of urban regeneration, aimed at reducing situations of marginalization and social degradation</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8E77E5"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Milestone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C9A540D" w14:textId="77777777" w:rsidR="0039681A" w:rsidRPr="00A36E36" w:rsidRDefault="0039681A">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Award of all public contracts for investments in urban regeneration to reduce situations of marginalisation and social degradation, with projects in line with the RRF objectives including the DNSH principle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97319E" w14:textId="77777777" w:rsidR="0039681A" w:rsidRPr="00A36E36" w:rsidRDefault="0039681A">
            <w:pPr>
              <w:spacing w:before="120" w:after="120"/>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Notification of all public contracts for investments in urban regeneration to reduce situations of marginalisation and social degradation, with projects in line with the RRF objectives including the DNSH principle</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574B65"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F44918"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A4EAAB"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N/A</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CCB90DE"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Q1</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815A1B" w14:textId="77777777" w:rsidR="0039681A" w:rsidRPr="00647572" w:rsidRDefault="0039681A">
            <w:pPr>
              <w:spacing w:before="120" w:after="120"/>
              <w:jc w:val="center"/>
              <w:rPr>
                <w:rFonts w:ascii="Arial Narrow" w:eastAsia="Calibri" w:hAnsi="Arial Narrow"/>
                <w:noProof/>
                <w:color w:val="006100"/>
                <w:sz w:val="20"/>
                <w:szCs w:val="20"/>
              </w:rPr>
            </w:pPr>
            <w:r w:rsidRPr="00647572">
              <w:rPr>
                <w:rFonts w:ascii="Arial Narrow" w:hAnsi="Arial Narrow"/>
                <w:noProof/>
                <w:color w:val="006100"/>
                <w:sz w:val="20"/>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6AA643" w14:textId="77777777" w:rsidR="0039681A" w:rsidRPr="00A36E36" w:rsidRDefault="0039681A">
            <w:pPr>
              <w:spacing w:before="120" w:after="120" w:line="240" w:lineRule="auto"/>
              <w:rPr>
                <w:rFonts w:ascii="Arial Narrow" w:eastAsia="Calibri" w:hAnsi="Arial Narrow"/>
                <w:noProof/>
                <w:color w:val="006100"/>
                <w:sz w:val="20"/>
                <w:szCs w:val="20"/>
                <w:lang w:val="en-IE"/>
              </w:rPr>
            </w:pPr>
            <w:r w:rsidRPr="00A36E36">
              <w:rPr>
                <w:rFonts w:ascii="Arial Narrow" w:hAnsi="Arial Narrow"/>
                <w:noProof/>
                <w:color w:val="006100"/>
                <w:sz w:val="20"/>
                <w:lang w:val="en-IE"/>
              </w:rPr>
              <w:t>Notification of all public contracts awarded to at least 300 municipalities of more than 15</w:t>
            </w:r>
            <w:r w:rsidRPr="00A36E36">
              <w:rPr>
                <w:noProof/>
                <w:sz w:val="23"/>
                <w:szCs w:val="23"/>
                <w:lang w:val="en-IE"/>
              </w:rPr>
              <w:t> </w:t>
            </w:r>
            <w:r w:rsidRPr="00A36E36">
              <w:rPr>
                <w:rFonts w:ascii="Arial Narrow" w:hAnsi="Arial Narrow"/>
                <w:noProof/>
                <w:color w:val="006100"/>
                <w:sz w:val="20"/>
                <w:lang w:val="en-IE"/>
              </w:rPr>
              <w:t>000 inhabitants for investments in urban regeneration to reduce situations of marginalisation and social degradation, with projects in line with the RRF objectives including the DNSH principle.</w:t>
            </w:r>
          </w:p>
          <w:p w14:paraId="377913E9" w14:textId="77777777" w:rsidR="0039681A" w:rsidRPr="00A36E36" w:rsidRDefault="0039681A">
            <w:pPr>
              <w:spacing w:before="120" w:after="120" w:line="240" w:lineRule="auto"/>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grants are awarded to municipalities of more than 15</w:t>
            </w:r>
            <w:r w:rsidRPr="00A36E36">
              <w:rPr>
                <w:noProof/>
                <w:sz w:val="23"/>
                <w:szCs w:val="23"/>
                <w:lang w:val="en-IE"/>
              </w:rPr>
              <w:t> </w:t>
            </w:r>
            <w:r w:rsidRPr="00A36E36">
              <w:rPr>
                <w:rFonts w:ascii="Arial Narrow" w:hAnsi="Arial Narrow"/>
                <w:noProof/>
                <w:color w:val="006100"/>
                <w:sz w:val="20"/>
                <w:lang w:val="en-IE"/>
              </w:rPr>
              <w:t>000 inhabitants which are not the provincial capitals, the provincial capital municipalities or the metropolitan city headquarters.</w:t>
            </w:r>
          </w:p>
          <w:p w14:paraId="3AFD94A2" w14:textId="77777777" w:rsidR="0039681A" w:rsidRPr="00A36E36" w:rsidRDefault="0039681A">
            <w:pPr>
              <w:spacing w:before="120" w:after="120" w:line="240" w:lineRule="auto"/>
              <w:rPr>
                <w:rFonts w:ascii="Arial Narrow" w:eastAsia="Calibri" w:hAnsi="Arial Narrow"/>
                <w:noProof/>
                <w:color w:val="006100"/>
                <w:sz w:val="20"/>
                <w:szCs w:val="20"/>
                <w:lang w:val="en-IE"/>
              </w:rPr>
            </w:pPr>
            <w:r w:rsidRPr="00A36E36">
              <w:rPr>
                <w:rFonts w:ascii="Arial Narrow" w:hAnsi="Arial Narrow"/>
                <w:noProof/>
                <w:color w:val="006100"/>
                <w:sz w:val="20"/>
                <w:lang w:val="en-IE"/>
              </w:rPr>
              <w:t>Projects of urban generation shall consist of at least one of the following interventions:</w:t>
            </w:r>
          </w:p>
          <w:p w14:paraId="2D3BCD2A" w14:textId="77777777" w:rsidR="0039681A" w:rsidRPr="00A36E36" w:rsidRDefault="0039681A" w:rsidP="0039681A">
            <w:pPr>
              <w:pStyle w:val="ListParagraph"/>
              <w:numPr>
                <w:ilvl w:val="0"/>
                <w:numId w:val="147"/>
              </w:numPr>
              <w:spacing w:before="120" w:after="120" w:line="278" w:lineRule="auto"/>
              <w:ind w:left="357" w:hanging="357"/>
              <w:contextualSpacing w:val="0"/>
              <w:jc w:val="both"/>
              <w:rPr>
                <w:rFonts w:ascii="Arial Narrow" w:eastAsia="Calibri" w:hAnsi="Arial Narrow"/>
                <w:noProof/>
                <w:color w:val="006100"/>
                <w:sz w:val="20"/>
                <w:szCs w:val="20"/>
                <w:lang w:val="en-IE"/>
              </w:rPr>
            </w:pPr>
            <w:r w:rsidRPr="00A36E36">
              <w:rPr>
                <w:rFonts w:ascii="Arial Narrow" w:hAnsi="Arial Narrow"/>
                <w:noProof/>
                <w:color w:val="006100"/>
                <w:sz w:val="20"/>
                <w:lang w:val="en-IE"/>
              </w:rPr>
              <w:t>Reuse and re-functionalization of public areas and existing public building structures for purposes of public interest, including the demolition of abusive works carried out by private individuals in the absence or total discrepancy from the building permit and the arrangement of the relevant areas;</w:t>
            </w:r>
          </w:p>
          <w:p w14:paraId="6A3A9494" w14:textId="77777777" w:rsidR="0039681A" w:rsidRPr="00A36E36" w:rsidRDefault="0039681A" w:rsidP="0039681A">
            <w:pPr>
              <w:pStyle w:val="ListParagraph"/>
              <w:numPr>
                <w:ilvl w:val="0"/>
                <w:numId w:val="147"/>
              </w:numPr>
              <w:spacing w:before="120" w:after="120" w:line="278" w:lineRule="auto"/>
              <w:ind w:left="357" w:hanging="357"/>
              <w:contextualSpacing w:val="0"/>
              <w:jc w:val="both"/>
              <w:rPr>
                <w:rFonts w:ascii="Arial Narrow" w:eastAsia="Calibri" w:hAnsi="Arial Narrow"/>
                <w:noProof/>
                <w:color w:val="006100"/>
                <w:sz w:val="20"/>
                <w:szCs w:val="20"/>
                <w:lang w:val="en-IE"/>
              </w:rPr>
            </w:pPr>
            <w:r w:rsidRPr="00A36E36">
              <w:rPr>
                <w:rFonts w:ascii="Arial Narrow" w:hAnsi="Arial Narrow"/>
                <w:noProof/>
                <w:color w:val="006100"/>
                <w:sz w:val="20"/>
                <w:lang w:val="en-IE"/>
              </w:rPr>
              <w:t>Improvement of the quality of the urban landscape and of the social and environmental fabric, including through building renovation of public buildings, with particular reference to the development of social and cultural, educational and didactic services;</w:t>
            </w:r>
          </w:p>
          <w:p w14:paraId="6462E72D" w14:textId="77777777" w:rsidR="0039681A" w:rsidRPr="00A36E36" w:rsidRDefault="0039681A" w:rsidP="0039681A">
            <w:pPr>
              <w:pStyle w:val="ListParagraph"/>
              <w:numPr>
                <w:ilvl w:val="0"/>
                <w:numId w:val="147"/>
              </w:numPr>
              <w:spacing w:before="120" w:after="120" w:line="278" w:lineRule="auto"/>
              <w:ind w:left="357" w:hanging="357"/>
              <w:contextualSpacing w:val="0"/>
              <w:jc w:val="both"/>
              <w:rPr>
                <w:rFonts w:ascii="Arial Narrow" w:eastAsia="Calibri" w:hAnsi="Arial Narrow"/>
                <w:noProof/>
                <w:color w:val="006100"/>
                <w:sz w:val="20"/>
                <w:szCs w:val="20"/>
                <w:lang w:val="en-IE"/>
              </w:rPr>
            </w:pPr>
            <w:r w:rsidRPr="00A36E36">
              <w:rPr>
                <w:rFonts w:ascii="Arial Narrow" w:hAnsi="Arial Narrow"/>
                <w:noProof/>
                <w:color w:val="006100"/>
                <w:sz w:val="20"/>
                <w:lang w:val="en-IE"/>
              </w:rPr>
              <w:t>Green, sustainable and smart transport projects.</w:t>
            </w:r>
          </w:p>
          <w:p w14:paraId="414B9B64" w14:textId="77777777" w:rsidR="0039681A" w:rsidRPr="00A36E36" w:rsidRDefault="0039681A">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maximum amounts per municipality are the following:</w:t>
            </w:r>
          </w:p>
          <w:p w14:paraId="0C951057" w14:textId="77777777" w:rsidR="0039681A" w:rsidRPr="00A36E36" w:rsidRDefault="0039681A">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EUR 5</w:t>
            </w:r>
            <w:r w:rsidRPr="00A36E36">
              <w:rPr>
                <w:noProof/>
                <w:sz w:val="23"/>
                <w:szCs w:val="23"/>
                <w:lang w:val="en-IE"/>
              </w:rPr>
              <w:t> </w:t>
            </w:r>
            <w:r w:rsidRPr="00A36E36">
              <w:rPr>
                <w:rFonts w:ascii="Arial Narrow" w:hAnsi="Arial Narrow"/>
                <w:noProof/>
                <w:color w:val="006100"/>
                <w:sz w:val="20"/>
                <w:lang w:val="en-IE"/>
              </w:rPr>
              <w:t>000</w:t>
            </w:r>
            <w:r w:rsidRPr="00A36E36">
              <w:rPr>
                <w:noProof/>
                <w:sz w:val="23"/>
                <w:szCs w:val="23"/>
                <w:lang w:val="en-IE"/>
              </w:rPr>
              <w:t> </w:t>
            </w:r>
            <w:r w:rsidRPr="00A36E36">
              <w:rPr>
                <w:rFonts w:ascii="Arial Narrow" w:hAnsi="Arial Narrow"/>
                <w:noProof/>
                <w:color w:val="006100"/>
                <w:sz w:val="20"/>
                <w:lang w:val="en-IE"/>
              </w:rPr>
              <w:t>000 for municipalities with populations ranging from 15</w:t>
            </w:r>
            <w:r w:rsidRPr="00A36E36">
              <w:rPr>
                <w:noProof/>
                <w:sz w:val="23"/>
                <w:szCs w:val="23"/>
                <w:lang w:val="en-IE"/>
              </w:rPr>
              <w:t> </w:t>
            </w:r>
            <w:r w:rsidRPr="00A36E36">
              <w:rPr>
                <w:rFonts w:ascii="Arial Narrow" w:hAnsi="Arial Narrow"/>
                <w:noProof/>
                <w:color w:val="006100"/>
                <w:sz w:val="20"/>
                <w:lang w:val="en-IE"/>
              </w:rPr>
              <w:t>000 to 49</w:t>
            </w:r>
            <w:r w:rsidRPr="00A36E36">
              <w:rPr>
                <w:noProof/>
                <w:sz w:val="23"/>
                <w:szCs w:val="23"/>
                <w:lang w:val="en-IE"/>
              </w:rPr>
              <w:t> </w:t>
            </w:r>
            <w:r w:rsidRPr="00A36E36">
              <w:rPr>
                <w:rFonts w:ascii="Arial Narrow" w:hAnsi="Arial Narrow"/>
                <w:noProof/>
                <w:color w:val="006100"/>
                <w:sz w:val="20"/>
                <w:lang w:val="en-IE"/>
              </w:rPr>
              <w:t>999 inhabitants;</w:t>
            </w:r>
          </w:p>
          <w:p w14:paraId="4DA0983F" w14:textId="77777777" w:rsidR="0039681A" w:rsidRPr="00A36E36" w:rsidRDefault="0039681A">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EUR 10</w:t>
            </w:r>
            <w:r w:rsidRPr="00A36E36">
              <w:rPr>
                <w:noProof/>
                <w:sz w:val="23"/>
                <w:szCs w:val="23"/>
                <w:lang w:val="en-IE"/>
              </w:rPr>
              <w:t> </w:t>
            </w:r>
            <w:r w:rsidRPr="00A36E36">
              <w:rPr>
                <w:rFonts w:ascii="Arial Narrow" w:hAnsi="Arial Narrow"/>
                <w:noProof/>
                <w:color w:val="006100"/>
                <w:sz w:val="20"/>
                <w:lang w:val="en-IE"/>
              </w:rPr>
              <w:t>000</w:t>
            </w:r>
            <w:r w:rsidRPr="00A36E36">
              <w:rPr>
                <w:noProof/>
                <w:sz w:val="23"/>
                <w:szCs w:val="23"/>
                <w:lang w:val="en-IE"/>
              </w:rPr>
              <w:t> </w:t>
            </w:r>
            <w:r w:rsidRPr="00A36E36">
              <w:rPr>
                <w:rFonts w:ascii="Arial Narrow" w:hAnsi="Arial Narrow"/>
                <w:noProof/>
                <w:color w:val="006100"/>
                <w:sz w:val="20"/>
                <w:lang w:val="en-IE"/>
              </w:rPr>
              <w:t>000 for municipalities with a population of between 50</w:t>
            </w:r>
            <w:r w:rsidRPr="00A36E36">
              <w:rPr>
                <w:noProof/>
                <w:sz w:val="23"/>
                <w:szCs w:val="23"/>
                <w:lang w:val="en-IE"/>
              </w:rPr>
              <w:t> </w:t>
            </w:r>
            <w:r w:rsidRPr="00A36E36">
              <w:rPr>
                <w:rFonts w:ascii="Arial Narrow" w:hAnsi="Arial Narrow"/>
                <w:noProof/>
                <w:color w:val="006100"/>
                <w:sz w:val="20"/>
                <w:lang w:val="en-IE"/>
              </w:rPr>
              <w:t>000 and 100</w:t>
            </w:r>
            <w:r w:rsidRPr="00A36E36">
              <w:rPr>
                <w:noProof/>
                <w:sz w:val="23"/>
                <w:szCs w:val="23"/>
                <w:lang w:val="en-IE"/>
              </w:rPr>
              <w:t> </w:t>
            </w:r>
            <w:r w:rsidRPr="00A36E36">
              <w:rPr>
                <w:rFonts w:ascii="Arial Narrow" w:hAnsi="Arial Narrow"/>
                <w:noProof/>
                <w:color w:val="006100"/>
                <w:sz w:val="20"/>
                <w:lang w:val="en-IE"/>
              </w:rPr>
              <w:t>000 inhabitants;</w:t>
            </w:r>
          </w:p>
          <w:p w14:paraId="24FD7D08" w14:textId="77777777" w:rsidR="0039681A" w:rsidRPr="00A36E36" w:rsidRDefault="0039681A">
            <w:pPr>
              <w:spacing w:before="120" w:after="120"/>
              <w:rPr>
                <w:rFonts w:ascii="Arial Narrow" w:eastAsia="Calibri" w:hAnsi="Arial Narrow"/>
                <w:noProof/>
                <w:color w:val="006100"/>
                <w:sz w:val="20"/>
                <w:szCs w:val="20"/>
                <w:lang w:val="en-IE"/>
              </w:rPr>
            </w:pPr>
            <w:r w:rsidRPr="00A36E36">
              <w:rPr>
                <w:rFonts w:ascii="Arial Narrow" w:hAnsi="Arial Narrow"/>
                <w:noProof/>
                <w:color w:val="006100"/>
                <w:sz w:val="20"/>
                <w:lang w:val="en-IE"/>
              </w:rPr>
              <w:t>EUR 20</w:t>
            </w:r>
            <w:r w:rsidRPr="00A36E36">
              <w:rPr>
                <w:noProof/>
                <w:sz w:val="23"/>
                <w:szCs w:val="23"/>
                <w:lang w:val="en-IE"/>
              </w:rPr>
              <w:t> </w:t>
            </w:r>
            <w:r w:rsidRPr="00A36E36">
              <w:rPr>
                <w:rFonts w:ascii="Arial Narrow" w:hAnsi="Arial Narrow"/>
                <w:noProof/>
                <w:color w:val="006100"/>
                <w:sz w:val="20"/>
                <w:lang w:val="en-IE"/>
              </w:rPr>
              <w:t>000</w:t>
            </w:r>
            <w:r w:rsidRPr="00A36E36">
              <w:rPr>
                <w:noProof/>
                <w:sz w:val="23"/>
                <w:szCs w:val="23"/>
                <w:lang w:val="en-IE"/>
              </w:rPr>
              <w:t> </w:t>
            </w:r>
            <w:r w:rsidRPr="00A36E36">
              <w:rPr>
                <w:rFonts w:ascii="Arial Narrow" w:hAnsi="Arial Narrow"/>
                <w:noProof/>
                <w:color w:val="006100"/>
                <w:sz w:val="20"/>
                <w:lang w:val="en-IE"/>
              </w:rPr>
              <w:t>000 for municipalities with a population greater than 100</w:t>
            </w:r>
            <w:r w:rsidRPr="00A36E36">
              <w:rPr>
                <w:noProof/>
                <w:sz w:val="23"/>
                <w:szCs w:val="23"/>
                <w:lang w:val="en-IE"/>
              </w:rPr>
              <w:t> </w:t>
            </w:r>
            <w:r w:rsidRPr="00A36E36">
              <w:rPr>
                <w:rFonts w:ascii="Arial Narrow" w:hAnsi="Arial Narrow"/>
                <w:noProof/>
                <w:color w:val="006100"/>
                <w:sz w:val="20"/>
                <w:lang w:val="en-IE"/>
              </w:rPr>
              <w:t>000 inhabitants and for municipalities that are provincial capitals or metropolitan cities.</w:t>
            </w:r>
          </w:p>
        </w:tc>
      </w:tr>
      <w:tr w:rsidR="0039681A" w:rsidRPr="0070054C" w14:paraId="02E35D56" w14:textId="77777777" w:rsidTr="0030508A">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421338" w14:textId="77777777" w:rsidR="0039681A" w:rsidRPr="00647572" w:rsidRDefault="0039681A">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M5C2-12</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9E849D3"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4 - Investments in projects of urban regeneration, aimed at reducing situations of marginalization and social degradation</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F64EE8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E1EB64F" w14:textId="787F74A2" w:rsidR="0039681A" w:rsidRPr="00A36E36" w:rsidRDefault="0039681A" w:rsidP="00351087">
            <w:pPr>
              <w:jc w:val="center"/>
              <w:rPr>
                <w:rFonts w:ascii="Arial Narrow" w:eastAsia="Arial Narrow" w:hAnsi="Arial Narrow" w:cs="Arial Narrow"/>
                <w:noProof/>
                <w:sz w:val="20"/>
                <w:szCs w:val="20"/>
                <w:lang w:val="en-IE"/>
              </w:rPr>
            </w:pPr>
            <w:r w:rsidRPr="54F9E624">
              <w:rPr>
                <w:rFonts w:ascii="Arial Narrow" w:hAnsi="Arial Narrow"/>
                <w:noProof/>
                <w:color w:val="006100"/>
                <w:sz w:val="20"/>
                <w:szCs w:val="20"/>
                <w:lang w:val="en-IE"/>
              </w:rPr>
              <w:t>Projects carried out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B44E0D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C71B63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169868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85B85D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1</w:t>
            </w:r>
            <w:r w:rsidRPr="00647572">
              <w:rPr>
                <w:noProof/>
                <w:sz w:val="23"/>
                <w:szCs w:val="23"/>
              </w:rPr>
              <w:t> </w:t>
            </w:r>
            <w:r w:rsidRPr="00647572">
              <w:rPr>
                <w:rFonts w:ascii="Arial Narrow" w:hAnsi="Arial Narrow"/>
                <w:noProof/>
                <w:color w:val="006100"/>
                <w:sz w:val="20"/>
              </w:rPr>
              <w:t>080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2A994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F46B1D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20C99E" w14:textId="7E18E1DB" w:rsidR="0039681A" w:rsidRPr="00A36E36" w:rsidRDefault="0039681A">
            <w:pPr>
              <w:rPr>
                <w:rFonts w:ascii="Arial Narrow" w:hAnsi="Arial Narrow"/>
                <w:noProof/>
                <w:color w:val="006100"/>
                <w:sz w:val="20"/>
                <w:szCs w:val="20"/>
                <w:lang w:val="en-IE"/>
              </w:rPr>
            </w:pPr>
            <w:r w:rsidRPr="54F9E624">
              <w:rPr>
                <w:rFonts w:ascii="Arial Narrow" w:hAnsi="Arial Narrow"/>
                <w:noProof/>
                <w:color w:val="006100"/>
                <w:sz w:val="20"/>
                <w:szCs w:val="20"/>
                <w:lang w:val="en-IE"/>
              </w:rPr>
              <w:t>Administrative certificates confirming that at least 1</w:t>
            </w:r>
            <w:r w:rsidRPr="54F9E624">
              <w:rPr>
                <w:noProof/>
                <w:sz w:val="23"/>
                <w:szCs w:val="23"/>
                <w:lang w:val="en-IE"/>
              </w:rPr>
              <w:t> </w:t>
            </w:r>
            <w:r w:rsidRPr="54F9E624">
              <w:rPr>
                <w:rFonts w:ascii="Arial Narrow" w:hAnsi="Arial Narrow"/>
                <w:noProof/>
                <w:color w:val="006100"/>
                <w:sz w:val="20"/>
                <w:szCs w:val="20"/>
                <w:lang w:val="en-IE"/>
              </w:rPr>
              <w:t>080 projects, covering at least 1 000</w:t>
            </w:r>
            <w:r w:rsidRPr="54F9E624">
              <w:rPr>
                <w:noProof/>
                <w:sz w:val="23"/>
                <w:szCs w:val="23"/>
                <w:lang w:val="en-IE"/>
              </w:rPr>
              <w:t> </w:t>
            </w:r>
            <w:r w:rsidRPr="54F9E624">
              <w:rPr>
                <w:rFonts w:ascii="Arial Narrow" w:hAnsi="Arial Narrow"/>
                <w:noProof/>
                <w:color w:val="006100"/>
                <w:sz w:val="20"/>
                <w:szCs w:val="20"/>
                <w:lang w:val="en-IE"/>
              </w:rPr>
              <w:t>000 square meters, have been carried out.</w:t>
            </w:r>
          </w:p>
        </w:tc>
      </w:tr>
      <w:tr w:rsidR="0039681A" w:rsidRPr="0070054C" w14:paraId="1910DA74" w14:textId="77777777" w:rsidTr="0030508A">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78062C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M5C2-13</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35AC23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Urban Integrated Plans - general projects</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D998D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CA2AC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investment Plan for urban regeneration projects in metropolitan areas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7D8F67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of the law indicating the entry into force of the Plan for urban regeneration projects in metropolitan areas</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97497C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EEEDD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26BDA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645744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8A706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07070A7F"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investment Plan shall establish set of criteria in line with the RRF objectives, including the DNSH principle. The projects shall refer to the following type of interventions:</w:t>
            </w:r>
          </w:p>
          <w:p w14:paraId="342A4CE8"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 Maintenance for the reuse and re-operation of public areas.</w:t>
            </w:r>
          </w:p>
          <w:p w14:paraId="55D51E8C"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b) Improvement of the quality of urban décor and the social and environmental fabric.</w:t>
            </w:r>
          </w:p>
          <w:p w14:paraId="6C01B88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c) Improvement of the environmental quality and digital profile of the urban areas.</w:t>
            </w:r>
          </w:p>
        </w:tc>
      </w:tr>
      <w:tr w:rsidR="0039681A" w:rsidRPr="0070054C" w14:paraId="0611AE53" w14:textId="77777777" w:rsidTr="0030508A">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36994BAA" w14:textId="77777777" w:rsidR="0039681A" w:rsidRPr="00647572" w:rsidRDefault="0039681A">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M5C2-14</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31F8831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Urban Integrated Plans - general projects</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25C9C40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4871FCA3" w14:textId="49D46220" w:rsidR="0039681A" w:rsidRPr="00A36E36" w:rsidRDefault="0039681A">
            <w:pPr>
              <w:jc w:val="center"/>
              <w:rPr>
                <w:rFonts w:ascii="Arial Narrow" w:hAnsi="Arial Narrow"/>
                <w:noProof/>
                <w:color w:val="006100"/>
                <w:sz w:val="20"/>
                <w:szCs w:val="20"/>
                <w:lang w:val="en-IE"/>
              </w:rPr>
            </w:pPr>
            <w:r w:rsidRPr="54F9E624">
              <w:rPr>
                <w:rFonts w:ascii="Arial Narrow" w:hAnsi="Arial Narrow"/>
                <w:noProof/>
                <w:color w:val="006100"/>
                <w:sz w:val="20"/>
                <w:szCs w:val="20"/>
                <w:lang w:val="en-IE"/>
              </w:rPr>
              <w:t>Projects carried out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57F5C69D" w14:textId="77777777" w:rsidR="0039681A" w:rsidRPr="00647572" w:rsidRDefault="0039681A" w:rsidP="00AF5341">
            <w:pPr>
              <w:jc w:val="center"/>
              <w:rPr>
                <w:rFonts w:ascii="Arial Narrow" w:hAnsi="Arial Narrow"/>
                <w:noProof/>
                <w:color w:val="006100"/>
                <w:sz w:val="20"/>
                <w:szCs w:val="20"/>
              </w:rPr>
            </w:pPr>
            <w:r w:rsidRPr="1DC0DF21">
              <w:rPr>
                <w:rFonts w:ascii="Arial Narrow" w:hAnsi="Arial Narrow"/>
                <w:noProof/>
                <w:color w:val="006100"/>
                <w:sz w:val="20"/>
                <w:szCs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0AD1673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 xml:space="preserve">Number </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1E71EF0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13EB4938" w14:textId="77777777" w:rsidR="0039681A" w:rsidRPr="00647572" w:rsidRDefault="0039681A">
            <w:pPr>
              <w:jc w:val="center"/>
              <w:rPr>
                <w:rFonts w:ascii="Arial Narrow" w:hAnsi="Arial Narrow"/>
                <w:noProof/>
                <w:sz w:val="20"/>
                <w:szCs w:val="20"/>
              </w:rPr>
            </w:pPr>
            <w:r w:rsidRPr="00647572">
              <w:rPr>
                <w:rFonts w:ascii="Arial Narrow" w:hAnsi="Arial Narrow"/>
                <w:noProof/>
                <w:color w:val="006100"/>
                <w:sz w:val="20"/>
              </w:rPr>
              <w:t>300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446497E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62233E7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7D216AF8" w14:textId="0996F3DF" w:rsidR="0039681A" w:rsidRPr="00A36E36" w:rsidRDefault="0039681A">
            <w:pPr>
              <w:rPr>
                <w:rFonts w:ascii="Arial Narrow" w:hAnsi="Arial Narrow"/>
                <w:noProof/>
                <w:color w:val="006100"/>
                <w:sz w:val="20"/>
                <w:szCs w:val="20"/>
                <w:lang w:val="en-IE"/>
              </w:rPr>
            </w:pPr>
            <w:r w:rsidRPr="54F9E624">
              <w:rPr>
                <w:rFonts w:ascii="Arial Narrow" w:hAnsi="Arial Narrow"/>
                <w:noProof/>
                <w:color w:val="006100"/>
                <w:sz w:val="20"/>
                <w:szCs w:val="20"/>
                <w:lang w:val="en-IE"/>
              </w:rPr>
              <w:t>Administrative certificates confirming that at least 300 urban integrated plan projects in 14 metropolitan cities, covering a total area of at least 3 000 000 square meters, have been carried out</w:t>
            </w:r>
          </w:p>
        </w:tc>
      </w:tr>
      <w:tr w:rsidR="0039681A" w:rsidRPr="0070054C" w14:paraId="3A5D1FF8" w14:textId="77777777" w:rsidTr="0030508A">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F594DF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M5C2-15</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00FDB5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Urban Integrated Plans - Overcoming illegal settlements to fight labour exploitation in agriculture</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5E427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A29A3D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Ministerial Decree setting out the mapping of illegal settlements is adopted by the “Tavolo di contrasto allo sfruttamento lavorativo in agricoltura” and the ministerial decree to allocate resources is adopted</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7FD85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Ministerial Decree</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59C060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DA12F9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BAC5C6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E62728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1D0700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674F61"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Ministerial Decree shall allocate resources on the basis of the mapping of illegal settlements realised by the “Tavolo di contrasto allo sfruttamento lavorativo in agricoltura”. Standard of temporary and long-term housing solutions shall be defined.</w:t>
            </w:r>
          </w:p>
        </w:tc>
      </w:tr>
      <w:tr w:rsidR="0039681A" w:rsidRPr="0070054C" w14:paraId="408D8ADF" w14:textId="77777777" w:rsidTr="0030508A">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A03DF2" w14:textId="77777777" w:rsidR="0039681A" w:rsidRPr="00647572" w:rsidRDefault="0039681A">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M5C2-16</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B75200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Urban Integrated Plans - overcoming illegal settlements to fight labour exploitation in agriculture</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75A0EA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F0BDEF" w14:textId="7F166316"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Projects on housing and set-up of Platform</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B36C8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857C77F" w14:textId="77777777" w:rsidR="0039681A" w:rsidRPr="00647572" w:rsidRDefault="0039681A">
            <w:pPr>
              <w:jc w:val="center"/>
              <w:rPr>
                <w:rFonts w:ascii="Arial Narrow" w:hAnsi="Arial Narrow"/>
                <w:noProof/>
                <w:color w:val="006100"/>
                <w:sz w:val="20"/>
                <w:szCs w:val="20"/>
              </w:rPr>
            </w:pP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8D130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120B13E" w14:textId="18E44239" w:rsidR="0039681A" w:rsidRPr="00647572" w:rsidRDefault="0039681A">
            <w:pPr>
              <w:jc w:val="center"/>
              <w:rPr>
                <w:rFonts w:ascii="Arial Narrow" w:hAnsi="Arial Narrow"/>
                <w:noProof/>
                <w:color w:val="006100"/>
                <w:sz w:val="20"/>
                <w:szCs w:val="20"/>
              </w:rPr>
            </w:pPr>
            <w:r>
              <w:rPr>
                <w:rFonts w:ascii="Arial Narrow" w:hAnsi="Arial Narrow"/>
                <w:noProof/>
                <w:color w:val="006100"/>
                <w:sz w:val="20"/>
                <w:szCs w:val="20"/>
              </w:rPr>
              <w:t>9</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E3C50F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AFC065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18B8746" w14:textId="226EFBEF" w:rsidR="0039681A" w:rsidRPr="0025199B" w:rsidRDefault="0039681A">
            <w:pPr>
              <w:rPr>
                <w:rFonts w:ascii="Arial Narrow" w:hAnsi="Arial Narrow"/>
                <w:noProof/>
                <w:color w:val="006100"/>
                <w:sz w:val="20"/>
                <w:szCs w:val="20"/>
                <w:lang w:val="en-IE"/>
              </w:rPr>
            </w:pPr>
            <w:r w:rsidRPr="54F9E624">
              <w:rPr>
                <w:rFonts w:ascii="Arial Narrow" w:hAnsi="Arial Narrow"/>
                <w:noProof/>
                <w:color w:val="006100"/>
                <w:sz w:val="20"/>
                <w:szCs w:val="20"/>
                <w:lang w:val="en-IE"/>
              </w:rPr>
              <w:t xml:space="preserve">9 projects are implemented in compliance with the number of beds and housing standards defined in the agreements signed by the implementing authoritiese. </w:t>
            </w:r>
          </w:p>
          <w:p w14:paraId="40D182A3"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digital platform on labour exploitation in agriculture (‘Sistema informativo per il contrasto al caporalato’) shall be set-up and allow the use of the interactive dashboard.</w:t>
            </w:r>
          </w:p>
        </w:tc>
      </w:tr>
      <w:tr w:rsidR="0039681A" w:rsidRPr="0070054C" w14:paraId="70F44AF6" w14:textId="77777777" w:rsidTr="0030508A">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11556D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M5C2-17</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AB0668A"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5 - Urban Integrated Plans - EIB Fund-Of-Fund</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5ABB6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D5828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The Fund’s investment strategy is approved by the Ministry of Finance (MEF)</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CFDD394"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Fund’s Investment Strategy is approved by the Ministry of Finance (MEF)</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0AAC0B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1B0E2B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F52D1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DD08DB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Q3</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4D8E69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0140607"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The Fund’s investment strategy shall define as a minimum: (i) the nature and scope of the investments supported, which shall promote sustainable urban regeneration and development projects and be in line with the RRF objectives, including in relation to compliance with the Do No Significant Harm principle, as further specified in the Commission guidance note of 12 February 2021, (ii) the operations supported, (iii) the targeted beneficiaries, which shall be private promoters of financially self-sustainable projects for which public support is justified by a market failure or the risk profile, and their eligibility criteria, (iv) the eligibility criteria of financial beneficiaries and their selection through an open call; (v) the inclusion of a specific line for decent housing solutions for the workers in the agriculture and industrial sector, and (vi) provisions to re-invest potential reflows for the same policy objectives, also beyond 2026.</w:t>
            </w:r>
          </w:p>
          <w:p w14:paraId="3B38111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contractual agreement with entrusted entity requiring shall require the use of the DNSH guidance.</w:t>
            </w:r>
          </w:p>
        </w:tc>
      </w:tr>
      <w:tr w:rsidR="0039681A" w:rsidRPr="0070054C" w14:paraId="10FDC747" w14:textId="77777777" w:rsidTr="0030508A">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tcPr>
          <w:p w14:paraId="66ECB4A1" w14:textId="77777777" w:rsidR="0039681A" w:rsidRPr="00647572" w:rsidRDefault="0039681A">
            <w:pPr>
              <w:jc w:val="center"/>
              <w:rPr>
                <w:rFonts w:ascii="Arial Narrow" w:hAnsi="Arial Narrow"/>
                <w:noProof/>
                <w:color w:val="006100"/>
                <w:sz w:val="20"/>
                <w:szCs w:val="20"/>
                <w:highlight w:val="yellow"/>
              </w:rPr>
            </w:pPr>
            <w:r w:rsidRPr="00647572">
              <w:rPr>
                <w:rFonts w:ascii="Arial Narrow" w:hAnsi="Arial Narrow"/>
                <w:noProof/>
                <w:color w:val="006100"/>
                <w:sz w:val="20"/>
                <w:szCs w:val="20"/>
              </w:rPr>
              <w:t>M5C2-18</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tcPr>
          <w:p w14:paraId="21DA68AB" w14:textId="77777777" w:rsidR="0039681A" w:rsidRPr="00A36E36" w:rsidRDefault="0039681A">
            <w:pPr>
              <w:jc w:val="center"/>
              <w:rPr>
                <w:rFonts w:ascii="Arial Narrow" w:eastAsia="Calibri" w:hAnsi="Arial Narrow"/>
                <w:noProof/>
                <w:color w:val="006100"/>
                <w:sz w:val="20"/>
                <w:szCs w:val="20"/>
                <w:lang w:val="en-IE"/>
              </w:rPr>
            </w:pPr>
            <w:r w:rsidRPr="00A36E36">
              <w:rPr>
                <w:rFonts w:ascii="Arial Narrow" w:hAnsi="Arial Narrow"/>
                <w:noProof/>
                <w:color w:val="006100"/>
                <w:sz w:val="20"/>
                <w:lang w:val="en-IE"/>
              </w:rPr>
              <w:t>Investment 5 - Urban Integrated Plans - EIB Fund-Of-Fund</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tcPr>
          <w:p w14:paraId="52EE3C57"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Target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188DB5BE" w14:textId="77777777" w:rsidR="0039681A" w:rsidRPr="00A36E36" w:rsidRDefault="0039681A">
            <w:pPr>
              <w:rPr>
                <w:rFonts w:ascii="Calibri" w:eastAsia="Calibri" w:hAnsi="Calibri" w:cs="Calibri"/>
                <w:noProof/>
                <w:color w:val="000000" w:themeColor="text1"/>
                <w:lang w:val="en-IE"/>
              </w:rPr>
            </w:pPr>
            <w:r w:rsidRPr="00A36E36">
              <w:rPr>
                <w:rFonts w:ascii="Arial Narrow" w:hAnsi="Arial Narrow"/>
                <w:noProof/>
                <w:color w:val="006100"/>
                <w:sz w:val="20"/>
                <w:szCs w:val="20"/>
                <w:lang w:val="en-IE"/>
              </w:rPr>
              <w:t>Legal agreements signed with final beneficiaries for an investment value of underlying projects of at least EUR 545</w:t>
            </w:r>
            <w:r>
              <w:rPr>
                <w:rFonts w:ascii="Arial Narrow" w:hAnsi="Arial Narrow"/>
                <w:noProof/>
                <w:color w:val="006100"/>
                <w:sz w:val="20"/>
                <w:szCs w:val="20"/>
                <w:lang w:val="en-IE"/>
              </w:rPr>
              <w:t> </w:t>
            </w:r>
            <w:r w:rsidRPr="00A36E36">
              <w:rPr>
                <w:rFonts w:ascii="Arial Narrow" w:hAnsi="Arial Narrow"/>
                <w:noProof/>
                <w:color w:val="006100"/>
                <w:sz w:val="20"/>
                <w:szCs w:val="20"/>
                <w:lang w:val="en-IE"/>
              </w:rPr>
              <w:t>000</w:t>
            </w:r>
            <w:r>
              <w:rPr>
                <w:rFonts w:ascii="Arial Narrow" w:hAnsi="Arial Narrow"/>
                <w:noProof/>
                <w:color w:val="006100"/>
                <w:sz w:val="20"/>
                <w:szCs w:val="20"/>
                <w:lang w:val="en-IE"/>
              </w:rPr>
              <w:t> </w:t>
            </w:r>
            <w:r w:rsidRPr="00A36E36">
              <w:rPr>
                <w:rFonts w:ascii="Arial Narrow" w:hAnsi="Arial Narrow"/>
                <w:noProof/>
                <w:color w:val="006100"/>
                <w:sz w:val="20"/>
                <w:szCs w:val="20"/>
                <w:lang w:val="en-IE"/>
              </w:rPr>
              <w:t>000</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tcPr>
          <w:p w14:paraId="0F81EF3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06C3363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EUR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tcPr>
          <w:p w14:paraId="0A0309DD"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tcPr>
          <w:p w14:paraId="319E13C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545</w:t>
            </w:r>
            <w:r w:rsidRPr="00647572">
              <w:rPr>
                <w:noProof/>
                <w:sz w:val="23"/>
                <w:szCs w:val="23"/>
              </w:rPr>
              <w:t> </w:t>
            </w:r>
            <w:r w:rsidRPr="00647572">
              <w:rPr>
                <w:rFonts w:ascii="Arial Narrow" w:hAnsi="Arial Narrow"/>
                <w:noProof/>
                <w:color w:val="006100"/>
                <w:sz w:val="20"/>
              </w:rPr>
              <w:t>000</w:t>
            </w:r>
            <w:r w:rsidRPr="00647572">
              <w:rPr>
                <w:noProof/>
                <w:sz w:val="23"/>
                <w:szCs w:val="23"/>
              </w:rPr>
              <w:t> </w:t>
            </w:r>
            <w:r w:rsidRPr="00647572">
              <w:rPr>
                <w:rFonts w:ascii="Arial Narrow" w:hAnsi="Arial Narrow"/>
                <w:noProof/>
                <w:color w:val="006100"/>
                <w:sz w:val="20"/>
              </w:rPr>
              <w:t>000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tcPr>
          <w:p w14:paraId="18690DB0"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Q4</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tcPr>
          <w:p w14:paraId="113ED75B" w14:textId="77777777" w:rsidR="0039681A" w:rsidRPr="00647572" w:rsidRDefault="0039681A">
            <w:pPr>
              <w:jc w:val="center"/>
              <w:rPr>
                <w:rFonts w:ascii="Arial Narrow" w:eastAsia="Calibri" w:hAnsi="Arial Narrow"/>
                <w:noProof/>
                <w:color w:val="006100"/>
                <w:sz w:val="20"/>
                <w:szCs w:val="20"/>
              </w:rPr>
            </w:pPr>
            <w:r w:rsidRPr="00647572">
              <w:rPr>
                <w:rFonts w:ascii="Arial Narrow" w:hAnsi="Arial Narrow"/>
                <w:noProof/>
                <w:color w:val="006100"/>
                <w:sz w:val="20"/>
              </w:rPr>
              <w:t>2025</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tcPr>
          <w:p w14:paraId="32D87D4D" w14:textId="77777777" w:rsidR="0039681A" w:rsidRPr="00A36E36" w:rsidRDefault="0039681A">
            <w:pPr>
              <w:rPr>
                <w:rFonts w:ascii="Arial Narrow" w:hAnsi="Arial Narrow"/>
                <w:noProof/>
                <w:color w:val="006100"/>
                <w:sz w:val="20"/>
                <w:lang w:val="en-IE"/>
              </w:rPr>
            </w:pPr>
            <w:r w:rsidRPr="00A36E36">
              <w:rPr>
                <w:rFonts w:ascii="Arial Narrow" w:hAnsi="Arial Narrow"/>
                <w:noProof/>
                <w:color w:val="006100"/>
                <w:sz w:val="20"/>
                <w:lang w:val="en-IE"/>
              </w:rPr>
              <w:t>The selected financial intermediaries shall have entered into legal financing agreements with final beneficiaries for an investment value of underlying projects of at least EUR 545 000 000 (including RRF and private funding).</w:t>
            </w:r>
          </w:p>
          <w:p w14:paraId="364BB223"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Ministry of Economy and Finance shall have completed the transfer of EUR 272 000 000 to the European Investment Bank.</w:t>
            </w:r>
          </w:p>
        </w:tc>
      </w:tr>
      <w:tr w:rsidR="0039681A" w:rsidRPr="0070054C" w14:paraId="40AF1820" w14:textId="77777777" w:rsidTr="0030508A">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2D2AB1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M5C2-19</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6FB337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6 - Innovation Programme for Housing Quality</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DF2B52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31C46E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Regions and Autonomous Provinces (including municipalities and/or metropolitan cities located in those territories) signed the agreements to redevelop and increase social housing</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D7D193"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Agreements with local authorities are signed</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88FB1D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BA6833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E047CF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3BF5F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057C87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2B25EDD"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At least 15 Regions and Autonomous Provinces (including municipalities and/or metropolitan cities located in those territories) signed the agreements to redevelop and increase social housing.</w:t>
            </w:r>
          </w:p>
          <w:p w14:paraId="2FEE11C3"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Agreements signed with at least 15 Regions and Autonomous Provinces involved in projects. </w:t>
            </w:r>
          </w:p>
          <w:p w14:paraId="5B2C38A2"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Building: new public housing accommodations to:</w:t>
            </w:r>
          </w:p>
          <w:p w14:paraId="4A85940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redevelop, reorganize and increase the assets intended for public housing;</w:t>
            </w:r>
          </w:p>
          <w:p w14:paraId="018D20C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re-functionalize areas, spaces and public and private properties also through the regeneration of the urban and socio-economic fabric;</w:t>
            </w:r>
          </w:p>
          <w:p w14:paraId="1E2EF6F1"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improve the accessibility and safety of urban areas and the provision of services and urban-local infrastructures;</w:t>
            </w:r>
          </w:p>
          <w:p w14:paraId="0AC4391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regenerate areas and spaces already built, increasing environmental quality and improving climate resilience to climate change also by means of operations with impacts on urban densification;</w:t>
            </w:r>
          </w:p>
          <w:p w14:paraId="24CE2B63"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 identify and use innovative management and inclusion models and tools, social and urban welfare, as well as participatory processes.</w:t>
            </w:r>
          </w:p>
          <w:p w14:paraId="14634DDF"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Housing units and public spaces supported shall be intended as benefitting from the activities described in the related milestone.</w:t>
            </w:r>
          </w:p>
        </w:tc>
      </w:tr>
      <w:tr w:rsidR="0039681A" w:rsidRPr="0070054C" w14:paraId="55AE94FA" w14:textId="77777777" w:rsidTr="0030508A">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83D56FC" w14:textId="77777777" w:rsidR="0039681A" w:rsidRPr="00647572" w:rsidRDefault="0039681A">
            <w:pPr>
              <w:jc w:val="center"/>
              <w:rPr>
                <w:rFonts w:ascii="Arial Narrow" w:hAnsi="Arial Narrow"/>
                <w:noProof/>
                <w:color w:val="006100"/>
                <w:sz w:val="20"/>
                <w:szCs w:val="20"/>
              </w:rPr>
            </w:pPr>
            <w:r w:rsidRPr="54F9E624">
              <w:rPr>
                <w:rFonts w:ascii="Arial Narrow" w:hAnsi="Arial Narrow"/>
                <w:noProof/>
                <w:color w:val="006100"/>
                <w:sz w:val="20"/>
                <w:szCs w:val="20"/>
              </w:rPr>
              <w:t>M5C2-20</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43ECB21"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Investment 6 - Innovation Programme for Housing Quality </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80372B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54225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Number of housing units built, purchased or renovated </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1B5E08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973B07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6450CF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20F036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10</w:t>
            </w:r>
            <w:r w:rsidRPr="00647572">
              <w:rPr>
                <w:noProof/>
                <w:sz w:val="23"/>
                <w:szCs w:val="23"/>
              </w:rPr>
              <w:t> </w:t>
            </w:r>
            <w:r w:rsidRPr="00647572">
              <w:rPr>
                <w:rFonts w:ascii="Arial Narrow" w:hAnsi="Arial Narrow"/>
                <w:noProof/>
                <w:color w:val="006100"/>
                <w:sz w:val="20"/>
                <w:szCs w:val="20"/>
              </w:rPr>
              <w:t>000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5022538" w14:textId="77777777" w:rsidR="0039681A" w:rsidRPr="00647572" w:rsidRDefault="0039681A">
            <w:pPr>
              <w:jc w:val="center"/>
              <w:rPr>
                <w:rFonts w:ascii="Arial Narrow" w:hAnsi="Arial Narrow"/>
                <w:noProof/>
                <w:color w:val="006100"/>
                <w:sz w:val="20"/>
                <w:szCs w:val="20"/>
              </w:rPr>
            </w:pPr>
            <w:r w:rsidRPr="7477A91A">
              <w:rPr>
                <w:rFonts w:ascii="Arial Narrow" w:hAnsi="Arial Narrow"/>
                <w:noProof/>
                <w:color w:val="006100"/>
                <w:sz w:val="20"/>
                <w:szCs w:val="20"/>
              </w:rPr>
              <w:t>Q2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E5A7B8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042E8DA" w14:textId="16C3D6D2" w:rsidR="0039681A" w:rsidRPr="00A36E36" w:rsidRDefault="0039681A">
            <w:pPr>
              <w:spacing w:line="278" w:lineRule="auto"/>
              <w:rPr>
                <w:rFonts w:ascii="Arial Narrow" w:hAnsi="Arial Narrow"/>
                <w:noProof/>
                <w:color w:val="006100"/>
                <w:sz w:val="20"/>
                <w:szCs w:val="20"/>
                <w:lang w:val="en-IE"/>
              </w:rPr>
            </w:pPr>
            <w:r w:rsidRPr="6D16DF82">
              <w:rPr>
                <w:rFonts w:ascii="Arial Narrow" w:hAnsi="Arial Narrow"/>
                <w:noProof/>
                <w:color w:val="006100"/>
                <w:sz w:val="20"/>
                <w:szCs w:val="20"/>
                <w:lang w:val="en-IE"/>
              </w:rPr>
              <w:t>At least 10 000 housing units shall be built, purchased or renovated, and at least 1 800 000 square meters of public spaces shall be renovated.</w:t>
            </w:r>
          </w:p>
          <w:p w14:paraId="11EBCD1D" w14:textId="26AF3D82" w:rsidR="0039681A" w:rsidRPr="00AF5341" w:rsidRDefault="0039681A" w:rsidP="00351087">
            <w:pPr>
              <w:spacing w:line="278" w:lineRule="auto"/>
              <w:rPr>
                <w:noProof/>
                <w:lang w:val="en-IE"/>
              </w:rPr>
            </w:pPr>
            <w:r w:rsidRPr="522F98F2">
              <w:rPr>
                <w:rFonts w:ascii="Arial Narrow" w:hAnsi="Arial Narrow"/>
                <w:noProof/>
                <w:color w:val="006100"/>
                <w:sz w:val="20"/>
                <w:szCs w:val="20"/>
                <w:lang w:val="en-IE"/>
              </w:rPr>
              <w:t xml:space="preserve">At least EUR 100 million of RRF support to the investment cost shall be dedicated to energy efficiency renovation of existing housing stock or public infrastructure or to the construction of buildings with a primary energy consumption at least 20% lower than the Nearly Zero Energy Buildings requirement. </w:t>
            </w:r>
          </w:p>
          <w:p w14:paraId="135597D5" w14:textId="6D4D7B1C" w:rsidR="0039681A" w:rsidRPr="00A36E36" w:rsidRDefault="0039681A" w:rsidP="00351087">
            <w:pPr>
              <w:spacing w:line="278" w:lineRule="auto"/>
              <w:rPr>
                <w:rFonts w:ascii="Arial Narrow" w:hAnsi="Arial Narrow"/>
                <w:noProof/>
                <w:color w:val="006100"/>
                <w:sz w:val="20"/>
                <w:szCs w:val="20"/>
                <w:lang w:val="en-IE"/>
              </w:rPr>
            </w:pPr>
            <w:r w:rsidRPr="525B8CA3">
              <w:rPr>
                <w:rFonts w:ascii="Arial Narrow" w:hAnsi="Arial Narrow"/>
                <w:noProof/>
                <w:color w:val="006100"/>
                <w:sz w:val="20"/>
                <w:szCs w:val="20"/>
                <w:lang w:val="en-IE"/>
              </w:rPr>
              <w:t>At least EUR 350 million shall be dedicated to energy efficiency renovation of existing housing stock or public infrastructure resulting in primary energy savings of at least 30%.</w:t>
            </w:r>
          </w:p>
        </w:tc>
      </w:tr>
      <w:tr w:rsidR="0039681A" w:rsidRPr="0070054C" w14:paraId="1503D728" w14:textId="77777777" w:rsidTr="0030508A">
        <w:trPr>
          <w:trHeight w:val="3285"/>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596296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M5C2-21</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CBFA53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7 - The Sport and Social Inclusion project</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331E4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71D7311"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Award of all public contracts for projects on sport and social inclusion following a public call for proposal</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FD434E2"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public contracts for projects on sport and social inclusion</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AFD968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85478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5D1621F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52200B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48202E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AB57DDB"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Notification of the award of public contracts, which shall consist of at least one of the following elements:</w:t>
            </w:r>
          </w:p>
          <w:p w14:paraId="5FAA07CF"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1. construction of new sport facilities, located in the disadvantaged areas of the country;</w:t>
            </w:r>
          </w:p>
          <w:p w14:paraId="18FA7475"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2. provision of sports equipment, including the application of technology to sport);</w:t>
            </w:r>
          </w:p>
          <w:p w14:paraId="5B526154" w14:textId="77777777" w:rsidR="0039681A" w:rsidRPr="00A36E36" w:rsidRDefault="0039681A">
            <w:pPr>
              <w:rPr>
                <w:rFonts w:ascii="Arial Narrow" w:eastAsia="Calibri" w:hAnsi="Arial Narrow"/>
                <w:noProof/>
                <w:color w:val="006100"/>
                <w:sz w:val="20"/>
                <w:szCs w:val="20"/>
                <w:lang w:val="en-IE"/>
              </w:rPr>
            </w:pPr>
            <w:r w:rsidRPr="00A36E36">
              <w:rPr>
                <w:rFonts w:ascii="Arial Narrow" w:hAnsi="Arial Narrow"/>
                <w:noProof/>
                <w:color w:val="006100"/>
                <w:sz w:val="20"/>
                <w:lang w:val="en-IE"/>
              </w:rPr>
              <w:t>3. requalification and adaptation of existing sports facilities (for example: removal of architectural barriers, energy efficiency, etc).</w:t>
            </w:r>
          </w:p>
          <w:p w14:paraId="026CAF88"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project aims to ensure the regeneration of urban areas through a focus on sport facilities, in order to promote social inclusion and integration, especially in the most deprived areas of Italy.</w:t>
            </w:r>
          </w:p>
          <w:p w14:paraId="1E96A9FB"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Selection criteria shall guarantee that at least 50% of the investment shall be allocated to new constructions, compliant with the relevant requirements of footnote 5 of Annex VI of the Regulation (EU) 2021/241.</w:t>
            </w:r>
          </w:p>
        </w:tc>
      </w:tr>
      <w:tr w:rsidR="0039681A" w:rsidRPr="0070054C" w14:paraId="64E7A9AD" w14:textId="77777777" w:rsidTr="0030508A">
        <w:trPr>
          <w:trHeight w:val="300"/>
          <w:jc w:val="center"/>
        </w:trPr>
        <w:tc>
          <w:tcPr>
            <w:tcW w:w="11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F61E343" w14:textId="77777777" w:rsidR="0039681A" w:rsidRPr="00647572" w:rsidRDefault="0039681A">
            <w:pPr>
              <w:jc w:val="center"/>
              <w:rPr>
                <w:rFonts w:ascii="Arial Narrow" w:hAnsi="Arial Narrow"/>
                <w:noProof/>
                <w:color w:val="006100"/>
                <w:sz w:val="20"/>
                <w:szCs w:val="20"/>
                <w:highlight w:val="yellow"/>
              </w:rPr>
            </w:pPr>
            <w:r w:rsidRPr="00647572">
              <w:rPr>
                <w:rFonts w:ascii="Arial Narrow" w:hAnsi="Arial Narrow"/>
                <w:noProof/>
                <w:color w:val="006100"/>
                <w:sz w:val="20"/>
              </w:rPr>
              <w:t>M5C2-22</w:t>
            </w:r>
          </w:p>
        </w:tc>
        <w:tc>
          <w:tcPr>
            <w:tcW w:w="1511"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5850FC"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Investment 7 - Sport and Social Inclusion </w:t>
            </w:r>
          </w:p>
        </w:tc>
        <w:tc>
          <w:tcPr>
            <w:tcW w:w="97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C27D6F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2F6ED903" w14:textId="5078E0ED" w:rsidR="0039681A" w:rsidRPr="00A36E36" w:rsidRDefault="0039681A">
            <w:pPr>
              <w:jc w:val="center"/>
              <w:rPr>
                <w:rFonts w:ascii="Arial Narrow" w:hAnsi="Arial Narrow"/>
                <w:noProof/>
                <w:color w:val="006100"/>
                <w:sz w:val="20"/>
                <w:szCs w:val="20"/>
                <w:lang w:val="en-IE"/>
              </w:rPr>
            </w:pPr>
            <w:r w:rsidRPr="54F9E624">
              <w:rPr>
                <w:rFonts w:ascii="Arial Narrow" w:hAnsi="Arial Narrow"/>
                <w:noProof/>
                <w:color w:val="006100"/>
                <w:sz w:val="20"/>
                <w:szCs w:val="20"/>
                <w:lang w:val="en-IE"/>
              </w:rPr>
              <w:t>Administrattive certificates for interventions related to the construction or renovation of sport facilities</w:t>
            </w:r>
          </w:p>
        </w:tc>
        <w:tc>
          <w:tcPr>
            <w:tcW w:w="1320"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A8817AA" w14:textId="77777777" w:rsidR="0039681A" w:rsidRPr="00647572" w:rsidRDefault="0039681A" w:rsidP="00351087">
            <w:pPr>
              <w:jc w:val="center"/>
              <w:rPr>
                <w:rFonts w:ascii="Arial Narrow" w:hAnsi="Arial Narrow"/>
                <w:noProof/>
                <w:color w:val="006100"/>
                <w:sz w:val="20"/>
                <w:szCs w:val="20"/>
              </w:rPr>
            </w:pPr>
            <w:r w:rsidRPr="59BB5CB8">
              <w:rPr>
                <w:rFonts w:ascii="Arial Narrow" w:hAnsi="Arial Narrow"/>
                <w:noProof/>
                <w:color w:val="006100"/>
                <w:sz w:val="20"/>
                <w:szCs w:val="20"/>
              </w:rPr>
              <w:t>N/A</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6200AAD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092"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4EA73BB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00AAE97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100</w:t>
            </w:r>
          </w:p>
        </w:tc>
        <w:tc>
          <w:tcPr>
            <w:tcW w:w="107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37CB827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1038"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1558582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143" w:type="dxa"/>
            <w:tcBorders>
              <w:top w:val="single" w:sz="4" w:space="0" w:color="auto"/>
              <w:left w:val="single" w:sz="4" w:space="0" w:color="auto"/>
              <w:bottom w:val="single" w:sz="4" w:space="0" w:color="auto"/>
              <w:right w:val="single" w:sz="4" w:space="0" w:color="auto"/>
            </w:tcBorders>
            <w:shd w:val="clear" w:color="auto" w:fill="C6EFCE"/>
            <w:vAlign w:val="center"/>
            <w:hideMark/>
          </w:tcPr>
          <w:p w14:paraId="793AEECA" w14:textId="75DE6D13" w:rsidR="0039681A" w:rsidRPr="00A36E36" w:rsidRDefault="0039681A">
            <w:pPr>
              <w:rPr>
                <w:rFonts w:ascii="Arial Narrow" w:hAnsi="Arial Narrow"/>
                <w:noProof/>
                <w:color w:val="006100"/>
                <w:sz w:val="20"/>
                <w:szCs w:val="20"/>
                <w:lang w:val="en-IE"/>
              </w:rPr>
            </w:pPr>
            <w:r w:rsidRPr="54F9E624">
              <w:rPr>
                <w:rFonts w:ascii="Arial Narrow" w:hAnsi="Arial Narrow"/>
                <w:noProof/>
                <w:color w:val="006100"/>
                <w:sz w:val="20"/>
                <w:szCs w:val="20"/>
                <w:lang w:val="en-IE"/>
              </w:rPr>
              <w:t>Administrative certificates</w:t>
            </w:r>
            <w:r w:rsidR="00381DB1">
              <w:rPr>
                <w:rFonts w:ascii="Arial Narrow" w:hAnsi="Arial Narrow"/>
                <w:noProof/>
                <w:color w:val="006100"/>
                <w:sz w:val="20"/>
                <w:szCs w:val="20"/>
                <w:lang w:val="en-IE"/>
              </w:rPr>
              <w:t xml:space="preserve"> </w:t>
            </w:r>
            <w:r w:rsidRPr="54F9E624">
              <w:rPr>
                <w:rFonts w:ascii="Arial Narrow" w:hAnsi="Arial Narrow"/>
                <w:noProof/>
                <w:color w:val="006100"/>
                <w:sz w:val="20"/>
                <w:szCs w:val="20"/>
                <w:lang w:val="en-IE"/>
              </w:rPr>
              <w:t>confirming that at least 100 interventions related to construction or renovation of sport facilities covering a total area of at least 200 000 square meters have been carried out</w:t>
            </w:r>
          </w:p>
        </w:tc>
      </w:tr>
    </w:tbl>
    <w:p w14:paraId="26653A13" w14:textId="77777777" w:rsidR="0039681A" w:rsidRDefault="0039681A" w:rsidP="00351087">
      <w:pPr>
        <w:spacing w:before="120" w:after="120"/>
        <w:jc w:val="both"/>
        <w:rPr>
          <w:rFonts w:ascii="Times New Roman" w:hAnsi="Times New Roman" w:cs="Times New Roman"/>
          <w:noProof/>
          <w:lang w:val="en-IE"/>
        </w:rPr>
        <w:sectPr w:rsidR="0039681A" w:rsidSect="0039681A">
          <w:headerReference w:type="even" r:id="rId209"/>
          <w:headerReference w:type="default" r:id="rId210"/>
          <w:footerReference w:type="default" r:id="rId211"/>
          <w:headerReference w:type="first" r:id="rId212"/>
          <w:pgSz w:w="16838" w:h="11906" w:orient="landscape"/>
          <w:pgMar w:top="1134" w:right="1134" w:bottom="1134" w:left="1134" w:header="567" w:footer="567" w:gutter="0"/>
          <w:cols w:space="708"/>
          <w:docGrid w:linePitch="360"/>
        </w:sectPr>
      </w:pPr>
    </w:p>
    <w:p w14:paraId="1471B7C8" w14:textId="77777777" w:rsidR="0039681A" w:rsidRPr="00A36E36" w:rsidRDefault="0039681A" w:rsidP="00351087">
      <w:pPr>
        <w:pStyle w:val="Heading2"/>
        <w:ind w:left="1080"/>
        <w:rPr>
          <w:noProof/>
          <w:sz w:val="24"/>
          <w:szCs w:val="24"/>
          <w:lang w:val="en-IE"/>
        </w:rPr>
      </w:pPr>
      <w:r w:rsidRPr="00A36E36">
        <w:rPr>
          <w:rFonts w:ascii="Times New Roman" w:eastAsia="Times New Roman" w:hAnsi="Times New Roman" w:cs="Times New Roman"/>
          <w:b/>
          <w:bCs/>
          <w:noProof/>
          <w:color w:val="auto"/>
          <w:sz w:val="24"/>
          <w:szCs w:val="24"/>
          <w:lang w:val="en-IE"/>
        </w:rPr>
        <w:t>N. MISSION 5 COMPONENT 3: Special interventions for territorial cohesion</w:t>
      </w:r>
    </w:p>
    <w:p w14:paraId="69A43511" w14:textId="77777777" w:rsidR="0039681A" w:rsidRPr="00A36E36" w:rsidRDefault="0039681A" w:rsidP="00351087">
      <w:pPr>
        <w:tabs>
          <w:tab w:val="left" w:pos="1134"/>
        </w:tabs>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This component of the recovery and resilience plan includes two intervention areas: i) Plan for the resilience of internal, peripheral and mountain areas; ii) Projects for the development of the South, including investments to tackle educational poverty, to consolidate rural pharmacies as local health services, the enhancement of assets confiscated from organised crime and infrastructural investment in Special Economic Zones. These measures aim at tackling the territorial divide in three domains: demographics and services; skill development; investment. </w:t>
      </w:r>
    </w:p>
    <w:p w14:paraId="5B94BCF8" w14:textId="77777777" w:rsidR="0039681A" w:rsidRPr="00A36E36" w:rsidRDefault="0039681A" w:rsidP="00351087">
      <w:pPr>
        <w:tabs>
          <w:tab w:val="left" w:pos="1134"/>
        </w:tabs>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 xml:space="preserve">The investments and the reforms under this component shall contribute addressing the country specific recommendations addressed to Italy in 2019 and 2020 on the need to “Focus investment-related economic policy on research and innovation, and the quality of infrastructure, taking into account regional disparities” (country specific recommendation 2019.3); </w:t>
      </w:r>
      <w:r w:rsidRPr="00A36E36">
        <w:rPr>
          <w:rStyle w:val="normaltextrun"/>
          <w:rFonts w:ascii="Times New Roman" w:hAnsi="Times New Roman" w:cs="Times New Roman"/>
          <w:noProof/>
          <w:shd w:val="clear" w:color="auto" w:fill="FFFFFF"/>
          <w:lang w:val="en-IE"/>
        </w:rPr>
        <w:t xml:space="preserve">“improve educational outcomes” (country specific recommendation 2019.2); “Strengthen the resilience and capacity of the health system […]” (country specific recommendation 2020.1); “ensure adequate […] and access to social protection” (country specific recommendation 2020.2). </w:t>
      </w:r>
    </w:p>
    <w:p w14:paraId="7422503B" w14:textId="77777777" w:rsidR="0039681A" w:rsidRPr="00A36E36" w:rsidRDefault="0039681A" w:rsidP="00351087">
      <w:pPr>
        <w:spacing w:before="120" w:after="120"/>
        <w:jc w:val="both"/>
        <w:rPr>
          <w:rFonts w:ascii="Times New Roman" w:hAnsi="Times New Roman" w:cs="Times New Roman"/>
          <w:noProof/>
          <w:lang w:val="en-IE"/>
        </w:rPr>
      </w:pPr>
    </w:p>
    <w:p w14:paraId="636CD4FA" w14:textId="77777777" w:rsidR="0039681A" w:rsidRPr="00A36E36" w:rsidRDefault="0039681A" w:rsidP="0035108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N.1.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61336A3D"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Investment 1.1. Inner Areas – 1: Enhancement of community social services and infrastructures</w:t>
      </w:r>
    </w:p>
    <w:p w14:paraId="0C7F83D3"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intervention aims at tackling the issues of social exclusion and marginalisation, by intensifying the provision of services through the increase of funds for public services delivered by the local authorities (the delivery mechanism consists in providing grants to the municipalities). Financed projects may concern: home care services for the elderly; community nurses and midwives; strengthening of small hospitals (those without first aid) or some basic services (i.e. radiology, cardiology, gynaecology) and outpatient centres; infrastructures for helicopter rescue; strengthening centres for the disabled; counselling centres, cultural services, sports services and migrant reception. The intervention shall envisage either the creation of new services and infrastructures or the improvement of existing ones through an increase in the number of recipients or in the quality of supply. </w:t>
      </w:r>
    </w:p>
    <w:p w14:paraId="12F0EB14"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noProof/>
          <w:lang w:val="en-IE"/>
        </w:rPr>
        <w:t>In order to ensure that the measure complies with the ‘Do no significant harm’ Technical Guidance (2021/C58/01), the eligibility criteria contained in terms of reference for upcoming calls for projects shall exclude the following list of activities:</w:t>
      </w:r>
      <w:r w:rsidRPr="00A36E36">
        <w:rPr>
          <w:rFonts w:ascii="Times New Roman" w:hAnsi="Times New Roman" w:cs="Times New Roman"/>
          <w:noProof/>
          <w:color w:val="FF0000"/>
          <w:lang w:val="en-IE"/>
        </w:rPr>
        <w:t xml:space="preserve"> </w:t>
      </w:r>
      <w:r w:rsidRPr="00A36E36">
        <w:rPr>
          <w:rFonts w:ascii="Times New Roman" w:hAnsi="Times New Roman" w:cs="Times New Roman"/>
          <w:noProof/>
          <w:lang w:val="en-IE"/>
        </w:rPr>
        <w:t>(i) activities related to fossil fuels, including downstream use</w:t>
      </w:r>
      <w:r w:rsidRPr="00647572">
        <w:rPr>
          <w:rStyle w:val="FootnoteReference"/>
          <w:rFonts w:ascii="Times New Roman" w:hAnsi="Times New Roman" w:cs="Times New Roman"/>
          <w:noProof/>
        </w:rPr>
        <w:footnoteReference w:id="88"/>
      </w:r>
      <w:r w:rsidRPr="00A36E36">
        <w:rPr>
          <w:rFonts w:ascii="Times New Roman" w:hAnsi="Times New Roman" w:cs="Times New Roman"/>
          <w:noProof/>
          <w:lang w:val="en-IE"/>
        </w:rPr>
        <w:t>; (ii) activities under the EU Emission Trading System (ETS) achieving projected greenhouse gas emissions that are not lower than the relevant benchmarks</w:t>
      </w:r>
      <w:r w:rsidRPr="00647572">
        <w:rPr>
          <w:rStyle w:val="FootnoteReference"/>
          <w:rFonts w:ascii="Times New Roman" w:hAnsi="Times New Roman" w:cs="Times New Roman"/>
          <w:noProof/>
        </w:rPr>
        <w:footnoteReference w:id="89"/>
      </w:r>
      <w:r w:rsidRPr="00A36E36">
        <w:rPr>
          <w:rFonts w:ascii="Times New Roman" w:hAnsi="Times New Roman" w:cs="Times New Roman"/>
          <w:noProof/>
          <w:lang w:val="en-IE"/>
        </w:rPr>
        <w:t>; (iii) activities related to waste landfills, incinerators</w:t>
      </w:r>
      <w:r w:rsidRPr="00647572">
        <w:rPr>
          <w:rStyle w:val="FootnoteReference"/>
          <w:rFonts w:ascii="Times New Roman" w:hAnsi="Times New Roman" w:cs="Times New Roman"/>
          <w:noProof/>
        </w:rPr>
        <w:footnoteReference w:id="90"/>
      </w:r>
      <w:r w:rsidRPr="00A36E36">
        <w:rPr>
          <w:rFonts w:ascii="Times New Roman" w:hAnsi="Times New Roman" w:cs="Times New Roman"/>
          <w:noProof/>
          <w:lang w:val="en-IE"/>
        </w:rPr>
        <w:t xml:space="preserve"> and mechanical biological treatment plants</w:t>
      </w:r>
      <w:r w:rsidRPr="00647572">
        <w:rPr>
          <w:rStyle w:val="FootnoteReference"/>
          <w:rFonts w:ascii="Times New Roman" w:hAnsi="Times New Roman" w:cs="Times New Roman"/>
          <w:noProof/>
        </w:rPr>
        <w:footnoteReference w:id="91"/>
      </w:r>
      <w:r w:rsidRPr="00A36E36">
        <w:rPr>
          <w:rFonts w:ascii="Times New Roman" w:hAnsi="Times New Roman" w:cs="Times New Roman"/>
          <w:noProof/>
          <w:lang w:val="en-IE"/>
        </w:rPr>
        <w:t>; and (iv) activities where the long-term disposal of waste may cause harm to the environment. The terms of reference shall additionally require that only activities that comply with relevant EU and national environmental legislation may be selected.</w:t>
      </w:r>
    </w:p>
    <w:p w14:paraId="3F77254C"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Investment 1.1.2: Territorial Proximity health facilities </w:t>
      </w:r>
    </w:p>
    <w:p w14:paraId="58DEB5F1"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noProof/>
          <w:lang w:val="en-IE"/>
        </w:rPr>
        <w:t>The objective of the measure is to reinforce the role of rural pharmacies in the provision of health services to the local population, for example integrated home assistance and patient monitoring, in turn facilitating the interaction between the patient and the national healthcare system. The investment consists in the provision of financial support to rural pharmacies.</w:t>
      </w:r>
    </w:p>
    <w:p w14:paraId="72F6B684" w14:textId="77777777" w:rsidR="0039681A" w:rsidRPr="00A36E36" w:rsidRDefault="0039681A" w:rsidP="00351087">
      <w:pPr>
        <w:jc w:val="both"/>
        <w:rPr>
          <w:rFonts w:ascii="Times New Roman" w:hAnsi="Times New Roman" w:cs="Times New Roman"/>
          <w:b/>
          <w:bCs/>
          <w:noProof/>
          <w:lang w:val="en-IE"/>
        </w:rPr>
      </w:pPr>
      <w:r w:rsidRPr="00A36E36">
        <w:rPr>
          <w:rFonts w:ascii="Times New Roman" w:hAnsi="Times New Roman" w:cs="Times New Roman"/>
          <w:b/>
          <w:bCs/>
          <w:noProof/>
          <w:lang w:val="en-IE"/>
        </w:rPr>
        <w:t>Investment 1.3: Structured socio-educational interventions to combat educational poverty in the South supporting the Third Sector</w:t>
      </w:r>
    </w:p>
    <w:p w14:paraId="7DC4C93B"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w:t>
      </w:r>
      <w:r w:rsidRPr="00A36E36">
        <w:rPr>
          <w:rFonts w:ascii="Times New Roman" w:eastAsia="Times New Roman" w:hAnsi="Times New Roman" w:cs="Times New Roman"/>
          <w:noProof/>
          <w:lang w:val="en-IE"/>
        </w:rPr>
        <w:t>objective of this measure is</w:t>
      </w:r>
      <w:r w:rsidRPr="00A36E36">
        <w:rPr>
          <w:rFonts w:ascii="Times New Roman" w:hAnsi="Times New Roman" w:cs="Times New Roman"/>
          <w:noProof/>
          <w:lang w:val="en-IE"/>
        </w:rPr>
        <w:t xml:space="preserve"> to supply socio-educational services to minors, increase access to childcare, educational opportunities, and prevent school dropout and early school leaving. The investment consists in educational support activities led by third sector organisations.</w:t>
      </w:r>
    </w:p>
    <w:p w14:paraId="0168D034" w14:textId="77777777" w:rsidR="0039681A" w:rsidRPr="00A36E36" w:rsidRDefault="0039681A" w:rsidP="00351087">
      <w:pPr>
        <w:spacing w:before="120" w:after="120"/>
        <w:jc w:val="both"/>
        <w:rPr>
          <w:rFonts w:ascii="Times New Roman" w:hAnsi="Times New Roman" w:cs="Times New Roman"/>
          <w:noProof/>
          <w:lang w:val="en-IE"/>
        </w:rPr>
      </w:pPr>
    </w:p>
    <w:p w14:paraId="2D08006E" w14:textId="77777777" w:rsidR="0039681A" w:rsidRPr="00A36E36" w:rsidRDefault="0039681A" w:rsidP="00351087">
      <w:pPr>
        <w:spacing w:before="120" w:after="120"/>
        <w:jc w:val="both"/>
        <w:rPr>
          <w:rFonts w:ascii="Times New Roman" w:hAnsi="Times New Roman" w:cs="Times New Roman"/>
          <w:noProof/>
          <w:lang w:val="en-IE"/>
        </w:rPr>
        <w:sectPr w:rsidR="0039681A" w:rsidRPr="00A36E36" w:rsidSect="0039681A">
          <w:headerReference w:type="even" r:id="rId213"/>
          <w:headerReference w:type="default" r:id="rId214"/>
          <w:footerReference w:type="default" r:id="rId215"/>
          <w:headerReference w:type="first" r:id="rId216"/>
          <w:pgSz w:w="11906" w:h="16838"/>
          <w:pgMar w:top="1134" w:right="1134" w:bottom="1134" w:left="1134" w:header="567" w:footer="567" w:gutter="0"/>
          <w:cols w:space="708"/>
          <w:docGrid w:linePitch="360"/>
        </w:sectPr>
      </w:pPr>
    </w:p>
    <w:p w14:paraId="270555E1" w14:textId="77777777" w:rsidR="0039681A" w:rsidRPr="00A36E36" w:rsidRDefault="0039681A" w:rsidP="00351087">
      <w:pPr>
        <w:pStyle w:val="Heading3"/>
        <w:ind w:left="850" w:hanging="850"/>
        <w:rPr>
          <w:rFonts w:ascii="Times New Roman" w:hAnsi="Times New Roman" w:cs="Times New Roman"/>
          <w:b/>
          <w:bCs/>
          <w:i/>
          <w:iCs/>
          <w:noProof/>
          <w:sz w:val="24"/>
          <w:szCs w:val="24"/>
          <w:lang w:val="en-IE"/>
        </w:rPr>
      </w:pPr>
      <w:r w:rsidRPr="00A36E36">
        <w:rPr>
          <w:rFonts w:ascii="Times New Roman" w:hAnsi="Times New Roman" w:cs="Times New Roman"/>
          <w:b/>
          <w:noProof/>
          <w:sz w:val="24"/>
          <w:szCs w:val="24"/>
          <w:lang w:val="en-IE"/>
        </w:rPr>
        <w:t xml:space="preserve">N.2.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lang w:val="en-IE"/>
        </w:rPr>
        <w:t>Milestones, targets, indicators, and timetable for monitoring and implementation for non-repayable financial support</w:t>
      </w:r>
    </w:p>
    <w:tbl>
      <w:tblPr>
        <w:tblW w:w="155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559"/>
        <w:gridCol w:w="1134"/>
        <w:gridCol w:w="1985"/>
        <w:gridCol w:w="1417"/>
        <w:gridCol w:w="993"/>
        <w:gridCol w:w="992"/>
        <w:gridCol w:w="850"/>
        <w:gridCol w:w="993"/>
        <w:gridCol w:w="992"/>
        <w:gridCol w:w="3466"/>
      </w:tblGrid>
      <w:tr w:rsidR="0039681A" w:rsidRPr="0070054C" w14:paraId="78FCA9AA" w14:textId="77777777">
        <w:trPr>
          <w:trHeight w:val="927"/>
          <w:tblHeader/>
        </w:trPr>
        <w:tc>
          <w:tcPr>
            <w:tcW w:w="1135" w:type="dxa"/>
            <w:vMerge w:val="restart"/>
            <w:shd w:val="clear" w:color="auto" w:fill="BDD7EE"/>
            <w:vAlign w:val="center"/>
            <w:hideMark/>
          </w:tcPr>
          <w:p w14:paraId="12BC5685"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Sequential Number</w:t>
            </w:r>
          </w:p>
        </w:tc>
        <w:tc>
          <w:tcPr>
            <w:tcW w:w="1559" w:type="dxa"/>
            <w:vMerge w:val="restart"/>
            <w:shd w:val="clear" w:color="auto" w:fill="BDD7EE"/>
            <w:vAlign w:val="center"/>
            <w:hideMark/>
          </w:tcPr>
          <w:p w14:paraId="5E4FE9DE"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134" w:type="dxa"/>
            <w:vMerge w:val="restart"/>
            <w:shd w:val="clear" w:color="auto" w:fill="BDD7EE"/>
            <w:vAlign w:val="center"/>
            <w:hideMark/>
          </w:tcPr>
          <w:p w14:paraId="3ACBDF06"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Milestone / Target</w:t>
            </w:r>
          </w:p>
        </w:tc>
        <w:tc>
          <w:tcPr>
            <w:tcW w:w="1985" w:type="dxa"/>
            <w:vMerge w:val="restart"/>
            <w:shd w:val="clear" w:color="auto" w:fill="BDD7EE"/>
            <w:vAlign w:val="center"/>
            <w:hideMark/>
          </w:tcPr>
          <w:p w14:paraId="3A37C498"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Name</w:t>
            </w:r>
          </w:p>
        </w:tc>
        <w:tc>
          <w:tcPr>
            <w:tcW w:w="1417" w:type="dxa"/>
            <w:vMerge w:val="restart"/>
            <w:shd w:val="clear" w:color="auto" w:fill="BDD7EE"/>
            <w:vAlign w:val="center"/>
            <w:hideMark/>
          </w:tcPr>
          <w:p w14:paraId="087DC5C7"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2835" w:type="dxa"/>
            <w:gridSpan w:val="3"/>
            <w:shd w:val="clear" w:color="auto" w:fill="BDD7EE"/>
            <w:vAlign w:val="center"/>
            <w:hideMark/>
          </w:tcPr>
          <w:p w14:paraId="5C190C81"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985" w:type="dxa"/>
            <w:gridSpan w:val="2"/>
            <w:shd w:val="clear" w:color="auto" w:fill="BDD7EE"/>
            <w:vAlign w:val="center"/>
            <w:hideMark/>
          </w:tcPr>
          <w:p w14:paraId="480186F5"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3466" w:type="dxa"/>
            <w:vMerge w:val="restart"/>
            <w:shd w:val="clear" w:color="auto" w:fill="BDD7EE"/>
            <w:vAlign w:val="center"/>
            <w:hideMark/>
          </w:tcPr>
          <w:p w14:paraId="7DA33386"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3D605E59" w14:textId="77777777">
        <w:trPr>
          <w:trHeight w:val="1013"/>
          <w:tblHeader/>
        </w:trPr>
        <w:tc>
          <w:tcPr>
            <w:tcW w:w="1135" w:type="dxa"/>
            <w:vMerge/>
            <w:vAlign w:val="center"/>
            <w:hideMark/>
          </w:tcPr>
          <w:p w14:paraId="1005E70E" w14:textId="77777777" w:rsidR="0039681A" w:rsidRPr="00A36E36" w:rsidRDefault="0039681A">
            <w:pPr>
              <w:jc w:val="center"/>
              <w:rPr>
                <w:rFonts w:ascii="Arial Narrow" w:hAnsi="Arial Narrow"/>
                <w:b/>
                <w:noProof/>
                <w:sz w:val="20"/>
                <w:szCs w:val="20"/>
                <w:lang w:val="en-IE"/>
              </w:rPr>
            </w:pPr>
          </w:p>
        </w:tc>
        <w:tc>
          <w:tcPr>
            <w:tcW w:w="1559" w:type="dxa"/>
            <w:vMerge/>
            <w:vAlign w:val="center"/>
            <w:hideMark/>
          </w:tcPr>
          <w:p w14:paraId="4D7DC725" w14:textId="77777777" w:rsidR="0039681A" w:rsidRPr="00A36E36" w:rsidRDefault="0039681A">
            <w:pPr>
              <w:jc w:val="center"/>
              <w:rPr>
                <w:rFonts w:ascii="Arial Narrow" w:hAnsi="Arial Narrow"/>
                <w:b/>
                <w:noProof/>
                <w:sz w:val="20"/>
                <w:szCs w:val="20"/>
                <w:lang w:val="en-IE"/>
              </w:rPr>
            </w:pPr>
          </w:p>
        </w:tc>
        <w:tc>
          <w:tcPr>
            <w:tcW w:w="1134" w:type="dxa"/>
            <w:vMerge/>
            <w:vAlign w:val="center"/>
            <w:hideMark/>
          </w:tcPr>
          <w:p w14:paraId="6D4DC615" w14:textId="77777777" w:rsidR="0039681A" w:rsidRPr="00A36E36" w:rsidRDefault="0039681A">
            <w:pPr>
              <w:jc w:val="center"/>
              <w:rPr>
                <w:rFonts w:ascii="Arial Narrow" w:hAnsi="Arial Narrow"/>
                <w:b/>
                <w:noProof/>
                <w:sz w:val="20"/>
                <w:szCs w:val="20"/>
                <w:lang w:val="en-IE"/>
              </w:rPr>
            </w:pPr>
          </w:p>
        </w:tc>
        <w:tc>
          <w:tcPr>
            <w:tcW w:w="1985" w:type="dxa"/>
            <w:vMerge/>
            <w:vAlign w:val="center"/>
            <w:hideMark/>
          </w:tcPr>
          <w:p w14:paraId="5BB50631" w14:textId="77777777" w:rsidR="0039681A" w:rsidRPr="00A36E36" w:rsidRDefault="0039681A">
            <w:pPr>
              <w:jc w:val="center"/>
              <w:rPr>
                <w:rFonts w:ascii="Arial Narrow" w:hAnsi="Arial Narrow"/>
                <w:b/>
                <w:noProof/>
                <w:sz w:val="20"/>
                <w:szCs w:val="20"/>
                <w:lang w:val="en-IE"/>
              </w:rPr>
            </w:pPr>
          </w:p>
        </w:tc>
        <w:tc>
          <w:tcPr>
            <w:tcW w:w="1417" w:type="dxa"/>
            <w:vMerge/>
            <w:vAlign w:val="center"/>
            <w:hideMark/>
          </w:tcPr>
          <w:p w14:paraId="4ABB7BAA" w14:textId="77777777" w:rsidR="0039681A" w:rsidRPr="00A36E36" w:rsidRDefault="0039681A">
            <w:pPr>
              <w:jc w:val="center"/>
              <w:rPr>
                <w:rFonts w:ascii="Arial Narrow" w:hAnsi="Arial Narrow"/>
                <w:b/>
                <w:noProof/>
                <w:sz w:val="20"/>
                <w:szCs w:val="20"/>
                <w:lang w:val="en-IE"/>
              </w:rPr>
            </w:pPr>
          </w:p>
        </w:tc>
        <w:tc>
          <w:tcPr>
            <w:tcW w:w="993" w:type="dxa"/>
            <w:shd w:val="clear" w:color="auto" w:fill="BDD7EE"/>
            <w:vAlign w:val="center"/>
            <w:hideMark/>
          </w:tcPr>
          <w:p w14:paraId="1583F7E3"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Unit of measure</w:t>
            </w:r>
          </w:p>
        </w:tc>
        <w:tc>
          <w:tcPr>
            <w:tcW w:w="992" w:type="dxa"/>
            <w:shd w:val="clear" w:color="auto" w:fill="BDD7EE"/>
            <w:vAlign w:val="center"/>
            <w:hideMark/>
          </w:tcPr>
          <w:p w14:paraId="02C96BC0"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Baseline</w:t>
            </w:r>
          </w:p>
        </w:tc>
        <w:tc>
          <w:tcPr>
            <w:tcW w:w="850" w:type="dxa"/>
            <w:shd w:val="clear" w:color="auto" w:fill="BDD7EE"/>
            <w:vAlign w:val="center"/>
            <w:hideMark/>
          </w:tcPr>
          <w:p w14:paraId="043765A4"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Goal</w:t>
            </w:r>
          </w:p>
        </w:tc>
        <w:tc>
          <w:tcPr>
            <w:tcW w:w="993" w:type="dxa"/>
            <w:shd w:val="clear" w:color="auto" w:fill="BDD7EE"/>
            <w:vAlign w:val="center"/>
            <w:hideMark/>
          </w:tcPr>
          <w:p w14:paraId="5C430398"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Quarter</w:t>
            </w:r>
          </w:p>
        </w:tc>
        <w:tc>
          <w:tcPr>
            <w:tcW w:w="992" w:type="dxa"/>
            <w:shd w:val="clear" w:color="auto" w:fill="BDD7EE"/>
            <w:vAlign w:val="center"/>
            <w:hideMark/>
          </w:tcPr>
          <w:p w14:paraId="11EDC5D7"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Year</w:t>
            </w:r>
          </w:p>
        </w:tc>
        <w:tc>
          <w:tcPr>
            <w:tcW w:w="3466" w:type="dxa"/>
            <w:vMerge/>
            <w:vAlign w:val="center"/>
            <w:hideMark/>
          </w:tcPr>
          <w:p w14:paraId="69CB7550" w14:textId="77777777" w:rsidR="0039681A" w:rsidRPr="00647572" w:rsidRDefault="0039681A">
            <w:pPr>
              <w:jc w:val="center"/>
              <w:rPr>
                <w:rFonts w:ascii="Arial Narrow" w:hAnsi="Arial Narrow"/>
                <w:b/>
                <w:noProof/>
                <w:sz w:val="20"/>
                <w:szCs w:val="20"/>
              </w:rPr>
            </w:pPr>
          </w:p>
        </w:tc>
      </w:tr>
      <w:tr w:rsidR="0039681A" w:rsidRPr="0070054C" w14:paraId="665FFD5B" w14:textId="77777777">
        <w:trPr>
          <w:trHeight w:val="309"/>
        </w:trPr>
        <w:tc>
          <w:tcPr>
            <w:tcW w:w="1135" w:type="dxa"/>
            <w:shd w:val="clear" w:color="auto" w:fill="C6EFCE"/>
            <w:noWrap/>
            <w:vAlign w:val="center"/>
            <w:hideMark/>
          </w:tcPr>
          <w:p w14:paraId="35103F7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M5C3-1</w:t>
            </w:r>
          </w:p>
        </w:tc>
        <w:tc>
          <w:tcPr>
            <w:tcW w:w="1559" w:type="dxa"/>
            <w:shd w:val="clear" w:color="auto" w:fill="C6EFCE"/>
            <w:noWrap/>
            <w:vAlign w:val="center"/>
            <w:hideMark/>
          </w:tcPr>
          <w:p w14:paraId="4B5FAED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1.1.1: Inner Areas-Enhancement of community social services and infrastructures</w:t>
            </w:r>
          </w:p>
        </w:tc>
        <w:tc>
          <w:tcPr>
            <w:tcW w:w="1134" w:type="dxa"/>
            <w:shd w:val="clear" w:color="auto" w:fill="C6EFCE"/>
            <w:noWrap/>
            <w:vAlign w:val="center"/>
            <w:hideMark/>
          </w:tcPr>
          <w:p w14:paraId="30C35C8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985" w:type="dxa"/>
            <w:shd w:val="clear" w:color="auto" w:fill="C6EFCE"/>
            <w:noWrap/>
            <w:vAlign w:val="center"/>
            <w:hideMark/>
          </w:tcPr>
          <w:p w14:paraId="51C25D05" w14:textId="77777777" w:rsidR="0039681A" w:rsidRPr="00A36E36" w:rsidRDefault="0039681A">
            <w:pPr>
              <w:jc w:val="center"/>
              <w:rPr>
                <w:rFonts w:ascii="Arial Narrow" w:hAnsi="Arial Narrow"/>
                <w:noProof/>
                <w:sz w:val="20"/>
                <w:szCs w:val="20"/>
                <w:lang w:val="en-IE"/>
              </w:rPr>
            </w:pPr>
            <w:r w:rsidRPr="00A36E36">
              <w:rPr>
                <w:rFonts w:ascii="Arial Narrow" w:hAnsi="Arial Narrow"/>
                <w:noProof/>
                <w:color w:val="006100"/>
                <w:sz w:val="20"/>
                <w:lang w:val="en-IE"/>
              </w:rPr>
              <w:t>Award of the tender for the interventions to improve social services and infrastructures in Inner Areas and for the support to pharmacies in municipalities of less than 3 000 inhabitants</w:t>
            </w:r>
          </w:p>
        </w:tc>
        <w:tc>
          <w:tcPr>
            <w:tcW w:w="1417" w:type="dxa"/>
            <w:shd w:val="clear" w:color="auto" w:fill="C6EFCE"/>
            <w:noWrap/>
            <w:vAlign w:val="center"/>
            <w:hideMark/>
          </w:tcPr>
          <w:p w14:paraId="287773D1" w14:textId="77777777" w:rsidR="0039681A" w:rsidRPr="00A36E36" w:rsidRDefault="0039681A">
            <w:pPr>
              <w:jc w:val="center"/>
              <w:rPr>
                <w:rFonts w:ascii="Arial Narrow" w:hAnsi="Arial Narrow"/>
                <w:noProof/>
                <w:sz w:val="20"/>
                <w:szCs w:val="20"/>
                <w:lang w:val="en-IE"/>
              </w:rPr>
            </w:pPr>
            <w:r w:rsidRPr="00A36E36">
              <w:rPr>
                <w:rFonts w:ascii="Arial Narrow" w:hAnsi="Arial Narrow"/>
                <w:noProof/>
                <w:color w:val="006100"/>
                <w:sz w:val="20"/>
                <w:lang w:val="en-IE"/>
              </w:rPr>
              <w:t>Notification of the award of all public contracts for the interventions</w:t>
            </w:r>
          </w:p>
        </w:tc>
        <w:tc>
          <w:tcPr>
            <w:tcW w:w="993" w:type="dxa"/>
            <w:shd w:val="clear" w:color="auto" w:fill="C6EFCE"/>
            <w:noWrap/>
            <w:vAlign w:val="center"/>
            <w:hideMark/>
          </w:tcPr>
          <w:p w14:paraId="09A2DB1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shd w:val="clear" w:color="auto" w:fill="C6EFCE"/>
            <w:noWrap/>
            <w:vAlign w:val="center"/>
            <w:hideMark/>
          </w:tcPr>
          <w:p w14:paraId="47BBC3B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noWrap/>
            <w:vAlign w:val="center"/>
            <w:hideMark/>
          </w:tcPr>
          <w:p w14:paraId="0951275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hideMark/>
          </w:tcPr>
          <w:p w14:paraId="095E195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992" w:type="dxa"/>
            <w:shd w:val="clear" w:color="auto" w:fill="C6EFCE"/>
            <w:noWrap/>
            <w:vAlign w:val="center"/>
            <w:hideMark/>
          </w:tcPr>
          <w:p w14:paraId="79FF841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466" w:type="dxa"/>
            <w:shd w:val="clear" w:color="auto" w:fill="C6EFCE"/>
            <w:noWrap/>
            <w:vAlign w:val="center"/>
            <w:hideMark/>
          </w:tcPr>
          <w:p w14:paraId="5A7C0E05"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intervention shall create new services and infrastructures or shall improve the existing ones through an increase in the number of recipients or in the quality of supply.</w:t>
            </w:r>
          </w:p>
          <w:p w14:paraId="6432CCB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launch of all competitive calls shall be done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0BE4DF87" w14:textId="77777777" w:rsidR="0039681A" w:rsidRPr="00A36E36" w:rsidRDefault="0039681A">
            <w:pPr>
              <w:rPr>
                <w:rFonts w:ascii="Arial Narrow" w:hAnsi="Arial Narrow"/>
                <w:noProof/>
                <w:sz w:val="20"/>
                <w:szCs w:val="20"/>
                <w:lang w:val="en-IE"/>
              </w:rPr>
            </w:pPr>
            <w:r w:rsidRPr="00A36E36">
              <w:rPr>
                <w:rFonts w:ascii="Arial Narrow" w:hAnsi="Arial Narrow"/>
                <w:noProof/>
                <w:color w:val="006100"/>
                <w:sz w:val="20"/>
                <w:lang w:val="en-IE"/>
              </w:rPr>
              <w:t>Inner Areas are those identified in the Strategia Nazionale Aree Interne; Rural Pharmacies are defined on the basis of Law. 27 March 1968, n.221.</w:t>
            </w:r>
          </w:p>
        </w:tc>
      </w:tr>
      <w:tr w:rsidR="0039681A" w:rsidRPr="0070054C" w14:paraId="11AC9799" w14:textId="77777777">
        <w:trPr>
          <w:trHeight w:val="309"/>
        </w:trPr>
        <w:tc>
          <w:tcPr>
            <w:tcW w:w="1135" w:type="dxa"/>
            <w:shd w:val="clear" w:color="auto" w:fill="C6EFCE"/>
            <w:noWrap/>
            <w:vAlign w:val="center"/>
            <w:hideMark/>
          </w:tcPr>
          <w:p w14:paraId="0B87788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M5C3-3</w:t>
            </w:r>
          </w:p>
        </w:tc>
        <w:tc>
          <w:tcPr>
            <w:tcW w:w="1559" w:type="dxa"/>
            <w:shd w:val="clear" w:color="auto" w:fill="C6EFCE"/>
            <w:noWrap/>
            <w:vAlign w:val="center"/>
            <w:hideMark/>
          </w:tcPr>
          <w:p w14:paraId="6728BA0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1.1.2: Territorial proximity health facilities</w:t>
            </w:r>
          </w:p>
        </w:tc>
        <w:tc>
          <w:tcPr>
            <w:tcW w:w="1134" w:type="dxa"/>
            <w:shd w:val="clear" w:color="auto" w:fill="C6EFCE"/>
            <w:noWrap/>
            <w:vAlign w:val="center"/>
            <w:hideMark/>
          </w:tcPr>
          <w:p w14:paraId="20755B3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985" w:type="dxa"/>
            <w:shd w:val="clear" w:color="auto" w:fill="C6EFCE"/>
            <w:noWrap/>
            <w:vAlign w:val="center"/>
            <w:hideMark/>
          </w:tcPr>
          <w:p w14:paraId="5139EB9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Support to rural pharmacies in municipalities, hamlets or settlements of less than 5 000 inhabitants (first batch)</w:t>
            </w:r>
          </w:p>
        </w:tc>
        <w:tc>
          <w:tcPr>
            <w:tcW w:w="1417" w:type="dxa"/>
            <w:shd w:val="clear" w:color="auto" w:fill="C6EFCE"/>
            <w:noWrap/>
            <w:vAlign w:val="center"/>
            <w:hideMark/>
          </w:tcPr>
          <w:p w14:paraId="360F845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hideMark/>
          </w:tcPr>
          <w:p w14:paraId="0C5546A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shd w:val="clear" w:color="auto" w:fill="C6EFCE"/>
            <w:noWrap/>
            <w:vAlign w:val="center"/>
            <w:hideMark/>
          </w:tcPr>
          <w:p w14:paraId="3E83C22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50" w:type="dxa"/>
            <w:shd w:val="clear" w:color="auto" w:fill="C6EFCE"/>
            <w:noWrap/>
            <w:vAlign w:val="center"/>
            <w:hideMark/>
          </w:tcPr>
          <w:p w14:paraId="5FBCB52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500</w:t>
            </w:r>
          </w:p>
        </w:tc>
        <w:tc>
          <w:tcPr>
            <w:tcW w:w="993" w:type="dxa"/>
            <w:shd w:val="clear" w:color="auto" w:fill="C6EFCE"/>
            <w:noWrap/>
            <w:vAlign w:val="center"/>
            <w:hideMark/>
          </w:tcPr>
          <w:p w14:paraId="657D6DB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992" w:type="dxa"/>
            <w:shd w:val="clear" w:color="auto" w:fill="C6EFCE"/>
            <w:noWrap/>
            <w:vAlign w:val="center"/>
            <w:hideMark/>
          </w:tcPr>
          <w:p w14:paraId="17E7885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3466" w:type="dxa"/>
            <w:shd w:val="clear" w:color="auto" w:fill="C6EFCE"/>
            <w:noWrap/>
            <w:vAlign w:val="center"/>
            <w:hideMark/>
          </w:tcPr>
          <w:p w14:paraId="2866FAB4"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At least 500 rural pharmacies in municipalities, hamelets or settlements of less than 5</w:t>
            </w:r>
            <w:r w:rsidRPr="00A36E36">
              <w:rPr>
                <w:noProof/>
                <w:sz w:val="23"/>
                <w:szCs w:val="23"/>
                <w:lang w:val="en-IE"/>
              </w:rPr>
              <w:t> </w:t>
            </w:r>
            <w:r w:rsidRPr="00A36E36">
              <w:rPr>
                <w:rFonts w:ascii="Arial Narrow" w:hAnsi="Arial Narrow"/>
                <w:noProof/>
                <w:color w:val="006100"/>
                <w:sz w:val="20"/>
                <w:lang w:val="en-IE"/>
              </w:rPr>
              <w:t>000 inhabitants shall benefit from the intervention.</w:t>
            </w:r>
          </w:p>
        </w:tc>
      </w:tr>
      <w:tr w:rsidR="0039681A" w:rsidRPr="0070054C" w14:paraId="0A6E44DA" w14:textId="77777777">
        <w:trPr>
          <w:trHeight w:val="309"/>
        </w:trPr>
        <w:tc>
          <w:tcPr>
            <w:tcW w:w="1135" w:type="dxa"/>
            <w:shd w:val="clear" w:color="auto" w:fill="C6EFCE"/>
            <w:noWrap/>
            <w:vAlign w:val="center"/>
          </w:tcPr>
          <w:p w14:paraId="5AACDB6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M5C3-8</w:t>
            </w:r>
          </w:p>
        </w:tc>
        <w:tc>
          <w:tcPr>
            <w:tcW w:w="1559" w:type="dxa"/>
            <w:shd w:val="clear" w:color="auto" w:fill="C6EFCE"/>
            <w:noWrap/>
            <w:vAlign w:val="center"/>
          </w:tcPr>
          <w:p w14:paraId="346A9A7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Structured socio-educational interventions to combat educational poverty in the South supporting the Third Sector</w:t>
            </w:r>
          </w:p>
        </w:tc>
        <w:tc>
          <w:tcPr>
            <w:tcW w:w="1134" w:type="dxa"/>
            <w:shd w:val="clear" w:color="auto" w:fill="C6EFCE"/>
            <w:noWrap/>
            <w:vAlign w:val="center"/>
          </w:tcPr>
          <w:p w14:paraId="78B4DE6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985" w:type="dxa"/>
            <w:shd w:val="clear" w:color="auto" w:fill="C6EFCE"/>
            <w:noWrap/>
            <w:vAlign w:val="center"/>
          </w:tcPr>
          <w:p w14:paraId="4DC6374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Educational support to minors (first batch)</w:t>
            </w:r>
          </w:p>
        </w:tc>
        <w:tc>
          <w:tcPr>
            <w:tcW w:w="1417" w:type="dxa"/>
            <w:shd w:val="clear" w:color="auto" w:fill="C6EFCE"/>
            <w:noWrap/>
            <w:vAlign w:val="center"/>
          </w:tcPr>
          <w:p w14:paraId="4844128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tcPr>
          <w:p w14:paraId="7687E6E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shd w:val="clear" w:color="auto" w:fill="C6EFCE"/>
            <w:noWrap/>
            <w:vAlign w:val="center"/>
          </w:tcPr>
          <w:p w14:paraId="56B1797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50" w:type="dxa"/>
            <w:shd w:val="clear" w:color="auto" w:fill="C6EFCE"/>
            <w:noWrap/>
            <w:vAlign w:val="center"/>
          </w:tcPr>
          <w:p w14:paraId="718EA75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w:t>
            </w:r>
            <w:r w:rsidRPr="00647572">
              <w:rPr>
                <w:noProof/>
                <w:sz w:val="23"/>
                <w:szCs w:val="23"/>
              </w:rPr>
              <w:t> </w:t>
            </w:r>
            <w:r w:rsidRPr="00647572">
              <w:rPr>
                <w:rFonts w:ascii="Arial Narrow" w:hAnsi="Arial Narrow"/>
                <w:noProof/>
                <w:color w:val="006100"/>
                <w:sz w:val="20"/>
              </w:rPr>
              <w:t>000</w:t>
            </w:r>
          </w:p>
        </w:tc>
        <w:tc>
          <w:tcPr>
            <w:tcW w:w="993" w:type="dxa"/>
            <w:shd w:val="clear" w:color="auto" w:fill="C6EFCE"/>
            <w:noWrap/>
            <w:vAlign w:val="center"/>
          </w:tcPr>
          <w:p w14:paraId="08B5D8B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992" w:type="dxa"/>
            <w:shd w:val="clear" w:color="auto" w:fill="C6EFCE"/>
            <w:noWrap/>
            <w:vAlign w:val="center"/>
          </w:tcPr>
          <w:p w14:paraId="4348D6D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3466" w:type="dxa"/>
            <w:shd w:val="clear" w:color="auto" w:fill="C6EFCE"/>
            <w:noWrap/>
            <w:vAlign w:val="center"/>
          </w:tcPr>
          <w:p w14:paraId="5C673D43"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At least 20</w:t>
            </w:r>
            <w:r w:rsidRPr="00A36E36">
              <w:rPr>
                <w:noProof/>
                <w:sz w:val="23"/>
                <w:szCs w:val="23"/>
                <w:lang w:val="en-IE"/>
              </w:rPr>
              <w:t> </w:t>
            </w:r>
            <w:r w:rsidRPr="00A36E36">
              <w:rPr>
                <w:rFonts w:ascii="Arial Narrow" w:hAnsi="Arial Narrow"/>
                <w:noProof/>
                <w:color w:val="006100"/>
                <w:sz w:val="20"/>
                <w:lang w:val="en-IE"/>
              </w:rPr>
              <w:t xml:space="preserve">000 minors aged up to 17 years shall receive educational support. The projects of educational support shall focus on one of the following areas: </w:t>
            </w:r>
          </w:p>
          <w:p w14:paraId="7FA62BE5"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 Interventions for children aged zero to six aimed at strengthening the conditions of access to nursery and kindergarten services and at supporting parenthood; </w:t>
            </w:r>
          </w:p>
          <w:p w14:paraId="24EEFA5C"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 Interventions for children aged five to ten aimed at guaranteeing effective educational opportunities and early prevention of school dropout, bullying and other phenomena of distress; </w:t>
            </w:r>
          </w:p>
          <w:p w14:paraId="7F077329"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Interventions for children aged 11-17, which aim at improving education supply and preventing the phenomenon of early school leaving.</w:t>
            </w:r>
          </w:p>
          <w:p w14:paraId="5BD9E0A2" w14:textId="77777777" w:rsidR="0039681A" w:rsidRPr="00A36E36" w:rsidRDefault="0039681A">
            <w:pPr>
              <w:rPr>
                <w:rFonts w:ascii="Arial Narrow" w:hAnsi="Arial Narrow"/>
                <w:noProof/>
                <w:color w:val="006100"/>
                <w:sz w:val="20"/>
                <w:lang w:val="en-IE"/>
              </w:rPr>
            </w:pPr>
            <w:r w:rsidRPr="00A36E36">
              <w:rPr>
                <w:rFonts w:ascii="Arial Narrow" w:hAnsi="Arial Narrow"/>
                <w:noProof/>
                <w:color w:val="006100"/>
                <w:sz w:val="20"/>
                <w:lang w:val="en-IE"/>
              </w:rPr>
              <w:t>Key elements of the tender:</w:t>
            </w:r>
          </w:p>
          <w:p w14:paraId="508B80B1" w14:textId="5F5065B0" w:rsidR="0039681A" w:rsidRPr="00A36E36" w:rsidRDefault="0039681A">
            <w:pPr>
              <w:rPr>
                <w:rFonts w:ascii="Arial Narrow" w:hAnsi="Arial Narrow"/>
                <w:noProof/>
                <w:color w:val="006100"/>
                <w:sz w:val="20"/>
                <w:lang w:val="en-IE"/>
              </w:rPr>
            </w:pPr>
            <w:r w:rsidRPr="00A36E36">
              <w:rPr>
                <w:rFonts w:ascii="Arial Narrow" w:hAnsi="Arial Narrow"/>
                <w:noProof/>
                <w:color w:val="006100"/>
                <w:sz w:val="20"/>
                <w:lang w:val="en-IE"/>
              </w:rPr>
              <w:t xml:space="preserve"> - Public notices shall account for at least EUR 50</w:t>
            </w:r>
            <w:r w:rsidRPr="00A36E36">
              <w:rPr>
                <w:noProof/>
                <w:sz w:val="23"/>
                <w:szCs w:val="23"/>
                <w:lang w:val="en-IE"/>
              </w:rPr>
              <w:t> </w:t>
            </w:r>
            <w:r w:rsidRPr="00A36E36">
              <w:rPr>
                <w:rFonts w:ascii="Arial Narrow" w:hAnsi="Arial Narrow"/>
                <w:noProof/>
                <w:color w:val="006100"/>
                <w:sz w:val="20"/>
                <w:lang w:val="en-IE"/>
              </w:rPr>
              <w:t>000</w:t>
            </w:r>
            <w:r w:rsidRPr="00A36E36">
              <w:rPr>
                <w:noProof/>
                <w:sz w:val="23"/>
                <w:szCs w:val="23"/>
                <w:lang w:val="en-IE"/>
              </w:rPr>
              <w:t> </w:t>
            </w:r>
            <w:r w:rsidRPr="00A36E36">
              <w:rPr>
                <w:rFonts w:ascii="Arial Narrow" w:hAnsi="Arial Narrow"/>
                <w:noProof/>
                <w:color w:val="006100"/>
                <w:sz w:val="20"/>
                <w:lang w:val="en-IE"/>
              </w:rPr>
              <w:t>000 each</w:t>
            </w:r>
            <w:r w:rsidR="00381DB1">
              <w:rPr>
                <w:rFonts w:ascii="Arial Narrow" w:hAnsi="Arial Narrow"/>
                <w:noProof/>
                <w:color w:val="006100"/>
                <w:sz w:val="20"/>
                <w:lang w:val="en-IE"/>
              </w:rPr>
              <w:t xml:space="preserve"> </w:t>
            </w:r>
            <w:r w:rsidRPr="00A36E36">
              <w:rPr>
                <w:noProof/>
                <w:lang w:val="en-IE"/>
              </w:rPr>
              <w:br/>
            </w:r>
            <w:r w:rsidRPr="00A36E36">
              <w:rPr>
                <w:rFonts w:ascii="Arial Narrow" w:hAnsi="Arial Narrow"/>
                <w:noProof/>
                <w:color w:val="006100"/>
                <w:sz w:val="20"/>
                <w:lang w:val="en-IE"/>
              </w:rPr>
              <w:t>- The third sector entities projects shall last at least one year and up to two years.</w:t>
            </w:r>
          </w:p>
          <w:p w14:paraId="12D4D7F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actions shall take place in the regions of Abruzzo, Basilicata, Campania, Calabria, Molise, Puglia, Sardegna and Sicilia.</w:t>
            </w:r>
          </w:p>
        </w:tc>
      </w:tr>
      <w:tr w:rsidR="0039681A" w:rsidRPr="0070054C" w14:paraId="0D8C3CC6" w14:textId="77777777">
        <w:trPr>
          <w:trHeight w:val="309"/>
        </w:trPr>
        <w:tc>
          <w:tcPr>
            <w:tcW w:w="1135" w:type="dxa"/>
            <w:shd w:val="clear" w:color="auto" w:fill="C6EFCE"/>
            <w:noWrap/>
            <w:vAlign w:val="center"/>
          </w:tcPr>
          <w:p w14:paraId="4354070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M5C3-9</w:t>
            </w:r>
          </w:p>
        </w:tc>
        <w:tc>
          <w:tcPr>
            <w:tcW w:w="1559" w:type="dxa"/>
            <w:shd w:val="clear" w:color="auto" w:fill="C6EFCE"/>
            <w:noWrap/>
            <w:vAlign w:val="center"/>
          </w:tcPr>
          <w:p w14:paraId="099F963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Investment1.3: Structured socio-educational interventions to combat educational poverty in the South supporting the Third Sector</w:t>
            </w:r>
          </w:p>
        </w:tc>
        <w:tc>
          <w:tcPr>
            <w:tcW w:w="1134" w:type="dxa"/>
            <w:shd w:val="clear" w:color="auto" w:fill="C6EFCE"/>
            <w:noWrap/>
            <w:vAlign w:val="center"/>
          </w:tcPr>
          <w:p w14:paraId="4A5214D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985" w:type="dxa"/>
            <w:shd w:val="clear" w:color="auto" w:fill="C6EFCE"/>
            <w:noWrap/>
            <w:vAlign w:val="center"/>
          </w:tcPr>
          <w:p w14:paraId="49F76988" w14:textId="77777777" w:rsidR="0039681A" w:rsidRPr="00A36E36" w:rsidRDefault="0039681A">
            <w:pPr>
              <w:jc w:val="center"/>
              <w:rPr>
                <w:rFonts w:ascii="Arial Narrow" w:hAnsi="Arial Narrow"/>
                <w:noProof/>
                <w:sz w:val="20"/>
                <w:szCs w:val="20"/>
                <w:lang w:val="en-IE"/>
              </w:rPr>
            </w:pPr>
            <w:r w:rsidRPr="00A36E36">
              <w:rPr>
                <w:rFonts w:ascii="Arial Narrow" w:hAnsi="Arial Narrow"/>
                <w:noProof/>
                <w:color w:val="006100"/>
                <w:sz w:val="20"/>
                <w:lang w:val="en-IE"/>
              </w:rPr>
              <w:t>Educational support to minors (second batch)</w:t>
            </w:r>
          </w:p>
        </w:tc>
        <w:tc>
          <w:tcPr>
            <w:tcW w:w="1417" w:type="dxa"/>
            <w:shd w:val="clear" w:color="auto" w:fill="C6EFCE"/>
            <w:noWrap/>
            <w:vAlign w:val="center"/>
          </w:tcPr>
          <w:p w14:paraId="33985AE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tcPr>
          <w:p w14:paraId="76E50BB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shd w:val="clear" w:color="auto" w:fill="C6EFCE"/>
            <w:noWrap/>
            <w:vAlign w:val="center"/>
          </w:tcPr>
          <w:p w14:paraId="4C00431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w:t>
            </w:r>
            <w:r w:rsidRPr="00647572">
              <w:rPr>
                <w:noProof/>
                <w:sz w:val="23"/>
                <w:szCs w:val="23"/>
              </w:rPr>
              <w:t> </w:t>
            </w:r>
            <w:r w:rsidRPr="00647572">
              <w:rPr>
                <w:rFonts w:ascii="Arial Narrow" w:hAnsi="Arial Narrow"/>
                <w:noProof/>
                <w:color w:val="006100"/>
                <w:sz w:val="20"/>
              </w:rPr>
              <w:t>000</w:t>
            </w:r>
          </w:p>
        </w:tc>
        <w:tc>
          <w:tcPr>
            <w:tcW w:w="850" w:type="dxa"/>
            <w:shd w:val="clear" w:color="auto" w:fill="C6EFCE"/>
            <w:noWrap/>
            <w:vAlign w:val="center"/>
          </w:tcPr>
          <w:p w14:paraId="411B169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44</w:t>
            </w:r>
            <w:r w:rsidRPr="00647572">
              <w:rPr>
                <w:noProof/>
                <w:sz w:val="23"/>
                <w:szCs w:val="23"/>
              </w:rPr>
              <w:t> </w:t>
            </w:r>
            <w:r w:rsidRPr="00647572">
              <w:rPr>
                <w:rFonts w:ascii="Arial Narrow" w:hAnsi="Arial Narrow"/>
                <w:noProof/>
                <w:color w:val="006100"/>
                <w:sz w:val="20"/>
              </w:rPr>
              <w:t>000</w:t>
            </w:r>
          </w:p>
        </w:tc>
        <w:tc>
          <w:tcPr>
            <w:tcW w:w="993" w:type="dxa"/>
            <w:shd w:val="clear" w:color="auto" w:fill="C6EFCE"/>
            <w:noWrap/>
            <w:vAlign w:val="center"/>
          </w:tcPr>
          <w:p w14:paraId="473E3FA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992" w:type="dxa"/>
            <w:shd w:val="clear" w:color="auto" w:fill="C6EFCE"/>
            <w:noWrap/>
            <w:vAlign w:val="center"/>
          </w:tcPr>
          <w:p w14:paraId="3A1D98C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3466" w:type="dxa"/>
            <w:shd w:val="clear" w:color="auto" w:fill="C6EFCE"/>
            <w:noWrap/>
            <w:vAlign w:val="center"/>
          </w:tcPr>
          <w:p w14:paraId="1C79F3D7"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Registration forms and enrolment confirmations for at least 44</w:t>
            </w:r>
            <w:r w:rsidRPr="00A36E36">
              <w:rPr>
                <w:noProof/>
                <w:sz w:val="23"/>
                <w:szCs w:val="23"/>
                <w:lang w:val="en-IE"/>
              </w:rPr>
              <w:t> </w:t>
            </w:r>
            <w:r w:rsidRPr="00A36E36">
              <w:rPr>
                <w:rFonts w:ascii="Arial Narrow" w:hAnsi="Arial Narrow"/>
                <w:noProof/>
                <w:color w:val="006100"/>
                <w:sz w:val="20"/>
                <w:szCs w:val="20"/>
                <w:lang w:val="en-IE"/>
              </w:rPr>
              <w:t>000 minors aged from zero to 17 years who are provided with educational support.</w:t>
            </w:r>
          </w:p>
        </w:tc>
      </w:tr>
    </w:tbl>
    <w:p w14:paraId="58043E36" w14:textId="77777777" w:rsidR="0039681A" w:rsidRPr="00A36E36" w:rsidRDefault="0039681A" w:rsidP="00351087">
      <w:pPr>
        <w:spacing w:before="120" w:after="120"/>
        <w:jc w:val="both"/>
        <w:rPr>
          <w:rFonts w:ascii="Times New Roman" w:hAnsi="Times New Roman" w:cs="Times New Roman"/>
          <w:noProof/>
          <w:lang w:val="en-IE"/>
        </w:rPr>
      </w:pPr>
    </w:p>
    <w:p w14:paraId="35D385FE" w14:textId="77777777" w:rsidR="0039681A" w:rsidRPr="00A36E36" w:rsidRDefault="0039681A" w:rsidP="00351087">
      <w:pPr>
        <w:tabs>
          <w:tab w:val="left" w:pos="5724"/>
        </w:tabs>
        <w:rPr>
          <w:rFonts w:ascii="Times New Roman" w:hAnsi="Times New Roman" w:cs="Times New Roman"/>
          <w:noProof/>
          <w:lang w:val="en-IE"/>
        </w:rPr>
        <w:sectPr w:rsidR="0039681A" w:rsidRPr="00A36E36" w:rsidSect="0039681A">
          <w:headerReference w:type="even" r:id="rId217"/>
          <w:headerReference w:type="default" r:id="rId218"/>
          <w:footerReference w:type="default" r:id="rId219"/>
          <w:headerReference w:type="first" r:id="rId220"/>
          <w:pgSz w:w="16838" w:h="11906" w:orient="landscape"/>
          <w:pgMar w:top="1134" w:right="1134" w:bottom="1134" w:left="1134" w:header="567" w:footer="567" w:gutter="0"/>
          <w:cols w:space="708"/>
          <w:docGrid w:linePitch="360"/>
        </w:sectPr>
      </w:pPr>
    </w:p>
    <w:p w14:paraId="0EC83C17"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N.3.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32B5F787"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1: Simplification of the procedures and strengthening of the Commissioner in the Special Economic Zones</w:t>
      </w:r>
    </w:p>
    <w:p w14:paraId="09E5C03A" w14:textId="77777777" w:rsidR="0039681A"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reform shall contribute to the simplification of the governance system and streamline the implementation time of interventions in the Special Economic Zones. The reform shall establish the Digital One Stop Shop for the Special Economic Zones and strengthening of the Commissarial Role. </w:t>
      </w:r>
    </w:p>
    <w:p w14:paraId="4E0C1DCD"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 xml:space="preserve">Investment 1.1.2: Territorial Proximity health facilities </w:t>
      </w:r>
    </w:p>
    <w:p w14:paraId="41E02C2C" w14:textId="77777777" w:rsidR="0039681A" w:rsidRPr="00AF5341"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noProof/>
          <w:lang w:val="en-IE"/>
        </w:rPr>
        <w:t>The objective of the measure is to reinforce the role of rural pharmacies in the provision of health services to the local population, for example integrated home assistance and patient monitoring, in turn facilitating the interaction between the patient and the national healthcare system. The investment consists in the provision of financial support to rural pharmacies.</w:t>
      </w:r>
    </w:p>
    <w:p w14:paraId="500B60A3"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noProof/>
          <w:lang w:val="en-IE"/>
        </w:rPr>
        <w:t>Investment 1.4: Infrastructural investments for the Special Economic Zones (SEZ)</w:t>
      </w:r>
    </w:p>
    <w:p w14:paraId="5F872015"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 aims to ensure the impact of the reform introducing the Special Economic Zones (SEZ). The investment consists in supporting infrastructural interventions around port areas (“Last mile” links; digital logistics, urbanization or energy and environmental efficiency; ports’ infrastructures).</w:t>
      </w:r>
    </w:p>
    <w:p w14:paraId="4EB395E3" w14:textId="77777777" w:rsidR="0039681A" w:rsidRPr="00A36E36" w:rsidRDefault="0039681A" w:rsidP="00351087">
      <w:pPr>
        <w:tabs>
          <w:tab w:val="left" w:pos="5724"/>
        </w:tabs>
        <w:rPr>
          <w:rFonts w:ascii="Times New Roman" w:hAnsi="Times New Roman" w:cs="Times New Roman"/>
          <w:noProof/>
          <w:lang w:val="en-IE"/>
        </w:rPr>
      </w:pPr>
    </w:p>
    <w:p w14:paraId="5A89F69C" w14:textId="77777777" w:rsidR="0039681A" w:rsidRPr="00A36E36" w:rsidRDefault="0039681A" w:rsidP="00351087">
      <w:pPr>
        <w:tabs>
          <w:tab w:val="left" w:pos="5724"/>
        </w:tabs>
        <w:rPr>
          <w:rFonts w:ascii="Times New Roman" w:hAnsi="Times New Roman" w:cs="Times New Roman"/>
          <w:noProof/>
          <w:lang w:val="en-IE"/>
        </w:rPr>
        <w:sectPr w:rsidR="0039681A" w:rsidRPr="00A36E36" w:rsidSect="0039681A">
          <w:headerReference w:type="even" r:id="rId221"/>
          <w:headerReference w:type="default" r:id="rId222"/>
          <w:footerReference w:type="default" r:id="rId223"/>
          <w:headerReference w:type="first" r:id="rId224"/>
          <w:pgSz w:w="11906" w:h="16838"/>
          <w:pgMar w:top="1134" w:right="1134" w:bottom="1134" w:left="1134" w:header="567" w:footer="567" w:gutter="0"/>
          <w:cols w:space="708"/>
          <w:docGrid w:linePitch="360"/>
        </w:sectPr>
      </w:pPr>
    </w:p>
    <w:p w14:paraId="79C6B402"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N.4.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tbl>
      <w:tblPr>
        <w:tblW w:w="1566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701"/>
        <w:gridCol w:w="1134"/>
        <w:gridCol w:w="1417"/>
        <w:gridCol w:w="1701"/>
        <w:gridCol w:w="1134"/>
        <w:gridCol w:w="993"/>
        <w:gridCol w:w="1134"/>
        <w:gridCol w:w="850"/>
        <w:gridCol w:w="851"/>
        <w:gridCol w:w="3616"/>
      </w:tblGrid>
      <w:tr w:rsidR="0039681A" w:rsidRPr="0070054C" w14:paraId="635E1A6F" w14:textId="77777777" w:rsidTr="00351087">
        <w:trPr>
          <w:trHeight w:val="939"/>
          <w:tblHeader/>
        </w:trPr>
        <w:tc>
          <w:tcPr>
            <w:tcW w:w="1135" w:type="dxa"/>
            <w:vMerge w:val="restart"/>
            <w:shd w:val="clear" w:color="auto" w:fill="BDD7EE"/>
            <w:vAlign w:val="center"/>
            <w:hideMark/>
          </w:tcPr>
          <w:p w14:paraId="56F49BCC"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Sequential Number</w:t>
            </w:r>
          </w:p>
        </w:tc>
        <w:tc>
          <w:tcPr>
            <w:tcW w:w="1701" w:type="dxa"/>
            <w:vMerge w:val="restart"/>
            <w:shd w:val="clear" w:color="auto" w:fill="BDD7EE"/>
            <w:vAlign w:val="center"/>
            <w:hideMark/>
          </w:tcPr>
          <w:p w14:paraId="0109D0AF"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134" w:type="dxa"/>
            <w:vMerge w:val="restart"/>
            <w:shd w:val="clear" w:color="auto" w:fill="BDD7EE"/>
            <w:vAlign w:val="center"/>
            <w:hideMark/>
          </w:tcPr>
          <w:p w14:paraId="70976871"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Milestone /Target</w:t>
            </w:r>
          </w:p>
        </w:tc>
        <w:tc>
          <w:tcPr>
            <w:tcW w:w="1417" w:type="dxa"/>
            <w:vMerge w:val="restart"/>
            <w:shd w:val="clear" w:color="auto" w:fill="BDD7EE"/>
            <w:vAlign w:val="center"/>
            <w:hideMark/>
          </w:tcPr>
          <w:p w14:paraId="7B8EB0F5"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Name</w:t>
            </w:r>
          </w:p>
        </w:tc>
        <w:tc>
          <w:tcPr>
            <w:tcW w:w="1701" w:type="dxa"/>
            <w:vMerge w:val="restart"/>
            <w:shd w:val="clear" w:color="auto" w:fill="BDD7EE"/>
            <w:vAlign w:val="center"/>
            <w:hideMark/>
          </w:tcPr>
          <w:p w14:paraId="2C27A0C4"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261" w:type="dxa"/>
            <w:gridSpan w:val="3"/>
            <w:shd w:val="clear" w:color="auto" w:fill="BDD7EE"/>
            <w:vAlign w:val="center"/>
            <w:hideMark/>
          </w:tcPr>
          <w:p w14:paraId="074F3920"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701" w:type="dxa"/>
            <w:gridSpan w:val="2"/>
            <w:shd w:val="clear" w:color="auto" w:fill="BDD7EE"/>
            <w:vAlign w:val="center"/>
            <w:hideMark/>
          </w:tcPr>
          <w:p w14:paraId="054F43C4"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3616" w:type="dxa"/>
            <w:vMerge w:val="restart"/>
            <w:shd w:val="clear" w:color="auto" w:fill="BDD7EE"/>
            <w:vAlign w:val="center"/>
            <w:hideMark/>
          </w:tcPr>
          <w:p w14:paraId="4CE76016"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508C4F59" w14:textId="77777777" w:rsidTr="00351087">
        <w:trPr>
          <w:trHeight w:val="741"/>
          <w:tblHeader/>
        </w:trPr>
        <w:tc>
          <w:tcPr>
            <w:tcW w:w="1135" w:type="dxa"/>
            <w:vMerge/>
            <w:vAlign w:val="center"/>
            <w:hideMark/>
          </w:tcPr>
          <w:p w14:paraId="2C290A7D" w14:textId="77777777" w:rsidR="0039681A" w:rsidRPr="00A36E36" w:rsidRDefault="0039681A">
            <w:pPr>
              <w:jc w:val="center"/>
              <w:rPr>
                <w:rFonts w:ascii="Arial Narrow" w:hAnsi="Arial Narrow"/>
                <w:b/>
                <w:noProof/>
                <w:sz w:val="20"/>
                <w:szCs w:val="20"/>
                <w:lang w:val="en-IE"/>
              </w:rPr>
            </w:pPr>
          </w:p>
        </w:tc>
        <w:tc>
          <w:tcPr>
            <w:tcW w:w="1701" w:type="dxa"/>
            <w:vMerge/>
            <w:vAlign w:val="center"/>
            <w:hideMark/>
          </w:tcPr>
          <w:p w14:paraId="3D84220C" w14:textId="77777777" w:rsidR="0039681A" w:rsidRPr="00A36E36" w:rsidRDefault="0039681A">
            <w:pPr>
              <w:jc w:val="center"/>
              <w:rPr>
                <w:rFonts w:ascii="Arial Narrow" w:hAnsi="Arial Narrow"/>
                <w:b/>
                <w:noProof/>
                <w:sz w:val="20"/>
                <w:szCs w:val="20"/>
                <w:lang w:val="en-IE"/>
              </w:rPr>
            </w:pPr>
          </w:p>
        </w:tc>
        <w:tc>
          <w:tcPr>
            <w:tcW w:w="1134" w:type="dxa"/>
            <w:vMerge/>
            <w:vAlign w:val="center"/>
            <w:hideMark/>
          </w:tcPr>
          <w:p w14:paraId="111AE886" w14:textId="77777777" w:rsidR="0039681A" w:rsidRPr="00A36E36" w:rsidRDefault="0039681A">
            <w:pPr>
              <w:jc w:val="center"/>
              <w:rPr>
                <w:rFonts w:ascii="Arial Narrow" w:hAnsi="Arial Narrow"/>
                <w:b/>
                <w:noProof/>
                <w:sz w:val="20"/>
                <w:szCs w:val="20"/>
                <w:lang w:val="en-IE"/>
              </w:rPr>
            </w:pPr>
          </w:p>
        </w:tc>
        <w:tc>
          <w:tcPr>
            <w:tcW w:w="1417" w:type="dxa"/>
            <w:vMerge/>
            <w:vAlign w:val="center"/>
            <w:hideMark/>
          </w:tcPr>
          <w:p w14:paraId="50571F11" w14:textId="77777777" w:rsidR="0039681A" w:rsidRPr="00A36E36" w:rsidRDefault="0039681A">
            <w:pPr>
              <w:jc w:val="center"/>
              <w:rPr>
                <w:rFonts w:ascii="Arial Narrow" w:hAnsi="Arial Narrow"/>
                <w:b/>
                <w:noProof/>
                <w:sz w:val="20"/>
                <w:szCs w:val="20"/>
                <w:lang w:val="en-IE"/>
              </w:rPr>
            </w:pPr>
          </w:p>
        </w:tc>
        <w:tc>
          <w:tcPr>
            <w:tcW w:w="1701" w:type="dxa"/>
            <w:vMerge/>
            <w:vAlign w:val="center"/>
            <w:hideMark/>
          </w:tcPr>
          <w:p w14:paraId="394FA678" w14:textId="77777777" w:rsidR="0039681A" w:rsidRPr="00A36E36" w:rsidRDefault="0039681A">
            <w:pPr>
              <w:jc w:val="center"/>
              <w:rPr>
                <w:rFonts w:ascii="Arial Narrow" w:hAnsi="Arial Narrow"/>
                <w:b/>
                <w:noProof/>
                <w:sz w:val="20"/>
                <w:szCs w:val="20"/>
                <w:lang w:val="en-IE"/>
              </w:rPr>
            </w:pPr>
          </w:p>
        </w:tc>
        <w:tc>
          <w:tcPr>
            <w:tcW w:w="1134" w:type="dxa"/>
            <w:shd w:val="clear" w:color="auto" w:fill="BDD7EE"/>
            <w:vAlign w:val="center"/>
            <w:hideMark/>
          </w:tcPr>
          <w:p w14:paraId="3FB21486"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Unit of measure</w:t>
            </w:r>
          </w:p>
        </w:tc>
        <w:tc>
          <w:tcPr>
            <w:tcW w:w="993" w:type="dxa"/>
            <w:shd w:val="clear" w:color="auto" w:fill="BDD7EE"/>
            <w:vAlign w:val="center"/>
            <w:hideMark/>
          </w:tcPr>
          <w:p w14:paraId="2DCA24BC"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Baseline</w:t>
            </w:r>
          </w:p>
        </w:tc>
        <w:tc>
          <w:tcPr>
            <w:tcW w:w="1134" w:type="dxa"/>
            <w:shd w:val="clear" w:color="auto" w:fill="BDD7EE"/>
            <w:vAlign w:val="center"/>
            <w:hideMark/>
          </w:tcPr>
          <w:p w14:paraId="3EF001C9"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Goal</w:t>
            </w:r>
          </w:p>
        </w:tc>
        <w:tc>
          <w:tcPr>
            <w:tcW w:w="850" w:type="dxa"/>
            <w:shd w:val="clear" w:color="auto" w:fill="BDD7EE"/>
            <w:vAlign w:val="center"/>
            <w:hideMark/>
          </w:tcPr>
          <w:p w14:paraId="18814C6C"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Quarter</w:t>
            </w:r>
          </w:p>
        </w:tc>
        <w:tc>
          <w:tcPr>
            <w:tcW w:w="851" w:type="dxa"/>
            <w:shd w:val="clear" w:color="auto" w:fill="BDD7EE"/>
            <w:vAlign w:val="center"/>
            <w:hideMark/>
          </w:tcPr>
          <w:p w14:paraId="335D7AE4"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Year</w:t>
            </w:r>
          </w:p>
        </w:tc>
        <w:tc>
          <w:tcPr>
            <w:tcW w:w="3616" w:type="dxa"/>
            <w:vMerge/>
            <w:vAlign w:val="center"/>
            <w:hideMark/>
          </w:tcPr>
          <w:p w14:paraId="24404463" w14:textId="77777777" w:rsidR="0039681A" w:rsidRPr="00647572" w:rsidRDefault="0039681A">
            <w:pPr>
              <w:jc w:val="center"/>
              <w:rPr>
                <w:rFonts w:ascii="Arial Narrow" w:hAnsi="Arial Narrow"/>
                <w:b/>
                <w:noProof/>
                <w:sz w:val="20"/>
                <w:szCs w:val="20"/>
              </w:rPr>
            </w:pPr>
          </w:p>
        </w:tc>
      </w:tr>
      <w:tr w:rsidR="0039681A" w:rsidRPr="0070054C" w14:paraId="7DE2EA66" w14:textId="77777777" w:rsidTr="00351087">
        <w:trPr>
          <w:trHeight w:val="313"/>
        </w:trPr>
        <w:tc>
          <w:tcPr>
            <w:tcW w:w="1135" w:type="dxa"/>
            <w:shd w:val="clear" w:color="auto" w:fill="C6EFCE"/>
            <w:noWrap/>
            <w:vAlign w:val="center"/>
          </w:tcPr>
          <w:p w14:paraId="31CCEAD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M5C3-10</w:t>
            </w:r>
          </w:p>
        </w:tc>
        <w:tc>
          <w:tcPr>
            <w:tcW w:w="1701" w:type="dxa"/>
            <w:shd w:val="clear" w:color="auto" w:fill="C6EFCE"/>
            <w:noWrap/>
            <w:vAlign w:val="center"/>
            <w:hideMark/>
          </w:tcPr>
          <w:p w14:paraId="1D591378"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Reform1: Simplification of the procedures and strengthening of the Commissioner in the Special Economic Zones</w:t>
            </w:r>
          </w:p>
        </w:tc>
        <w:tc>
          <w:tcPr>
            <w:tcW w:w="1134" w:type="dxa"/>
            <w:shd w:val="clear" w:color="auto" w:fill="C6EFCE"/>
            <w:noWrap/>
            <w:vAlign w:val="center"/>
            <w:hideMark/>
          </w:tcPr>
          <w:p w14:paraId="7D4C974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shd w:val="clear" w:color="auto" w:fill="C6EFCE"/>
            <w:noWrap/>
            <w:vAlign w:val="center"/>
            <w:hideMark/>
          </w:tcPr>
          <w:p w14:paraId="7E540023"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regulation to simply the procedures and strengthen the role of the Commissioner in the Special Economic Zones</w:t>
            </w:r>
          </w:p>
        </w:tc>
        <w:tc>
          <w:tcPr>
            <w:tcW w:w="1701" w:type="dxa"/>
            <w:shd w:val="clear" w:color="auto" w:fill="C6EFCE"/>
            <w:noWrap/>
            <w:vAlign w:val="center"/>
            <w:hideMark/>
          </w:tcPr>
          <w:p w14:paraId="7796496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regulation for the entry into force of the regulation to simply the procedures and strengthen the role of the Commissioner in the Special Economic Zones</w:t>
            </w:r>
          </w:p>
        </w:tc>
        <w:tc>
          <w:tcPr>
            <w:tcW w:w="1134" w:type="dxa"/>
            <w:shd w:val="clear" w:color="auto" w:fill="C6EFCE"/>
            <w:noWrap/>
            <w:vAlign w:val="center"/>
          </w:tcPr>
          <w:p w14:paraId="5B8AFD0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tcPr>
          <w:p w14:paraId="7E193B0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28FA345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noWrap/>
            <w:vAlign w:val="center"/>
            <w:hideMark/>
          </w:tcPr>
          <w:p w14:paraId="21B6BB7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1" w:type="dxa"/>
            <w:shd w:val="clear" w:color="auto" w:fill="C6EFCE"/>
            <w:noWrap/>
            <w:vAlign w:val="center"/>
            <w:hideMark/>
          </w:tcPr>
          <w:p w14:paraId="7A4246C6" w14:textId="77777777" w:rsidR="0039681A" w:rsidRPr="00647572" w:rsidRDefault="0039681A">
            <w:pPr>
              <w:rPr>
                <w:rFonts w:ascii="Arial Narrow" w:hAnsi="Arial Narrow"/>
                <w:noProof/>
                <w:color w:val="006100"/>
                <w:sz w:val="20"/>
                <w:szCs w:val="20"/>
              </w:rPr>
            </w:pPr>
            <w:r w:rsidRPr="00647572">
              <w:rPr>
                <w:rFonts w:ascii="Arial Narrow" w:hAnsi="Arial Narrow"/>
                <w:noProof/>
                <w:color w:val="006100"/>
                <w:sz w:val="20"/>
              </w:rPr>
              <w:t>2021</w:t>
            </w:r>
          </w:p>
        </w:tc>
        <w:tc>
          <w:tcPr>
            <w:tcW w:w="3616" w:type="dxa"/>
            <w:shd w:val="clear" w:color="auto" w:fill="C6EFCE"/>
            <w:noWrap/>
            <w:vAlign w:val="center"/>
            <w:hideMark/>
          </w:tcPr>
          <w:p w14:paraId="5BA220E0"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regulation shall include: the</w:t>
            </w:r>
          </w:p>
          <w:p w14:paraId="75D41075"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establishment of the Digital One Stop Shop for the Special Economic Zones for the simplification of procedures; provisions to strengthen the role of the Commissioner in ZES. </w:t>
            </w:r>
          </w:p>
          <w:p w14:paraId="63884599"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Special Economic Zones are specific areas defined by the Law Decree 91/2017 (publication in the Official Journal 141/2017) converted into law by the L. 123/2017 (published in the official Journal Mezzogiorno 188/2017).</w:t>
            </w:r>
          </w:p>
        </w:tc>
      </w:tr>
      <w:tr w:rsidR="0039681A" w:rsidRPr="0070054C" w14:paraId="6DCBE9B4" w14:textId="77777777" w:rsidTr="00351087">
        <w:trPr>
          <w:trHeight w:val="313"/>
        </w:trPr>
        <w:tc>
          <w:tcPr>
            <w:tcW w:w="1135" w:type="dxa"/>
            <w:shd w:val="clear" w:color="auto" w:fill="C6EFCE"/>
            <w:noWrap/>
            <w:vAlign w:val="center"/>
            <w:hideMark/>
          </w:tcPr>
          <w:p w14:paraId="054759D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M5C3-11</w:t>
            </w:r>
          </w:p>
        </w:tc>
        <w:tc>
          <w:tcPr>
            <w:tcW w:w="1701" w:type="dxa"/>
            <w:shd w:val="clear" w:color="auto" w:fill="C6EFCE"/>
            <w:noWrap/>
            <w:vAlign w:val="center"/>
            <w:hideMark/>
          </w:tcPr>
          <w:p w14:paraId="1D4F7B9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 Infrastructural investments for the Special Economic Zone</w:t>
            </w:r>
            <w:r w:rsidRPr="00A36E36">
              <w:rPr>
                <w:rFonts w:ascii="Arial Narrow" w:hAnsi="Arial Narrow"/>
                <w:noProof/>
                <w:color w:val="006100"/>
                <w:sz w:val="20"/>
                <w:shd w:val="clear" w:color="auto" w:fill="E6E6E6"/>
                <w:lang w:val="en-IE"/>
              </w:rPr>
              <w:t xml:space="preserve"> </w:t>
            </w:r>
          </w:p>
        </w:tc>
        <w:tc>
          <w:tcPr>
            <w:tcW w:w="1134" w:type="dxa"/>
            <w:shd w:val="clear" w:color="auto" w:fill="C6EFCE"/>
            <w:noWrap/>
            <w:vAlign w:val="center"/>
            <w:hideMark/>
          </w:tcPr>
          <w:p w14:paraId="0D44C61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shd w:val="clear" w:color="auto" w:fill="C6EFCE"/>
            <w:noWrap/>
            <w:vAlign w:val="center"/>
            <w:hideMark/>
          </w:tcPr>
          <w:p w14:paraId="22712F3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Ministry Decrees approving operational plans for all eight Special Economic Zones</w:t>
            </w:r>
          </w:p>
        </w:tc>
        <w:tc>
          <w:tcPr>
            <w:tcW w:w="1701" w:type="dxa"/>
            <w:shd w:val="clear" w:color="auto" w:fill="C6EFCE"/>
            <w:noWrap/>
            <w:vAlign w:val="center"/>
            <w:hideMark/>
          </w:tcPr>
          <w:p w14:paraId="6B2CFAF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of indicating the entry into force the Ministry decrees.</w:t>
            </w:r>
          </w:p>
        </w:tc>
        <w:tc>
          <w:tcPr>
            <w:tcW w:w="1134" w:type="dxa"/>
            <w:shd w:val="clear" w:color="auto" w:fill="C6EFCE"/>
            <w:noWrap/>
            <w:vAlign w:val="center"/>
            <w:hideMark/>
          </w:tcPr>
          <w:p w14:paraId="37A3BE9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3" w:type="dxa"/>
            <w:shd w:val="clear" w:color="auto" w:fill="C6EFCE"/>
            <w:noWrap/>
            <w:vAlign w:val="center"/>
          </w:tcPr>
          <w:p w14:paraId="1FD3E5B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1F1FD00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50" w:type="dxa"/>
            <w:shd w:val="clear" w:color="auto" w:fill="C6EFCE"/>
            <w:noWrap/>
            <w:vAlign w:val="center"/>
            <w:hideMark/>
          </w:tcPr>
          <w:p w14:paraId="227B973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1" w:type="dxa"/>
            <w:shd w:val="clear" w:color="auto" w:fill="C6EFCE"/>
            <w:noWrap/>
            <w:vAlign w:val="center"/>
            <w:hideMark/>
          </w:tcPr>
          <w:p w14:paraId="7A66206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2021</w:t>
            </w:r>
          </w:p>
        </w:tc>
        <w:tc>
          <w:tcPr>
            <w:tcW w:w="3616" w:type="dxa"/>
            <w:shd w:val="clear" w:color="auto" w:fill="C6EFCE"/>
            <w:noWrap/>
            <w:vAlign w:val="center"/>
            <w:hideMark/>
          </w:tcPr>
          <w:p w14:paraId="3AF60B6D" w14:textId="77777777" w:rsidR="0039681A" w:rsidRPr="00A36E36" w:rsidRDefault="0039681A">
            <w:pPr>
              <w:rPr>
                <w:rFonts w:ascii="Arial Narrow" w:hAnsi="Arial Narrow"/>
                <w:noProof/>
                <w:color w:val="006100"/>
                <w:sz w:val="20"/>
                <w:lang w:val="en-IE"/>
              </w:rPr>
            </w:pPr>
            <w:r w:rsidRPr="00A36E36">
              <w:rPr>
                <w:rFonts w:ascii="Arial Narrow" w:hAnsi="Arial Narrow"/>
                <w:noProof/>
                <w:color w:val="006100"/>
                <w:sz w:val="20"/>
                <w:lang w:val="en-IE"/>
              </w:rPr>
              <w:t>The decree shall allocate resources to the subjects responsible for implementation and define specific conditions to avoid any environmental impact of interventions.</w:t>
            </w:r>
          </w:p>
          <w:p w14:paraId="0C211FC1"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launch of all competitive calls shall be done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39681A" w:rsidRPr="0070054C" w14:paraId="15D8C519" w14:textId="77777777" w:rsidTr="00351087">
        <w:trPr>
          <w:trHeight w:val="313"/>
        </w:trPr>
        <w:tc>
          <w:tcPr>
            <w:tcW w:w="1135" w:type="dxa"/>
            <w:shd w:val="clear" w:color="auto" w:fill="C6EFCE"/>
            <w:noWrap/>
            <w:vAlign w:val="center"/>
          </w:tcPr>
          <w:p w14:paraId="42D1A03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M5C3-12</w:t>
            </w:r>
          </w:p>
        </w:tc>
        <w:tc>
          <w:tcPr>
            <w:tcW w:w="1701" w:type="dxa"/>
            <w:shd w:val="clear" w:color="auto" w:fill="C6EFCE"/>
            <w:noWrap/>
            <w:vAlign w:val="center"/>
          </w:tcPr>
          <w:p w14:paraId="7EFD3C1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 Infrastructural investments for the Special Economic Zone</w:t>
            </w:r>
          </w:p>
        </w:tc>
        <w:tc>
          <w:tcPr>
            <w:tcW w:w="1134" w:type="dxa"/>
            <w:shd w:val="clear" w:color="auto" w:fill="C6EFCE"/>
            <w:noWrap/>
            <w:vAlign w:val="center"/>
          </w:tcPr>
          <w:p w14:paraId="53F843A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shd w:val="clear" w:color="auto" w:fill="C6EFCE"/>
            <w:noWrap/>
            <w:vAlign w:val="center"/>
          </w:tcPr>
          <w:p w14:paraId="764962E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Start of works for infrastructural projects in the Special Economic Zone</w:t>
            </w:r>
          </w:p>
        </w:tc>
        <w:tc>
          <w:tcPr>
            <w:tcW w:w="1701" w:type="dxa"/>
            <w:shd w:val="clear" w:color="auto" w:fill="C6EFCE"/>
            <w:noWrap/>
            <w:vAlign w:val="center"/>
          </w:tcPr>
          <w:p w14:paraId="7864C31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shd w:val="clear" w:color="auto" w:fill="C6EFCE"/>
            <w:noWrap/>
            <w:vAlign w:val="center"/>
          </w:tcPr>
          <w:p w14:paraId="4C9DFF2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3" w:type="dxa"/>
            <w:shd w:val="clear" w:color="auto" w:fill="C6EFCE"/>
            <w:noWrap/>
            <w:vAlign w:val="center"/>
          </w:tcPr>
          <w:p w14:paraId="64538B3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4" w:type="dxa"/>
            <w:shd w:val="clear" w:color="auto" w:fill="C6EFCE"/>
            <w:noWrap/>
            <w:vAlign w:val="center"/>
          </w:tcPr>
          <w:p w14:paraId="741067F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53</w:t>
            </w:r>
          </w:p>
        </w:tc>
        <w:tc>
          <w:tcPr>
            <w:tcW w:w="850" w:type="dxa"/>
            <w:shd w:val="clear" w:color="auto" w:fill="C6EFCE"/>
            <w:noWrap/>
            <w:vAlign w:val="center"/>
          </w:tcPr>
          <w:p w14:paraId="347238C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851" w:type="dxa"/>
            <w:shd w:val="clear" w:color="auto" w:fill="C6EFCE"/>
            <w:noWrap/>
            <w:vAlign w:val="center"/>
          </w:tcPr>
          <w:p w14:paraId="1CF97C2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616" w:type="dxa"/>
            <w:shd w:val="clear" w:color="auto" w:fill="C6EFCE"/>
            <w:noWrap/>
            <w:vAlign w:val="center"/>
          </w:tcPr>
          <w:p w14:paraId="2A1D4ED8"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infrastructural projects shall be uniquely identified by their Codice Locale di Progetto (CLP).</w:t>
            </w:r>
          </w:p>
          <w:p w14:paraId="41668A69"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works for at least 53 projects established by the Decree allocating resources shall have started.</w:t>
            </w:r>
          </w:p>
        </w:tc>
      </w:tr>
      <w:tr w:rsidR="0039681A" w:rsidRPr="0070054C" w14:paraId="786B405C" w14:textId="77777777" w:rsidTr="00351087">
        <w:trPr>
          <w:trHeight w:val="313"/>
        </w:trPr>
        <w:tc>
          <w:tcPr>
            <w:tcW w:w="1135" w:type="dxa"/>
            <w:shd w:val="clear" w:color="auto" w:fill="C6EFCE"/>
            <w:noWrap/>
            <w:vAlign w:val="center"/>
          </w:tcPr>
          <w:p w14:paraId="380E1996"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M5C3-13</w:t>
            </w:r>
          </w:p>
        </w:tc>
        <w:tc>
          <w:tcPr>
            <w:tcW w:w="1701" w:type="dxa"/>
            <w:shd w:val="clear" w:color="auto" w:fill="C6EFCE"/>
            <w:noWrap/>
            <w:vAlign w:val="center"/>
          </w:tcPr>
          <w:p w14:paraId="0FF8709A"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1.4: Infrastructural investments for the Special Economic Zone</w:t>
            </w:r>
          </w:p>
        </w:tc>
        <w:tc>
          <w:tcPr>
            <w:tcW w:w="1134" w:type="dxa"/>
            <w:shd w:val="clear" w:color="auto" w:fill="C6EFCE"/>
            <w:noWrap/>
            <w:vAlign w:val="center"/>
          </w:tcPr>
          <w:p w14:paraId="4904870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shd w:val="clear" w:color="auto" w:fill="C6EFCE"/>
            <w:noWrap/>
            <w:vAlign w:val="center"/>
          </w:tcPr>
          <w:p w14:paraId="4DBC2102" w14:textId="77777777" w:rsidR="0039681A" w:rsidRPr="00A36E36" w:rsidRDefault="0039681A" w:rsidP="00351087">
            <w:pPr>
              <w:jc w:val="center"/>
              <w:rPr>
                <w:rFonts w:ascii="Arial Narrow" w:eastAsia="Calibri" w:hAnsi="Arial Narrow"/>
                <w:noProof/>
                <w:color w:val="006100"/>
                <w:sz w:val="20"/>
                <w:szCs w:val="20"/>
                <w:lang w:val="en-IE"/>
              </w:rPr>
            </w:pPr>
            <w:r w:rsidRPr="00A36E36">
              <w:rPr>
                <w:rFonts w:ascii="Arial Narrow" w:hAnsi="Arial Narrow"/>
                <w:noProof/>
                <w:color w:val="006100"/>
                <w:sz w:val="20"/>
                <w:szCs w:val="20"/>
                <w:lang w:val="en-IE"/>
              </w:rPr>
              <w:t>Finalisation of infrastructural projects in the Special Economic Zone</w:t>
            </w:r>
          </w:p>
        </w:tc>
        <w:tc>
          <w:tcPr>
            <w:tcW w:w="1701" w:type="dxa"/>
            <w:shd w:val="clear" w:color="auto" w:fill="C6EFCE"/>
            <w:noWrap/>
            <w:vAlign w:val="center"/>
          </w:tcPr>
          <w:p w14:paraId="454B15EE" w14:textId="77777777" w:rsidR="0039681A" w:rsidRPr="000E641A" w:rsidRDefault="0039681A" w:rsidP="00351087">
            <w:pPr>
              <w:jc w:val="center"/>
              <w:rPr>
                <w:rFonts w:ascii="Arial Narrow" w:hAnsi="Arial Narrow"/>
                <w:noProof/>
                <w:color w:val="006100"/>
                <w:sz w:val="20"/>
                <w:szCs w:val="20"/>
              </w:rPr>
            </w:pPr>
            <w:r w:rsidRPr="000E641A">
              <w:rPr>
                <w:rFonts w:ascii="Arial Narrow" w:hAnsi="Arial Narrow"/>
                <w:noProof/>
                <w:color w:val="006100"/>
                <w:sz w:val="20"/>
              </w:rPr>
              <w:t>N/A</w:t>
            </w:r>
          </w:p>
        </w:tc>
        <w:tc>
          <w:tcPr>
            <w:tcW w:w="1134" w:type="dxa"/>
            <w:shd w:val="clear" w:color="auto" w:fill="C6EFCE"/>
            <w:noWrap/>
            <w:vAlign w:val="center"/>
          </w:tcPr>
          <w:p w14:paraId="6C951AE2"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3" w:type="dxa"/>
            <w:shd w:val="clear" w:color="auto" w:fill="C6EFCE"/>
            <w:noWrap/>
            <w:vAlign w:val="center"/>
          </w:tcPr>
          <w:p w14:paraId="2F353E9F"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1134" w:type="dxa"/>
            <w:shd w:val="clear" w:color="auto" w:fill="C6EFCE"/>
            <w:noWrap/>
            <w:vAlign w:val="center"/>
          </w:tcPr>
          <w:p w14:paraId="28B0309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46</w:t>
            </w:r>
          </w:p>
        </w:tc>
        <w:tc>
          <w:tcPr>
            <w:tcW w:w="850" w:type="dxa"/>
            <w:shd w:val="clear" w:color="auto" w:fill="C6EFCE"/>
            <w:noWrap/>
            <w:vAlign w:val="center"/>
          </w:tcPr>
          <w:p w14:paraId="0A4571CB"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851" w:type="dxa"/>
            <w:shd w:val="clear" w:color="auto" w:fill="C6EFCE"/>
            <w:noWrap/>
            <w:vAlign w:val="center"/>
          </w:tcPr>
          <w:p w14:paraId="252B372A" w14:textId="77777777" w:rsidR="0039681A" w:rsidRPr="00647572" w:rsidRDefault="0039681A" w:rsidP="00351087">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616" w:type="dxa"/>
            <w:shd w:val="clear" w:color="auto" w:fill="C6EFCE"/>
            <w:noWrap/>
            <w:vAlign w:val="center"/>
          </w:tcPr>
          <w:p w14:paraId="05F00580" w14:textId="261A77E1" w:rsidR="0039681A" w:rsidRPr="00A36E36" w:rsidRDefault="0039681A" w:rsidP="00351087">
            <w:pPr>
              <w:rPr>
                <w:rFonts w:ascii="Arial Narrow" w:hAnsi="Arial Narrow"/>
                <w:noProof/>
                <w:color w:val="006100"/>
                <w:sz w:val="20"/>
                <w:szCs w:val="20"/>
                <w:lang w:val="en-IE"/>
              </w:rPr>
            </w:pPr>
            <w:r w:rsidRPr="54F9E624">
              <w:rPr>
                <w:rFonts w:ascii="Arial Narrow" w:hAnsi="Arial Narrow"/>
                <w:noProof/>
                <w:color w:val="006100"/>
                <w:sz w:val="20"/>
                <w:szCs w:val="20"/>
                <w:lang w:val="en-IE"/>
              </w:rPr>
              <w:t>Administrative certificates confirming that</w:t>
            </w:r>
            <w:r w:rsidR="00381DB1">
              <w:rPr>
                <w:rFonts w:ascii="Arial Narrow" w:hAnsi="Arial Narrow"/>
                <w:noProof/>
                <w:color w:val="006100"/>
                <w:sz w:val="20"/>
                <w:szCs w:val="20"/>
                <w:lang w:val="en-IE"/>
              </w:rPr>
              <w:t xml:space="preserve"> </w:t>
            </w:r>
            <w:r w:rsidRPr="54F9E624">
              <w:rPr>
                <w:rFonts w:ascii="Arial Narrow" w:hAnsi="Arial Narrow"/>
                <w:noProof/>
                <w:color w:val="006100"/>
                <w:sz w:val="20"/>
                <w:szCs w:val="20"/>
                <w:lang w:val="en-IE"/>
              </w:rPr>
              <w:t xml:space="preserve">projects have been carried out shall be issued for at least 46 projects established by the Decree allocating resources and uniquely identified by their </w:t>
            </w:r>
            <w:r w:rsidR="00DC5A8A">
              <w:rPr>
                <w:rFonts w:ascii="Arial Narrow" w:hAnsi="Arial Narrow"/>
                <w:noProof/>
                <w:color w:val="006100"/>
                <w:sz w:val="20"/>
                <w:szCs w:val="20"/>
                <w:lang w:val="en-IE"/>
              </w:rPr>
              <w:t xml:space="preserve">Codice Unico di Progetto (CUP) and/or </w:t>
            </w:r>
            <w:r w:rsidRPr="54F9E624">
              <w:rPr>
                <w:rFonts w:ascii="Arial Narrow" w:hAnsi="Arial Narrow"/>
                <w:noProof/>
                <w:color w:val="006100"/>
                <w:sz w:val="20"/>
                <w:szCs w:val="20"/>
                <w:lang w:val="en-IE"/>
              </w:rPr>
              <w:t>Codice Locale di Progetto (CLP).The list of projects completed shall include the following:</w:t>
            </w:r>
          </w:p>
          <w:p w14:paraId="640FBEAA" w14:textId="77777777" w:rsidR="0039681A" w:rsidRPr="007473DA" w:rsidRDefault="0039681A" w:rsidP="0039681A">
            <w:pPr>
              <w:pStyle w:val="ListParagraph"/>
              <w:numPr>
                <w:ilvl w:val="0"/>
                <w:numId w:val="135"/>
              </w:numPr>
              <w:spacing w:before="120" w:after="120" w:line="240" w:lineRule="auto"/>
              <w:jc w:val="both"/>
              <w:rPr>
                <w:rFonts w:ascii="Arial Narrow" w:hAnsi="Arial Narrow"/>
                <w:noProof/>
                <w:color w:val="006100"/>
                <w:sz w:val="20"/>
                <w:lang w:val="it-IT"/>
              </w:rPr>
            </w:pPr>
            <w:r w:rsidRPr="007473DA">
              <w:rPr>
                <w:rFonts w:ascii="Arial Narrow" w:hAnsi="Arial Narrow"/>
                <w:noProof/>
                <w:color w:val="006100"/>
                <w:sz w:val="20"/>
                <w:lang w:val="it-IT"/>
              </w:rPr>
              <w:t>Porto di Salerno. Area portuale. Consolidamento ed adeguamento funzionale di alcuni moli e banchine (CLP: G51B21003170006)</w:t>
            </w:r>
          </w:p>
          <w:p w14:paraId="4B125E51" w14:textId="503856EF" w:rsidR="0039681A" w:rsidRPr="007473DA" w:rsidRDefault="0039681A" w:rsidP="0039681A">
            <w:pPr>
              <w:pStyle w:val="ListParagraph"/>
              <w:numPr>
                <w:ilvl w:val="0"/>
                <w:numId w:val="135"/>
              </w:numPr>
              <w:spacing w:before="120" w:after="120" w:line="240" w:lineRule="auto"/>
              <w:jc w:val="both"/>
              <w:rPr>
                <w:rFonts w:ascii="Arial Narrow" w:hAnsi="Arial Narrow"/>
                <w:noProof/>
                <w:color w:val="006100"/>
                <w:sz w:val="20"/>
                <w:lang w:val="it-IT"/>
              </w:rPr>
            </w:pPr>
            <w:r w:rsidRPr="007473DA">
              <w:rPr>
                <w:rFonts w:ascii="Arial Narrow" w:hAnsi="Arial Narrow"/>
                <w:noProof/>
                <w:color w:val="006100"/>
                <w:sz w:val="20"/>
                <w:lang w:val="it-IT"/>
              </w:rPr>
              <w:t>Porto di Napoli. Area portuale. Prolungamento e rafforzamento della diga Duca D’Aosta (</w:t>
            </w:r>
            <w:r w:rsidR="000C0E3E">
              <w:rPr>
                <w:rFonts w:ascii="Arial Narrow" w:hAnsi="Arial Narrow"/>
                <w:noProof/>
                <w:color w:val="006100"/>
                <w:sz w:val="20"/>
                <w:lang w:val="it-IT"/>
              </w:rPr>
              <w:t>CUP</w:t>
            </w:r>
            <w:r w:rsidRPr="007473DA">
              <w:rPr>
                <w:rFonts w:ascii="Arial Narrow" w:hAnsi="Arial Narrow"/>
                <w:noProof/>
                <w:color w:val="006100"/>
                <w:sz w:val="20"/>
                <w:lang w:val="it-IT"/>
              </w:rPr>
              <w:t>: G65F20001560006)</w:t>
            </w:r>
          </w:p>
          <w:p w14:paraId="1AB92C1C" w14:textId="77777777" w:rsidR="0039681A" w:rsidRPr="007473DA" w:rsidRDefault="0039681A" w:rsidP="0039681A">
            <w:pPr>
              <w:pStyle w:val="ListParagraph"/>
              <w:numPr>
                <w:ilvl w:val="0"/>
                <w:numId w:val="135"/>
              </w:numPr>
              <w:spacing w:before="120" w:after="120" w:line="240" w:lineRule="auto"/>
              <w:jc w:val="both"/>
              <w:rPr>
                <w:rFonts w:ascii="Arial Narrow" w:hAnsi="Arial Narrow"/>
                <w:noProof/>
                <w:color w:val="006100"/>
                <w:sz w:val="20"/>
                <w:lang w:val="it-IT"/>
              </w:rPr>
            </w:pPr>
            <w:r w:rsidRPr="007473DA">
              <w:rPr>
                <w:rFonts w:ascii="Arial Narrow" w:hAnsi="Arial Narrow"/>
                <w:noProof/>
                <w:color w:val="006100"/>
                <w:sz w:val="20"/>
                <w:lang w:val="it-IT"/>
              </w:rPr>
              <w:t>Porto di Salerno. Dragaggio del porto commerciale di Salerno e del canale di ingresso – fase 2 - Molo di ponente (CLP: G51B21003160006)</w:t>
            </w:r>
          </w:p>
          <w:p w14:paraId="4CDDEA1D" w14:textId="77777777" w:rsidR="0039681A" w:rsidRPr="007473DA" w:rsidRDefault="0039681A" w:rsidP="0039681A">
            <w:pPr>
              <w:pStyle w:val="ListParagraph"/>
              <w:numPr>
                <w:ilvl w:val="0"/>
                <w:numId w:val="135"/>
              </w:numPr>
              <w:spacing w:before="120" w:after="120" w:line="240" w:lineRule="auto"/>
              <w:jc w:val="both"/>
              <w:rPr>
                <w:rFonts w:ascii="Arial Narrow" w:hAnsi="Arial Narrow"/>
                <w:noProof/>
                <w:color w:val="006100"/>
                <w:sz w:val="20"/>
                <w:szCs w:val="20"/>
                <w:lang w:val="it-IT"/>
              </w:rPr>
            </w:pPr>
            <w:r w:rsidRPr="007473DA">
              <w:rPr>
                <w:rFonts w:ascii="Arial Narrow" w:hAnsi="Arial Narrow"/>
                <w:noProof/>
                <w:color w:val="006100"/>
                <w:sz w:val="20"/>
                <w:lang w:val="it-IT"/>
              </w:rPr>
              <w:t>Porto Canale Di Cagliari. Area portuale. Avamporti: realizzazione di nuovi banchinamenti per l’ormeggio di navi traghetto roll-on roll-off, ro-ro (CLP: D21G06000020003)</w:t>
            </w:r>
          </w:p>
        </w:tc>
      </w:tr>
      <w:tr w:rsidR="0039681A" w:rsidRPr="0070054C" w14:paraId="11901436" w14:textId="77777777" w:rsidTr="00351087">
        <w:trPr>
          <w:trHeight w:val="313"/>
        </w:trPr>
        <w:tc>
          <w:tcPr>
            <w:tcW w:w="1135" w:type="dxa"/>
            <w:shd w:val="clear" w:color="auto" w:fill="C6EFCE"/>
            <w:noWrap/>
            <w:vAlign w:val="center"/>
          </w:tcPr>
          <w:p w14:paraId="459103DB"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M5C3-4</w:t>
            </w:r>
          </w:p>
        </w:tc>
        <w:tc>
          <w:tcPr>
            <w:tcW w:w="1701" w:type="dxa"/>
            <w:shd w:val="clear" w:color="auto" w:fill="C6EFCE"/>
            <w:noWrap/>
            <w:vAlign w:val="center"/>
          </w:tcPr>
          <w:p w14:paraId="674DBAE7" w14:textId="77777777" w:rsidR="0039681A" w:rsidRPr="00A36E36"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Investment 1.1.2: Territorial proximity health facilities</w:t>
            </w:r>
          </w:p>
        </w:tc>
        <w:tc>
          <w:tcPr>
            <w:tcW w:w="1134" w:type="dxa"/>
            <w:shd w:val="clear" w:color="auto" w:fill="C6EFCE"/>
            <w:noWrap/>
            <w:vAlign w:val="center"/>
          </w:tcPr>
          <w:p w14:paraId="2C0821A9"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szCs w:val="20"/>
              </w:rPr>
              <w:t>Milestone</w:t>
            </w:r>
          </w:p>
        </w:tc>
        <w:tc>
          <w:tcPr>
            <w:tcW w:w="1417" w:type="dxa"/>
            <w:shd w:val="clear" w:color="auto" w:fill="C6EFCE"/>
            <w:noWrap/>
            <w:vAlign w:val="center"/>
          </w:tcPr>
          <w:p w14:paraId="4F001FE5" w14:textId="77777777" w:rsidR="0039681A" w:rsidRPr="00A36E36" w:rsidRDefault="0039681A" w:rsidP="00351087">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Support to rural pharmacies in municipalities, hamlets or settlements of less than 5 000 inhabitants (second batch)</w:t>
            </w:r>
          </w:p>
        </w:tc>
        <w:tc>
          <w:tcPr>
            <w:tcW w:w="1701" w:type="dxa"/>
            <w:shd w:val="clear" w:color="auto" w:fill="C6EFCE"/>
            <w:noWrap/>
            <w:vAlign w:val="center"/>
          </w:tcPr>
          <w:p w14:paraId="52D46351" w14:textId="77777777" w:rsidR="0039681A" w:rsidRPr="00AF5341" w:rsidRDefault="0039681A" w:rsidP="00351087">
            <w:pPr>
              <w:jc w:val="center"/>
              <w:rPr>
                <w:rFonts w:ascii="Arial Narrow" w:hAnsi="Arial Narrow"/>
                <w:noProof/>
                <w:color w:val="006100"/>
                <w:sz w:val="20"/>
                <w:lang w:val="en-IE"/>
              </w:rPr>
            </w:pPr>
            <w:r w:rsidRPr="00A36E36">
              <w:rPr>
                <w:rFonts w:ascii="Arial Narrow" w:hAnsi="Arial Narrow"/>
                <w:noProof/>
                <w:color w:val="006100"/>
                <w:sz w:val="20"/>
                <w:lang w:val="en-IE"/>
              </w:rPr>
              <w:t>Adoption of decrees authorising the final disbursement</w:t>
            </w:r>
          </w:p>
        </w:tc>
        <w:tc>
          <w:tcPr>
            <w:tcW w:w="1134" w:type="dxa"/>
            <w:shd w:val="clear" w:color="auto" w:fill="C6EFCE"/>
            <w:noWrap/>
            <w:vAlign w:val="center"/>
          </w:tcPr>
          <w:p w14:paraId="38F2ED13"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szCs w:val="20"/>
              </w:rPr>
              <w:t>N/A</w:t>
            </w:r>
          </w:p>
        </w:tc>
        <w:tc>
          <w:tcPr>
            <w:tcW w:w="993" w:type="dxa"/>
            <w:shd w:val="clear" w:color="auto" w:fill="C6EFCE"/>
            <w:noWrap/>
            <w:vAlign w:val="center"/>
          </w:tcPr>
          <w:p w14:paraId="5A7DB2CA"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szCs w:val="20"/>
              </w:rPr>
              <w:t>N/A</w:t>
            </w:r>
          </w:p>
        </w:tc>
        <w:tc>
          <w:tcPr>
            <w:tcW w:w="1134" w:type="dxa"/>
            <w:shd w:val="clear" w:color="auto" w:fill="C6EFCE"/>
            <w:noWrap/>
            <w:vAlign w:val="center"/>
          </w:tcPr>
          <w:p w14:paraId="2340D4C3"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szCs w:val="20"/>
              </w:rPr>
              <w:t>N/A</w:t>
            </w:r>
          </w:p>
        </w:tc>
        <w:tc>
          <w:tcPr>
            <w:tcW w:w="850" w:type="dxa"/>
            <w:shd w:val="clear" w:color="auto" w:fill="C6EFCE"/>
            <w:noWrap/>
            <w:vAlign w:val="center"/>
          </w:tcPr>
          <w:p w14:paraId="092F0D77"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Q2</w:t>
            </w:r>
          </w:p>
        </w:tc>
        <w:tc>
          <w:tcPr>
            <w:tcW w:w="851" w:type="dxa"/>
            <w:shd w:val="clear" w:color="auto" w:fill="C6EFCE"/>
            <w:noWrap/>
            <w:vAlign w:val="center"/>
          </w:tcPr>
          <w:p w14:paraId="6D2452CA" w14:textId="77777777" w:rsidR="0039681A" w:rsidRPr="00647572" w:rsidRDefault="0039681A" w:rsidP="00351087">
            <w:pPr>
              <w:jc w:val="center"/>
              <w:rPr>
                <w:rFonts w:ascii="Arial Narrow" w:hAnsi="Arial Narrow"/>
                <w:noProof/>
                <w:color w:val="006100"/>
                <w:sz w:val="20"/>
              </w:rPr>
            </w:pPr>
            <w:r w:rsidRPr="00647572">
              <w:rPr>
                <w:rFonts w:ascii="Arial Narrow" w:hAnsi="Arial Narrow"/>
                <w:noProof/>
                <w:color w:val="006100"/>
                <w:sz w:val="20"/>
              </w:rPr>
              <w:t>2026</w:t>
            </w:r>
          </w:p>
        </w:tc>
        <w:tc>
          <w:tcPr>
            <w:tcW w:w="3616" w:type="dxa"/>
            <w:shd w:val="clear" w:color="auto" w:fill="C6EFCE"/>
            <w:noWrap/>
            <w:vAlign w:val="center"/>
          </w:tcPr>
          <w:p w14:paraId="2588F0F1" w14:textId="77777777" w:rsidR="0039681A" w:rsidRPr="00A36E36" w:rsidDel="002A2269" w:rsidRDefault="0039681A" w:rsidP="00351087">
            <w:pPr>
              <w:rPr>
                <w:rFonts w:ascii="Arial Narrow" w:hAnsi="Arial Narrow"/>
                <w:noProof/>
                <w:color w:val="006100"/>
                <w:sz w:val="20"/>
                <w:szCs w:val="20"/>
                <w:lang w:val="en-IE"/>
              </w:rPr>
            </w:pPr>
            <w:r w:rsidRPr="00A36E36">
              <w:rPr>
                <w:rFonts w:ascii="Arial Narrow" w:hAnsi="Arial Narrow"/>
                <w:noProof/>
                <w:color w:val="006100"/>
                <w:sz w:val="20"/>
                <w:szCs w:val="20"/>
                <w:lang w:val="en-IE"/>
              </w:rPr>
              <w:t>Decrees authorizing the final disbursement towards at</w:t>
            </w:r>
            <w:r w:rsidRPr="00A36E36" w:rsidDel="00276517">
              <w:rPr>
                <w:rFonts w:ascii="Arial Narrow" w:hAnsi="Arial Narrow"/>
                <w:noProof/>
                <w:color w:val="006100"/>
                <w:sz w:val="20"/>
                <w:szCs w:val="20"/>
                <w:lang w:val="en-IE"/>
              </w:rPr>
              <w:t xml:space="preserve"> </w:t>
            </w:r>
            <w:r w:rsidRPr="00A36E36">
              <w:rPr>
                <w:rFonts w:ascii="Arial Narrow" w:hAnsi="Arial Narrow"/>
                <w:noProof/>
                <w:color w:val="006100"/>
                <w:sz w:val="20"/>
                <w:szCs w:val="20"/>
                <w:lang w:val="en-IE"/>
              </w:rPr>
              <w:t>least 1 500 rural pharmacies in municipalities, hamlets or settlements of less than 5</w:t>
            </w:r>
            <w:r w:rsidRPr="00A36E36">
              <w:rPr>
                <w:noProof/>
                <w:sz w:val="23"/>
                <w:szCs w:val="23"/>
                <w:lang w:val="en-IE"/>
              </w:rPr>
              <w:t> </w:t>
            </w:r>
            <w:r w:rsidRPr="00A36E36">
              <w:rPr>
                <w:rFonts w:ascii="Arial Narrow" w:hAnsi="Arial Narrow"/>
                <w:noProof/>
                <w:color w:val="006100"/>
                <w:sz w:val="20"/>
                <w:szCs w:val="20"/>
                <w:lang w:val="en-IE"/>
              </w:rPr>
              <w:t>000 inhabitants.</w:t>
            </w:r>
          </w:p>
        </w:tc>
      </w:tr>
    </w:tbl>
    <w:p w14:paraId="056E265C" w14:textId="77777777" w:rsidR="0039681A" w:rsidRPr="00AA3315" w:rsidRDefault="0039681A" w:rsidP="00351087">
      <w:pPr>
        <w:tabs>
          <w:tab w:val="left" w:pos="5724"/>
        </w:tabs>
        <w:rPr>
          <w:rFonts w:ascii="Times New Roman" w:hAnsi="Times New Roman" w:cs="Times New Roman"/>
          <w:noProof/>
          <w:lang w:val="en-IE"/>
        </w:rPr>
        <w:sectPr w:rsidR="0039681A" w:rsidRPr="00AA3315" w:rsidSect="0039681A">
          <w:headerReference w:type="even" r:id="rId225"/>
          <w:headerReference w:type="default" r:id="rId226"/>
          <w:footerReference w:type="default" r:id="rId227"/>
          <w:headerReference w:type="first" r:id="rId228"/>
          <w:pgSz w:w="16838" w:h="11906" w:orient="landscape"/>
          <w:pgMar w:top="1134" w:right="1134" w:bottom="1134" w:left="1134" w:header="567" w:footer="567" w:gutter="0"/>
          <w:cols w:space="708"/>
          <w:docGrid w:linePitch="360"/>
        </w:sectPr>
      </w:pPr>
    </w:p>
    <w:p w14:paraId="48E8A387" w14:textId="77777777" w:rsidR="0039681A" w:rsidRPr="00A36E36" w:rsidRDefault="0039681A" w:rsidP="00351087">
      <w:pPr>
        <w:pStyle w:val="Heading2"/>
        <w:ind w:left="1080"/>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O. MISSION 6 COMPONENT 1: Proximity networks, facilities and telemedicine for territorial healthcare assistance</w:t>
      </w:r>
    </w:p>
    <w:p w14:paraId="1FD64C1C" w14:textId="77777777" w:rsidR="0039681A" w:rsidRPr="00A36E36" w:rsidRDefault="0039681A" w:rsidP="00351087">
      <w:pPr>
        <w:spacing w:before="120"/>
        <w:jc w:val="both"/>
        <w:rPr>
          <w:rFonts w:ascii="Times New Roman" w:hAnsi="Times New Roman" w:cs="Times New Roman"/>
          <w:iCs/>
          <w:noProof/>
          <w:lang w:val="en-IE"/>
        </w:rPr>
      </w:pPr>
      <w:r w:rsidRPr="00A36E36">
        <w:rPr>
          <w:rFonts w:ascii="Times New Roman" w:hAnsi="Times New Roman" w:cs="Times New Roman"/>
          <w:noProof/>
          <w:lang w:val="en-IE"/>
        </w:rPr>
        <w:t xml:space="preserve">The objective of this component is to strengthen the Italian National Health Service (NHS) by inter alia enhancing the protection against environmental and climate-change related health risks and better responding to the communities’ needs regarding local care and assistance. Local healthcare assistance is fragmented and subject to regional disparities that result in different levels of healthcare provisions and health outcomes across regions. The provision of integrated home care services is considered to be low, and the different healthcare and social service providers are considered to be only weakly integrated. Moreover, the capacity of the Italian National Health Service (NHS) to address health risks related to environmental exposure and climate change has been tested by several environmental crisis and emergencies that highlighted the challenges due to a lack of sufficient prevention actions. The objective of this component of the Italian recovery and resilience plan is to strengthen the Italian National Health Service (NHS) by inter alia enhancing the protection against environmental and climate-change related health risks and better responding to the communities’ needs regarding local care and assistance. </w:t>
      </w:r>
    </w:p>
    <w:p w14:paraId="7B328E62" w14:textId="77777777" w:rsidR="0039681A" w:rsidRPr="00A36E36" w:rsidRDefault="0039681A" w:rsidP="00351087">
      <w:pPr>
        <w:spacing w:before="120"/>
        <w:jc w:val="both"/>
        <w:rPr>
          <w:rFonts w:ascii="Times New Roman" w:hAnsi="Times New Roman" w:cs="Times New Roman"/>
          <w:noProof/>
          <w:lang w:val="en-IE"/>
        </w:rPr>
      </w:pPr>
      <w:r w:rsidRPr="00A36E36">
        <w:rPr>
          <w:rFonts w:ascii="Times New Roman" w:hAnsi="Times New Roman" w:cs="Times New Roman"/>
          <w:noProof/>
          <w:lang w:val="en-IE"/>
        </w:rPr>
        <w:t>The investments and reforms of this component shall contribute addressing the country-specific recommendations addressed to Italy in 2019 and 2020 on the need to</w:t>
      </w:r>
      <w:r w:rsidRPr="00A36E36">
        <w:rPr>
          <w:rFonts w:ascii="Times New Roman" w:hAnsi="Times New Roman" w:cs="Times New Roman"/>
          <w:noProof/>
          <w:color w:val="333333"/>
          <w:lang w:val="en-IE"/>
        </w:rPr>
        <w:t xml:space="preserve"> “focus investment-related economic policy on research and innovation, and the quality of infrastructure, taking into account regional disparities</w:t>
      </w:r>
      <w:r w:rsidRPr="00A36E36">
        <w:rPr>
          <w:rFonts w:ascii="Times New Roman" w:hAnsi="Times New Roman" w:cs="Times New Roman"/>
          <w:noProof/>
          <w:lang w:val="en-IE"/>
        </w:rPr>
        <w:t xml:space="preserve"> (country-specific recommendation 3, 2019), “strengthen the resilience and capacity of the health system, in the areas of health workers, critical medical products and infrastructure” (country-specific recommendation 1, 2020) and to “focus investment on the green and digital transition, in particular on […] reinforced digital infrastructure to ensure the provision of essential services” (country-specific recommendation 3, 2020).</w:t>
      </w:r>
    </w:p>
    <w:p w14:paraId="5D8D38FD" w14:textId="77777777" w:rsidR="0039681A" w:rsidRPr="00A36E36" w:rsidRDefault="0039681A" w:rsidP="00351087">
      <w:pPr>
        <w:spacing w:before="120"/>
        <w:jc w:val="both"/>
        <w:rPr>
          <w:rFonts w:ascii="Times New Roman" w:hAnsi="Times New Roman" w:cs="Times New Roman"/>
          <w:noProof/>
          <w:lang w:val="en-IE"/>
        </w:rPr>
      </w:pPr>
    </w:p>
    <w:p w14:paraId="0DD037A0" w14:textId="77777777" w:rsidR="0039681A" w:rsidRPr="00A36E36" w:rsidRDefault="0039681A" w:rsidP="0035108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O.1.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07F2B651" w14:textId="77777777" w:rsidR="0039681A" w:rsidRPr="00A36E36" w:rsidRDefault="0039681A" w:rsidP="00351087">
      <w:pPr>
        <w:spacing w:before="120" w:after="120"/>
        <w:jc w:val="both"/>
        <w:rPr>
          <w:rFonts w:ascii="Times New Roman" w:hAnsi="Times New Roman" w:cs="Times New Roman"/>
          <w:i/>
          <w:noProof/>
          <w:lang w:val="en-IE"/>
        </w:rPr>
      </w:pPr>
      <w:r w:rsidRPr="00A36E36">
        <w:rPr>
          <w:rFonts w:ascii="Times New Roman" w:hAnsi="Times New Roman" w:cs="Times New Roman"/>
          <w:i/>
          <w:noProof/>
          <w:lang w:val="en-IE"/>
        </w:rPr>
        <w:t>N/A</w:t>
      </w:r>
    </w:p>
    <w:p w14:paraId="0548F5F4"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O.2.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Milestones, targets, indicators, and timetable for monitoring and implementation for non-repayable financial support</w:t>
      </w:r>
    </w:p>
    <w:p w14:paraId="5B1051C7"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i/>
          <w:noProof/>
          <w:lang w:val="en-IE"/>
        </w:rPr>
        <w:t>N/A</w:t>
      </w:r>
    </w:p>
    <w:p w14:paraId="1C1E2BB7" w14:textId="77777777" w:rsidR="0039681A" w:rsidRPr="00A36E36" w:rsidRDefault="0039681A" w:rsidP="00351087">
      <w:pPr>
        <w:spacing w:after="200" w:line="276" w:lineRule="auto"/>
        <w:rPr>
          <w:rFonts w:ascii="Times New Roman" w:hAnsi="Times New Roman" w:cs="Times New Roman"/>
          <w:noProof/>
          <w:lang w:val="en-IE"/>
        </w:rPr>
      </w:pPr>
      <w:r w:rsidRPr="00A36E36">
        <w:rPr>
          <w:rFonts w:ascii="Times New Roman" w:hAnsi="Times New Roman" w:cs="Times New Roman"/>
          <w:noProof/>
          <w:lang w:val="en-IE"/>
        </w:rPr>
        <w:br w:type="page"/>
      </w:r>
    </w:p>
    <w:p w14:paraId="4C7FDEF3" w14:textId="77777777" w:rsidR="0039681A" w:rsidRPr="00A36E36" w:rsidRDefault="0039681A" w:rsidP="00351087">
      <w:pPr>
        <w:pStyle w:val="Heading3"/>
        <w:numPr>
          <w:ilvl w:val="2"/>
          <w:numId w:val="0"/>
        </w:numPr>
        <w:ind w:left="850" w:hanging="850"/>
        <w:rPr>
          <w:rFonts w:ascii="Times New Roman" w:hAnsi="Times New Roman" w:cs="Times New Roman"/>
          <w:b/>
          <w:i/>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O.3.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6098F774" w14:textId="77777777" w:rsidR="0039681A" w:rsidRPr="00A36E36" w:rsidRDefault="0039681A" w:rsidP="0035108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Reform 1: Definition of a new organisational model for Territorial healthcare assistance network.</w:t>
      </w:r>
    </w:p>
    <w:p w14:paraId="6759FB8C" w14:textId="77777777" w:rsidR="0039681A" w:rsidRPr="00647572" w:rsidRDefault="0039681A" w:rsidP="00351087">
      <w:pPr>
        <w:spacing w:before="120" w:after="120"/>
        <w:jc w:val="both"/>
        <w:rPr>
          <w:rFonts w:ascii="Times New Roman" w:eastAsia="Calibri" w:hAnsi="Times New Roman" w:cs="Times New Roman"/>
          <w:noProof/>
        </w:rPr>
      </w:pPr>
      <w:r w:rsidRPr="00A36E36">
        <w:rPr>
          <w:rFonts w:ascii="Times New Roman" w:hAnsi="Times New Roman" w:cs="Times New Roman"/>
          <w:noProof/>
          <w:lang w:val="en-IE"/>
        </w:rPr>
        <w:t xml:space="preserve">The reform constitutes a preparatory element for the investments of the component. It shall establish a new model of territorial healthcare assistance and create a new institutional structure of Health-Environment-Climate prevention. </w:t>
      </w:r>
      <w:r w:rsidRPr="00647572">
        <w:rPr>
          <w:rFonts w:ascii="Times New Roman" w:hAnsi="Times New Roman" w:cs="Times New Roman"/>
          <w:noProof/>
        </w:rPr>
        <w:t>This shall be achieved through:</w:t>
      </w:r>
    </w:p>
    <w:p w14:paraId="021424F8" w14:textId="77777777" w:rsidR="0039681A" w:rsidRPr="00A36E36" w:rsidRDefault="0039681A" w:rsidP="0039681A">
      <w:pPr>
        <w:numPr>
          <w:ilvl w:val="0"/>
          <w:numId w:val="149"/>
        </w:numPr>
        <w:spacing w:before="120" w:after="120" w:line="240" w:lineRule="auto"/>
        <w:ind w:left="360"/>
        <w:jc w:val="both"/>
        <w:rPr>
          <w:rFonts w:ascii="Times New Roman" w:hAnsi="Times New Roman" w:cs="Times New Roman"/>
          <w:noProof/>
          <w:lang w:val="en-IE"/>
        </w:rPr>
      </w:pPr>
      <w:r w:rsidRPr="00A36E36">
        <w:rPr>
          <w:rFonts w:ascii="Times New Roman" w:hAnsi="Times New Roman" w:cs="Times New Roman"/>
          <w:noProof/>
          <w:lang w:val="en-IE"/>
        </w:rPr>
        <w:t>Establishment of a new organisational model for the territorial healthcare assistance network through the definition of a regulatory framework which identifies structural, technological and organisational standards.</w:t>
      </w:r>
    </w:p>
    <w:p w14:paraId="59DB0247" w14:textId="77777777" w:rsidR="0039681A" w:rsidRPr="00A36E36" w:rsidRDefault="0039681A" w:rsidP="0039681A">
      <w:pPr>
        <w:numPr>
          <w:ilvl w:val="0"/>
          <w:numId w:val="149"/>
        </w:numPr>
        <w:spacing w:before="120" w:after="120" w:line="240" w:lineRule="auto"/>
        <w:ind w:left="360"/>
        <w:jc w:val="both"/>
        <w:rPr>
          <w:rFonts w:ascii="Times New Roman" w:hAnsi="Times New Roman" w:cs="Times New Roman"/>
          <w:noProof/>
          <w:lang w:val="en-IE"/>
        </w:rPr>
      </w:pPr>
      <w:r w:rsidRPr="00A36E36">
        <w:rPr>
          <w:rFonts w:ascii="Times New Roman" w:hAnsi="Times New Roman" w:cs="Times New Roman"/>
          <w:noProof/>
          <w:lang w:val="en-IE"/>
        </w:rPr>
        <w:t>Definition of a new institutional structure of Health-Environment-Climate prevention, following an integrated approach (“One Health”) and a holistic vision (“Planetary Health”).</w:t>
      </w:r>
    </w:p>
    <w:p w14:paraId="41F342E0" w14:textId="77777777" w:rsidR="0039681A" w:rsidRPr="00A36E36" w:rsidRDefault="0039681A" w:rsidP="00351087">
      <w:pPr>
        <w:spacing w:before="120" w:after="120"/>
        <w:jc w:val="both"/>
        <w:rPr>
          <w:rFonts w:ascii="Times New Roman" w:eastAsia="Calibri" w:hAnsi="Times New Roman" w:cs="Times New Roman"/>
          <w:b/>
          <w:noProof/>
          <w:lang w:val="en-IE"/>
        </w:rPr>
      </w:pPr>
      <w:r w:rsidRPr="00A36E36">
        <w:rPr>
          <w:rFonts w:ascii="Times New Roman" w:hAnsi="Times New Roman" w:cs="Times New Roman"/>
          <w:b/>
          <w:noProof/>
          <w:lang w:val="en-IE"/>
        </w:rPr>
        <w:t>Investment 1.1: Community Health Houses to improve territorial health assistance.</w:t>
      </w:r>
    </w:p>
    <w:p w14:paraId="2C595721"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measure is to establish Community Health Houses. </w:t>
      </w:r>
    </w:p>
    <w:p w14:paraId="7A7058F6" w14:textId="77777777" w:rsidR="0039681A" w:rsidRPr="00A36E36" w:rsidRDefault="0039681A" w:rsidP="00351087">
      <w:pPr>
        <w:spacing w:before="120" w:after="120"/>
        <w:jc w:val="both"/>
        <w:rPr>
          <w:rFonts w:ascii="Times New Roman" w:eastAsia="Calibri" w:hAnsi="Times New Roman" w:cs="Times New Roman"/>
          <w:noProof/>
          <w:lang w:val="en-IE"/>
        </w:rPr>
      </w:pPr>
      <w:r w:rsidRPr="00A36E36">
        <w:rPr>
          <w:rFonts w:ascii="Times New Roman" w:hAnsi="Times New Roman" w:cs="Times New Roman"/>
          <w:noProof/>
          <w:lang w:val="en-IE"/>
        </w:rPr>
        <w:t>The investment consists in activating and aggregating primary care services as well as implementing (energy efficient) assistance delivery centres for an integrated response to care needs.</w:t>
      </w:r>
    </w:p>
    <w:p w14:paraId="4311DC9D" w14:textId="77777777" w:rsidR="0039681A" w:rsidRPr="00A36E36" w:rsidRDefault="0039681A" w:rsidP="00351087">
      <w:pPr>
        <w:spacing w:before="120" w:after="120"/>
        <w:jc w:val="both"/>
        <w:rPr>
          <w:rFonts w:ascii="Times New Roman" w:eastAsia="Calibri" w:hAnsi="Times New Roman" w:cs="Times New Roman"/>
          <w:b/>
          <w:bCs/>
          <w:noProof/>
          <w:lang w:val="en-IE"/>
        </w:rPr>
      </w:pPr>
      <w:r w:rsidRPr="00A36E36">
        <w:rPr>
          <w:rFonts w:ascii="Times New Roman" w:hAnsi="Times New Roman" w:cs="Times New Roman"/>
          <w:b/>
          <w:noProof/>
          <w:lang w:val="en-IE"/>
        </w:rPr>
        <w:t>Investment 1.2: Home as the first place of care and telemedicine</w:t>
      </w:r>
    </w:p>
    <w:p w14:paraId="1F4947A2"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measure is to boost home care and the large-scale adoption of telemedicine solutions and supporting healthcare innovation. </w:t>
      </w:r>
    </w:p>
    <w:p w14:paraId="594DC819"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 consists of hardware and increased service provision, the establishment of Territorial Coordination Centres (“Centrali Operative Territoriali”), financing projects for diagnostics and monitoring, creating a national platform for screening telemedicine projects, and ad-hoc research initiatives on digital health and care technologies.</w:t>
      </w:r>
    </w:p>
    <w:p w14:paraId="18025468" w14:textId="77777777" w:rsidR="0039681A" w:rsidRPr="00A36E36" w:rsidRDefault="0039681A" w:rsidP="00351087">
      <w:pPr>
        <w:spacing w:before="120" w:after="120"/>
        <w:jc w:val="both"/>
        <w:rPr>
          <w:rFonts w:ascii="Times New Roman" w:eastAsia="Calibri" w:hAnsi="Times New Roman" w:cs="Times New Roman"/>
          <w:noProof/>
          <w:lang w:val="en-IE"/>
        </w:rPr>
      </w:pPr>
      <w:r w:rsidRPr="00A36E36">
        <w:rPr>
          <w:rFonts w:ascii="Times New Roman" w:hAnsi="Times New Roman" w:cs="Times New Roman"/>
          <w:b/>
          <w:noProof/>
          <w:lang w:val="en-IE"/>
        </w:rPr>
        <w:t>Investment 1.3: Strengthening Intermediate Healthcare and its facilities (Community Hospitals)</w:t>
      </w:r>
    </w:p>
    <w:p w14:paraId="2C6CCDC8"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measure is to increase the number of intermediate healthcare facilities.</w:t>
      </w:r>
    </w:p>
    <w:p w14:paraId="651F4DBE" w14:textId="569A1776"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investment consist in </w:t>
      </w:r>
      <w:r>
        <w:rPr>
          <w:rFonts w:ascii="Times New Roman" w:hAnsi="Times New Roman" w:cs="Times New Roman"/>
          <w:noProof/>
          <w:lang w:val="en-IE"/>
        </w:rPr>
        <w:t>activating care services in</w:t>
      </w:r>
      <w:r w:rsidRPr="00A36E36">
        <w:rPr>
          <w:rFonts w:ascii="Times New Roman" w:hAnsi="Times New Roman" w:cs="Times New Roman"/>
          <w:noProof/>
          <w:lang w:val="en-IE"/>
        </w:rPr>
        <w:t xml:space="preserve"> community hospitals, healthcare facilities for patients who, following an episode of minor acuity or the relapse of chronic pathologies, require low-intensity and short-term clinical interventions.</w:t>
      </w:r>
    </w:p>
    <w:p w14:paraId="7CF654ED" w14:textId="77777777" w:rsidR="0039681A" w:rsidRPr="00A36E36" w:rsidRDefault="0039681A" w:rsidP="00351087">
      <w:pPr>
        <w:spacing w:before="120" w:after="120"/>
        <w:jc w:val="both"/>
        <w:rPr>
          <w:rFonts w:ascii="Times New Roman" w:hAnsi="Times New Roman" w:cs="Times New Roman"/>
          <w:noProof/>
          <w:lang w:val="en-IE"/>
        </w:rPr>
      </w:pPr>
    </w:p>
    <w:p w14:paraId="1124FF50" w14:textId="77777777" w:rsidR="0039681A" w:rsidRPr="00A36E36" w:rsidRDefault="0039681A" w:rsidP="00351087">
      <w:pPr>
        <w:spacing w:before="120" w:after="120"/>
        <w:jc w:val="both"/>
        <w:rPr>
          <w:rFonts w:ascii="Times New Roman" w:hAnsi="Times New Roman" w:cs="Times New Roman"/>
          <w:noProof/>
          <w:lang w:val="en-IE"/>
        </w:rPr>
        <w:sectPr w:rsidR="0039681A" w:rsidRPr="00A36E36" w:rsidSect="0039681A">
          <w:headerReference w:type="even" r:id="rId229"/>
          <w:headerReference w:type="default" r:id="rId230"/>
          <w:footerReference w:type="default" r:id="rId231"/>
          <w:headerReference w:type="first" r:id="rId232"/>
          <w:pgSz w:w="11906" w:h="16838"/>
          <w:pgMar w:top="1440" w:right="1440" w:bottom="1440" w:left="1440" w:header="708" w:footer="708" w:gutter="0"/>
          <w:cols w:space="708"/>
          <w:docGrid w:linePitch="360"/>
        </w:sectPr>
      </w:pPr>
    </w:p>
    <w:p w14:paraId="5363533D"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O.4.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tbl>
      <w:tblPr>
        <w:tblW w:w="1511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5"/>
        <w:gridCol w:w="12"/>
        <w:gridCol w:w="1689"/>
        <w:gridCol w:w="12"/>
        <w:gridCol w:w="1122"/>
        <w:gridCol w:w="12"/>
        <w:gridCol w:w="1405"/>
        <w:gridCol w:w="12"/>
        <w:gridCol w:w="1351"/>
        <w:gridCol w:w="12"/>
        <w:gridCol w:w="936"/>
        <w:gridCol w:w="12"/>
        <w:gridCol w:w="938"/>
        <w:gridCol w:w="12"/>
        <w:gridCol w:w="980"/>
        <w:gridCol w:w="12"/>
        <w:gridCol w:w="980"/>
        <w:gridCol w:w="12"/>
        <w:gridCol w:w="697"/>
        <w:gridCol w:w="12"/>
        <w:gridCol w:w="3622"/>
        <w:gridCol w:w="12"/>
      </w:tblGrid>
      <w:tr w:rsidR="0039681A" w:rsidRPr="0070054C" w14:paraId="7BCF2869" w14:textId="77777777">
        <w:trPr>
          <w:gridAfter w:val="1"/>
          <w:wAfter w:w="12" w:type="dxa"/>
          <w:trHeight w:val="945"/>
          <w:tblHeader/>
        </w:trPr>
        <w:tc>
          <w:tcPr>
            <w:tcW w:w="1265" w:type="dxa"/>
            <w:vMerge w:val="restart"/>
            <w:shd w:val="clear" w:color="auto" w:fill="BDD7EE"/>
            <w:vAlign w:val="center"/>
          </w:tcPr>
          <w:p w14:paraId="705A5EA9"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Sequential Number</w:t>
            </w:r>
          </w:p>
        </w:tc>
        <w:tc>
          <w:tcPr>
            <w:tcW w:w="1701" w:type="dxa"/>
            <w:gridSpan w:val="2"/>
            <w:vMerge w:val="restart"/>
            <w:shd w:val="clear" w:color="auto" w:fill="BDD7EE"/>
            <w:vAlign w:val="center"/>
          </w:tcPr>
          <w:p w14:paraId="55EE6C7C"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134" w:type="dxa"/>
            <w:gridSpan w:val="2"/>
            <w:vMerge w:val="restart"/>
            <w:shd w:val="clear" w:color="auto" w:fill="BDD7EE"/>
            <w:vAlign w:val="center"/>
          </w:tcPr>
          <w:p w14:paraId="36C4AAE3"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Milestone / Target</w:t>
            </w:r>
          </w:p>
        </w:tc>
        <w:tc>
          <w:tcPr>
            <w:tcW w:w="1417" w:type="dxa"/>
            <w:gridSpan w:val="2"/>
            <w:vMerge w:val="restart"/>
            <w:shd w:val="clear" w:color="auto" w:fill="BDD7EE"/>
            <w:vAlign w:val="center"/>
          </w:tcPr>
          <w:p w14:paraId="31DC9823"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Name</w:t>
            </w:r>
          </w:p>
        </w:tc>
        <w:tc>
          <w:tcPr>
            <w:tcW w:w="1363" w:type="dxa"/>
            <w:gridSpan w:val="2"/>
            <w:vMerge w:val="restart"/>
            <w:shd w:val="clear" w:color="auto" w:fill="BDD7EE"/>
            <w:vAlign w:val="center"/>
          </w:tcPr>
          <w:p w14:paraId="76C5501A"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2890" w:type="dxa"/>
            <w:gridSpan w:val="6"/>
            <w:shd w:val="clear" w:color="auto" w:fill="BDD7EE"/>
            <w:vAlign w:val="center"/>
          </w:tcPr>
          <w:p w14:paraId="0A9EEA0A"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701" w:type="dxa"/>
            <w:gridSpan w:val="4"/>
            <w:shd w:val="clear" w:color="auto" w:fill="BDD7EE"/>
            <w:vAlign w:val="center"/>
          </w:tcPr>
          <w:p w14:paraId="0D852707" w14:textId="77777777" w:rsidR="0039681A" w:rsidRPr="00647572" w:rsidRDefault="0039681A">
            <w:pPr>
              <w:jc w:val="center"/>
              <w:rPr>
                <w:rFonts w:ascii="Arial Narrow" w:hAnsi="Arial Narrow"/>
                <w:b/>
                <w:noProof/>
                <w:sz w:val="20"/>
                <w:szCs w:val="20"/>
              </w:rPr>
            </w:pPr>
            <w:r w:rsidRPr="00647572">
              <w:rPr>
                <w:rFonts w:ascii="Arial Narrow" w:hAnsi="Arial Narrow"/>
                <w:b/>
                <w:noProof/>
                <w:sz w:val="20"/>
              </w:rPr>
              <w:t>Indicative timeline for completion</w:t>
            </w:r>
          </w:p>
        </w:tc>
        <w:tc>
          <w:tcPr>
            <w:tcW w:w="3634" w:type="dxa"/>
            <w:gridSpan w:val="2"/>
            <w:vMerge w:val="restart"/>
            <w:shd w:val="clear" w:color="auto" w:fill="BDD7EE"/>
            <w:vAlign w:val="center"/>
          </w:tcPr>
          <w:p w14:paraId="4836DD28" w14:textId="77777777" w:rsidR="0039681A" w:rsidRPr="00A36E36" w:rsidRDefault="0039681A">
            <w:pPr>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416CB498" w14:textId="77777777">
        <w:trPr>
          <w:gridAfter w:val="1"/>
          <w:wAfter w:w="12" w:type="dxa"/>
          <w:trHeight w:val="737"/>
          <w:tblHeader/>
        </w:trPr>
        <w:tc>
          <w:tcPr>
            <w:tcW w:w="1265" w:type="dxa"/>
            <w:vMerge/>
            <w:vAlign w:val="center"/>
          </w:tcPr>
          <w:p w14:paraId="554E3F07" w14:textId="77777777" w:rsidR="0039681A" w:rsidRPr="00A36E36" w:rsidRDefault="0039681A">
            <w:pPr>
              <w:jc w:val="center"/>
              <w:rPr>
                <w:rFonts w:ascii="Arial Narrow" w:hAnsi="Arial Narrow"/>
                <w:noProof/>
                <w:sz w:val="20"/>
                <w:szCs w:val="20"/>
                <w:lang w:val="en-IE"/>
              </w:rPr>
            </w:pPr>
          </w:p>
        </w:tc>
        <w:tc>
          <w:tcPr>
            <w:tcW w:w="1701" w:type="dxa"/>
            <w:gridSpan w:val="2"/>
            <w:vMerge/>
            <w:vAlign w:val="center"/>
          </w:tcPr>
          <w:p w14:paraId="35D4C530" w14:textId="77777777" w:rsidR="0039681A" w:rsidRPr="00A36E36" w:rsidRDefault="0039681A">
            <w:pPr>
              <w:jc w:val="center"/>
              <w:rPr>
                <w:rFonts w:ascii="Arial Narrow" w:hAnsi="Arial Narrow"/>
                <w:noProof/>
                <w:sz w:val="20"/>
                <w:szCs w:val="20"/>
                <w:lang w:val="en-IE"/>
              </w:rPr>
            </w:pPr>
          </w:p>
        </w:tc>
        <w:tc>
          <w:tcPr>
            <w:tcW w:w="1134" w:type="dxa"/>
            <w:gridSpan w:val="2"/>
            <w:vMerge/>
            <w:vAlign w:val="center"/>
          </w:tcPr>
          <w:p w14:paraId="3E9D8D84" w14:textId="77777777" w:rsidR="0039681A" w:rsidRPr="00A36E36" w:rsidRDefault="0039681A">
            <w:pPr>
              <w:jc w:val="center"/>
              <w:rPr>
                <w:rFonts w:ascii="Arial Narrow" w:hAnsi="Arial Narrow"/>
                <w:noProof/>
                <w:sz w:val="20"/>
                <w:szCs w:val="20"/>
                <w:lang w:val="en-IE"/>
              </w:rPr>
            </w:pPr>
          </w:p>
        </w:tc>
        <w:tc>
          <w:tcPr>
            <w:tcW w:w="1417" w:type="dxa"/>
            <w:gridSpan w:val="2"/>
            <w:vMerge/>
            <w:vAlign w:val="center"/>
          </w:tcPr>
          <w:p w14:paraId="3D4ADAF1" w14:textId="77777777" w:rsidR="0039681A" w:rsidRPr="00A36E36" w:rsidRDefault="0039681A">
            <w:pPr>
              <w:jc w:val="center"/>
              <w:rPr>
                <w:rFonts w:ascii="Arial Narrow" w:hAnsi="Arial Narrow"/>
                <w:noProof/>
                <w:sz w:val="20"/>
                <w:szCs w:val="20"/>
                <w:lang w:val="en-IE"/>
              </w:rPr>
            </w:pPr>
          </w:p>
        </w:tc>
        <w:tc>
          <w:tcPr>
            <w:tcW w:w="1363" w:type="dxa"/>
            <w:gridSpan w:val="2"/>
            <w:vMerge/>
            <w:vAlign w:val="center"/>
          </w:tcPr>
          <w:p w14:paraId="7BBE2F28" w14:textId="77777777" w:rsidR="0039681A" w:rsidRPr="00A36E36" w:rsidRDefault="0039681A">
            <w:pPr>
              <w:jc w:val="center"/>
              <w:rPr>
                <w:rFonts w:ascii="Arial Narrow" w:hAnsi="Arial Narrow"/>
                <w:noProof/>
                <w:sz w:val="20"/>
                <w:szCs w:val="20"/>
                <w:lang w:val="en-IE"/>
              </w:rPr>
            </w:pPr>
          </w:p>
        </w:tc>
        <w:tc>
          <w:tcPr>
            <w:tcW w:w="948" w:type="dxa"/>
            <w:gridSpan w:val="2"/>
            <w:shd w:val="clear" w:color="auto" w:fill="BDD7EE"/>
            <w:vAlign w:val="center"/>
          </w:tcPr>
          <w:p w14:paraId="4A24090B" w14:textId="77777777" w:rsidR="0039681A" w:rsidRPr="00647572" w:rsidRDefault="0039681A">
            <w:pPr>
              <w:jc w:val="center"/>
              <w:rPr>
                <w:rFonts w:ascii="Arial Narrow" w:hAnsi="Arial Narrow"/>
                <w:b/>
                <w:bCs/>
                <w:noProof/>
                <w:sz w:val="20"/>
                <w:szCs w:val="20"/>
              </w:rPr>
            </w:pPr>
            <w:r w:rsidRPr="00647572">
              <w:rPr>
                <w:rFonts w:ascii="Arial Narrow" w:hAnsi="Arial Narrow"/>
                <w:b/>
                <w:noProof/>
                <w:sz w:val="20"/>
              </w:rPr>
              <w:t>Unit of measure</w:t>
            </w:r>
          </w:p>
        </w:tc>
        <w:tc>
          <w:tcPr>
            <w:tcW w:w="950" w:type="dxa"/>
            <w:gridSpan w:val="2"/>
            <w:shd w:val="clear" w:color="auto" w:fill="BDD7EE"/>
            <w:vAlign w:val="center"/>
          </w:tcPr>
          <w:p w14:paraId="637BBA0B" w14:textId="77777777" w:rsidR="0039681A" w:rsidRPr="00647572" w:rsidRDefault="0039681A">
            <w:pPr>
              <w:jc w:val="center"/>
              <w:rPr>
                <w:rFonts w:ascii="Arial Narrow" w:hAnsi="Arial Narrow"/>
                <w:b/>
                <w:bCs/>
                <w:noProof/>
                <w:sz w:val="20"/>
                <w:szCs w:val="20"/>
              </w:rPr>
            </w:pPr>
            <w:r w:rsidRPr="00647572">
              <w:rPr>
                <w:rFonts w:ascii="Arial Narrow" w:hAnsi="Arial Narrow"/>
                <w:b/>
                <w:noProof/>
                <w:sz w:val="20"/>
              </w:rPr>
              <w:t>Baseline</w:t>
            </w:r>
          </w:p>
        </w:tc>
        <w:tc>
          <w:tcPr>
            <w:tcW w:w="992" w:type="dxa"/>
            <w:gridSpan w:val="2"/>
            <w:shd w:val="clear" w:color="auto" w:fill="BDD7EE"/>
            <w:vAlign w:val="center"/>
          </w:tcPr>
          <w:p w14:paraId="1C9D2A0A" w14:textId="77777777" w:rsidR="0039681A" w:rsidRPr="00647572" w:rsidRDefault="0039681A">
            <w:pPr>
              <w:jc w:val="center"/>
              <w:rPr>
                <w:rFonts w:ascii="Arial Narrow" w:hAnsi="Arial Narrow"/>
                <w:b/>
                <w:bCs/>
                <w:noProof/>
                <w:sz w:val="20"/>
                <w:szCs w:val="20"/>
              </w:rPr>
            </w:pPr>
            <w:r w:rsidRPr="00647572">
              <w:rPr>
                <w:rFonts w:ascii="Arial Narrow" w:hAnsi="Arial Narrow"/>
                <w:b/>
                <w:noProof/>
                <w:sz w:val="20"/>
              </w:rPr>
              <w:t>Goal</w:t>
            </w:r>
          </w:p>
        </w:tc>
        <w:tc>
          <w:tcPr>
            <w:tcW w:w="992" w:type="dxa"/>
            <w:gridSpan w:val="2"/>
            <w:shd w:val="clear" w:color="auto" w:fill="BDD7EE"/>
            <w:vAlign w:val="center"/>
          </w:tcPr>
          <w:p w14:paraId="546286A4" w14:textId="77777777" w:rsidR="0039681A" w:rsidRPr="00647572" w:rsidRDefault="0039681A">
            <w:pPr>
              <w:jc w:val="center"/>
              <w:rPr>
                <w:rFonts w:ascii="Arial Narrow" w:hAnsi="Arial Narrow"/>
                <w:b/>
                <w:bCs/>
                <w:noProof/>
                <w:sz w:val="20"/>
                <w:szCs w:val="20"/>
              </w:rPr>
            </w:pPr>
            <w:r w:rsidRPr="00647572">
              <w:rPr>
                <w:rFonts w:ascii="Arial Narrow" w:hAnsi="Arial Narrow"/>
                <w:b/>
                <w:noProof/>
                <w:sz w:val="20"/>
              </w:rPr>
              <w:t>Quarter</w:t>
            </w:r>
          </w:p>
        </w:tc>
        <w:tc>
          <w:tcPr>
            <w:tcW w:w="709" w:type="dxa"/>
            <w:gridSpan w:val="2"/>
            <w:shd w:val="clear" w:color="auto" w:fill="BDD7EE"/>
            <w:vAlign w:val="center"/>
          </w:tcPr>
          <w:p w14:paraId="62D42694" w14:textId="77777777" w:rsidR="0039681A" w:rsidRPr="00647572" w:rsidRDefault="0039681A">
            <w:pPr>
              <w:jc w:val="center"/>
              <w:rPr>
                <w:rFonts w:ascii="Arial Narrow" w:hAnsi="Arial Narrow"/>
                <w:b/>
                <w:bCs/>
                <w:noProof/>
                <w:sz w:val="20"/>
                <w:szCs w:val="20"/>
              </w:rPr>
            </w:pPr>
            <w:r w:rsidRPr="00647572">
              <w:rPr>
                <w:rFonts w:ascii="Arial Narrow" w:hAnsi="Arial Narrow"/>
                <w:b/>
                <w:noProof/>
                <w:sz w:val="20"/>
              </w:rPr>
              <w:t>Year</w:t>
            </w:r>
          </w:p>
        </w:tc>
        <w:tc>
          <w:tcPr>
            <w:tcW w:w="3634" w:type="dxa"/>
            <w:gridSpan w:val="2"/>
            <w:vMerge/>
            <w:vAlign w:val="center"/>
          </w:tcPr>
          <w:p w14:paraId="7FD8F645" w14:textId="77777777" w:rsidR="0039681A" w:rsidRPr="00647572" w:rsidRDefault="0039681A">
            <w:pPr>
              <w:rPr>
                <w:rFonts w:ascii="Arial Narrow" w:hAnsi="Arial Narrow"/>
                <w:noProof/>
                <w:sz w:val="20"/>
                <w:szCs w:val="20"/>
              </w:rPr>
            </w:pPr>
          </w:p>
        </w:tc>
      </w:tr>
      <w:tr w:rsidR="0039681A" w:rsidRPr="0070054C" w14:paraId="0F7E48B7" w14:textId="77777777">
        <w:trPr>
          <w:trHeight w:val="315"/>
        </w:trPr>
        <w:tc>
          <w:tcPr>
            <w:tcW w:w="1277" w:type="dxa"/>
            <w:gridSpan w:val="2"/>
            <w:shd w:val="clear" w:color="auto" w:fill="C6EFCE"/>
            <w:vAlign w:val="center"/>
          </w:tcPr>
          <w:p w14:paraId="02590B0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M6C1-1</w:t>
            </w:r>
          </w:p>
        </w:tc>
        <w:tc>
          <w:tcPr>
            <w:tcW w:w="1701" w:type="dxa"/>
            <w:gridSpan w:val="2"/>
            <w:shd w:val="clear" w:color="auto" w:fill="C6EFCE"/>
            <w:vAlign w:val="center"/>
          </w:tcPr>
          <w:p w14:paraId="2D09D7C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Definition of a new organisational model for Territorial healthcare assistance network</w:t>
            </w:r>
          </w:p>
        </w:tc>
        <w:tc>
          <w:tcPr>
            <w:tcW w:w="1134" w:type="dxa"/>
            <w:gridSpan w:val="2"/>
            <w:shd w:val="clear" w:color="auto" w:fill="C6EFCE"/>
            <w:vAlign w:val="center"/>
          </w:tcPr>
          <w:p w14:paraId="6DA7AFE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gridSpan w:val="2"/>
            <w:shd w:val="clear" w:color="auto" w:fill="C6EFCE"/>
            <w:vAlign w:val="center"/>
          </w:tcPr>
          <w:p w14:paraId="5514341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secondary legislation (Ministerial Decree) envisaging the reform of the organisation of healthcare.</w:t>
            </w:r>
          </w:p>
        </w:tc>
        <w:tc>
          <w:tcPr>
            <w:tcW w:w="1363" w:type="dxa"/>
            <w:gridSpan w:val="2"/>
            <w:shd w:val="clear" w:color="auto" w:fill="C6EFCE"/>
            <w:vAlign w:val="center"/>
          </w:tcPr>
          <w:p w14:paraId="03203ED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Provision in the law indicating the entry into force of the legislation l </w:t>
            </w:r>
          </w:p>
        </w:tc>
        <w:tc>
          <w:tcPr>
            <w:tcW w:w="948" w:type="dxa"/>
            <w:gridSpan w:val="2"/>
            <w:shd w:val="clear" w:color="auto" w:fill="C6EFCE"/>
            <w:vAlign w:val="center"/>
          </w:tcPr>
          <w:p w14:paraId="07176CB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0" w:type="dxa"/>
            <w:gridSpan w:val="2"/>
            <w:shd w:val="clear" w:color="auto" w:fill="C6EFCE"/>
            <w:vAlign w:val="center"/>
          </w:tcPr>
          <w:p w14:paraId="28B25B3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5D61EFF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113F9AA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501CD89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34" w:type="dxa"/>
            <w:gridSpan w:val="2"/>
            <w:shd w:val="clear" w:color="auto" w:fill="C6EFCE"/>
            <w:vAlign w:val="center"/>
          </w:tcPr>
          <w:p w14:paraId="7DAD6C6B"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secondary legislation (Ministerial Decree) providing for:</w:t>
            </w:r>
          </w:p>
          <w:p w14:paraId="01255018"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Definition of a new organizational model of the territorial healthcare assistance network, through the definition of a regulatory framework which identifies structural, technological and organizational standards across regions; definition of a new institutional structure of Health-Environment-Climate prevention, according to the "One-Health" approach.</w:t>
            </w:r>
          </w:p>
        </w:tc>
      </w:tr>
      <w:tr w:rsidR="0039681A" w:rsidRPr="0070054C" w14:paraId="5BA6E13F" w14:textId="77777777">
        <w:trPr>
          <w:trHeight w:val="315"/>
        </w:trPr>
        <w:tc>
          <w:tcPr>
            <w:tcW w:w="1277" w:type="dxa"/>
            <w:gridSpan w:val="2"/>
            <w:shd w:val="clear" w:color="auto" w:fill="C6EFCE"/>
            <w:vAlign w:val="center"/>
          </w:tcPr>
          <w:p w14:paraId="7AB85D7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M6C1-2</w:t>
            </w:r>
          </w:p>
        </w:tc>
        <w:tc>
          <w:tcPr>
            <w:tcW w:w="1701" w:type="dxa"/>
            <w:gridSpan w:val="2"/>
            <w:shd w:val="clear" w:color="auto" w:fill="C6EFCE"/>
            <w:vAlign w:val="center"/>
          </w:tcPr>
          <w:p w14:paraId="0DE65A1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1.1: Community Health Houses to improve territorial health assistance</w:t>
            </w:r>
          </w:p>
        </w:tc>
        <w:tc>
          <w:tcPr>
            <w:tcW w:w="1134" w:type="dxa"/>
            <w:gridSpan w:val="2"/>
            <w:shd w:val="clear" w:color="auto" w:fill="C6EFCE"/>
            <w:vAlign w:val="center"/>
          </w:tcPr>
          <w:p w14:paraId="5919E01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gridSpan w:val="2"/>
            <w:shd w:val="clear" w:color="auto" w:fill="C6EFCE"/>
            <w:vAlign w:val="center"/>
          </w:tcPr>
          <w:p w14:paraId="50B7C39A"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Approval of an Institutional Development Contract </w:t>
            </w:r>
          </w:p>
        </w:tc>
        <w:tc>
          <w:tcPr>
            <w:tcW w:w="1363" w:type="dxa"/>
            <w:gridSpan w:val="2"/>
            <w:shd w:val="clear" w:color="auto" w:fill="C6EFCE"/>
            <w:vAlign w:val="center"/>
          </w:tcPr>
          <w:p w14:paraId="34D7C99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approval by Ministry of Health and regions</w:t>
            </w:r>
          </w:p>
        </w:tc>
        <w:tc>
          <w:tcPr>
            <w:tcW w:w="948" w:type="dxa"/>
            <w:gridSpan w:val="2"/>
            <w:shd w:val="clear" w:color="auto" w:fill="C6EFCE"/>
            <w:vAlign w:val="center"/>
          </w:tcPr>
          <w:p w14:paraId="555D1C6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0" w:type="dxa"/>
            <w:gridSpan w:val="2"/>
            <w:shd w:val="clear" w:color="auto" w:fill="C6EFCE"/>
            <w:vAlign w:val="center"/>
          </w:tcPr>
          <w:p w14:paraId="7017ECB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60E0288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127EAD6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20CF791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34" w:type="dxa"/>
            <w:gridSpan w:val="2"/>
            <w:shd w:val="clear" w:color="auto" w:fill="C6EFCE"/>
            <w:vAlign w:val="center"/>
          </w:tcPr>
          <w:p w14:paraId="526599C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Approval of an Institutional Development Contract (Contratto Istituzionale di Sviluppo), with the Italian Ministry of Health as the responsible and implementing Authority and the participation of regional Administrations together with the other entities concerned for Community health houses:</w:t>
            </w:r>
          </w:p>
          <w:p w14:paraId="1EC893F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The Institutional Development Contract is a governance tool that shall list all the suitable parties identified for the implementation of the Community Health House to Improve territorial health assistance. The contract shall also identify obligations that each Italian region will assume to guarantee the achievement of the expected results concerning Community Health House. </w:t>
            </w:r>
          </w:p>
          <w:p w14:paraId="0FE191E6"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 xml:space="preserve"> The contract aimed at supporting territorial cohesion, development and economic growth, and at accelerating the implementation of complex interventions. The Institutional Development Contract is particularly useful for major projects or investments articulated in individual interventions functionally connected to each other, which require an integrated approach and the use of European investment structural funds and national funds also included in plans and operational programmes funded from national and European resources.</w:t>
            </w:r>
          </w:p>
        </w:tc>
      </w:tr>
      <w:tr w:rsidR="0039681A" w:rsidRPr="0070054C" w14:paraId="7D380B5C" w14:textId="77777777">
        <w:trPr>
          <w:trHeight w:val="315"/>
        </w:trPr>
        <w:tc>
          <w:tcPr>
            <w:tcW w:w="1277" w:type="dxa"/>
            <w:gridSpan w:val="2"/>
            <w:shd w:val="clear" w:color="auto" w:fill="C6EFCE"/>
            <w:vAlign w:val="center"/>
          </w:tcPr>
          <w:p w14:paraId="2C1C0CA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M6C1-3</w:t>
            </w:r>
          </w:p>
        </w:tc>
        <w:tc>
          <w:tcPr>
            <w:tcW w:w="1701" w:type="dxa"/>
            <w:gridSpan w:val="2"/>
            <w:shd w:val="clear" w:color="auto" w:fill="C6EFCE"/>
            <w:vAlign w:val="center"/>
          </w:tcPr>
          <w:p w14:paraId="4B1EF3B5" w14:textId="77777777" w:rsidR="0039681A" w:rsidRPr="00A36E36" w:rsidRDefault="0039681A">
            <w:pPr>
              <w:jc w:val="center"/>
              <w:rPr>
                <w:rFonts w:ascii="Arial Narrow" w:hAnsi="Arial Narrow"/>
                <w:noProof/>
                <w:color w:val="006100"/>
                <w:sz w:val="20"/>
                <w:szCs w:val="20"/>
                <w:lang w:val="en-IE"/>
              </w:rPr>
            </w:pPr>
            <w:bookmarkStart w:id="23" w:name="_Hlk160472482"/>
            <w:r w:rsidRPr="00A36E36">
              <w:rPr>
                <w:rFonts w:ascii="Arial Narrow" w:hAnsi="Arial Narrow"/>
                <w:noProof/>
                <w:color w:val="006100"/>
                <w:sz w:val="20"/>
                <w:lang w:val="en-IE"/>
              </w:rPr>
              <w:t>Investment 1.1: Community Health Houses to improve territorial health assistance</w:t>
            </w:r>
            <w:bookmarkEnd w:id="23"/>
          </w:p>
        </w:tc>
        <w:tc>
          <w:tcPr>
            <w:tcW w:w="1134" w:type="dxa"/>
            <w:gridSpan w:val="2"/>
            <w:shd w:val="clear" w:color="auto" w:fill="C6EFCE"/>
            <w:vAlign w:val="center"/>
          </w:tcPr>
          <w:p w14:paraId="7D783CB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gridSpan w:val="2"/>
            <w:shd w:val="clear" w:color="auto" w:fill="C6EFCE"/>
            <w:vAlign w:val="center"/>
          </w:tcPr>
          <w:p w14:paraId="08BD5F9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Community Health Houses’ services are activated </w:t>
            </w:r>
          </w:p>
        </w:tc>
        <w:tc>
          <w:tcPr>
            <w:tcW w:w="1363" w:type="dxa"/>
            <w:gridSpan w:val="2"/>
            <w:shd w:val="clear" w:color="auto" w:fill="C6EFCE"/>
            <w:vAlign w:val="center"/>
          </w:tcPr>
          <w:p w14:paraId="6409FA0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8" w:type="dxa"/>
            <w:gridSpan w:val="2"/>
            <w:shd w:val="clear" w:color="auto" w:fill="C6EFCE"/>
            <w:vAlign w:val="center"/>
          </w:tcPr>
          <w:p w14:paraId="6DCAB3C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50" w:type="dxa"/>
            <w:gridSpan w:val="2"/>
            <w:shd w:val="clear" w:color="auto" w:fill="C6EFCE"/>
            <w:vAlign w:val="center"/>
          </w:tcPr>
          <w:p w14:paraId="145F476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gridSpan w:val="2"/>
            <w:shd w:val="clear" w:color="auto" w:fill="C6EFCE"/>
            <w:vAlign w:val="center"/>
          </w:tcPr>
          <w:p w14:paraId="26426B1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1 038</w:t>
            </w:r>
          </w:p>
        </w:tc>
        <w:tc>
          <w:tcPr>
            <w:tcW w:w="992" w:type="dxa"/>
            <w:gridSpan w:val="2"/>
            <w:shd w:val="clear" w:color="auto" w:fill="C6EFCE"/>
            <w:vAlign w:val="center"/>
          </w:tcPr>
          <w:p w14:paraId="5D125DA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24A0319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634" w:type="dxa"/>
            <w:gridSpan w:val="2"/>
            <w:shd w:val="clear" w:color="auto" w:fill="C6EFCE"/>
            <w:vAlign w:val="center"/>
          </w:tcPr>
          <w:p w14:paraId="309AC70B"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Independent expert reports confirming the activation of services, according to the standards defined by the mandatory items of Table 4 in Annex 1 Section 5 of DM 23 May 2022 n.77 in at least 1038 Community Health Houses.</w:t>
            </w:r>
          </w:p>
          <w:p w14:paraId="3CD2C764" w14:textId="7082F7A2"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At least </w:t>
            </w:r>
            <w:r>
              <w:rPr>
                <w:rFonts w:ascii="Arial Narrow" w:hAnsi="Arial Narrow"/>
                <w:noProof/>
                <w:color w:val="006100"/>
                <w:sz w:val="20"/>
                <w:szCs w:val="20"/>
                <w:lang w:val="en-IE"/>
              </w:rPr>
              <w:t>4</w:t>
            </w:r>
            <w:r w:rsidRPr="00A36E36">
              <w:rPr>
                <w:rFonts w:ascii="Arial Narrow" w:hAnsi="Arial Narrow"/>
                <w:noProof/>
                <w:color w:val="006100"/>
                <w:sz w:val="20"/>
                <w:szCs w:val="20"/>
                <w:lang w:val="en-IE"/>
              </w:rPr>
              <w:t>0% of the RRF support to the investment cost shall be dedicated to the construction of new buildings (Intervention field 025 ter) compliant with the requirements of footnote 5 of Annex VI of the Regulation (EU) 2021/241 or to the energy-efficiency renovation of buildings (Intervention field 026) as certified by the independent expert.</w:t>
            </w:r>
          </w:p>
        </w:tc>
      </w:tr>
      <w:tr w:rsidR="0039681A" w:rsidRPr="0070054C" w14:paraId="76B49C35" w14:textId="77777777">
        <w:trPr>
          <w:trHeight w:val="315"/>
        </w:trPr>
        <w:tc>
          <w:tcPr>
            <w:tcW w:w="1277" w:type="dxa"/>
            <w:gridSpan w:val="2"/>
            <w:shd w:val="clear" w:color="auto" w:fill="C6EFCE"/>
          </w:tcPr>
          <w:p w14:paraId="6A18C5E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M6C1-4</w:t>
            </w:r>
          </w:p>
        </w:tc>
        <w:tc>
          <w:tcPr>
            <w:tcW w:w="1701" w:type="dxa"/>
            <w:gridSpan w:val="2"/>
            <w:shd w:val="clear" w:color="auto" w:fill="C6EFCE"/>
          </w:tcPr>
          <w:p w14:paraId="536DF88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Home as the first place of care and telemedicine</w:t>
            </w:r>
          </w:p>
        </w:tc>
        <w:tc>
          <w:tcPr>
            <w:tcW w:w="1134" w:type="dxa"/>
            <w:gridSpan w:val="2"/>
            <w:shd w:val="clear" w:color="auto" w:fill="C6EFCE"/>
          </w:tcPr>
          <w:p w14:paraId="3CE42E4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gridSpan w:val="2"/>
            <w:shd w:val="clear" w:color="auto" w:fill="C6EFCE"/>
          </w:tcPr>
          <w:p w14:paraId="18D14952"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Approval of the Guidelines containing the digital model for the implementation of Home Care</w:t>
            </w:r>
          </w:p>
        </w:tc>
        <w:tc>
          <w:tcPr>
            <w:tcW w:w="1363" w:type="dxa"/>
            <w:gridSpan w:val="2"/>
            <w:shd w:val="clear" w:color="auto" w:fill="C6EFCE"/>
          </w:tcPr>
          <w:p w14:paraId="2FF6803E"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Guidelines approved by Ministry of Health</w:t>
            </w:r>
          </w:p>
        </w:tc>
        <w:tc>
          <w:tcPr>
            <w:tcW w:w="948" w:type="dxa"/>
            <w:gridSpan w:val="2"/>
            <w:shd w:val="clear" w:color="auto" w:fill="C6EFCE"/>
          </w:tcPr>
          <w:p w14:paraId="1EA29FD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0" w:type="dxa"/>
            <w:gridSpan w:val="2"/>
            <w:shd w:val="clear" w:color="auto" w:fill="C6EFCE"/>
          </w:tcPr>
          <w:p w14:paraId="5FDBDD3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tcPr>
          <w:p w14:paraId="10C2717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tcPr>
          <w:p w14:paraId="0E874D4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tcPr>
          <w:p w14:paraId="77AB6F7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34" w:type="dxa"/>
            <w:gridSpan w:val="2"/>
            <w:shd w:val="clear" w:color="auto" w:fill="C6EFCE"/>
          </w:tcPr>
          <w:p w14:paraId="06E0BCB8" w14:textId="77777777" w:rsidR="0039681A" w:rsidRPr="00A36E36" w:rsidRDefault="0039681A" w:rsidP="00527590">
            <w:pPr>
              <w:rPr>
                <w:rFonts w:ascii="Arial Narrow" w:hAnsi="Arial Narrow"/>
                <w:noProof/>
                <w:color w:val="006100"/>
                <w:sz w:val="20"/>
                <w:szCs w:val="20"/>
                <w:lang w:val="en-IE"/>
              </w:rPr>
            </w:pPr>
            <w:r w:rsidRPr="00A36E36">
              <w:rPr>
                <w:rFonts w:ascii="Arial Narrow" w:hAnsi="Arial Narrow"/>
                <w:noProof/>
                <w:color w:val="006100"/>
                <w:sz w:val="20"/>
                <w:lang w:val="en-IE"/>
              </w:rPr>
              <w:t>The guidelines shall streamline the processes necessary to enhance home care through the development of remote monitoring techniques and home automation.</w:t>
            </w:r>
          </w:p>
        </w:tc>
      </w:tr>
      <w:tr w:rsidR="0039681A" w:rsidRPr="0070054C" w14:paraId="6A517736" w14:textId="77777777">
        <w:trPr>
          <w:trHeight w:val="315"/>
        </w:trPr>
        <w:tc>
          <w:tcPr>
            <w:tcW w:w="1277" w:type="dxa"/>
            <w:gridSpan w:val="2"/>
            <w:shd w:val="clear" w:color="auto" w:fill="C6EFCE"/>
            <w:vAlign w:val="center"/>
          </w:tcPr>
          <w:p w14:paraId="09D9946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M6C1-5</w:t>
            </w:r>
          </w:p>
        </w:tc>
        <w:tc>
          <w:tcPr>
            <w:tcW w:w="1701" w:type="dxa"/>
            <w:gridSpan w:val="2"/>
            <w:shd w:val="clear" w:color="auto" w:fill="C6EFCE"/>
            <w:vAlign w:val="center"/>
          </w:tcPr>
          <w:p w14:paraId="7B1E92F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Home as the first place of care and telemedicine</w:t>
            </w:r>
          </w:p>
        </w:tc>
        <w:tc>
          <w:tcPr>
            <w:tcW w:w="1134" w:type="dxa"/>
            <w:gridSpan w:val="2"/>
            <w:shd w:val="clear" w:color="auto" w:fill="C6EFCE"/>
            <w:vAlign w:val="center"/>
          </w:tcPr>
          <w:p w14:paraId="5EF941B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gridSpan w:val="2"/>
            <w:shd w:val="clear" w:color="auto" w:fill="C6EFCE"/>
            <w:vAlign w:val="center"/>
          </w:tcPr>
          <w:p w14:paraId="1B5AA249"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Institutional Development Contract approved by Ministry of Health and regions </w:t>
            </w:r>
          </w:p>
        </w:tc>
        <w:tc>
          <w:tcPr>
            <w:tcW w:w="1363" w:type="dxa"/>
            <w:gridSpan w:val="2"/>
            <w:shd w:val="clear" w:color="auto" w:fill="C6EFCE"/>
            <w:vAlign w:val="center"/>
          </w:tcPr>
          <w:p w14:paraId="7F1082B6"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approved contract</w:t>
            </w:r>
          </w:p>
        </w:tc>
        <w:tc>
          <w:tcPr>
            <w:tcW w:w="948" w:type="dxa"/>
            <w:gridSpan w:val="2"/>
            <w:shd w:val="clear" w:color="auto" w:fill="C6EFCE"/>
            <w:vAlign w:val="center"/>
          </w:tcPr>
          <w:p w14:paraId="3773892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0" w:type="dxa"/>
            <w:gridSpan w:val="2"/>
            <w:shd w:val="clear" w:color="auto" w:fill="C6EFCE"/>
            <w:vAlign w:val="center"/>
          </w:tcPr>
          <w:p w14:paraId="6661CC4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50E6863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36B82F0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52F0A56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34" w:type="dxa"/>
            <w:gridSpan w:val="2"/>
            <w:shd w:val="clear" w:color="auto" w:fill="C6EFCE"/>
            <w:vAlign w:val="center"/>
          </w:tcPr>
          <w:p w14:paraId="7505A73F"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Approval of an Institutional Development Contract (Contratto Istituzionale di Sviluppo), with the Italian Ministry of Health as the responsible and implementing Authority and the participation of regional Administrations together with the other entities concerned for Home Care.</w:t>
            </w:r>
          </w:p>
          <w:p w14:paraId="74EE0562"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Institutional Development Contract shall establish for each intervention or category of interventions, the time schedule, the responsibilities of the contractors, the evaluation and monitoring criteria and the sanctions for any non-compliance. It also defines the conditions of potential partial defunding of interventions or the allocation of the relevant resources to another level of government, in compliance with the principle of subsidiarity.</w:t>
            </w:r>
          </w:p>
        </w:tc>
      </w:tr>
      <w:tr w:rsidR="0039681A" w:rsidRPr="0070054C" w14:paraId="2A34107F" w14:textId="77777777">
        <w:trPr>
          <w:trHeight w:val="315"/>
        </w:trPr>
        <w:tc>
          <w:tcPr>
            <w:tcW w:w="1277" w:type="dxa"/>
            <w:gridSpan w:val="2"/>
            <w:shd w:val="clear" w:color="auto" w:fill="C6EFCE"/>
            <w:vAlign w:val="center"/>
          </w:tcPr>
          <w:p w14:paraId="5257412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M6C1-6</w:t>
            </w:r>
          </w:p>
        </w:tc>
        <w:tc>
          <w:tcPr>
            <w:tcW w:w="1701" w:type="dxa"/>
            <w:gridSpan w:val="2"/>
            <w:shd w:val="clear" w:color="auto" w:fill="C6EFCE"/>
            <w:vAlign w:val="center"/>
          </w:tcPr>
          <w:p w14:paraId="786AB27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Home as the first place of care and telemedicine</w:t>
            </w:r>
          </w:p>
        </w:tc>
        <w:tc>
          <w:tcPr>
            <w:tcW w:w="1134" w:type="dxa"/>
            <w:gridSpan w:val="2"/>
            <w:shd w:val="clear" w:color="auto" w:fill="C6EFCE"/>
            <w:vAlign w:val="center"/>
          </w:tcPr>
          <w:p w14:paraId="304DFF90" w14:textId="77777777" w:rsidR="0039681A" w:rsidRPr="00647572" w:rsidRDefault="0039681A">
            <w:pPr>
              <w:jc w:val="center"/>
              <w:rPr>
                <w:rFonts w:ascii="Arial Narrow" w:hAnsi="Arial Narrow"/>
                <w:noProof/>
                <w:color w:val="006100"/>
                <w:sz w:val="20"/>
                <w:szCs w:val="20"/>
              </w:rPr>
            </w:pPr>
            <w:r w:rsidRPr="00647572" w:rsidDel="11EE4039">
              <w:rPr>
                <w:rFonts w:ascii="Arial Narrow" w:hAnsi="Arial Narrow"/>
                <w:noProof/>
                <w:color w:val="006100"/>
                <w:sz w:val="20"/>
                <w:szCs w:val="20"/>
              </w:rPr>
              <w:t>Ta</w:t>
            </w:r>
            <w:r w:rsidRPr="00647572" w:rsidDel="48D38DB5">
              <w:rPr>
                <w:rFonts w:ascii="Arial Narrow" w:hAnsi="Arial Narrow"/>
                <w:noProof/>
                <w:color w:val="006100"/>
                <w:sz w:val="20"/>
                <w:szCs w:val="20"/>
              </w:rPr>
              <w:t>rget</w:t>
            </w:r>
          </w:p>
        </w:tc>
        <w:tc>
          <w:tcPr>
            <w:tcW w:w="1417" w:type="dxa"/>
            <w:gridSpan w:val="2"/>
            <w:shd w:val="clear" w:color="auto" w:fill="C6EFCE"/>
            <w:vAlign w:val="center"/>
          </w:tcPr>
          <w:p w14:paraId="3B51F9E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 xml:space="preserve">Home care treatment </w:t>
            </w:r>
          </w:p>
        </w:tc>
        <w:tc>
          <w:tcPr>
            <w:tcW w:w="1363" w:type="dxa"/>
            <w:gridSpan w:val="2"/>
            <w:shd w:val="clear" w:color="auto" w:fill="C6EFCE"/>
            <w:vAlign w:val="center"/>
          </w:tcPr>
          <w:p w14:paraId="52EDBEE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8" w:type="dxa"/>
            <w:gridSpan w:val="2"/>
            <w:shd w:val="clear" w:color="auto" w:fill="C6EFCE"/>
            <w:vAlign w:val="center"/>
          </w:tcPr>
          <w:p w14:paraId="05C2956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50" w:type="dxa"/>
            <w:gridSpan w:val="2"/>
            <w:shd w:val="clear" w:color="auto" w:fill="C6EFCE"/>
            <w:vAlign w:val="center"/>
          </w:tcPr>
          <w:p w14:paraId="14E9EA8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645</w:t>
            </w:r>
            <w:r w:rsidRPr="00647572">
              <w:rPr>
                <w:rFonts w:ascii="Arial Narrow" w:hAnsi="Arial Narrow"/>
                <w:noProof/>
                <w:color w:val="006100"/>
                <w:sz w:val="20"/>
                <w:szCs w:val="20"/>
              </w:rPr>
              <w:t> </w:t>
            </w:r>
            <w:r w:rsidRPr="00647572">
              <w:rPr>
                <w:rFonts w:ascii="Arial Narrow" w:hAnsi="Arial Narrow"/>
                <w:noProof/>
                <w:color w:val="006100"/>
                <w:sz w:val="20"/>
              </w:rPr>
              <w:t>590</w:t>
            </w:r>
          </w:p>
        </w:tc>
        <w:tc>
          <w:tcPr>
            <w:tcW w:w="992" w:type="dxa"/>
            <w:gridSpan w:val="2"/>
            <w:shd w:val="clear" w:color="auto" w:fill="C6EFCE"/>
            <w:vAlign w:val="center"/>
          </w:tcPr>
          <w:p w14:paraId="6CD6342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1</w:t>
            </w:r>
            <w:r w:rsidRPr="00647572">
              <w:rPr>
                <w:rFonts w:ascii="Arial Narrow" w:hAnsi="Arial Narrow"/>
                <w:noProof/>
                <w:color w:val="006100"/>
                <w:sz w:val="20"/>
                <w:szCs w:val="20"/>
              </w:rPr>
              <w:t> </w:t>
            </w:r>
            <w:r w:rsidRPr="00647572">
              <w:rPr>
                <w:rFonts w:ascii="Arial Narrow" w:hAnsi="Arial Narrow"/>
                <w:noProof/>
                <w:color w:val="006100"/>
                <w:sz w:val="20"/>
              </w:rPr>
              <w:t>487</w:t>
            </w:r>
            <w:r w:rsidRPr="00647572">
              <w:rPr>
                <w:rFonts w:ascii="Arial Narrow" w:hAnsi="Arial Narrow"/>
                <w:noProof/>
                <w:color w:val="006100"/>
                <w:sz w:val="20"/>
                <w:szCs w:val="20"/>
              </w:rPr>
              <w:t> </w:t>
            </w:r>
            <w:r w:rsidRPr="00647572">
              <w:rPr>
                <w:rFonts w:ascii="Arial Narrow" w:hAnsi="Arial Narrow"/>
                <w:noProof/>
                <w:color w:val="006100"/>
                <w:sz w:val="20"/>
              </w:rPr>
              <w:t>590</w:t>
            </w:r>
          </w:p>
        </w:tc>
        <w:tc>
          <w:tcPr>
            <w:tcW w:w="992" w:type="dxa"/>
            <w:gridSpan w:val="2"/>
            <w:shd w:val="clear" w:color="auto" w:fill="C6EFCE"/>
            <w:vAlign w:val="center"/>
          </w:tcPr>
          <w:p w14:paraId="709B751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16E8B52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2025</w:t>
            </w:r>
          </w:p>
        </w:tc>
        <w:tc>
          <w:tcPr>
            <w:tcW w:w="3634" w:type="dxa"/>
            <w:gridSpan w:val="2"/>
            <w:shd w:val="clear" w:color="auto" w:fill="C6EFCE"/>
            <w:vAlign w:val="center"/>
          </w:tcPr>
          <w:p w14:paraId="787B3884"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eastAsia="en-IE"/>
              </w:rPr>
              <w:t>Delivery of home care treatment for people over 65 shall reach an annual value of at least 1</w:t>
            </w:r>
            <w:r w:rsidRPr="00A36E36">
              <w:rPr>
                <w:rFonts w:ascii="Arial Narrow" w:hAnsi="Arial Narrow"/>
                <w:noProof/>
                <w:color w:val="006100"/>
                <w:sz w:val="20"/>
                <w:szCs w:val="20"/>
                <w:lang w:val="en-IE"/>
              </w:rPr>
              <w:t> </w:t>
            </w:r>
            <w:r w:rsidRPr="00A36E36">
              <w:rPr>
                <w:rFonts w:ascii="Arial Narrow" w:hAnsi="Arial Narrow"/>
                <w:noProof/>
                <w:color w:val="006100"/>
                <w:sz w:val="20"/>
                <w:szCs w:val="20"/>
                <w:lang w:val="en-IE" w:eastAsia="en-IE"/>
              </w:rPr>
              <w:t>487</w:t>
            </w:r>
            <w:r w:rsidRPr="00A36E36">
              <w:rPr>
                <w:rFonts w:ascii="Arial Narrow" w:hAnsi="Arial Narrow"/>
                <w:noProof/>
                <w:color w:val="006100"/>
                <w:sz w:val="20"/>
                <w:szCs w:val="20"/>
                <w:lang w:val="en-IE"/>
              </w:rPr>
              <w:t> </w:t>
            </w:r>
            <w:r w:rsidRPr="00A36E36">
              <w:rPr>
                <w:rFonts w:ascii="Arial Narrow" w:hAnsi="Arial Narrow"/>
                <w:noProof/>
                <w:color w:val="006100"/>
                <w:sz w:val="20"/>
                <w:szCs w:val="20"/>
                <w:lang w:val="en-IE" w:eastAsia="en-IE"/>
              </w:rPr>
              <w:t>590 as measured by the SIAD05bis indicator – “Over 65s Treated in SIAD (Sistema informativo Assistenza domiciliare) in Relation to the Elderly Population” in the Agenas dashboard.</w:t>
            </w:r>
          </w:p>
        </w:tc>
      </w:tr>
      <w:tr w:rsidR="0039681A" w:rsidRPr="0070054C" w14:paraId="4D818690" w14:textId="77777777">
        <w:trPr>
          <w:trHeight w:val="315"/>
        </w:trPr>
        <w:tc>
          <w:tcPr>
            <w:tcW w:w="1277" w:type="dxa"/>
            <w:gridSpan w:val="2"/>
            <w:shd w:val="clear" w:color="auto" w:fill="C6EFCE"/>
            <w:vAlign w:val="center"/>
          </w:tcPr>
          <w:p w14:paraId="2A69AB6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M6C1-7</w:t>
            </w:r>
          </w:p>
        </w:tc>
        <w:tc>
          <w:tcPr>
            <w:tcW w:w="1701" w:type="dxa"/>
            <w:gridSpan w:val="2"/>
            <w:shd w:val="clear" w:color="auto" w:fill="C6EFCE"/>
            <w:vAlign w:val="center"/>
          </w:tcPr>
          <w:p w14:paraId="32E0A0E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Home as the first place of care and telemedicine</w:t>
            </w:r>
          </w:p>
        </w:tc>
        <w:tc>
          <w:tcPr>
            <w:tcW w:w="1134" w:type="dxa"/>
            <w:gridSpan w:val="2"/>
            <w:shd w:val="clear" w:color="auto" w:fill="C6EFCE"/>
            <w:vAlign w:val="center"/>
          </w:tcPr>
          <w:p w14:paraId="6E8875C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gridSpan w:val="2"/>
            <w:shd w:val="clear" w:color="auto" w:fill="C6EFCE"/>
            <w:vAlign w:val="center"/>
          </w:tcPr>
          <w:p w14:paraId="041B73A5"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Coordination Centres fully operational (second batch)</w:t>
            </w:r>
          </w:p>
        </w:tc>
        <w:tc>
          <w:tcPr>
            <w:tcW w:w="1363" w:type="dxa"/>
            <w:gridSpan w:val="2"/>
            <w:shd w:val="clear" w:color="auto" w:fill="C6EFCE"/>
            <w:vAlign w:val="center"/>
          </w:tcPr>
          <w:p w14:paraId="2C30295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8" w:type="dxa"/>
            <w:gridSpan w:val="2"/>
            <w:shd w:val="clear" w:color="auto" w:fill="C6EFCE"/>
            <w:vAlign w:val="center"/>
          </w:tcPr>
          <w:p w14:paraId="4EAE51A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50" w:type="dxa"/>
            <w:gridSpan w:val="2"/>
            <w:shd w:val="clear" w:color="auto" w:fill="C6EFCE"/>
            <w:vAlign w:val="center"/>
          </w:tcPr>
          <w:p w14:paraId="10807C1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gridSpan w:val="2"/>
            <w:shd w:val="clear" w:color="auto" w:fill="C6EFCE"/>
            <w:vAlign w:val="center"/>
          </w:tcPr>
          <w:p w14:paraId="2C247BA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480</w:t>
            </w:r>
          </w:p>
        </w:tc>
        <w:tc>
          <w:tcPr>
            <w:tcW w:w="992" w:type="dxa"/>
            <w:gridSpan w:val="2"/>
            <w:shd w:val="clear" w:color="auto" w:fill="C6EFCE"/>
            <w:vAlign w:val="center"/>
          </w:tcPr>
          <w:p w14:paraId="0EA9A47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gridSpan w:val="2"/>
            <w:shd w:val="clear" w:color="auto" w:fill="C6EFCE"/>
            <w:vAlign w:val="center"/>
          </w:tcPr>
          <w:p w14:paraId="1D1661E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634" w:type="dxa"/>
            <w:gridSpan w:val="2"/>
            <w:shd w:val="clear" w:color="auto" w:fill="C6EFCE"/>
            <w:vAlign w:val="center"/>
          </w:tcPr>
          <w:p w14:paraId="7EB6FFD5"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crucial point of this intervention is the entry in operation of at least 480 Territorial Coordination Centres (“Centrali Operative Territoriali”) with the function of coordinating and linking the various territorial, social-health and hospital health services, as well as the emergency-urgency network, in order to ensure continuity, accessibility and integration of care.</w:t>
            </w:r>
          </w:p>
        </w:tc>
      </w:tr>
      <w:tr w:rsidR="0039681A" w:rsidRPr="0070054C" w14:paraId="6E9D89F0" w14:textId="77777777">
        <w:trPr>
          <w:trHeight w:val="315"/>
        </w:trPr>
        <w:tc>
          <w:tcPr>
            <w:tcW w:w="1277" w:type="dxa"/>
            <w:gridSpan w:val="2"/>
            <w:shd w:val="clear" w:color="auto" w:fill="C6EFCE"/>
            <w:vAlign w:val="center"/>
          </w:tcPr>
          <w:p w14:paraId="7D1429A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M6C1-8</w:t>
            </w:r>
          </w:p>
        </w:tc>
        <w:tc>
          <w:tcPr>
            <w:tcW w:w="1701" w:type="dxa"/>
            <w:gridSpan w:val="2"/>
            <w:shd w:val="clear" w:color="auto" w:fill="C6EFCE"/>
            <w:vAlign w:val="center"/>
          </w:tcPr>
          <w:p w14:paraId="098E3E91"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Home as the first place of care and telemedicine</w:t>
            </w:r>
          </w:p>
        </w:tc>
        <w:tc>
          <w:tcPr>
            <w:tcW w:w="1134" w:type="dxa"/>
            <w:gridSpan w:val="2"/>
            <w:shd w:val="clear" w:color="auto" w:fill="C6EFCE"/>
            <w:vAlign w:val="center"/>
          </w:tcPr>
          <w:p w14:paraId="3102E6F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gridSpan w:val="2"/>
            <w:shd w:val="clear" w:color="auto" w:fill="C6EFCE"/>
            <w:vAlign w:val="center"/>
          </w:tcPr>
          <w:p w14:paraId="5763649A"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At least one telemedicine project assigned to each region (considering both projects that will be implemented in the individual region and those that may be developed as part of consortia among regions)</w:t>
            </w:r>
          </w:p>
        </w:tc>
        <w:tc>
          <w:tcPr>
            <w:tcW w:w="1363" w:type="dxa"/>
            <w:gridSpan w:val="2"/>
            <w:shd w:val="clear" w:color="auto" w:fill="C6EFCE"/>
            <w:vAlign w:val="center"/>
          </w:tcPr>
          <w:p w14:paraId="1B173DB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8" w:type="dxa"/>
            <w:gridSpan w:val="2"/>
            <w:shd w:val="clear" w:color="auto" w:fill="C6EFCE"/>
            <w:vAlign w:val="center"/>
          </w:tcPr>
          <w:p w14:paraId="65A854A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50" w:type="dxa"/>
            <w:gridSpan w:val="2"/>
            <w:shd w:val="clear" w:color="auto" w:fill="C6EFCE"/>
            <w:vAlign w:val="center"/>
          </w:tcPr>
          <w:p w14:paraId="05C5429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gridSpan w:val="2"/>
            <w:shd w:val="clear" w:color="auto" w:fill="C6EFCE"/>
            <w:vAlign w:val="center"/>
          </w:tcPr>
          <w:p w14:paraId="7B98A19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w:t>
            </w:r>
          </w:p>
        </w:tc>
        <w:tc>
          <w:tcPr>
            <w:tcW w:w="992" w:type="dxa"/>
            <w:gridSpan w:val="2"/>
            <w:shd w:val="clear" w:color="auto" w:fill="C6EFCE"/>
            <w:vAlign w:val="center"/>
          </w:tcPr>
          <w:p w14:paraId="297B74D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709" w:type="dxa"/>
            <w:gridSpan w:val="2"/>
            <w:shd w:val="clear" w:color="auto" w:fill="C6EFCE"/>
            <w:vAlign w:val="center"/>
          </w:tcPr>
          <w:p w14:paraId="003F5B3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2023</w:t>
            </w:r>
          </w:p>
        </w:tc>
        <w:tc>
          <w:tcPr>
            <w:tcW w:w="3634" w:type="dxa"/>
            <w:gridSpan w:val="2"/>
            <w:shd w:val="clear" w:color="auto" w:fill="C6EFCE"/>
            <w:vAlign w:val="center"/>
          </w:tcPr>
          <w:p w14:paraId="199B1C68"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national telemedicine strategy shall promote and finance the development and scale-up of new telemedicine projects and solutions within regional healthcare systems, and as such it represents a key (technological) enabler for the implementation of the enhanced remote care approach to health, with a particular focus on chronic patients.</w:t>
            </w:r>
          </w:p>
        </w:tc>
      </w:tr>
      <w:tr w:rsidR="0039681A" w:rsidRPr="0070054C" w14:paraId="5ADB6966" w14:textId="77777777">
        <w:trPr>
          <w:trHeight w:val="315"/>
        </w:trPr>
        <w:tc>
          <w:tcPr>
            <w:tcW w:w="1277" w:type="dxa"/>
            <w:gridSpan w:val="2"/>
            <w:shd w:val="clear" w:color="auto" w:fill="C6EFCE"/>
            <w:vAlign w:val="center"/>
          </w:tcPr>
          <w:p w14:paraId="2CC1A15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M6C1-9</w:t>
            </w:r>
          </w:p>
        </w:tc>
        <w:tc>
          <w:tcPr>
            <w:tcW w:w="1701" w:type="dxa"/>
            <w:gridSpan w:val="2"/>
            <w:shd w:val="clear" w:color="auto" w:fill="C6EFCE"/>
            <w:vAlign w:val="center"/>
          </w:tcPr>
          <w:p w14:paraId="1B56B0D1"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Home as the first place of care and telemedicine</w:t>
            </w:r>
          </w:p>
        </w:tc>
        <w:tc>
          <w:tcPr>
            <w:tcW w:w="1134" w:type="dxa"/>
            <w:gridSpan w:val="2"/>
            <w:shd w:val="clear" w:color="auto" w:fill="C6EFCE"/>
            <w:vAlign w:val="center"/>
          </w:tcPr>
          <w:p w14:paraId="67C9F63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 xml:space="preserve">Target </w:t>
            </w:r>
          </w:p>
        </w:tc>
        <w:tc>
          <w:tcPr>
            <w:tcW w:w="1417" w:type="dxa"/>
            <w:gridSpan w:val="2"/>
            <w:shd w:val="clear" w:color="auto" w:fill="C6EFCE"/>
            <w:vAlign w:val="center"/>
          </w:tcPr>
          <w:p w14:paraId="49F7E0AB" w14:textId="77777777" w:rsidR="0039681A" w:rsidRPr="00647572" w:rsidRDefault="0039681A">
            <w:pPr>
              <w:jc w:val="center"/>
              <w:rPr>
                <w:rFonts w:ascii="Arial Narrow" w:hAnsi="Arial Narrow"/>
                <w:noProof/>
                <w:color w:val="006100"/>
                <w:sz w:val="20"/>
                <w:szCs w:val="20"/>
              </w:rPr>
            </w:pPr>
            <w:r w:rsidRPr="26736226">
              <w:rPr>
                <w:rFonts w:ascii="Arial Narrow" w:hAnsi="Arial Narrow"/>
                <w:noProof/>
                <w:color w:val="006100"/>
                <w:sz w:val="20"/>
                <w:szCs w:val="20"/>
              </w:rPr>
              <w:t xml:space="preserve">Assistance by telemedicine tools </w:t>
            </w:r>
          </w:p>
        </w:tc>
        <w:tc>
          <w:tcPr>
            <w:tcW w:w="1363" w:type="dxa"/>
            <w:gridSpan w:val="2"/>
            <w:shd w:val="clear" w:color="auto" w:fill="C6EFCE"/>
            <w:vAlign w:val="center"/>
          </w:tcPr>
          <w:p w14:paraId="4572D28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8" w:type="dxa"/>
            <w:gridSpan w:val="2"/>
            <w:shd w:val="clear" w:color="auto" w:fill="C6EFCE"/>
            <w:vAlign w:val="center"/>
          </w:tcPr>
          <w:p w14:paraId="6103F0D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50" w:type="dxa"/>
            <w:gridSpan w:val="2"/>
            <w:shd w:val="clear" w:color="auto" w:fill="C6EFCE"/>
            <w:vAlign w:val="center"/>
          </w:tcPr>
          <w:p w14:paraId="6F3B59D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gridSpan w:val="2"/>
            <w:shd w:val="clear" w:color="auto" w:fill="C6EFCE"/>
            <w:vAlign w:val="center"/>
          </w:tcPr>
          <w:p w14:paraId="52F2A95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300 000</w:t>
            </w:r>
          </w:p>
        </w:tc>
        <w:tc>
          <w:tcPr>
            <w:tcW w:w="992" w:type="dxa"/>
            <w:gridSpan w:val="2"/>
            <w:shd w:val="clear" w:color="auto" w:fill="C6EFCE"/>
            <w:vAlign w:val="center"/>
          </w:tcPr>
          <w:p w14:paraId="4256F114" w14:textId="77777777" w:rsidR="0039681A" w:rsidRPr="00647572" w:rsidRDefault="0039681A">
            <w:pPr>
              <w:jc w:val="center"/>
              <w:rPr>
                <w:rFonts w:ascii="Arial Narrow" w:hAnsi="Arial Narrow"/>
                <w:noProof/>
                <w:color w:val="006100"/>
                <w:sz w:val="20"/>
                <w:szCs w:val="20"/>
              </w:rPr>
            </w:pPr>
            <w:r w:rsidRPr="126DBA8B">
              <w:rPr>
                <w:rFonts w:ascii="Arial Narrow" w:hAnsi="Arial Narrow"/>
                <w:noProof/>
                <w:color w:val="006100"/>
                <w:sz w:val="20"/>
                <w:szCs w:val="20"/>
              </w:rPr>
              <w:t>Q2</w:t>
            </w:r>
          </w:p>
        </w:tc>
        <w:tc>
          <w:tcPr>
            <w:tcW w:w="709" w:type="dxa"/>
            <w:gridSpan w:val="2"/>
            <w:shd w:val="clear" w:color="auto" w:fill="C6EFCE"/>
            <w:vAlign w:val="center"/>
          </w:tcPr>
          <w:p w14:paraId="1C6B65E2" w14:textId="77777777" w:rsidR="0039681A" w:rsidRPr="00647572" w:rsidRDefault="0039681A">
            <w:pPr>
              <w:jc w:val="center"/>
              <w:rPr>
                <w:rFonts w:ascii="Arial Narrow" w:hAnsi="Arial Narrow"/>
                <w:noProof/>
                <w:color w:val="006100"/>
                <w:sz w:val="20"/>
                <w:szCs w:val="20"/>
              </w:rPr>
            </w:pPr>
            <w:r w:rsidRPr="65A39132">
              <w:rPr>
                <w:rFonts w:ascii="Arial Narrow" w:hAnsi="Arial Narrow"/>
                <w:noProof/>
                <w:color w:val="006100"/>
                <w:sz w:val="20"/>
                <w:szCs w:val="20"/>
              </w:rPr>
              <w:t>2026</w:t>
            </w:r>
          </w:p>
        </w:tc>
        <w:tc>
          <w:tcPr>
            <w:tcW w:w="3634" w:type="dxa"/>
            <w:gridSpan w:val="2"/>
            <w:shd w:val="clear" w:color="auto" w:fill="C6EFCE"/>
            <w:vAlign w:val="center"/>
          </w:tcPr>
          <w:p w14:paraId="5F304BDE"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The indicator on assistance by telemedicine tools, based on National Telemedicine Platform’s (PNT) indicators and monitored through the Agenas dashboard, shall reach a value of at least 300 000 people.</w:t>
            </w:r>
          </w:p>
        </w:tc>
      </w:tr>
      <w:tr w:rsidR="0039681A" w:rsidRPr="0070054C" w14:paraId="59BC7804" w14:textId="77777777">
        <w:trPr>
          <w:trHeight w:val="315"/>
        </w:trPr>
        <w:tc>
          <w:tcPr>
            <w:tcW w:w="1277" w:type="dxa"/>
            <w:gridSpan w:val="2"/>
            <w:shd w:val="clear" w:color="auto" w:fill="C6EFCE"/>
            <w:vAlign w:val="center"/>
          </w:tcPr>
          <w:p w14:paraId="2E67618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M6C1-10</w:t>
            </w:r>
          </w:p>
        </w:tc>
        <w:tc>
          <w:tcPr>
            <w:tcW w:w="1701" w:type="dxa"/>
            <w:gridSpan w:val="2"/>
            <w:shd w:val="clear" w:color="auto" w:fill="C6EFCE"/>
            <w:vAlign w:val="center"/>
          </w:tcPr>
          <w:p w14:paraId="4F1501A2"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Strengthening Intermediate Healthcare and its facilities (Community Hospitals)</w:t>
            </w:r>
          </w:p>
        </w:tc>
        <w:tc>
          <w:tcPr>
            <w:tcW w:w="1134" w:type="dxa"/>
            <w:gridSpan w:val="2"/>
            <w:shd w:val="clear" w:color="auto" w:fill="C6EFCE"/>
            <w:vAlign w:val="center"/>
          </w:tcPr>
          <w:p w14:paraId="73EC874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gridSpan w:val="2"/>
            <w:shd w:val="clear" w:color="auto" w:fill="C6EFCE"/>
            <w:vAlign w:val="center"/>
          </w:tcPr>
          <w:p w14:paraId="540EB06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Approval of an Institutional Development Contract (Contratto Istituzionale di Sviluppo)</w:t>
            </w:r>
          </w:p>
        </w:tc>
        <w:tc>
          <w:tcPr>
            <w:tcW w:w="1363" w:type="dxa"/>
            <w:gridSpan w:val="2"/>
            <w:shd w:val="clear" w:color="auto" w:fill="C6EFCE"/>
            <w:vAlign w:val="center"/>
          </w:tcPr>
          <w:p w14:paraId="5292DC00"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approval of the Institutional Development Contract</w:t>
            </w:r>
          </w:p>
        </w:tc>
        <w:tc>
          <w:tcPr>
            <w:tcW w:w="948" w:type="dxa"/>
            <w:gridSpan w:val="2"/>
            <w:shd w:val="clear" w:color="auto" w:fill="C6EFCE"/>
            <w:vAlign w:val="center"/>
          </w:tcPr>
          <w:p w14:paraId="670ED1C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50" w:type="dxa"/>
            <w:gridSpan w:val="2"/>
            <w:shd w:val="clear" w:color="auto" w:fill="C6EFCE"/>
            <w:vAlign w:val="center"/>
          </w:tcPr>
          <w:p w14:paraId="3E91A63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74A2624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gridSpan w:val="2"/>
            <w:shd w:val="clear" w:color="auto" w:fill="C6EFCE"/>
            <w:vAlign w:val="center"/>
          </w:tcPr>
          <w:p w14:paraId="14A1E10B"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214317F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3634" w:type="dxa"/>
            <w:gridSpan w:val="2"/>
            <w:shd w:val="clear" w:color="auto" w:fill="C6EFCE"/>
            <w:vAlign w:val="center"/>
          </w:tcPr>
          <w:p w14:paraId="25FB6F0B"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Approval of an Institutional Development Contract (Contratto Istituzionale di Sviluppo), with the Italian Ministry of Health as the responsible and implementing Authority and the participation of regional Administrations together with the other entities concerned for Community hospitals.</w:t>
            </w:r>
          </w:p>
          <w:p w14:paraId="39DFCCB1"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Institutional Development Contract shall list all suitable sites identified for the investments, as well as the obligations that each region shall assume to guarantee the achievement of the envisaged result. In case of breach by any region the Ministry of Health shall proceed to the commissioner “ad acta”. With regards to the technology park of the facilities, i.e. all the tools, licences and interconnections, preference shall be given to aggregate procurement methods</w:t>
            </w:r>
          </w:p>
        </w:tc>
      </w:tr>
      <w:tr w:rsidR="0039681A" w:rsidRPr="0070054C" w14:paraId="6E2CEFA2" w14:textId="77777777">
        <w:trPr>
          <w:trHeight w:val="315"/>
        </w:trPr>
        <w:tc>
          <w:tcPr>
            <w:tcW w:w="1277" w:type="dxa"/>
            <w:gridSpan w:val="2"/>
            <w:shd w:val="clear" w:color="auto" w:fill="C6EFCE"/>
            <w:vAlign w:val="center"/>
          </w:tcPr>
          <w:p w14:paraId="2E5529DD"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M6C1-11</w:t>
            </w:r>
          </w:p>
        </w:tc>
        <w:tc>
          <w:tcPr>
            <w:tcW w:w="1701" w:type="dxa"/>
            <w:gridSpan w:val="2"/>
            <w:shd w:val="clear" w:color="auto" w:fill="C6EFCE"/>
            <w:vAlign w:val="center"/>
          </w:tcPr>
          <w:p w14:paraId="1433D928"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Strengthening Intermediate Healthcare and its facilities (Community Hospitals)</w:t>
            </w:r>
          </w:p>
        </w:tc>
        <w:tc>
          <w:tcPr>
            <w:tcW w:w="1134" w:type="dxa"/>
            <w:gridSpan w:val="2"/>
            <w:shd w:val="clear" w:color="auto" w:fill="C6EFCE"/>
            <w:vAlign w:val="center"/>
          </w:tcPr>
          <w:p w14:paraId="241E8D2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gridSpan w:val="2"/>
            <w:shd w:val="clear" w:color="auto" w:fill="C6EFCE"/>
            <w:vAlign w:val="center"/>
          </w:tcPr>
          <w:p w14:paraId="4319DECB" w14:textId="6B630606"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Community Hospitals</w:t>
            </w:r>
            <w:r>
              <w:rPr>
                <w:rFonts w:ascii="Arial Narrow" w:hAnsi="Arial Narrow"/>
                <w:noProof/>
                <w:color w:val="006100"/>
                <w:sz w:val="20"/>
                <w:szCs w:val="20"/>
                <w:lang w:val="en-IE"/>
              </w:rPr>
              <w:t>’</w:t>
            </w:r>
            <w:r w:rsidRPr="00A36E36">
              <w:rPr>
                <w:rFonts w:ascii="Arial Narrow" w:hAnsi="Arial Narrow"/>
                <w:noProof/>
                <w:color w:val="006100"/>
                <w:sz w:val="20"/>
                <w:szCs w:val="20"/>
                <w:lang w:val="en-IE"/>
              </w:rPr>
              <w:t xml:space="preserve"> </w:t>
            </w:r>
            <w:r>
              <w:rPr>
                <w:rFonts w:ascii="Arial Narrow" w:hAnsi="Arial Narrow"/>
                <w:noProof/>
                <w:color w:val="006100"/>
                <w:sz w:val="20"/>
                <w:szCs w:val="20"/>
                <w:lang w:val="en-IE"/>
              </w:rPr>
              <w:t>services are activated</w:t>
            </w:r>
            <w:r w:rsidRPr="00A36E36">
              <w:rPr>
                <w:rFonts w:ascii="Arial Narrow" w:hAnsi="Arial Narrow"/>
                <w:noProof/>
                <w:color w:val="006100"/>
                <w:sz w:val="20"/>
                <w:szCs w:val="20"/>
                <w:lang w:val="en-IE"/>
              </w:rPr>
              <w:t xml:space="preserve"> </w:t>
            </w:r>
          </w:p>
        </w:tc>
        <w:tc>
          <w:tcPr>
            <w:tcW w:w="1363" w:type="dxa"/>
            <w:gridSpan w:val="2"/>
            <w:shd w:val="clear" w:color="auto" w:fill="C6EFCE"/>
            <w:vAlign w:val="center"/>
          </w:tcPr>
          <w:p w14:paraId="5284F27A"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48" w:type="dxa"/>
            <w:gridSpan w:val="2"/>
            <w:shd w:val="clear" w:color="auto" w:fill="C6EFCE"/>
            <w:vAlign w:val="center"/>
          </w:tcPr>
          <w:p w14:paraId="51571F4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50" w:type="dxa"/>
            <w:gridSpan w:val="2"/>
            <w:shd w:val="clear" w:color="auto" w:fill="C6EFCE"/>
            <w:vAlign w:val="center"/>
          </w:tcPr>
          <w:p w14:paraId="1657519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gridSpan w:val="2"/>
            <w:shd w:val="clear" w:color="auto" w:fill="C6EFCE"/>
            <w:vAlign w:val="center"/>
          </w:tcPr>
          <w:p w14:paraId="2EE1D83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307</w:t>
            </w:r>
          </w:p>
        </w:tc>
        <w:tc>
          <w:tcPr>
            <w:tcW w:w="992" w:type="dxa"/>
            <w:gridSpan w:val="2"/>
            <w:shd w:val="clear" w:color="auto" w:fill="C6EFCE"/>
            <w:vAlign w:val="center"/>
          </w:tcPr>
          <w:p w14:paraId="292F641C"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09" w:type="dxa"/>
            <w:gridSpan w:val="2"/>
            <w:shd w:val="clear" w:color="auto" w:fill="C6EFCE"/>
            <w:vAlign w:val="center"/>
          </w:tcPr>
          <w:p w14:paraId="1A20424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634" w:type="dxa"/>
            <w:gridSpan w:val="2"/>
            <w:shd w:val="clear" w:color="auto" w:fill="C6EFCE"/>
            <w:vAlign w:val="center"/>
          </w:tcPr>
          <w:p w14:paraId="629AF81A"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Independent expert reports confirming the activation of services according to the standards defined by Annex 1 Section 11 of DM 23 May 2022 n.77 in at least 307 Community Hospitals.</w:t>
            </w:r>
          </w:p>
        </w:tc>
      </w:tr>
    </w:tbl>
    <w:p w14:paraId="4CF21329" w14:textId="77777777" w:rsidR="0039681A" w:rsidRPr="00A36E36" w:rsidRDefault="0039681A" w:rsidP="00351087">
      <w:pPr>
        <w:spacing w:before="120" w:after="120"/>
        <w:jc w:val="both"/>
        <w:rPr>
          <w:rFonts w:ascii="Times New Roman" w:hAnsi="Times New Roman" w:cs="Times New Roman"/>
          <w:noProof/>
          <w:lang w:val="en-IE"/>
        </w:rPr>
        <w:sectPr w:rsidR="0039681A" w:rsidRPr="00A36E36" w:rsidSect="0039681A">
          <w:headerReference w:type="even" r:id="rId233"/>
          <w:headerReference w:type="default" r:id="rId234"/>
          <w:footerReference w:type="default" r:id="rId235"/>
          <w:headerReference w:type="first" r:id="rId236"/>
          <w:pgSz w:w="16838" w:h="11906" w:orient="landscape"/>
          <w:pgMar w:top="1134" w:right="1134" w:bottom="1134" w:left="1134" w:header="567" w:footer="567" w:gutter="0"/>
          <w:cols w:space="708"/>
          <w:docGrid w:linePitch="360"/>
        </w:sectPr>
      </w:pPr>
    </w:p>
    <w:p w14:paraId="7DD5E8BA" w14:textId="77777777" w:rsidR="0039681A" w:rsidRPr="00A36E36" w:rsidRDefault="0039681A" w:rsidP="00351087">
      <w:pPr>
        <w:pStyle w:val="Heading2"/>
        <w:ind w:left="1080"/>
        <w:rPr>
          <w:rFonts w:ascii="Times New Roman" w:hAnsi="Times New Roman" w:cs="Times New Roman"/>
          <w:noProof/>
          <w:sz w:val="24"/>
          <w:szCs w:val="24"/>
          <w:lang w:val="en-IE"/>
        </w:rPr>
      </w:pPr>
      <w:r w:rsidRPr="00A36E36">
        <w:rPr>
          <w:rFonts w:ascii="Times New Roman" w:eastAsia="Times New Roman" w:hAnsi="Times New Roman" w:cs="Times New Roman"/>
          <w:b/>
          <w:bCs/>
          <w:noProof/>
          <w:color w:val="auto"/>
          <w:sz w:val="24"/>
          <w:szCs w:val="24"/>
          <w:lang w:val="en-IE"/>
        </w:rPr>
        <w:t>P. MISSION 6 COMPONENT 2: Innovation, research and digitalisation of national healthcare service</w:t>
      </w:r>
    </w:p>
    <w:p w14:paraId="124E29CC"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This component of the Italian recovery and resilience plan aims at ensuring the necessary enabling conditions for greater resilience of the national healthcare service through: (i) replacement of obsolete healthcare technologies in hospitals; (ii) the development of a significant structural improvement in the safety of hospital buildings; (iii) the improvement of the health information systems and digital tools; (iv) the promotion and strengthening of the scientific research sector; (v) the enhancement of human resources.</w:t>
      </w:r>
    </w:p>
    <w:p w14:paraId="5BA64542"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investments and reforms under this component shall contribute addressing the country-specific recommendations addressed to Italy in 2020 and 2019 on the need to “strengthen the resilience and capacity of the health system in the areas of health workers, critical medical products and infrastructure” (country-specific recommendation 1, 2020), to “focus investment on the green and digital transition, in particular on […] reinforced digital infrastructure to ensure the provision of essential services” (country-specific recommendation 3, 2020), and to “focus investment-related economic policy on research and innovation, and the quality of infrastructure, considering also regional disparities” (country-specific recommendation 3, 2019). </w:t>
      </w:r>
    </w:p>
    <w:p w14:paraId="14BBE021" w14:textId="77777777" w:rsidR="0039681A" w:rsidRPr="00A36E36" w:rsidRDefault="0039681A" w:rsidP="00351087">
      <w:pPr>
        <w:spacing w:before="120" w:after="120"/>
        <w:jc w:val="both"/>
        <w:rPr>
          <w:rFonts w:ascii="Times New Roman" w:hAnsi="Times New Roman" w:cs="Times New Roman"/>
          <w:noProof/>
          <w:lang w:val="en-IE"/>
        </w:rPr>
      </w:pPr>
    </w:p>
    <w:p w14:paraId="0691FBBA"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P.1.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Description of the reforms and investments for non-repayable financial support</w:t>
      </w:r>
    </w:p>
    <w:p w14:paraId="2972C8B7"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Reform 1: Revise and update the current legal framework of the Scientific Institutes for Hospitalisation and Care (IRCCS)</w:t>
      </w:r>
    </w:p>
    <w:p w14:paraId="338AEC86" w14:textId="77777777" w:rsidR="0039681A" w:rsidRPr="00A36E36" w:rsidRDefault="0039681A" w:rsidP="00351087">
      <w:pPr>
        <w:spacing w:before="120"/>
        <w:jc w:val="both"/>
        <w:rPr>
          <w:rFonts w:ascii="Times New Roman" w:hAnsi="Times New Roman" w:cs="Times New Roman"/>
          <w:bCs/>
          <w:iCs/>
          <w:noProof/>
          <w:lang w:val="en-IE"/>
        </w:rPr>
      </w:pPr>
      <w:r w:rsidRPr="00A36E36">
        <w:rPr>
          <w:rFonts w:ascii="Times New Roman" w:hAnsi="Times New Roman" w:cs="Times New Roman"/>
          <w:noProof/>
          <w:lang w:val="en-IE"/>
        </w:rPr>
        <w:t xml:space="preserve">The reform aims to reorganize the network of Scientific Institutes for Hospitalisation and Care (IRCCS) to (i) improve the quality of the national health system (NHS), (ii) improving the relationship between Health and Research and (iii) revisiting the legal regime of the IRCCS and the research policies within the competence of the Italian Ministry of Health. </w:t>
      </w:r>
    </w:p>
    <w:p w14:paraId="73A09490" w14:textId="77777777" w:rsidR="0039681A" w:rsidRPr="00A36E36" w:rsidRDefault="0039681A" w:rsidP="00351087">
      <w:pPr>
        <w:spacing w:before="120"/>
        <w:jc w:val="both"/>
        <w:rPr>
          <w:rFonts w:ascii="Times New Roman" w:hAnsi="Times New Roman" w:cs="Times New Roman"/>
          <w:bCs/>
          <w:iCs/>
          <w:noProof/>
          <w:lang w:val="en-IE"/>
        </w:rPr>
      </w:pPr>
      <w:r w:rsidRPr="00A36E36">
        <w:rPr>
          <w:rFonts w:ascii="Times New Roman" w:hAnsi="Times New Roman" w:cs="Times New Roman"/>
          <w:noProof/>
          <w:lang w:val="en-IE"/>
        </w:rPr>
        <w:t xml:space="preserve">The reform shall improve the governance of the public IRCCSs by (i) enhancing the strategic management, (ii) better defining the powers and areas of competence and (iii) comprehensively define the rules on the status of the Scientific Director of the public IRCCSs and of research staff. </w:t>
      </w:r>
    </w:p>
    <w:p w14:paraId="727047E1" w14:textId="77777777" w:rsidR="0039681A" w:rsidRPr="00A36E36" w:rsidRDefault="0039681A" w:rsidP="00351087">
      <w:pPr>
        <w:spacing w:before="120"/>
        <w:jc w:val="both"/>
        <w:rPr>
          <w:rFonts w:ascii="Times New Roman" w:hAnsi="Times New Roman" w:cs="Times New Roman"/>
          <w:bCs/>
          <w:iCs/>
          <w:noProof/>
          <w:lang w:val="en-IE"/>
        </w:rPr>
      </w:pPr>
      <w:r w:rsidRPr="00A36E36">
        <w:rPr>
          <w:rFonts w:ascii="Times New Roman" w:hAnsi="Times New Roman" w:cs="Times New Roman"/>
          <w:noProof/>
          <w:lang w:val="en-IE"/>
        </w:rPr>
        <w:t>Lastly, a specific sub-measure differentiating IRCCSs on the basis of their activity (single-specialist or generalist), creating an integrated network of IRCCSs and facilitating the exchange of expertise between the IRCCSs themselves and the other structures of the Italian NHS.</w:t>
      </w:r>
    </w:p>
    <w:p w14:paraId="58826E69" w14:textId="77777777" w:rsidR="0039681A" w:rsidRPr="00A36E36" w:rsidRDefault="0039681A" w:rsidP="00351087">
      <w:pPr>
        <w:spacing w:before="120" w:after="120"/>
        <w:jc w:val="both"/>
        <w:rPr>
          <w:rFonts w:ascii="Times New Roman" w:hAnsi="Times New Roman" w:cs="Times New Roman"/>
          <w:b/>
          <w:bCs/>
          <w:iCs/>
          <w:noProof/>
          <w:lang w:val="en-IE"/>
        </w:rPr>
      </w:pPr>
      <w:r w:rsidRPr="00A36E36">
        <w:rPr>
          <w:rFonts w:ascii="Times New Roman" w:hAnsi="Times New Roman" w:cs="Times New Roman"/>
          <w:b/>
          <w:noProof/>
          <w:lang w:val="en-IE"/>
        </w:rPr>
        <w:t>Investment 2.1: Strengthening and enhancement of the NHS biomedical research</w:t>
      </w:r>
    </w:p>
    <w:p w14:paraId="1ED28CBC"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measure is to increase the financing of the biomedical research system. </w:t>
      </w:r>
    </w:p>
    <w:p w14:paraId="0E6DD2EE" w14:textId="77777777" w:rsidR="0039681A" w:rsidRPr="006B13FB"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The investment consists in f</w:t>
      </w:r>
      <w:r w:rsidRPr="00A36E36">
        <w:rPr>
          <w:rFonts w:ascii="Times New Roman" w:hAnsi="Times New Roman" w:cs="Times New Roman"/>
          <w:noProof/>
          <w:color w:val="000000" w:themeColor="text1"/>
          <w:lang w:val="en-IE"/>
        </w:rPr>
        <w:t>inancing of Proof of Concept (PoC) projects, as well as the</w:t>
      </w:r>
      <w:r w:rsidRPr="00A36E36" w:rsidDel="002F768F">
        <w:rPr>
          <w:rFonts w:ascii="Times New Roman" w:hAnsi="Times New Roman" w:cs="Times New Roman"/>
          <w:noProof/>
          <w:color w:val="000000" w:themeColor="text1"/>
          <w:lang w:val="en-IE"/>
        </w:rPr>
        <w:t xml:space="preserve"> </w:t>
      </w:r>
      <w:r w:rsidRPr="00A36E36">
        <w:rPr>
          <w:rFonts w:ascii="Times New Roman" w:hAnsi="Times New Roman" w:cs="Times New Roman"/>
          <w:noProof/>
          <w:color w:val="000000" w:themeColor="text1"/>
          <w:lang w:val="en-IE"/>
        </w:rPr>
        <w:t>funding of research initiatives in the field of rare diseases,</w:t>
      </w:r>
      <w:r w:rsidRPr="00A36E36" w:rsidDel="000E0F62">
        <w:rPr>
          <w:rFonts w:ascii="Times New Roman" w:hAnsi="Times New Roman" w:cs="Times New Roman"/>
          <w:noProof/>
          <w:color w:val="000000" w:themeColor="text1"/>
          <w:lang w:val="en-IE"/>
        </w:rPr>
        <w:t xml:space="preserve"> </w:t>
      </w:r>
      <w:r w:rsidRPr="00A36E36">
        <w:rPr>
          <w:rFonts w:ascii="Times New Roman" w:hAnsi="Times New Roman" w:cs="Times New Roman"/>
          <w:noProof/>
          <w:color w:val="000000" w:themeColor="text1"/>
          <w:lang w:val="en-IE"/>
        </w:rPr>
        <w:t xml:space="preserve">rare cancers and </w:t>
      </w:r>
      <w:r w:rsidRPr="00A36E36">
        <w:rPr>
          <w:rFonts w:ascii="Times New Roman" w:hAnsi="Times New Roman" w:cs="Times New Roman"/>
          <w:noProof/>
          <w:lang w:val="en-IE"/>
        </w:rPr>
        <w:t>other diseases with a high impact on health.</w:t>
      </w:r>
    </w:p>
    <w:p w14:paraId="2641A4A4"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2.2: Development of technical-professional, digital and managerial skills of professionals in the healthcare system</w:t>
      </w:r>
    </w:p>
    <w:p w14:paraId="3F55F98D" w14:textId="5110B07D" w:rsidR="0039681A"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measure has the objective of boosting the investment in training and skills related to the healthcare system. This investment consists in increasing scholarships for the specific course in general medicine; increasing the number of awarded medical specialist training contracts; trainings on managerial or digital skills for employees of the NHS as well as trainings on safety in terms of hospital infections for </w:t>
      </w:r>
      <w:r>
        <w:rPr>
          <w:rFonts w:ascii="Times New Roman" w:hAnsi="Times New Roman" w:cs="Times New Roman"/>
          <w:noProof/>
          <w:lang w:val="en-IE"/>
        </w:rPr>
        <w:t xml:space="preserve">employees of the </w:t>
      </w:r>
      <w:r w:rsidRPr="00A36E36">
        <w:rPr>
          <w:rFonts w:ascii="Times New Roman" w:hAnsi="Times New Roman" w:cs="Times New Roman"/>
          <w:noProof/>
          <w:lang w:val="en-IE"/>
        </w:rPr>
        <w:t>NHS.</w:t>
      </w:r>
      <w:r w:rsidRPr="2663C1A6">
        <w:rPr>
          <w:rFonts w:ascii="Times New Roman" w:hAnsi="Times New Roman" w:cs="Times New Roman"/>
          <w:noProof/>
          <w:lang w:val="en-IE"/>
        </w:rPr>
        <w:t xml:space="preserve"> </w:t>
      </w:r>
    </w:p>
    <w:p w14:paraId="6053651F" w14:textId="77777777" w:rsidR="0039681A" w:rsidRPr="00A36E36" w:rsidRDefault="0039681A" w:rsidP="00351087">
      <w:pPr>
        <w:spacing w:before="120" w:after="120"/>
        <w:jc w:val="both"/>
        <w:rPr>
          <w:rFonts w:ascii="Times New Roman" w:hAnsi="Times New Roman" w:cs="Times New Roman"/>
          <w:noProof/>
          <w:lang w:val="en-IE"/>
        </w:rPr>
        <w:sectPr w:rsidR="0039681A" w:rsidRPr="00A36E36" w:rsidSect="0039681A">
          <w:headerReference w:type="even" r:id="rId237"/>
          <w:headerReference w:type="default" r:id="rId238"/>
          <w:footerReference w:type="default" r:id="rId239"/>
          <w:headerReference w:type="first" r:id="rId240"/>
          <w:pgSz w:w="11906" w:h="16838"/>
          <w:pgMar w:top="1134" w:right="1134" w:bottom="1134" w:left="1134" w:header="567" w:footer="567" w:gutter="0"/>
          <w:cols w:space="708"/>
          <w:docGrid w:linePitch="360"/>
        </w:sectPr>
      </w:pPr>
    </w:p>
    <w:p w14:paraId="7A5B3A5D" w14:textId="77777777" w:rsidR="0039681A" w:rsidRPr="00A36E36" w:rsidRDefault="0039681A" w:rsidP="0035108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P.2. </w:t>
      </w:r>
      <w:r w:rsidRPr="00A36E36">
        <w:rPr>
          <w:rFonts w:ascii="Times New Roman" w:hAnsi="Times New Roman" w:cs="Times New Roman"/>
          <w:b/>
          <w:noProof/>
          <w:sz w:val="24"/>
          <w:szCs w:val="24"/>
          <w:u w:val="single"/>
          <w:lang w:val="en-IE"/>
        </w:rPr>
        <w:tab/>
        <w:t>Milestones, targets, indicators, and timetable for monitoring and implementation for non-repayable financial support</w:t>
      </w:r>
    </w:p>
    <w:tbl>
      <w:tblPr>
        <w:tblW w:w="5273"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124"/>
        <w:gridCol w:w="1275"/>
        <w:gridCol w:w="2043"/>
        <w:gridCol w:w="1630"/>
        <w:gridCol w:w="960"/>
        <w:gridCol w:w="1094"/>
        <w:gridCol w:w="825"/>
        <w:gridCol w:w="824"/>
        <w:gridCol w:w="691"/>
        <w:gridCol w:w="2992"/>
      </w:tblGrid>
      <w:tr w:rsidR="0039681A" w:rsidRPr="0070054C" w14:paraId="52FA3B24" w14:textId="77777777" w:rsidTr="000647DD">
        <w:trPr>
          <w:trHeight w:val="927"/>
          <w:tblHeader/>
        </w:trPr>
        <w:tc>
          <w:tcPr>
            <w:tcW w:w="1135" w:type="dxa"/>
            <w:vMerge w:val="restart"/>
            <w:shd w:val="clear" w:color="auto" w:fill="BDD7EE"/>
            <w:vAlign w:val="center"/>
            <w:hideMark/>
          </w:tcPr>
          <w:p w14:paraId="23052E63"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Sequential Number</w:t>
            </w:r>
          </w:p>
        </w:tc>
        <w:tc>
          <w:tcPr>
            <w:tcW w:w="2124" w:type="dxa"/>
            <w:vMerge w:val="restart"/>
            <w:shd w:val="clear" w:color="auto" w:fill="BDD7EE"/>
            <w:vAlign w:val="center"/>
            <w:hideMark/>
          </w:tcPr>
          <w:p w14:paraId="18D147C3" w14:textId="77777777" w:rsidR="0039681A" w:rsidRPr="00A36E36" w:rsidRDefault="0039681A">
            <w:pPr>
              <w:spacing w:before="120" w:after="120"/>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1275" w:type="dxa"/>
            <w:vMerge w:val="restart"/>
            <w:shd w:val="clear" w:color="auto" w:fill="BDD7EE"/>
            <w:vAlign w:val="center"/>
            <w:hideMark/>
          </w:tcPr>
          <w:p w14:paraId="2FBAB55E"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Milestone / Target</w:t>
            </w:r>
          </w:p>
        </w:tc>
        <w:tc>
          <w:tcPr>
            <w:tcW w:w="2043" w:type="dxa"/>
            <w:vMerge w:val="restart"/>
            <w:shd w:val="clear" w:color="auto" w:fill="BDD7EE"/>
            <w:vAlign w:val="center"/>
            <w:hideMark/>
          </w:tcPr>
          <w:p w14:paraId="28CCB376"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Name</w:t>
            </w:r>
          </w:p>
        </w:tc>
        <w:tc>
          <w:tcPr>
            <w:tcW w:w="1630" w:type="dxa"/>
            <w:vMerge w:val="restart"/>
            <w:shd w:val="clear" w:color="auto" w:fill="BDD7EE"/>
            <w:vAlign w:val="center"/>
            <w:hideMark/>
          </w:tcPr>
          <w:p w14:paraId="500D8750"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2879" w:type="dxa"/>
            <w:gridSpan w:val="3"/>
            <w:shd w:val="clear" w:color="auto" w:fill="BDD7EE"/>
            <w:vAlign w:val="center"/>
            <w:hideMark/>
          </w:tcPr>
          <w:p w14:paraId="320CF2E9"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15" w:type="dxa"/>
            <w:gridSpan w:val="2"/>
            <w:shd w:val="clear" w:color="auto" w:fill="BDD7EE"/>
            <w:vAlign w:val="center"/>
            <w:hideMark/>
          </w:tcPr>
          <w:p w14:paraId="35CFAF3C"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Indicative timeline for completion</w:t>
            </w:r>
          </w:p>
        </w:tc>
        <w:tc>
          <w:tcPr>
            <w:tcW w:w="2992" w:type="dxa"/>
            <w:vMerge w:val="restart"/>
            <w:shd w:val="clear" w:color="auto" w:fill="BDD7EE"/>
            <w:vAlign w:val="center"/>
            <w:hideMark/>
          </w:tcPr>
          <w:p w14:paraId="7B825B6C" w14:textId="77777777" w:rsidR="0039681A" w:rsidRPr="00A36E36" w:rsidRDefault="0039681A">
            <w:pPr>
              <w:spacing w:before="120" w:after="120"/>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121C6EA1" w14:textId="77777777" w:rsidTr="000647DD">
        <w:trPr>
          <w:trHeight w:val="703"/>
          <w:tblHeader/>
        </w:trPr>
        <w:tc>
          <w:tcPr>
            <w:tcW w:w="1135" w:type="dxa"/>
            <w:vMerge/>
            <w:vAlign w:val="center"/>
            <w:hideMark/>
          </w:tcPr>
          <w:p w14:paraId="64BBA61F" w14:textId="77777777" w:rsidR="0039681A" w:rsidRPr="00A36E36" w:rsidRDefault="0039681A">
            <w:pPr>
              <w:spacing w:before="120" w:after="120"/>
              <w:jc w:val="center"/>
              <w:rPr>
                <w:rFonts w:ascii="Arial Narrow" w:hAnsi="Arial Narrow"/>
                <w:b/>
                <w:bCs/>
                <w:noProof/>
                <w:sz w:val="20"/>
                <w:szCs w:val="20"/>
                <w:lang w:val="en-IE"/>
              </w:rPr>
            </w:pPr>
          </w:p>
        </w:tc>
        <w:tc>
          <w:tcPr>
            <w:tcW w:w="2124" w:type="dxa"/>
            <w:vMerge/>
            <w:vAlign w:val="center"/>
            <w:hideMark/>
          </w:tcPr>
          <w:p w14:paraId="0DE0EF7F" w14:textId="77777777" w:rsidR="0039681A" w:rsidRPr="00A36E36" w:rsidRDefault="0039681A">
            <w:pPr>
              <w:spacing w:before="120" w:after="120"/>
              <w:jc w:val="center"/>
              <w:rPr>
                <w:rFonts w:ascii="Arial Narrow" w:hAnsi="Arial Narrow"/>
                <w:b/>
                <w:bCs/>
                <w:noProof/>
                <w:sz w:val="20"/>
                <w:szCs w:val="20"/>
                <w:lang w:val="en-IE"/>
              </w:rPr>
            </w:pPr>
          </w:p>
        </w:tc>
        <w:tc>
          <w:tcPr>
            <w:tcW w:w="1275" w:type="dxa"/>
            <w:vMerge/>
            <w:vAlign w:val="center"/>
            <w:hideMark/>
          </w:tcPr>
          <w:p w14:paraId="095094C3" w14:textId="77777777" w:rsidR="0039681A" w:rsidRPr="00A36E36" w:rsidRDefault="0039681A">
            <w:pPr>
              <w:spacing w:before="120" w:after="120"/>
              <w:jc w:val="center"/>
              <w:rPr>
                <w:rFonts w:ascii="Arial Narrow" w:hAnsi="Arial Narrow"/>
                <w:b/>
                <w:bCs/>
                <w:noProof/>
                <w:sz w:val="20"/>
                <w:szCs w:val="20"/>
                <w:lang w:val="en-IE"/>
              </w:rPr>
            </w:pPr>
          </w:p>
        </w:tc>
        <w:tc>
          <w:tcPr>
            <w:tcW w:w="2043" w:type="dxa"/>
            <w:vMerge/>
            <w:vAlign w:val="center"/>
            <w:hideMark/>
          </w:tcPr>
          <w:p w14:paraId="7367A419" w14:textId="77777777" w:rsidR="0039681A" w:rsidRPr="00A36E36" w:rsidRDefault="0039681A">
            <w:pPr>
              <w:spacing w:before="120" w:after="120"/>
              <w:jc w:val="center"/>
              <w:rPr>
                <w:rFonts w:ascii="Arial Narrow" w:hAnsi="Arial Narrow"/>
                <w:b/>
                <w:bCs/>
                <w:noProof/>
                <w:sz w:val="20"/>
                <w:szCs w:val="20"/>
                <w:lang w:val="en-IE"/>
              </w:rPr>
            </w:pPr>
          </w:p>
        </w:tc>
        <w:tc>
          <w:tcPr>
            <w:tcW w:w="1630" w:type="dxa"/>
            <w:vMerge/>
            <w:vAlign w:val="center"/>
            <w:hideMark/>
          </w:tcPr>
          <w:p w14:paraId="6A0F5A2D" w14:textId="77777777" w:rsidR="0039681A" w:rsidRPr="00A36E36" w:rsidRDefault="0039681A">
            <w:pPr>
              <w:spacing w:before="120" w:after="120"/>
              <w:jc w:val="center"/>
              <w:rPr>
                <w:rFonts w:ascii="Arial Narrow" w:hAnsi="Arial Narrow"/>
                <w:b/>
                <w:bCs/>
                <w:noProof/>
                <w:sz w:val="20"/>
                <w:szCs w:val="20"/>
                <w:lang w:val="en-IE"/>
              </w:rPr>
            </w:pPr>
          </w:p>
        </w:tc>
        <w:tc>
          <w:tcPr>
            <w:tcW w:w="960" w:type="dxa"/>
            <w:shd w:val="clear" w:color="auto" w:fill="BDD7EE"/>
            <w:vAlign w:val="center"/>
            <w:hideMark/>
          </w:tcPr>
          <w:p w14:paraId="6A035D5E"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Unit of measure</w:t>
            </w:r>
          </w:p>
        </w:tc>
        <w:tc>
          <w:tcPr>
            <w:tcW w:w="1094" w:type="dxa"/>
            <w:shd w:val="clear" w:color="auto" w:fill="BDD7EE"/>
            <w:vAlign w:val="center"/>
            <w:hideMark/>
          </w:tcPr>
          <w:p w14:paraId="1E21C401"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Baseline</w:t>
            </w:r>
          </w:p>
        </w:tc>
        <w:tc>
          <w:tcPr>
            <w:tcW w:w="825" w:type="dxa"/>
            <w:shd w:val="clear" w:color="auto" w:fill="BDD7EE"/>
            <w:vAlign w:val="center"/>
            <w:hideMark/>
          </w:tcPr>
          <w:p w14:paraId="10692093"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Goal</w:t>
            </w:r>
          </w:p>
        </w:tc>
        <w:tc>
          <w:tcPr>
            <w:tcW w:w="824" w:type="dxa"/>
            <w:shd w:val="clear" w:color="auto" w:fill="BDD7EE"/>
            <w:vAlign w:val="center"/>
            <w:hideMark/>
          </w:tcPr>
          <w:p w14:paraId="2C136273"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Quarter</w:t>
            </w:r>
          </w:p>
        </w:tc>
        <w:tc>
          <w:tcPr>
            <w:tcW w:w="691" w:type="dxa"/>
            <w:shd w:val="clear" w:color="auto" w:fill="BDD7EE"/>
            <w:vAlign w:val="center"/>
            <w:hideMark/>
          </w:tcPr>
          <w:p w14:paraId="7EB48E58"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Year</w:t>
            </w:r>
          </w:p>
        </w:tc>
        <w:tc>
          <w:tcPr>
            <w:tcW w:w="2992" w:type="dxa"/>
            <w:vMerge/>
            <w:vAlign w:val="center"/>
            <w:hideMark/>
          </w:tcPr>
          <w:p w14:paraId="6FC5CB7D" w14:textId="77777777" w:rsidR="0039681A" w:rsidRPr="00647572" w:rsidRDefault="0039681A">
            <w:pPr>
              <w:spacing w:before="120" w:after="120"/>
              <w:rPr>
                <w:rFonts w:ascii="Arial Narrow" w:hAnsi="Arial Narrow"/>
                <w:b/>
                <w:bCs/>
                <w:noProof/>
                <w:sz w:val="20"/>
                <w:szCs w:val="20"/>
              </w:rPr>
            </w:pPr>
          </w:p>
        </w:tc>
      </w:tr>
      <w:tr w:rsidR="0039681A" w:rsidRPr="0070054C" w14:paraId="4664ABC4" w14:textId="77777777" w:rsidTr="000647DD">
        <w:trPr>
          <w:trHeight w:val="309"/>
        </w:trPr>
        <w:tc>
          <w:tcPr>
            <w:tcW w:w="1135" w:type="dxa"/>
            <w:shd w:val="clear" w:color="auto" w:fill="C6EFCE"/>
            <w:noWrap/>
            <w:vAlign w:val="center"/>
          </w:tcPr>
          <w:p w14:paraId="67CCBF7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M6C2-1</w:t>
            </w:r>
          </w:p>
        </w:tc>
        <w:tc>
          <w:tcPr>
            <w:tcW w:w="2124" w:type="dxa"/>
            <w:shd w:val="clear" w:color="auto" w:fill="C6EFCE"/>
            <w:noWrap/>
            <w:vAlign w:val="center"/>
          </w:tcPr>
          <w:p w14:paraId="34DA6C82"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Revise and update the current legal framework of the Scientific Institutes for Hospitalisation and Care (IRCCS) and research policies of the Ministry of Health to strengthen the link between research, innovation and healthcare</w:t>
            </w:r>
          </w:p>
        </w:tc>
        <w:tc>
          <w:tcPr>
            <w:tcW w:w="1275" w:type="dxa"/>
            <w:shd w:val="clear" w:color="auto" w:fill="C6EFCE"/>
            <w:noWrap/>
            <w:vAlign w:val="center"/>
          </w:tcPr>
          <w:p w14:paraId="3A81921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2043" w:type="dxa"/>
            <w:shd w:val="clear" w:color="auto" w:fill="C6EFCE"/>
            <w:noWrap/>
            <w:vAlign w:val="center"/>
          </w:tcPr>
          <w:p w14:paraId="17CF490A"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legislative decree envisaging the reorganisation of the regulations governing the Scientific institutes for hospitalisation and care (IRCSS)</w:t>
            </w:r>
          </w:p>
        </w:tc>
        <w:tc>
          <w:tcPr>
            <w:tcW w:w="1630" w:type="dxa"/>
            <w:shd w:val="clear" w:color="auto" w:fill="C6EFCE"/>
            <w:noWrap/>
            <w:vAlign w:val="center"/>
          </w:tcPr>
          <w:p w14:paraId="0631CAB2"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decree indicating the entry into force</w:t>
            </w:r>
          </w:p>
        </w:tc>
        <w:tc>
          <w:tcPr>
            <w:tcW w:w="960" w:type="dxa"/>
            <w:shd w:val="clear" w:color="auto" w:fill="C6EFCE"/>
            <w:noWrap/>
            <w:vAlign w:val="center"/>
          </w:tcPr>
          <w:p w14:paraId="3F39BBC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1094" w:type="dxa"/>
            <w:shd w:val="clear" w:color="auto" w:fill="C6EFCE"/>
            <w:noWrap/>
            <w:vAlign w:val="center"/>
          </w:tcPr>
          <w:p w14:paraId="24E55BB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25" w:type="dxa"/>
            <w:shd w:val="clear" w:color="auto" w:fill="C6EFCE"/>
            <w:noWrap/>
            <w:vAlign w:val="center"/>
          </w:tcPr>
          <w:p w14:paraId="0DFD6670"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824" w:type="dxa"/>
            <w:shd w:val="clear" w:color="auto" w:fill="C6EFCE"/>
            <w:noWrap/>
            <w:vAlign w:val="center"/>
          </w:tcPr>
          <w:p w14:paraId="4D4F8511"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Q4</w:t>
            </w:r>
          </w:p>
        </w:tc>
        <w:tc>
          <w:tcPr>
            <w:tcW w:w="691" w:type="dxa"/>
            <w:shd w:val="clear" w:color="auto" w:fill="C6EFCE"/>
            <w:noWrap/>
            <w:vAlign w:val="center"/>
          </w:tcPr>
          <w:p w14:paraId="7EB0C7B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2022</w:t>
            </w:r>
          </w:p>
        </w:tc>
        <w:tc>
          <w:tcPr>
            <w:tcW w:w="2992" w:type="dxa"/>
            <w:shd w:val="clear" w:color="auto" w:fill="C6EFCE"/>
            <w:noWrap/>
            <w:vAlign w:val="center"/>
          </w:tcPr>
          <w:p w14:paraId="5EEAE949"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reform shall reorganize the network of IRCCS to improve NHS quality and excellence, improving the relationship between Health and Research, revisiting the legal regime of the IRCCS and the research policies within the competence of the Italian Ministry of Health</w:t>
            </w:r>
          </w:p>
          <w:p w14:paraId="750470B4"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lang w:val="en-IE"/>
              </w:rPr>
              <w:t>The reform includes measures to: i) strengthen the link between research, innovation and healthcare; ii) improve the governance of the public IRCCSs by enhancing the strategic management and better defining the powers and areas of competence.</w:t>
            </w:r>
          </w:p>
        </w:tc>
      </w:tr>
      <w:tr w:rsidR="0039681A" w:rsidRPr="0070054C" w14:paraId="453AC6FA" w14:textId="77777777" w:rsidTr="000647DD">
        <w:trPr>
          <w:trHeight w:val="309"/>
        </w:trPr>
        <w:tc>
          <w:tcPr>
            <w:tcW w:w="1135" w:type="dxa"/>
            <w:shd w:val="clear" w:color="auto" w:fill="C6EFCE"/>
            <w:noWrap/>
            <w:vAlign w:val="center"/>
            <w:hideMark/>
          </w:tcPr>
          <w:p w14:paraId="1F1E5A2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M6C2-2</w:t>
            </w:r>
          </w:p>
        </w:tc>
        <w:tc>
          <w:tcPr>
            <w:tcW w:w="2124" w:type="dxa"/>
            <w:shd w:val="clear" w:color="auto" w:fill="C6EFCE"/>
            <w:noWrap/>
            <w:vAlign w:val="center"/>
            <w:hideMark/>
          </w:tcPr>
          <w:p w14:paraId="6A74EC0B"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2.1: Strengthening and enhancement of the NHS biomedical research</w:t>
            </w:r>
          </w:p>
        </w:tc>
        <w:tc>
          <w:tcPr>
            <w:tcW w:w="1275" w:type="dxa"/>
            <w:shd w:val="clear" w:color="auto" w:fill="C6EFCE"/>
            <w:noWrap/>
            <w:vAlign w:val="center"/>
            <w:hideMark/>
          </w:tcPr>
          <w:p w14:paraId="2290617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043" w:type="dxa"/>
            <w:shd w:val="clear" w:color="auto" w:fill="C6EFCE"/>
            <w:noWrap/>
            <w:vAlign w:val="center"/>
            <w:hideMark/>
          </w:tcPr>
          <w:p w14:paraId="17F7517F"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Research projects funded on PoC (Proof of Concept) and rare cancers and diseases</w:t>
            </w:r>
          </w:p>
        </w:tc>
        <w:tc>
          <w:tcPr>
            <w:tcW w:w="1630" w:type="dxa"/>
            <w:shd w:val="clear" w:color="auto" w:fill="C6EFCE"/>
            <w:noWrap/>
            <w:vAlign w:val="center"/>
          </w:tcPr>
          <w:p w14:paraId="05FE2B0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60" w:type="dxa"/>
            <w:shd w:val="clear" w:color="auto" w:fill="C6EFCE"/>
            <w:noWrap/>
            <w:vAlign w:val="center"/>
            <w:hideMark/>
          </w:tcPr>
          <w:p w14:paraId="02C4DC9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094" w:type="dxa"/>
            <w:shd w:val="clear" w:color="auto" w:fill="C6EFCE"/>
            <w:noWrap/>
            <w:vAlign w:val="center"/>
            <w:hideMark/>
          </w:tcPr>
          <w:p w14:paraId="554E95A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25" w:type="dxa"/>
            <w:shd w:val="clear" w:color="auto" w:fill="C6EFCE"/>
            <w:noWrap/>
            <w:vAlign w:val="center"/>
            <w:hideMark/>
          </w:tcPr>
          <w:p w14:paraId="42CFB52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200</w:t>
            </w:r>
          </w:p>
        </w:tc>
        <w:tc>
          <w:tcPr>
            <w:tcW w:w="824" w:type="dxa"/>
            <w:shd w:val="clear" w:color="auto" w:fill="C6EFCE"/>
            <w:noWrap/>
            <w:vAlign w:val="center"/>
            <w:hideMark/>
          </w:tcPr>
          <w:p w14:paraId="3565A4A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691" w:type="dxa"/>
            <w:shd w:val="clear" w:color="auto" w:fill="C6EFCE"/>
            <w:noWrap/>
            <w:vAlign w:val="center"/>
            <w:hideMark/>
          </w:tcPr>
          <w:p w14:paraId="176BAFA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992" w:type="dxa"/>
            <w:shd w:val="clear" w:color="auto" w:fill="C6EFCE"/>
            <w:noWrap/>
            <w:vAlign w:val="center"/>
            <w:hideMark/>
          </w:tcPr>
          <w:p w14:paraId="193E90F5" w14:textId="24A6568A"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 funding to research projects in the field of rare diseases and rare cancers and Proof of Concept (PoC).</w:t>
            </w:r>
            <w:r w:rsidR="00381DB1">
              <w:rPr>
                <w:rFonts w:ascii="Arial Narrow" w:hAnsi="Arial Narrow"/>
                <w:noProof/>
                <w:color w:val="006100"/>
                <w:sz w:val="20"/>
                <w:szCs w:val="20"/>
                <w:lang w:val="en-IE"/>
              </w:rPr>
              <w:t xml:space="preserve"> </w:t>
            </w:r>
            <w:r w:rsidRPr="00A36E36">
              <w:rPr>
                <w:noProof/>
                <w:lang w:val="en-IE"/>
              </w:rPr>
              <w:br/>
            </w:r>
            <w:r w:rsidRPr="00A36E36">
              <w:rPr>
                <w:rFonts w:ascii="Arial Narrow" w:hAnsi="Arial Narrow"/>
                <w:noProof/>
                <w:color w:val="006100"/>
                <w:sz w:val="20"/>
                <w:szCs w:val="20"/>
                <w:lang w:val="en-IE"/>
              </w:rPr>
              <w:t>Granting of funding for research projects PoC and on rare diseases and rare cancers shall be undertaken through a public tender procedure.</w:t>
            </w:r>
          </w:p>
          <w:p w14:paraId="104BC114"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200 research projects shall have received a first tranche of financing.</w:t>
            </w:r>
          </w:p>
        </w:tc>
      </w:tr>
      <w:tr w:rsidR="0039681A" w:rsidRPr="0070054C" w14:paraId="1D83D176" w14:textId="77777777" w:rsidTr="000647DD">
        <w:trPr>
          <w:trHeight w:val="309"/>
        </w:trPr>
        <w:tc>
          <w:tcPr>
            <w:tcW w:w="1135" w:type="dxa"/>
            <w:shd w:val="clear" w:color="auto" w:fill="C6EFCE"/>
            <w:noWrap/>
            <w:vAlign w:val="center"/>
          </w:tcPr>
          <w:p w14:paraId="7AF02CD3"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M6C2-3</w:t>
            </w:r>
          </w:p>
        </w:tc>
        <w:tc>
          <w:tcPr>
            <w:tcW w:w="2124" w:type="dxa"/>
            <w:shd w:val="clear" w:color="auto" w:fill="C6EFCE"/>
            <w:noWrap/>
            <w:vAlign w:val="center"/>
          </w:tcPr>
          <w:p w14:paraId="6AF489D8"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2.1: Strengthening and enhancement of the NHS biomedical research</w:t>
            </w:r>
          </w:p>
        </w:tc>
        <w:tc>
          <w:tcPr>
            <w:tcW w:w="1275" w:type="dxa"/>
            <w:shd w:val="clear" w:color="auto" w:fill="C6EFCE"/>
            <w:noWrap/>
            <w:vAlign w:val="center"/>
          </w:tcPr>
          <w:p w14:paraId="42591296"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2043" w:type="dxa"/>
            <w:shd w:val="clear" w:color="auto" w:fill="C6EFCE"/>
            <w:noWrap/>
            <w:vAlign w:val="center"/>
          </w:tcPr>
          <w:p w14:paraId="6E2AECB7"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lang w:val="en-IE"/>
              </w:rPr>
              <w:t>Research projects funded on diseases with a high impact on health</w:t>
            </w:r>
          </w:p>
        </w:tc>
        <w:tc>
          <w:tcPr>
            <w:tcW w:w="1630" w:type="dxa"/>
            <w:shd w:val="clear" w:color="auto" w:fill="C6EFCE"/>
            <w:noWrap/>
            <w:vAlign w:val="center"/>
          </w:tcPr>
          <w:p w14:paraId="7FC81BB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N/A</w:t>
            </w:r>
          </w:p>
        </w:tc>
        <w:tc>
          <w:tcPr>
            <w:tcW w:w="960" w:type="dxa"/>
            <w:shd w:val="clear" w:color="auto" w:fill="C6EFCE"/>
            <w:noWrap/>
            <w:vAlign w:val="center"/>
          </w:tcPr>
          <w:p w14:paraId="3ADC49C5"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1094" w:type="dxa"/>
            <w:shd w:val="clear" w:color="auto" w:fill="C6EFCE"/>
            <w:noWrap/>
            <w:vAlign w:val="center"/>
          </w:tcPr>
          <w:p w14:paraId="3006E20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0</w:t>
            </w:r>
          </w:p>
        </w:tc>
        <w:tc>
          <w:tcPr>
            <w:tcW w:w="825" w:type="dxa"/>
            <w:shd w:val="clear" w:color="auto" w:fill="C6EFCE"/>
            <w:noWrap/>
            <w:vAlign w:val="center"/>
          </w:tcPr>
          <w:p w14:paraId="13193F98"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324</w:t>
            </w:r>
          </w:p>
        </w:tc>
        <w:tc>
          <w:tcPr>
            <w:tcW w:w="824" w:type="dxa"/>
            <w:shd w:val="clear" w:color="auto" w:fill="C6EFCE"/>
            <w:noWrap/>
            <w:vAlign w:val="center"/>
          </w:tcPr>
          <w:p w14:paraId="4AA96E07"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691" w:type="dxa"/>
            <w:shd w:val="clear" w:color="auto" w:fill="C6EFCE"/>
            <w:noWrap/>
            <w:vAlign w:val="center"/>
          </w:tcPr>
          <w:p w14:paraId="60EEEB24"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rPr>
              <w:t>2025</w:t>
            </w:r>
          </w:p>
        </w:tc>
        <w:tc>
          <w:tcPr>
            <w:tcW w:w="2992" w:type="dxa"/>
            <w:shd w:val="clear" w:color="auto" w:fill="C6EFCE"/>
            <w:noWrap/>
            <w:vAlign w:val="center"/>
          </w:tcPr>
          <w:p w14:paraId="48BFB3CC" w14:textId="2D11C3AF"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 funding to research projects in diseases with a high impact on health.</w:t>
            </w:r>
            <w:r w:rsidR="00381DB1">
              <w:rPr>
                <w:rFonts w:ascii="Arial Narrow" w:hAnsi="Arial Narrow"/>
                <w:noProof/>
                <w:lang w:val="en-IE"/>
              </w:rPr>
              <w:t xml:space="preserve"> </w:t>
            </w:r>
            <w:r w:rsidRPr="00A36E36">
              <w:rPr>
                <w:noProof/>
                <w:lang w:val="en-IE"/>
              </w:rPr>
              <w:br/>
            </w:r>
            <w:r w:rsidRPr="00A36E36">
              <w:rPr>
                <w:rFonts w:ascii="Arial Narrow" w:hAnsi="Arial Narrow"/>
                <w:noProof/>
                <w:color w:val="006100"/>
                <w:sz w:val="20"/>
                <w:szCs w:val="20"/>
                <w:lang w:val="en-IE"/>
              </w:rPr>
              <w:t>Granting of funding for research projects on diseases with a high impact on health shall be undertaken through a public tender procedure.</w:t>
            </w:r>
          </w:p>
          <w:p w14:paraId="7D616C47"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At least 324 research projects shall have received a first tranche of financing.</w:t>
            </w:r>
          </w:p>
        </w:tc>
      </w:tr>
      <w:tr w:rsidR="0039681A" w:rsidRPr="0070054C" w14:paraId="325C41E4" w14:textId="77777777" w:rsidTr="000647D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76479"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M6C2-16</w:t>
            </w:r>
          </w:p>
        </w:tc>
        <w:tc>
          <w:tcPr>
            <w:tcW w:w="2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6502B" w14:textId="77777777"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Investment 2.2: Development of technical-professional, digital and managerial skills of professionals in the healthcare system</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5E7622"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Target</w:t>
            </w:r>
          </w:p>
        </w:tc>
        <w:tc>
          <w:tcPr>
            <w:tcW w:w="20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6E180" w14:textId="40888782"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Training</w:t>
            </w:r>
            <w:r>
              <w:rPr>
                <w:rFonts w:ascii="Arial Narrow" w:hAnsi="Arial Narrow"/>
                <w:noProof/>
                <w:color w:val="006100"/>
                <w:sz w:val="20"/>
                <w:lang w:val="en-IE"/>
              </w:rPr>
              <w:t>s</w:t>
            </w:r>
            <w:r w:rsidRPr="00A36E36">
              <w:rPr>
                <w:rFonts w:ascii="Arial Narrow" w:hAnsi="Arial Narrow"/>
                <w:noProof/>
                <w:color w:val="006100"/>
                <w:sz w:val="20"/>
                <w:lang w:val="en-IE"/>
              </w:rPr>
              <w:t xml:space="preserve"> on managerial and digital skills</w:t>
            </w:r>
            <w:r>
              <w:rPr>
                <w:rFonts w:ascii="Arial Narrow" w:hAnsi="Arial Narrow"/>
                <w:noProof/>
                <w:color w:val="006100"/>
                <w:sz w:val="20"/>
                <w:lang w:val="en-IE"/>
              </w:rPr>
              <w:t xml:space="preserve"> as well as trainings on safety in terms of hospital infections</w:t>
            </w:r>
            <w:r w:rsidRPr="00A36E36">
              <w:rPr>
                <w:rFonts w:ascii="Arial Narrow" w:hAnsi="Arial Narrow"/>
                <w:noProof/>
                <w:color w:val="006100"/>
                <w:sz w:val="20"/>
                <w:lang w:val="en-IE"/>
              </w:rPr>
              <w:t xml:space="preserve"> for</w:t>
            </w:r>
            <w:r w:rsidR="00381DB1">
              <w:rPr>
                <w:rFonts w:ascii="Arial Narrow" w:hAnsi="Arial Narrow"/>
                <w:noProof/>
                <w:color w:val="006100"/>
                <w:sz w:val="20"/>
                <w:lang w:val="en-IE"/>
              </w:rPr>
              <w:t xml:space="preserve"> </w:t>
            </w:r>
            <w:r>
              <w:rPr>
                <w:rFonts w:ascii="Arial Narrow" w:hAnsi="Arial Narrow"/>
                <w:noProof/>
                <w:color w:val="006100"/>
                <w:sz w:val="20"/>
                <w:lang w:val="en-IE"/>
              </w:rPr>
              <w:t>employees of the National Health Service</w:t>
            </w:r>
          </w:p>
        </w:tc>
        <w:tc>
          <w:tcPr>
            <w:tcW w:w="163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65BBC0"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07CD5"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Number</w:t>
            </w:r>
          </w:p>
        </w:tc>
        <w:tc>
          <w:tcPr>
            <w:tcW w:w="10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21C72D"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0</w:t>
            </w:r>
          </w:p>
        </w:tc>
        <w:tc>
          <w:tcPr>
            <w:tcW w:w="8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E2F458"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4 500</w:t>
            </w:r>
          </w:p>
        </w:tc>
        <w:tc>
          <w:tcPr>
            <w:tcW w:w="8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C4BC7E"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6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801685"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2026</w:t>
            </w:r>
          </w:p>
        </w:tc>
        <w:tc>
          <w:tcPr>
            <w:tcW w:w="2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CE9F8" w14:textId="6A9F26D5" w:rsidR="0039681A"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Certificates of attendance in training courses on managerial or digital skills for 4</w:t>
            </w:r>
            <w:r w:rsidR="00527590">
              <w:rPr>
                <w:rFonts w:ascii="Arial Narrow" w:hAnsi="Arial Narrow"/>
                <w:noProof/>
                <w:color w:val="006100"/>
                <w:sz w:val="20"/>
                <w:szCs w:val="20"/>
                <w:lang w:val="en-IE"/>
              </w:rPr>
              <w:t> </w:t>
            </w:r>
            <w:r w:rsidRPr="00A36E36">
              <w:rPr>
                <w:rFonts w:ascii="Arial Narrow" w:hAnsi="Arial Narrow"/>
                <w:noProof/>
                <w:color w:val="006100"/>
                <w:sz w:val="20"/>
                <w:szCs w:val="20"/>
                <w:lang w:val="en-IE"/>
              </w:rPr>
              <w:t xml:space="preserve">500 employees of the National Health Service. </w:t>
            </w:r>
          </w:p>
          <w:p w14:paraId="4CD8C076" w14:textId="62C4AA77" w:rsidR="0039681A" w:rsidRPr="00A36E36" w:rsidRDefault="0039681A">
            <w:pPr>
              <w:rPr>
                <w:rFonts w:ascii="Arial Narrow" w:hAnsi="Arial Narrow"/>
                <w:noProof/>
                <w:color w:val="006100"/>
                <w:sz w:val="20"/>
                <w:szCs w:val="20"/>
                <w:lang w:val="en-IE"/>
              </w:rPr>
            </w:pPr>
            <w:r>
              <w:rPr>
                <w:rFonts w:ascii="Arial Narrow" w:hAnsi="Arial Narrow"/>
                <w:noProof/>
                <w:color w:val="006100"/>
                <w:sz w:val="20"/>
                <w:szCs w:val="20"/>
                <w:lang w:val="en-IE"/>
              </w:rPr>
              <w:t>Publication of a list of at least 290</w:t>
            </w:r>
            <w:r w:rsidR="00527590">
              <w:rPr>
                <w:rFonts w:ascii="Arial Narrow" w:hAnsi="Arial Narrow"/>
                <w:noProof/>
                <w:color w:val="006100"/>
                <w:sz w:val="20"/>
                <w:szCs w:val="20"/>
                <w:lang w:val="en-IE"/>
              </w:rPr>
              <w:t> </w:t>
            </w:r>
            <w:r>
              <w:rPr>
                <w:rFonts w:ascii="Arial Narrow" w:hAnsi="Arial Narrow"/>
                <w:noProof/>
                <w:color w:val="006100"/>
                <w:sz w:val="20"/>
                <w:szCs w:val="20"/>
                <w:lang w:val="en-IE"/>
              </w:rPr>
              <w:t>000 employees of the National Health Service that have been enrolled for trainings on safety in terms of hospital infections.</w:t>
            </w:r>
          </w:p>
        </w:tc>
      </w:tr>
      <w:tr w:rsidR="0039681A" w:rsidRPr="0070054C" w14:paraId="3B463DA9" w14:textId="77777777" w:rsidTr="000647DD">
        <w:trPr>
          <w:trHeight w:val="309"/>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588532"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M6C2-17</w:t>
            </w:r>
          </w:p>
        </w:tc>
        <w:tc>
          <w:tcPr>
            <w:tcW w:w="21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FA9FF1" w14:textId="77777777" w:rsidR="0039681A" w:rsidRPr="00A36E36" w:rsidRDefault="0039681A">
            <w:pPr>
              <w:jc w:val="center"/>
              <w:rPr>
                <w:rFonts w:ascii="Arial Narrow" w:hAnsi="Arial Narrow"/>
                <w:noProof/>
                <w:color w:val="006100"/>
                <w:sz w:val="20"/>
                <w:lang w:val="en-IE"/>
              </w:rPr>
            </w:pPr>
            <w:r w:rsidRPr="00A36E36">
              <w:rPr>
                <w:rFonts w:ascii="Arial Narrow" w:hAnsi="Arial Narrow"/>
                <w:noProof/>
                <w:color w:val="006100"/>
                <w:sz w:val="20"/>
                <w:lang w:val="en-IE"/>
              </w:rPr>
              <w:t>Investment 2.2: Development of technical-professional, digital and managerial skills of professionals in the healthcare system</w:t>
            </w:r>
          </w:p>
        </w:tc>
        <w:tc>
          <w:tcPr>
            <w:tcW w:w="127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D68CAF" w14:textId="77777777" w:rsidR="0039681A" w:rsidRPr="00647572" w:rsidRDefault="0039681A">
            <w:pPr>
              <w:jc w:val="center"/>
              <w:rPr>
                <w:rFonts w:ascii="Arial Narrow" w:hAnsi="Arial Narrow"/>
                <w:noProof/>
                <w:color w:val="006100"/>
                <w:sz w:val="20"/>
              </w:rPr>
            </w:pPr>
            <w:r w:rsidRPr="00647572" w:rsidDel="11EE4039">
              <w:rPr>
                <w:rFonts w:ascii="Arial Narrow" w:hAnsi="Arial Narrow"/>
                <w:noProof/>
                <w:color w:val="006100"/>
                <w:sz w:val="20"/>
              </w:rPr>
              <w:t>Target</w:t>
            </w:r>
          </w:p>
        </w:tc>
        <w:tc>
          <w:tcPr>
            <w:tcW w:w="20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DFEEE3" w14:textId="77777777" w:rsidR="0039681A" w:rsidRPr="00A36E36" w:rsidRDefault="0039681A">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Award of medical specialist training contracts</w:t>
            </w:r>
          </w:p>
        </w:tc>
        <w:tc>
          <w:tcPr>
            <w:tcW w:w="163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DC6815"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N/A</w:t>
            </w:r>
          </w:p>
        </w:tc>
        <w:tc>
          <w:tcPr>
            <w:tcW w:w="9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91E3F1" w14:textId="77777777" w:rsidR="0039681A" w:rsidRPr="00647572" w:rsidRDefault="0039681A">
            <w:pPr>
              <w:jc w:val="center"/>
              <w:rPr>
                <w:rFonts w:ascii="Arial Narrow" w:hAnsi="Arial Narrow"/>
                <w:noProof/>
                <w:color w:val="006100"/>
                <w:sz w:val="20"/>
              </w:rPr>
            </w:pPr>
            <w:r w:rsidRPr="00647572" w:rsidDel="11EE4039">
              <w:rPr>
                <w:rFonts w:ascii="Arial Narrow" w:hAnsi="Arial Narrow"/>
                <w:noProof/>
                <w:color w:val="006100"/>
                <w:sz w:val="20"/>
              </w:rPr>
              <w:t>Number</w:t>
            </w:r>
          </w:p>
        </w:tc>
        <w:tc>
          <w:tcPr>
            <w:tcW w:w="109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E26720"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0</w:t>
            </w:r>
          </w:p>
        </w:tc>
        <w:tc>
          <w:tcPr>
            <w:tcW w:w="8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9AF08B" w14:textId="77777777" w:rsidR="0039681A" w:rsidRPr="00647572" w:rsidRDefault="0039681A">
            <w:pPr>
              <w:jc w:val="center"/>
              <w:rPr>
                <w:rFonts w:ascii="Arial Narrow" w:hAnsi="Arial Narrow"/>
                <w:noProof/>
                <w:color w:val="006100"/>
                <w:sz w:val="20"/>
              </w:rPr>
            </w:pPr>
            <w:r w:rsidRPr="00647572" w:rsidDel="11EE4039">
              <w:rPr>
                <w:rFonts w:ascii="Arial Narrow" w:hAnsi="Arial Narrow"/>
                <w:noProof/>
                <w:color w:val="006100"/>
                <w:sz w:val="20"/>
              </w:rPr>
              <w:t>4 200</w:t>
            </w:r>
          </w:p>
        </w:tc>
        <w:tc>
          <w:tcPr>
            <w:tcW w:w="82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0AEDF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Q</w:t>
            </w:r>
            <w:r>
              <w:rPr>
                <w:rFonts w:ascii="Arial Narrow" w:hAnsi="Arial Narrow"/>
                <w:noProof/>
                <w:color w:val="006100"/>
                <w:sz w:val="20"/>
                <w:szCs w:val="20"/>
              </w:rPr>
              <w:t>4</w:t>
            </w:r>
          </w:p>
        </w:tc>
        <w:tc>
          <w:tcPr>
            <w:tcW w:w="69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591FE3" w14:textId="77777777" w:rsidR="0039681A" w:rsidRPr="00647572" w:rsidRDefault="0039681A">
            <w:pPr>
              <w:jc w:val="center"/>
              <w:rPr>
                <w:rFonts w:ascii="Arial Narrow" w:hAnsi="Arial Narrow"/>
                <w:noProof/>
                <w:color w:val="006100"/>
                <w:sz w:val="20"/>
              </w:rPr>
            </w:pPr>
            <w:r w:rsidRPr="00647572">
              <w:rPr>
                <w:rFonts w:ascii="Arial Narrow" w:hAnsi="Arial Narrow"/>
                <w:noProof/>
                <w:color w:val="006100"/>
                <w:sz w:val="20"/>
              </w:rPr>
              <w:t>202</w:t>
            </w:r>
            <w:r>
              <w:rPr>
                <w:rFonts w:ascii="Arial Narrow" w:hAnsi="Arial Narrow"/>
                <w:noProof/>
                <w:color w:val="006100"/>
                <w:sz w:val="20"/>
              </w:rPr>
              <w:t>5</w:t>
            </w:r>
          </w:p>
        </w:tc>
        <w:tc>
          <w:tcPr>
            <w:tcW w:w="2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90F8C"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w:t>
            </w:r>
            <w:r w:rsidRPr="00A36E36" w:rsidDel="11EE4039">
              <w:rPr>
                <w:rFonts w:ascii="Arial Narrow" w:hAnsi="Arial Narrow"/>
                <w:noProof/>
                <w:color w:val="006100"/>
                <w:sz w:val="20"/>
                <w:szCs w:val="20"/>
                <w:lang w:val="en-IE"/>
              </w:rPr>
              <w:t xml:space="preserve"> 4 200</w:t>
            </w:r>
            <w:r w:rsidRPr="00A36E36">
              <w:rPr>
                <w:rFonts w:ascii="Arial Narrow" w:hAnsi="Arial Narrow"/>
                <w:noProof/>
                <w:color w:val="006100"/>
                <w:sz w:val="20"/>
                <w:szCs w:val="20"/>
                <w:lang w:val="en-IE"/>
              </w:rPr>
              <w:t xml:space="preserve"> medical specialist </w:t>
            </w:r>
            <w:r w:rsidRPr="00A36E36" w:rsidDel="11EE4039">
              <w:rPr>
                <w:rFonts w:ascii="Arial Narrow" w:hAnsi="Arial Narrow"/>
                <w:noProof/>
                <w:color w:val="006100"/>
                <w:sz w:val="20"/>
                <w:szCs w:val="20"/>
                <w:lang w:val="en-IE"/>
              </w:rPr>
              <w:t>training contracts</w:t>
            </w:r>
            <w:r>
              <w:rPr>
                <w:rFonts w:ascii="Arial Narrow" w:hAnsi="Arial Narrow"/>
                <w:noProof/>
                <w:color w:val="006100"/>
                <w:sz w:val="20"/>
                <w:szCs w:val="20"/>
                <w:lang w:val="en-IE"/>
              </w:rPr>
              <w:t>.</w:t>
            </w:r>
          </w:p>
        </w:tc>
      </w:tr>
    </w:tbl>
    <w:p w14:paraId="10B84108" w14:textId="77777777" w:rsidR="0039681A" w:rsidRPr="00A36E36" w:rsidRDefault="0039681A" w:rsidP="00351087">
      <w:pPr>
        <w:tabs>
          <w:tab w:val="left" w:pos="12500"/>
        </w:tabs>
        <w:rPr>
          <w:rFonts w:ascii="Times New Roman" w:hAnsi="Times New Roman" w:cs="Times New Roman"/>
          <w:noProof/>
          <w:lang w:val="en-IE"/>
        </w:rPr>
      </w:pPr>
      <w:r>
        <w:rPr>
          <w:rFonts w:ascii="Times New Roman" w:hAnsi="Times New Roman" w:cs="Times New Roman"/>
          <w:noProof/>
          <w:lang w:val="en-IE"/>
        </w:rPr>
        <w:tab/>
      </w:r>
    </w:p>
    <w:p w14:paraId="07A39212" w14:textId="77777777" w:rsidR="0039681A" w:rsidRPr="00A36E36" w:rsidRDefault="0039681A" w:rsidP="00351087">
      <w:pPr>
        <w:tabs>
          <w:tab w:val="left" w:pos="12500"/>
        </w:tabs>
        <w:rPr>
          <w:rFonts w:ascii="Times New Roman" w:hAnsi="Times New Roman" w:cs="Times New Roman"/>
          <w:noProof/>
          <w:lang w:val="en-IE"/>
        </w:rPr>
        <w:sectPr w:rsidR="0039681A" w:rsidRPr="00A36E36" w:rsidSect="0039681A">
          <w:headerReference w:type="even" r:id="rId241"/>
          <w:headerReference w:type="default" r:id="rId242"/>
          <w:footerReference w:type="default" r:id="rId243"/>
          <w:headerReference w:type="first" r:id="rId244"/>
          <w:pgSz w:w="16838" w:h="11906" w:orient="landscape"/>
          <w:pgMar w:top="1134" w:right="1134" w:bottom="1134" w:left="1134" w:header="567" w:footer="567" w:gutter="0"/>
          <w:cols w:space="708"/>
          <w:docGrid w:linePitch="360"/>
        </w:sectPr>
      </w:pPr>
      <w:r>
        <w:rPr>
          <w:rFonts w:ascii="Times New Roman" w:hAnsi="Times New Roman" w:cs="Times New Roman"/>
          <w:noProof/>
          <w:lang w:val="en-IE"/>
        </w:rPr>
        <w:tab/>
      </w:r>
    </w:p>
    <w:p w14:paraId="29277EED" w14:textId="77777777" w:rsidR="0039681A" w:rsidRPr="00A36E36" w:rsidRDefault="0039681A" w:rsidP="00351087">
      <w:pPr>
        <w:pStyle w:val="Heading3"/>
        <w:ind w:left="850" w:hanging="850"/>
        <w:rPr>
          <w:rFonts w:ascii="Times New Roman" w:hAnsi="Times New Roman" w:cs="Times New Roman"/>
          <w:b/>
          <w:bCs/>
          <w:i/>
          <w:iCs/>
          <w:noProof/>
          <w:color w:val="156082" w:themeColor="accent1"/>
          <w:sz w:val="24"/>
          <w:szCs w:val="24"/>
          <w:u w:val="single"/>
          <w:lang w:val="en-IE"/>
        </w:rPr>
      </w:pPr>
      <w:r w:rsidRPr="00A36E36">
        <w:rPr>
          <w:rFonts w:ascii="Times New Roman" w:hAnsi="Times New Roman" w:cs="Times New Roman"/>
          <w:b/>
          <w:noProof/>
          <w:sz w:val="24"/>
          <w:szCs w:val="24"/>
          <w:u w:val="single"/>
          <w:lang w:val="en-IE"/>
        </w:rPr>
        <w:t xml:space="preserve">P.3.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Description of the reforms and investments for the loan </w:t>
      </w:r>
    </w:p>
    <w:p w14:paraId="6B3D2163"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1.1: Digital update of hospitals’ technological equipment</w:t>
      </w:r>
    </w:p>
    <w:p w14:paraId="2336C442" w14:textId="7777777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The objective of the measure is to enhance health staff productivity, improve the quality of processes, ensuring patient safety and high-quality service delivery. </w:t>
      </w:r>
    </w:p>
    <w:p w14:paraId="0713E408" w14:textId="33F70700" w:rsidR="0039681A" w:rsidRPr="00A36E36" w:rsidRDefault="0039681A" w:rsidP="00351087">
      <w:pPr>
        <w:spacing w:before="120" w:after="120"/>
        <w:jc w:val="both"/>
        <w:rPr>
          <w:rFonts w:ascii="Times New Roman" w:hAnsi="Times New Roman" w:cs="Times New Roman"/>
          <w:noProof/>
          <w:lang w:val="en-IE"/>
        </w:rPr>
      </w:pPr>
      <w:r w:rsidRPr="0AE0C8C9">
        <w:rPr>
          <w:rFonts w:ascii="Times New Roman" w:hAnsi="Times New Roman" w:cs="Times New Roman"/>
          <w:noProof/>
          <w:lang w:val="en-IE"/>
        </w:rPr>
        <w:t>The investment consists in the modernisation of</w:t>
      </w:r>
      <w:r w:rsidR="00381DB1">
        <w:rPr>
          <w:rFonts w:ascii="Times New Roman" w:hAnsi="Times New Roman" w:cs="Times New Roman"/>
          <w:noProof/>
          <w:lang w:val="en-IE"/>
        </w:rPr>
        <w:t xml:space="preserve"> </w:t>
      </w:r>
      <w:r w:rsidRPr="0AE0C8C9">
        <w:rPr>
          <w:rFonts w:ascii="Times New Roman" w:hAnsi="Times New Roman" w:cs="Times New Roman"/>
          <w:noProof/>
          <w:lang w:val="en-IE"/>
        </w:rPr>
        <w:t xml:space="preserve">healthcare equipment, the informatisation of the processes of hospitals with a first and second level Emergency Department (“Dipartimenti Emergenza e Accettazione”, DEA), and the </w:t>
      </w:r>
      <w:r>
        <w:rPr>
          <w:rFonts w:ascii="Times New Roman" w:hAnsi="Times New Roman" w:cs="Times New Roman"/>
          <w:noProof/>
          <w:lang w:val="en-IE"/>
        </w:rPr>
        <w:t>provision or conversion</w:t>
      </w:r>
      <w:r w:rsidRPr="0AE0C8C9">
        <w:rPr>
          <w:rFonts w:ascii="Times New Roman" w:hAnsi="Times New Roman" w:cs="Times New Roman"/>
          <w:noProof/>
          <w:lang w:val="en-IE"/>
        </w:rPr>
        <w:t xml:space="preserve"> of beds in intensive </w:t>
      </w:r>
      <w:r w:rsidR="009674CE">
        <w:rPr>
          <w:rFonts w:ascii="Times New Roman" w:hAnsi="Times New Roman" w:cs="Times New Roman"/>
          <w:noProof/>
          <w:lang w:val="en-IE"/>
        </w:rPr>
        <w:t xml:space="preserve">care units </w:t>
      </w:r>
      <w:r w:rsidRPr="0AE0C8C9">
        <w:rPr>
          <w:rFonts w:ascii="Times New Roman" w:hAnsi="Times New Roman" w:cs="Times New Roman"/>
          <w:noProof/>
          <w:lang w:val="en-IE"/>
        </w:rPr>
        <w:t>and semi-intensive care in National Health Service hospitals.</w:t>
      </w:r>
    </w:p>
    <w:p w14:paraId="211FC865" w14:textId="77777777" w:rsidR="0039681A" w:rsidRPr="00A36E36" w:rsidRDefault="0039681A" w:rsidP="00351087">
      <w:pPr>
        <w:spacing w:before="120" w:after="120"/>
        <w:jc w:val="both"/>
        <w:rPr>
          <w:rFonts w:ascii="Times New Roman" w:hAnsi="Times New Roman" w:cs="Times New Roman"/>
          <w:b/>
          <w:noProof/>
          <w:lang w:val="en-IE"/>
        </w:rPr>
      </w:pPr>
      <w:r w:rsidRPr="00A36E36">
        <w:rPr>
          <w:rFonts w:ascii="Times New Roman" w:hAnsi="Times New Roman" w:cs="Times New Roman"/>
          <w:b/>
          <w:noProof/>
          <w:lang w:val="en-IE"/>
        </w:rPr>
        <w:t>Investment 1.2: Toward a safe and sustainable hospital</w:t>
      </w:r>
    </w:p>
    <w:p w14:paraId="5B579B17" w14:textId="189C0E35" w:rsidR="0039681A" w:rsidRPr="00A36E36" w:rsidRDefault="0039681A" w:rsidP="00351087">
      <w:pPr>
        <w:spacing w:before="120" w:after="120"/>
        <w:jc w:val="both"/>
        <w:rPr>
          <w:rFonts w:ascii="Times New Roman" w:hAnsi="Times New Roman" w:cs="Times New Roman"/>
          <w:noProof/>
          <w:lang w:val="en-IE"/>
        </w:rPr>
      </w:pPr>
      <w:r w:rsidRPr="2663C1A6">
        <w:rPr>
          <w:rFonts w:ascii="Times New Roman" w:hAnsi="Times New Roman" w:cs="Times New Roman"/>
          <w:noProof/>
          <w:lang w:val="en-IE"/>
        </w:rPr>
        <w:t xml:space="preserve">The </w:t>
      </w:r>
      <w:r w:rsidRPr="2663C1A6">
        <w:rPr>
          <w:rFonts w:ascii="Times New Roman" w:eastAsia="Times New Roman" w:hAnsi="Times New Roman" w:cs="Times New Roman"/>
          <w:noProof/>
          <w:lang w:val="en-IE"/>
        </w:rPr>
        <w:t>objective of this measure is</w:t>
      </w:r>
      <w:r w:rsidRPr="2663C1A6">
        <w:rPr>
          <w:rFonts w:ascii="Times New Roman" w:hAnsi="Times New Roman" w:cs="Times New Roman"/>
          <w:noProof/>
          <w:lang w:val="en-IE"/>
        </w:rPr>
        <w:t xml:space="preserve"> to increase hospital safety </w:t>
      </w:r>
      <w:r w:rsidRPr="00AF5341">
        <w:rPr>
          <w:rFonts w:ascii="Times New Roman" w:eastAsia="Times New Roman" w:hAnsi="Times New Roman" w:cs="Times New Roman"/>
          <w:noProof/>
          <w:color w:val="000000" w:themeColor="text1"/>
          <w:lang w:val="en-IE" w:eastAsia="en-IE"/>
        </w:rPr>
        <w:t>or modernization of healthcare facilities. The measure consists in anti-seismic</w:t>
      </w:r>
      <w:r w:rsidRPr="2663C1A6">
        <w:rPr>
          <w:rFonts w:ascii="Times New Roman" w:eastAsia="Times New Roman" w:hAnsi="Times New Roman" w:cs="Times New Roman"/>
          <w:noProof/>
          <w:color w:val="000000" w:themeColor="text1"/>
          <w:lang w:val="en-IE" w:eastAsia="en-IE"/>
        </w:rPr>
        <w:t xml:space="preserve"> </w:t>
      </w:r>
      <w:r w:rsidRPr="00AF5341">
        <w:rPr>
          <w:rFonts w:ascii="Times New Roman" w:eastAsia="Times New Roman" w:hAnsi="Times New Roman" w:cs="Times New Roman"/>
          <w:noProof/>
          <w:color w:val="000000" w:themeColor="text1"/>
          <w:lang w:val="en-IE" w:eastAsia="en-IE"/>
        </w:rPr>
        <w:t>interventions</w:t>
      </w:r>
      <w:r w:rsidRPr="2663C1A6">
        <w:rPr>
          <w:rFonts w:ascii="Times New Roman" w:eastAsia="Times New Roman" w:hAnsi="Times New Roman" w:cs="Times New Roman"/>
          <w:noProof/>
          <w:color w:val="000000" w:themeColor="text1"/>
          <w:lang w:val="en-IE" w:eastAsia="en-IE"/>
        </w:rPr>
        <w:t xml:space="preserve"> or interventions under Article 20 of Law 67/88</w:t>
      </w:r>
      <w:r w:rsidRPr="00AF5341">
        <w:rPr>
          <w:rFonts w:ascii="Times New Roman" w:eastAsia="Times New Roman" w:hAnsi="Times New Roman" w:cs="Times New Roman"/>
          <w:noProof/>
          <w:color w:val="000000" w:themeColor="text1"/>
          <w:lang w:val="en-IE" w:eastAsia="en-IE"/>
        </w:rPr>
        <w:t xml:space="preserve"> in healthcare facilities.</w:t>
      </w:r>
      <w:r w:rsidRPr="2663C1A6">
        <w:rPr>
          <w:rFonts w:ascii="Times New Roman" w:hAnsi="Times New Roman" w:cs="Times New Roman"/>
          <w:noProof/>
          <w:lang w:val="en-IE"/>
        </w:rPr>
        <w:t xml:space="preserve"> </w:t>
      </w:r>
    </w:p>
    <w:p w14:paraId="4AE5975F" w14:textId="77777777" w:rsidR="0039681A" w:rsidRPr="00A36E36" w:rsidRDefault="0039681A" w:rsidP="00351087">
      <w:pPr>
        <w:spacing w:before="120" w:after="120" w:line="278" w:lineRule="auto"/>
        <w:jc w:val="both"/>
        <w:rPr>
          <w:rFonts w:ascii="Times New Roman" w:hAnsi="Times New Roman" w:cs="Times New Roman"/>
          <w:b/>
          <w:bCs/>
          <w:noProof/>
          <w:lang w:val="en-IE"/>
        </w:rPr>
      </w:pPr>
      <w:r w:rsidRPr="00A36E36">
        <w:rPr>
          <w:rFonts w:ascii="Times New Roman" w:hAnsi="Times New Roman" w:cs="Times New Roman"/>
          <w:b/>
          <w:bCs/>
          <w:noProof/>
          <w:lang w:val="en-IE"/>
        </w:rPr>
        <w:t>Investment 1.3: Strengthening of the technological infrastructure and of the tools for data collection, data processing, data analysis and simulation</w:t>
      </w:r>
    </w:p>
    <w:p w14:paraId="64ED056E" w14:textId="77777777" w:rsidR="0039681A" w:rsidRPr="00A36E36" w:rsidRDefault="0039681A" w:rsidP="00351087">
      <w:pPr>
        <w:spacing w:before="120" w:after="120"/>
        <w:jc w:val="both"/>
        <w:rPr>
          <w:rFonts w:ascii="Times New Roman" w:hAnsi="Times New Roman" w:cs="Times New Roman"/>
          <w:noProof/>
          <w:u w:val="single"/>
          <w:lang w:val="en-IE"/>
        </w:rPr>
      </w:pPr>
      <w:r w:rsidRPr="00A36E36">
        <w:rPr>
          <w:rFonts w:ascii="Times New Roman" w:hAnsi="Times New Roman" w:cs="Times New Roman"/>
          <w:noProof/>
          <w:lang w:val="en-IE"/>
        </w:rPr>
        <w:t xml:space="preserve">The </w:t>
      </w:r>
      <w:r w:rsidRPr="00A36E36">
        <w:rPr>
          <w:rFonts w:ascii="Times New Roman" w:eastAsia="Times New Roman" w:hAnsi="Times New Roman" w:cs="Times New Roman"/>
          <w:noProof/>
          <w:lang w:val="en-IE"/>
        </w:rPr>
        <w:t>objective of this measure is</w:t>
      </w:r>
      <w:r w:rsidRPr="00A36E36">
        <w:rPr>
          <w:rFonts w:ascii="Times New Roman" w:hAnsi="Times New Roman" w:cs="Times New Roman"/>
          <w:noProof/>
          <w:lang w:val="en-IE"/>
        </w:rPr>
        <w:t xml:space="preserve"> to enhance care delivery, healthcare analytics and predictive capacity of the Italian NHS. The investment consists in increasing the usage of the existing Electronic Health Records (EHR) and reinforcing the technological and analytics infrastructure of the Ministry of Health.</w:t>
      </w:r>
    </w:p>
    <w:p w14:paraId="73F638B4" w14:textId="77777777" w:rsidR="0039681A" w:rsidRPr="00A36E36" w:rsidRDefault="0039681A" w:rsidP="00351087">
      <w:pPr>
        <w:spacing w:before="120" w:after="120"/>
        <w:jc w:val="both"/>
        <w:rPr>
          <w:rFonts w:ascii="Times New Roman" w:hAnsi="Times New Roman" w:cs="Times New Roman"/>
          <w:b/>
          <w:bCs/>
          <w:noProof/>
          <w:lang w:val="en-IE"/>
        </w:rPr>
      </w:pPr>
      <w:r w:rsidRPr="00A36E36">
        <w:rPr>
          <w:rFonts w:ascii="Times New Roman" w:hAnsi="Times New Roman" w:cs="Times New Roman"/>
          <w:b/>
          <w:bCs/>
          <w:noProof/>
          <w:lang w:val="en-IE"/>
        </w:rPr>
        <w:t>Investment 2.2: Development of technical-professional, digital and managerial skills of professionals in the healthcare system</w:t>
      </w:r>
    </w:p>
    <w:p w14:paraId="47EA593C" w14:textId="35A2F1B7" w:rsidR="0039681A" w:rsidRPr="00A36E36" w:rsidRDefault="0039681A" w:rsidP="00351087">
      <w:pPr>
        <w:spacing w:before="120"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measure has the objective of boosting the investment in training and skills related to the healthcare system. This investment consists in increasing scholarships for the specific course in general medicine; increasing the number of awarded medical specialist training contracts; trainings on managerial or digital skills for employees of the NHS as well as trainings on safety in terms of hospital infections for </w:t>
      </w:r>
      <w:r>
        <w:rPr>
          <w:rFonts w:ascii="Times New Roman" w:hAnsi="Times New Roman" w:cs="Times New Roman"/>
          <w:noProof/>
          <w:lang w:val="en-IE"/>
        </w:rPr>
        <w:t xml:space="preserve">employees of the </w:t>
      </w:r>
      <w:r w:rsidRPr="00A36E36">
        <w:rPr>
          <w:rFonts w:ascii="Times New Roman" w:hAnsi="Times New Roman" w:cs="Times New Roman"/>
          <w:noProof/>
          <w:lang w:val="en-IE"/>
        </w:rPr>
        <w:t>NHS.</w:t>
      </w:r>
    </w:p>
    <w:p w14:paraId="046E38C7" w14:textId="77777777" w:rsidR="0039681A" w:rsidRPr="00A36E36" w:rsidRDefault="0039681A" w:rsidP="00351087">
      <w:pPr>
        <w:tabs>
          <w:tab w:val="left" w:pos="4666"/>
        </w:tabs>
        <w:rPr>
          <w:rFonts w:ascii="Times New Roman" w:hAnsi="Times New Roman" w:cs="Times New Roman"/>
          <w:noProof/>
          <w:lang w:val="en-IE"/>
        </w:rPr>
      </w:pPr>
    </w:p>
    <w:p w14:paraId="1384E5F0" w14:textId="77777777" w:rsidR="0039681A" w:rsidRPr="00A36E36" w:rsidRDefault="0039681A" w:rsidP="00351087">
      <w:pPr>
        <w:spacing w:before="120" w:after="120"/>
        <w:jc w:val="both"/>
        <w:rPr>
          <w:rFonts w:ascii="Times New Roman" w:hAnsi="Times New Roman" w:cs="Times New Roman"/>
          <w:noProof/>
          <w:lang w:val="en-IE"/>
        </w:rPr>
        <w:sectPr w:rsidR="0039681A" w:rsidRPr="00A36E36" w:rsidSect="0039681A">
          <w:headerReference w:type="even" r:id="rId245"/>
          <w:headerReference w:type="default" r:id="rId246"/>
          <w:footerReference w:type="default" r:id="rId247"/>
          <w:headerReference w:type="first" r:id="rId248"/>
          <w:pgSz w:w="11906" w:h="16838"/>
          <w:pgMar w:top="1134" w:right="1134" w:bottom="1134" w:left="1134" w:header="567" w:footer="567" w:gutter="0"/>
          <w:cols w:space="708"/>
          <w:docGrid w:linePitch="360"/>
        </w:sectPr>
      </w:pPr>
    </w:p>
    <w:p w14:paraId="6C75F224" w14:textId="77777777" w:rsidR="0039681A" w:rsidRPr="00A36E36" w:rsidRDefault="0039681A" w:rsidP="00351087">
      <w:pPr>
        <w:pStyle w:val="Heading3"/>
        <w:ind w:left="850" w:hanging="850"/>
        <w:rPr>
          <w:rFonts w:ascii="Times New Roman" w:hAnsi="Times New Roman" w:cs="Times New Roman"/>
          <w:b/>
          <w:bCs/>
          <w:i/>
          <w:iCs/>
          <w:noProof/>
          <w:sz w:val="24"/>
          <w:szCs w:val="24"/>
          <w:u w:val="single"/>
          <w:lang w:val="en-IE"/>
        </w:rPr>
      </w:pPr>
      <w:r w:rsidRPr="00A36E36">
        <w:rPr>
          <w:rFonts w:ascii="Times New Roman" w:hAnsi="Times New Roman" w:cs="Times New Roman"/>
          <w:b/>
          <w:noProof/>
          <w:sz w:val="24"/>
          <w:szCs w:val="24"/>
          <w:u w:val="single"/>
          <w:lang w:val="en-IE"/>
        </w:rPr>
        <w:t xml:space="preserve">P.4. </w:t>
      </w:r>
      <w:r w:rsidRPr="00A36E36">
        <w:rPr>
          <w:rFonts w:ascii="Times New Roman" w:hAnsi="Times New Roman" w:cs="Times New Roman"/>
          <w:noProof/>
          <w:sz w:val="24"/>
          <w:szCs w:val="24"/>
          <w:lang w:val="en-IE"/>
        </w:rPr>
        <w:tab/>
      </w:r>
      <w:r w:rsidRPr="00A36E36">
        <w:rPr>
          <w:rFonts w:ascii="Times New Roman" w:hAnsi="Times New Roman" w:cs="Times New Roman"/>
          <w:b/>
          <w:noProof/>
          <w:sz w:val="24"/>
          <w:szCs w:val="24"/>
          <w:u w:val="single"/>
          <w:lang w:val="en-IE"/>
        </w:rPr>
        <w:t xml:space="preserve">Milestones, targets, indicators, and timetable for monitoring and implementation for the loan </w:t>
      </w:r>
    </w:p>
    <w:tbl>
      <w:tblPr>
        <w:tblW w:w="53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9"/>
        <w:gridCol w:w="1560"/>
        <w:gridCol w:w="993"/>
        <w:gridCol w:w="1632"/>
        <w:gridCol w:w="1700"/>
        <w:gridCol w:w="1277"/>
        <w:gridCol w:w="1135"/>
        <w:gridCol w:w="1277"/>
        <w:gridCol w:w="852"/>
        <w:gridCol w:w="853"/>
        <w:gridCol w:w="3463"/>
      </w:tblGrid>
      <w:tr w:rsidR="0039681A" w:rsidRPr="0070054C" w14:paraId="5AFDA55F" w14:textId="77777777" w:rsidTr="00351087">
        <w:trPr>
          <w:trHeight w:val="939"/>
          <w:tblHeader/>
          <w:jc w:val="center"/>
        </w:trPr>
        <w:tc>
          <w:tcPr>
            <w:tcW w:w="1142" w:type="dxa"/>
            <w:vMerge w:val="restart"/>
            <w:shd w:val="clear" w:color="auto" w:fill="BDD7EE"/>
            <w:vAlign w:val="center"/>
            <w:hideMark/>
          </w:tcPr>
          <w:p w14:paraId="03D733A3"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Sequential Number</w:t>
            </w:r>
          </w:p>
        </w:tc>
        <w:tc>
          <w:tcPr>
            <w:tcW w:w="1536" w:type="dxa"/>
            <w:vMerge w:val="restart"/>
            <w:shd w:val="clear" w:color="auto" w:fill="BDD7EE"/>
            <w:vAlign w:val="center"/>
            <w:hideMark/>
          </w:tcPr>
          <w:p w14:paraId="71E49EB2" w14:textId="77777777" w:rsidR="0039681A" w:rsidRPr="00A36E36" w:rsidRDefault="0039681A">
            <w:pPr>
              <w:spacing w:before="120" w:after="120"/>
              <w:jc w:val="center"/>
              <w:rPr>
                <w:rFonts w:ascii="Arial Narrow" w:hAnsi="Arial Narrow"/>
                <w:b/>
                <w:noProof/>
                <w:sz w:val="20"/>
                <w:szCs w:val="20"/>
                <w:lang w:val="en-IE"/>
              </w:rPr>
            </w:pPr>
            <w:r w:rsidRPr="00A36E36">
              <w:rPr>
                <w:rFonts w:ascii="Arial Narrow" w:hAnsi="Arial Narrow"/>
                <w:b/>
                <w:noProof/>
                <w:sz w:val="20"/>
                <w:lang w:val="en-IE"/>
              </w:rPr>
              <w:t>Related Measure (Reform or Investment)</w:t>
            </w:r>
          </w:p>
        </w:tc>
        <w:tc>
          <w:tcPr>
            <w:tcW w:w="978" w:type="dxa"/>
            <w:vMerge w:val="restart"/>
            <w:shd w:val="clear" w:color="auto" w:fill="BDD7EE"/>
            <w:vAlign w:val="center"/>
            <w:hideMark/>
          </w:tcPr>
          <w:p w14:paraId="6AA9127D"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Milestone / Target</w:t>
            </w:r>
          </w:p>
        </w:tc>
        <w:tc>
          <w:tcPr>
            <w:tcW w:w="1607" w:type="dxa"/>
            <w:vMerge w:val="restart"/>
            <w:shd w:val="clear" w:color="auto" w:fill="BDD7EE"/>
            <w:vAlign w:val="center"/>
            <w:hideMark/>
          </w:tcPr>
          <w:p w14:paraId="7337411D"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Name</w:t>
            </w:r>
          </w:p>
        </w:tc>
        <w:tc>
          <w:tcPr>
            <w:tcW w:w="1674" w:type="dxa"/>
            <w:vMerge w:val="restart"/>
            <w:shd w:val="clear" w:color="auto" w:fill="BDD7EE"/>
            <w:vAlign w:val="center"/>
            <w:hideMark/>
          </w:tcPr>
          <w:p w14:paraId="29C9F178"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632" w:type="dxa"/>
            <w:gridSpan w:val="3"/>
            <w:shd w:val="clear" w:color="auto" w:fill="BDD7EE"/>
            <w:vAlign w:val="center"/>
            <w:hideMark/>
          </w:tcPr>
          <w:p w14:paraId="43414CDB"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679" w:type="dxa"/>
            <w:gridSpan w:val="2"/>
            <w:shd w:val="clear" w:color="auto" w:fill="BDD7EE"/>
            <w:vAlign w:val="center"/>
            <w:hideMark/>
          </w:tcPr>
          <w:p w14:paraId="3B2E333E"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Indicative timeline for completion</w:t>
            </w:r>
          </w:p>
        </w:tc>
        <w:tc>
          <w:tcPr>
            <w:tcW w:w="3410" w:type="dxa"/>
            <w:vMerge w:val="restart"/>
            <w:shd w:val="clear" w:color="auto" w:fill="BDD7EE"/>
            <w:vAlign w:val="center"/>
            <w:hideMark/>
          </w:tcPr>
          <w:p w14:paraId="7670A883" w14:textId="77777777" w:rsidR="0039681A" w:rsidRPr="00A36E36" w:rsidRDefault="0039681A">
            <w:pPr>
              <w:spacing w:before="120" w:after="120"/>
              <w:jc w:val="center"/>
              <w:rPr>
                <w:rFonts w:ascii="Arial Narrow" w:hAnsi="Arial Narrow"/>
                <w:b/>
                <w:noProof/>
                <w:sz w:val="20"/>
                <w:szCs w:val="20"/>
                <w:lang w:val="en-IE"/>
              </w:rPr>
            </w:pPr>
            <w:r w:rsidRPr="00A36E36">
              <w:rPr>
                <w:rFonts w:ascii="Arial Narrow" w:hAnsi="Arial Narrow"/>
                <w:b/>
                <w:noProof/>
                <w:sz w:val="20"/>
                <w:lang w:val="en-IE"/>
              </w:rPr>
              <w:t>Description of each milestone and target</w:t>
            </w:r>
          </w:p>
        </w:tc>
      </w:tr>
      <w:tr w:rsidR="0039681A" w:rsidRPr="00647572" w14:paraId="47C460C8" w14:textId="77777777" w:rsidTr="00351087">
        <w:trPr>
          <w:trHeight w:val="883"/>
          <w:tblHeader/>
          <w:jc w:val="center"/>
        </w:trPr>
        <w:tc>
          <w:tcPr>
            <w:tcW w:w="1142" w:type="dxa"/>
            <w:vMerge/>
            <w:vAlign w:val="center"/>
            <w:hideMark/>
          </w:tcPr>
          <w:p w14:paraId="4FBE0A0C" w14:textId="77777777" w:rsidR="0039681A" w:rsidRPr="00A36E36" w:rsidRDefault="0039681A">
            <w:pPr>
              <w:spacing w:before="120" w:after="120"/>
              <w:jc w:val="center"/>
              <w:rPr>
                <w:rFonts w:ascii="Arial Narrow" w:hAnsi="Arial Narrow"/>
                <w:b/>
                <w:noProof/>
                <w:sz w:val="20"/>
                <w:szCs w:val="20"/>
                <w:lang w:val="en-IE"/>
              </w:rPr>
            </w:pPr>
          </w:p>
        </w:tc>
        <w:tc>
          <w:tcPr>
            <w:tcW w:w="1536" w:type="dxa"/>
            <w:vMerge/>
            <w:vAlign w:val="center"/>
            <w:hideMark/>
          </w:tcPr>
          <w:p w14:paraId="489454B6" w14:textId="77777777" w:rsidR="0039681A" w:rsidRPr="00A36E36" w:rsidRDefault="0039681A">
            <w:pPr>
              <w:spacing w:before="120" w:after="120"/>
              <w:jc w:val="center"/>
              <w:rPr>
                <w:rFonts w:ascii="Arial Narrow" w:hAnsi="Arial Narrow"/>
                <w:b/>
                <w:noProof/>
                <w:sz w:val="20"/>
                <w:szCs w:val="20"/>
                <w:lang w:val="en-IE"/>
              </w:rPr>
            </w:pPr>
          </w:p>
        </w:tc>
        <w:tc>
          <w:tcPr>
            <w:tcW w:w="978" w:type="dxa"/>
            <w:vMerge/>
            <w:vAlign w:val="center"/>
            <w:hideMark/>
          </w:tcPr>
          <w:p w14:paraId="7D82A899" w14:textId="77777777" w:rsidR="0039681A" w:rsidRPr="00A36E36" w:rsidRDefault="0039681A">
            <w:pPr>
              <w:spacing w:before="120" w:after="120"/>
              <w:jc w:val="center"/>
              <w:rPr>
                <w:rFonts w:ascii="Arial Narrow" w:hAnsi="Arial Narrow"/>
                <w:b/>
                <w:noProof/>
                <w:sz w:val="20"/>
                <w:szCs w:val="20"/>
                <w:lang w:val="en-IE"/>
              </w:rPr>
            </w:pPr>
          </w:p>
        </w:tc>
        <w:tc>
          <w:tcPr>
            <w:tcW w:w="1607" w:type="dxa"/>
            <w:vMerge/>
            <w:vAlign w:val="center"/>
            <w:hideMark/>
          </w:tcPr>
          <w:p w14:paraId="188AF7A9" w14:textId="77777777" w:rsidR="0039681A" w:rsidRPr="00A36E36" w:rsidRDefault="0039681A">
            <w:pPr>
              <w:spacing w:before="120" w:after="120"/>
              <w:jc w:val="center"/>
              <w:rPr>
                <w:rFonts w:ascii="Arial Narrow" w:hAnsi="Arial Narrow"/>
                <w:b/>
                <w:noProof/>
                <w:sz w:val="20"/>
                <w:szCs w:val="20"/>
                <w:lang w:val="en-IE"/>
              </w:rPr>
            </w:pPr>
          </w:p>
        </w:tc>
        <w:tc>
          <w:tcPr>
            <w:tcW w:w="1674" w:type="dxa"/>
            <w:vMerge/>
            <w:vAlign w:val="center"/>
            <w:hideMark/>
          </w:tcPr>
          <w:p w14:paraId="264BCE76" w14:textId="77777777" w:rsidR="0039681A" w:rsidRPr="00A36E36" w:rsidRDefault="0039681A">
            <w:pPr>
              <w:spacing w:before="120" w:after="120"/>
              <w:jc w:val="center"/>
              <w:rPr>
                <w:rFonts w:ascii="Arial Narrow" w:hAnsi="Arial Narrow"/>
                <w:b/>
                <w:noProof/>
                <w:sz w:val="20"/>
                <w:szCs w:val="20"/>
                <w:lang w:val="en-IE"/>
              </w:rPr>
            </w:pPr>
          </w:p>
        </w:tc>
        <w:tc>
          <w:tcPr>
            <w:tcW w:w="1257" w:type="dxa"/>
            <w:shd w:val="clear" w:color="auto" w:fill="BDD7EE"/>
            <w:vAlign w:val="center"/>
            <w:hideMark/>
          </w:tcPr>
          <w:p w14:paraId="453C43F5"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Unit of measure</w:t>
            </w:r>
          </w:p>
        </w:tc>
        <w:tc>
          <w:tcPr>
            <w:tcW w:w="1118" w:type="dxa"/>
            <w:shd w:val="clear" w:color="auto" w:fill="BDD7EE"/>
            <w:vAlign w:val="center"/>
            <w:hideMark/>
          </w:tcPr>
          <w:p w14:paraId="3407E599"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Baseline</w:t>
            </w:r>
          </w:p>
        </w:tc>
        <w:tc>
          <w:tcPr>
            <w:tcW w:w="1257" w:type="dxa"/>
            <w:shd w:val="clear" w:color="auto" w:fill="BDD7EE"/>
            <w:vAlign w:val="center"/>
            <w:hideMark/>
          </w:tcPr>
          <w:p w14:paraId="2DFFDF06"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Goal</w:t>
            </w:r>
          </w:p>
        </w:tc>
        <w:tc>
          <w:tcPr>
            <w:tcW w:w="839" w:type="dxa"/>
            <w:shd w:val="clear" w:color="auto" w:fill="BDD7EE"/>
            <w:vAlign w:val="center"/>
            <w:hideMark/>
          </w:tcPr>
          <w:p w14:paraId="4C1BA4BF"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Quarter</w:t>
            </w:r>
          </w:p>
        </w:tc>
        <w:tc>
          <w:tcPr>
            <w:tcW w:w="840" w:type="dxa"/>
            <w:shd w:val="clear" w:color="auto" w:fill="BDD7EE"/>
            <w:vAlign w:val="center"/>
            <w:hideMark/>
          </w:tcPr>
          <w:p w14:paraId="5B8C1CBC" w14:textId="77777777" w:rsidR="0039681A" w:rsidRPr="00647572" w:rsidRDefault="0039681A">
            <w:pPr>
              <w:spacing w:before="120" w:after="120"/>
              <w:jc w:val="center"/>
              <w:rPr>
                <w:rFonts w:ascii="Arial Narrow" w:hAnsi="Arial Narrow"/>
                <w:b/>
                <w:noProof/>
                <w:sz w:val="20"/>
                <w:szCs w:val="20"/>
              </w:rPr>
            </w:pPr>
            <w:r w:rsidRPr="00647572">
              <w:rPr>
                <w:rFonts w:ascii="Arial Narrow" w:hAnsi="Arial Narrow"/>
                <w:b/>
                <w:noProof/>
                <w:sz w:val="20"/>
              </w:rPr>
              <w:t>Year</w:t>
            </w:r>
          </w:p>
        </w:tc>
        <w:tc>
          <w:tcPr>
            <w:tcW w:w="3410" w:type="dxa"/>
            <w:vMerge/>
            <w:vAlign w:val="center"/>
            <w:hideMark/>
          </w:tcPr>
          <w:p w14:paraId="293740F9" w14:textId="77777777" w:rsidR="0039681A" w:rsidRPr="00647572" w:rsidRDefault="0039681A">
            <w:pPr>
              <w:spacing w:before="120" w:after="120"/>
              <w:rPr>
                <w:rFonts w:ascii="Arial Narrow" w:hAnsi="Arial Narrow"/>
                <w:b/>
                <w:noProof/>
                <w:sz w:val="20"/>
                <w:szCs w:val="20"/>
              </w:rPr>
            </w:pPr>
          </w:p>
        </w:tc>
      </w:tr>
      <w:tr w:rsidR="0039681A" w:rsidRPr="0070054C" w14:paraId="717A36A1" w14:textId="77777777" w:rsidTr="00351087">
        <w:trPr>
          <w:trHeight w:val="313"/>
          <w:jc w:val="center"/>
        </w:trPr>
        <w:tc>
          <w:tcPr>
            <w:tcW w:w="1142" w:type="dxa"/>
            <w:shd w:val="clear" w:color="auto" w:fill="C6EFCE"/>
            <w:noWrap/>
            <w:vAlign w:val="center"/>
          </w:tcPr>
          <w:p w14:paraId="53C1A7B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M6C2-4</w:t>
            </w:r>
          </w:p>
        </w:tc>
        <w:tc>
          <w:tcPr>
            <w:tcW w:w="1536" w:type="dxa"/>
            <w:shd w:val="clear" w:color="auto" w:fill="C6EFCE"/>
            <w:noWrap/>
            <w:vAlign w:val="center"/>
          </w:tcPr>
          <w:p w14:paraId="474B966E"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1.1: Digital update of hospitals’ technological equipment</w:t>
            </w:r>
          </w:p>
        </w:tc>
        <w:tc>
          <w:tcPr>
            <w:tcW w:w="978" w:type="dxa"/>
            <w:shd w:val="clear" w:color="auto" w:fill="C6EFCE"/>
            <w:noWrap/>
            <w:vAlign w:val="center"/>
          </w:tcPr>
          <w:p w14:paraId="39D6E55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Milestone</w:t>
            </w:r>
          </w:p>
        </w:tc>
        <w:tc>
          <w:tcPr>
            <w:tcW w:w="1607" w:type="dxa"/>
            <w:shd w:val="clear" w:color="auto" w:fill="C6EFCE"/>
            <w:noWrap/>
            <w:vAlign w:val="center"/>
          </w:tcPr>
          <w:p w14:paraId="0428D2E3" w14:textId="77777777" w:rsidR="0039681A" w:rsidRPr="00A36E36" w:rsidRDefault="0039681A">
            <w:pPr>
              <w:spacing w:before="120" w:after="120"/>
              <w:jc w:val="center"/>
              <w:rPr>
                <w:rFonts w:ascii="Arial Narrow" w:eastAsia="Calibri" w:hAnsi="Arial Narrow"/>
                <w:noProof/>
                <w:color w:val="006600"/>
                <w:sz w:val="20"/>
                <w:szCs w:val="20"/>
                <w:lang w:val="en-IE"/>
              </w:rPr>
            </w:pPr>
            <w:r w:rsidRPr="00A36E36">
              <w:rPr>
                <w:rFonts w:ascii="Arial Narrow" w:hAnsi="Arial Narrow"/>
                <w:noProof/>
                <w:color w:val="006600"/>
                <w:sz w:val="20"/>
                <w:lang w:val="en-IE"/>
              </w:rPr>
              <w:t xml:space="preserve">Reorganization plan approved by Ministry of Health/Italian Regions </w:t>
            </w:r>
          </w:p>
        </w:tc>
        <w:tc>
          <w:tcPr>
            <w:tcW w:w="1674" w:type="dxa"/>
            <w:shd w:val="clear" w:color="auto" w:fill="C6EFCE"/>
            <w:noWrap/>
            <w:vAlign w:val="center"/>
          </w:tcPr>
          <w:p w14:paraId="2D2EFC3F" w14:textId="77777777" w:rsidR="0039681A" w:rsidRPr="00647572" w:rsidRDefault="0039681A">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rPr>
              <w:t>Notification of the approval</w:t>
            </w:r>
          </w:p>
        </w:tc>
        <w:tc>
          <w:tcPr>
            <w:tcW w:w="1257" w:type="dxa"/>
            <w:shd w:val="clear" w:color="auto" w:fill="C6EFCE"/>
            <w:noWrap/>
            <w:vAlign w:val="center"/>
          </w:tcPr>
          <w:p w14:paraId="7E8FD60C"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118" w:type="dxa"/>
            <w:shd w:val="clear" w:color="auto" w:fill="C6EFCE"/>
            <w:noWrap/>
            <w:vAlign w:val="center"/>
          </w:tcPr>
          <w:p w14:paraId="6F13906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57" w:type="dxa"/>
            <w:shd w:val="clear" w:color="auto" w:fill="C6EFCE"/>
            <w:noWrap/>
            <w:vAlign w:val="center"/>
          </w:tcPr>
          <w:p w14:paraId="5C97BDF8"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839" w:type="dxa"/>
            <w:shd w:val="clear" w:color="auto" w:fill="C6EFCE"/>
            <w:noWrap/>
            <w:vAlign w:val="center"/>
          </w:tcPr>
          <w:p w14:paraId="445FCB5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Q4</w:t>
            </w:r>
          </w:p>
        </w:tc>
        <w:tc>
          <w:tcPr>
            <w:tcW w:w="840" w:type="dxa"/>
            <w:shd w:val="clear" w:color="auto" w:fill="C6EFCE"/>
            <w:noWrap/>
            <w:vAlign w:val="center"/>
          </w:tcPr>
          <w:p w14:paraId="2A0929F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2021</w:t>
            </w:r>
          </w:p>
        </w:tc>
        <w:tc>
          <w:tcPr>
            <w:tcW w:w="3410" w:type="dxa"/>
            <w:shd w:val="clear" w:color="auto" w:fill="C6EFCE"/>
            <w:noWrap/>
            <w:vAlign w:val="center"/>
          </w:tcPr>
          <w:p w14:paraId="3C9CB723" w14:textId="77777777" w:rsidR="0039681A" w:rsidRPr="00A36E36" w:rsidRDefault="0039681A">
            <w:pPr>
              <w:spacing w:before="120" w:after="120"/>
              <w:rPr>
                <w:rFonts w:ascii="Arial Narrow" w:hAnsi="Arial Narrow"/>
                <w:noProof/>
                <w:color w:val="006600"/>
                <w:sz w:val="20"/>
                <w:szCs w:val="20"/>
                <w:lang w:val="en-IE"/>
              </w:rPr>
            </w:pPr>
            <w:r w:rsidRPr="00A36E36">
              <w:rPr>
                <w:rFonts w:ascii="Arial Narrow" w:hAnsi="Arial Narrow"/>
                <w:noProof/>
                <w:color w:val="006600"/>
                <w:sz w:val="20"/>
                <w:lang w:val="en-IE"/>
              </w:rPr>
              <w:t>Approval of the reorganization plan to strengthen the capacity of the NHS hospitals to adequately address pandemic emergencies by increasing the number of beds in intensive and sub-intensive care units.</w:t>
            </w:r>
          </w:p>
          <w:p w14:paraId="632A8697" w14:textId="77777777" w:rsidR="0039681A" w:rsidRPr="00A36E36" w:rsidRDefault="0039681A">
            <w:pPr>
              <w:spacing w:before="120" w:after="120"/>
              <w:rPr>
                <w:rFonts w:ascii="Arial Narrow" w:hAnsi="Arial Narrow"/>
                <w:noProof/>
                <w:color w:val="006600"/>
                <w:sz w:val="20"/>
                <w:szCs w:val="20"/>
                <w:lang w:val="en-IE"/>
              </w:rPr>
            </w:pPr>
            <w:r w:rsidRPr="00A36E36">
              <w:rPr>
                <w:rFonts w:ascii="Arial Narrow" w:hAnsi="Arial Narrow"/>
                <w:noProof/>
                <w:color w:val="006600"/>
                <w:sz w:val="20"/>
                <w:lang w:val="en-IE"/>
              </w:rPr>
              <w:t>The hospital reorganization plan shall increase the number of beds available in the intensive and semi-intensive care units in NHS hospitals.</w:t>
            </w:r>
          </w:p>
        </w:tc>
      </w:tr>
      <w:tr w:rsidR="0039681A" w:rsidRPr="0070054C" w14:paraId="52463363" w14:textId="77777777" w:rsidTr="00351087">
        <w:trPr>
          <w:trHeight w:val="313"/>
          <w:jc w:val="center"/>
        </w:trPr>
        <w:tc>
          <w:tcPr>
            <w:tcW w:w="1142" w:type="dxa"/>
            <w:shd w:val="clear" w:color="auto" w:fill="C6EFCE"/>
            <w:noWrap/>
            <w:vAlign w:val="center"/>
          </w:tcPr>
          <w:p w14:paraId="788EAE4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M6C2-5</w:t>
            </w:r>
          </w:p>
        </w:tc>
        <w:tc>
          <w:tcPr>
            <w:tcW w:w="1536" w:type="dxa"/>
            <w:shd w:val="clear" w:color="auto" w:fill="C6EFCE"/>
            <w:noWrap/>
            <w:vAlign w:val="center"/>
          </w:tcPr>
          <w:p w14:paraId="14C0DA4C"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1.1: Digital update of hospitals’ technological equipment</w:t>
            </w:r>
          </w:p>
        </w:tc>
        <w:tc>
          <w:tcPr>
            <w:tcW w:w="978" w:type="dxa"/>
            <w:shd w:val="clear" w:color="auto" w:fill="C6EFCE"/>
            <w:noWrap/>
            <w:vAlign w:val="center"/>
          </w:tcPr>
          <w:p w14:paraId="45835CD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Milestone</w:t>
            </w:r>
          </w:p>
        </w:tc>
        <w:tc>
          <w:tcPr>
            <w:tcW w:w="1607" w:type="dxa"/>
            <w:shd w:val="clear" w:color="auto" w:fill="C6EFCE"/>
            <w:noWrap/>
            <w:vAlign w:val="center"/>
          </w:tcPr>
          <w:p w14:paraId="5B8E8085" w14:textId="77777777" w:rsidR="0039681A" w:rsidRPr="00A36E36" w:rsidRDefault="0039681A">
            <w:pPr>
              <w:spacing w:before="120" w:after="120"/>
              <w:jc w:val="center"/>
              <w:rPr>
                <w:rFonts w:ascii="Arial Narrow" w:eastAsia="Calibri" w:hAnsi="Arial Narrow"/>
                <w:noProof/>
                <w:color w:val="006600"/>
                <w:sz w:val="20"/>
                <w:szCs w:val="20"/>
                <w:lang w:val="en-IE"/>
              </w:rPr>
            </w:pPr>
            <w:r w:rsidRPr="00A36E36">
              <w:rPr>
                <w:rFonts w:ascii="Arial Narrow" w:hAnsi="Arial Narrow"/>
                <w:noProof/>
                <w:color w:val="006600"/>
                <w:sz w:val="20"/>
                <w:lang w:val="en-IE"/>
              </w:rPr>
              <w:t xml:space="preserve"> Approval of the Institutional Development Contract </w:t>
            </w:r>
          </w:p>
        </w:tc>
        <w:tc>
          <w:tcPr>
            <w:tcW w:w="1674" w:type="dxa"/>
            <w:shd w:val="clear" w:color="auto" w:fill="C6EFCE"/>
            <w:noWrap/>
            <w:vAlign w:val="center"/>
          </w:tcPr>
          <w:p w14:paraId="04E56049" w14:textId="77777777" w:rsidR="0039681A" w:rsidRPr="00A36E36" w:rsidRDefault="0039681A">
            <w:pPr>
              <w:spacing w:before="120" w:after="120"/>
              <w:jc w:val="center"/>
              <w:rPr>
                <w:rFonts w:ascii="Arial Narrow" w:hAnsi="Arial Narrow"/>
                <w:noProof/>
                <w:color w:val="006600"/>
                <w:sz w:val="20"/>
                <w:szCs w:val="20"/>
                <w:lang w:val="en-IE"/>
              </w:rPr>
            </w:pPr>
            <w:r w:rsidRPr="00A36E36">
              <w:rPr>
                <w:rFonts w:ascii="Arial Narrow" w:hAnsi="Arial Narrow"/>
                <w:noProof/>
                <w:color w:val="006600"/>
                <w:sz w:val="20"/>
                <w:lang w:val="en-IE"/>
              </w:rPr>
              <w:t>Notification of the signature of the Institutional Development Contract by Ministry of Health and Italian Regions</w:t>
            </w:r>
          </w:p>
        </w:tc>
        <w:tc>
          <w:tcPr>
            <w:tcW w:w="1257" w:type="dxa"/>
            <w:shd w:val="clear" w:color="auto" w:fill="C6EFCE"/>
            <w:noWrap/>
            <w:vAlign w:val="center"/>
          </w:tcPr>
          <w:p w14:paraId="6EAB8E8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118" w:type="dxa"/>
            <w:shd w:val="clear" w:color="auto" w:fill="C6EFCE"/>
            <w:noWrap/>
            <w:vAlign w:val="center"/>
          </w:tcPr>
          <w:p w14:paraId="4688ED13"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57" w:type="dxa"/>
            <w:shd w:val="clear" w:color="auto" w:fill="C6EFCE"/>
            <w:noWrap/>
            <w:vAlign w:val="center"/>
          </w:tcPr>
          <w:p w14:paraId="0DFBC5C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839" w:type="dxa"/>
            <w:shd w:val="clear" w:color="auto" w:fill="C6EFCE"/>
            <w:noWrap/>
            <w:vAlign w:val="center"/>
          </w:tcPr>
          <w:p w14:paraId="0EDE140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Q2</w:t>
            </w:r>
          </w:p>
        </w:tc>
        <w:tc>
          <w:tcPr>
            <w:tcW w:w="840" w:type="dxa"/>
            <w:shd w:val="clear" w:color="auto" w:fill="C6EFCE"/>
            <w:noWrap/>
            <w:vAlign w:val="center"/>
          </w:tcPr>
          <w:p w14:paraId="78B3B3CC"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2022</w:t>
            </w:r>
          </w:p>
        </w:tc>
        <w:tc>
          <w:tcPr>
            <w:tcW w:w="3410" w:type="dxa"/>
            <w:shd w:val="clear" w:color="auto" w:fill="C6EFCE"/>
            <w:noWrap/>
            <w:vAlign w:val="center"/>
          </w:tcPr>
          <w:p w14:paraId="21059618" w14:textId="77777777" w:rsidR="0039681A" w:rsidRPr="00A36E36" w:rsidRDefault="0039681A">
            <w:pPr>
              <w:spacing w:before="120" w:after="120"/>
              <w:rPr>
                <w:rFonts w:ascii="Arial Narrow" w:eastAsia="Calibri" w:hAnsi="Arial Narrow"/>
                <w:noProof/>
                <w:color w:val="006600"/>
                <w:sz w:val="20"/>
                <w:szCs w:val="20"/>
                <w:lang w:val="en-IE"/>
              </w:rPr>
            </w:pPr>
            <w:r w:rsidRPr="00A36E36">
              <w:rPr>
                <w:rFonts w:ascii="Arial Narrow" w:hAnsi="Arial Narrow"/>
                <w:noProof/>
                <w:color w:val="006600"/>
                <w:sz w:val="20"/>
                <w:lang w:val="en-IE"/>
              </w:rPr>
              <w:t>Approval of an Institutional Development Contract (Contratto Istituzionale di Sviluppo), with the Italian Ministry of Health as the responsible and implementing Authority and the participation of regional Administrations and other key stakeholders.</w:t>
            </w:r>
          </w:p>
          <w:p w14:paraId="6E5BC94B" w14:textId="77777777" w:rsidR="0039681A" w:rsidRPr="00A36E36" w:rsidRDefault="0039681A">
            <w:pPr>
              <w:spacing w:before="120" w:after="120"/>
              <w:rPr>
                <w:rFonts w:ascii="Arial Narrow" w:eastAsia="Calibri" w:hAnsi="Arial Narrow"/>
                <w:noProof/>
                <w:color w:val="006600"/>
                <w:sz w:val="20"/>
                <w:szCs w:val="20"/>
                <w:lang w:val="en-IE"/>
              </w:rPr>
            </w:pPr>
            <w:r w:rsidRPr="00A36E36">
              <w:rPr>
                <w:rFonts w:ascii="Arial Narrow" w:hAnsi="Arial Narrow"/>
                <w:noProof/>
                <w:color w:val="006600"/>
                <w:sz w:val="20"/>
                <w:lang w:val="en-IE"/>
              </w:rPr>
              <w:t>The Institutional Development Contract is the tool identified by current national legislation (combined provisions of art. 1 and art. 6 of Legislative Decree no. 88 of May 31, 2011, and art. 7 of Legislative Decree no. 91 of June 20, 2017, by Law no. 123 of August 3, 2017) to accelerate the implementation of strategic projects, functionally connected to each other. The Institutional Development Contract shall list all the suitable sites identified for the iinvestments, as well as the obligations that each region shall assume to guarantee the achievement of the expected result. In case of breach by any region the Ministry of Health shall proceed to the commissioner “ad acta”.</w:t>
            </w:r>
          </w:p>
        </w:tc>
      </w:tr>
      <w:tr w:rsidR="0039681A" w:rsidRPr="0070054C" w14:paraId="6D72F0B9" w14:textId="77777777" w:rsidTr="00351087">
        <w:trPr>
          <w:trHeight w:val="313"/>
          <w:jc w:val="center"/>
        </w:trPr>
        <w:tc>
          <w:tcPr>
            <w:tcW w:w="1142" w:type="dxa"/>
            <w:shd w:val="clear" w:color="auto" w:fill="C6EFCE"/>
            <w:noWrap/>
            <w:vAlign w:val="center"/>
          </w:tcPr>
          <w:p w14:paraId="6A2E419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M6C2-6</w:t>
            </w:r>
          </w:p>
        </w:tc>
        <w:tc>
          <w:tcPr>
            <w:tcW w:w="1536" w:type="dxa"/>
            <w:shd w:val="clear" w:color="auto" w:fill="C6EFCE"/>
            <w:noWrap/>
            <w:vAlign w:val="center"/>
          </w:tcPr>
          <w:p w14:paraId="0B973BE3"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1.1: Digital update of hospitals’ technological equipment</w:t>
            </w:r>
          </w:p>
        </w:tc>
        <w:tc>
          <w:tcPr>
            <w:tcW w:w="978" w:type="dxa"/>
            <w:shd w:val="clear" w:color="auto" w:fill="C6EFCE"/>
            <w:noWrap/>
            <w:vAlign w:val="center"/>
          </w:tcPr>
          <w:p w14:paraId="43E13AD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Target</w:t>
            </w:r>
          </w:p>
        </w:tc>
        <w:tc>
          <w:tcPr>
            <w:tcW w:w="1607" w:type="dxa"/>
            <w:shd w:val="clear" w:color="auto" w:fill="C6EFCE"/>
            <w:noWrap/>
            <w:vAlign w:val="center"/>
          </w:tcPr>
          <w:p w14:paraId="329C5AD3" w14:textId="471FCB3A" w:rsidR="0039681A" w:rsidRPr="00A36E36" w:rsidRDefault="0039681A" w:rsidP="00351087">
            <w:pPr>
              <w:spacing w:before="120" w:after="120"/>
              <w:jc w:val="center"/>
              <w:rPr>
                <w:rFonts w:ascii="Arial Narrow" w:hAnsi="Arial Narrow"/>
                <w:noProof/>
                <w:color w:val="006100"/>
                <w:sz w:val="20"/>
                <w:szCs w:val="20"/>
                <w:lang w:val="en-IE"/>
              </w:rPr>
            </w:pPr>
          </w:p>
          <w:p w14:paraId="33551404" w14:textId="0B73C7A7" w:rsidR="0039681A" w:rsidRPr="00A36E36" w:rsidRDefault="0039681A" w:rsidP="00351087">
            <w:pPr>
              <w:spacing w:before="120" w:after="120"/>
              <w:jc w:val="center"/>
              <w:rPr>
                <w:rFonts w:ascii="Arial Narrow" w:hAnsi="Arial Narrow"/>
                <w:noProof/>
                <w:color w:val="006100"/>
                <w:sz w:val="20"/>
                <w:szCs w:val="20"/>
                <w:lang w:val="en-IE"/>
              </w:rPr>
            </w:pPr>
            <w:r>
              <w:rPr>
                <w:rFonts w:ascii="Arial Narrow" w:hAnsi="Arial Narrow"/>
                <w:noProof/>
                <w:color w:val="006100"/>
                <w:sz w:val="20"/>
                <w:szCs w:val="20"/>
                <w:lang w:val="en-IE"/>
              </w:rPr>
              <w:t>Proof of delivery or testing for 3</w:t>
            </w:r>
            <w:r w:rsidR="00527590">
              <w:rPr>
                <w:rFonts w:ascii="Arial Narrow" w:hAnsi="Arial Narrow"/>
                <w:noProof/>
                <w:color w:val="006100"/>
                <w:sz w:val="20"/>
                <w:szCs w:val="20"/>
                <w:lang w:val="en-IE"/>
              </w:rPr>
              <w:t> </w:t>
            </w:r>
            <w:r>
              <w:rPr>
                <w:rFonts w:ascii="Arial Narrow" w:hAnsi="Arial Narrow"/>
                <w:noProof/>
                <w:color w:val="006100"/>
                <w:sz w:val="20"/>
                <w:szCs w:val="20"/>
                <w:lang w:val="en-IE"/>
              </w:rPr>
              <w:t>100 items of diagnostic equipment</w:t>
            </w:r>
          </w:p>
        </w:tc>
        <w:tc>
          <w:tcPr>
            <w:tcW w:w="1674" w:type="dxa"/>
            <w:shd w:val="clear" w:color="auto" w:fill="C6EFCE"/>
            <w:noWrap/>
            <w:vAlign w:val="center"/>
          </w:tcPr>
          <w:p w14:paraId="61ED9C3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57" w:type="dxa"/>
            <w:shd w:val="clear" w:color="auto" w:fill="C6EFCE"/>
            <w:noWrap/>
            <w:vAlign w:val="center"/>
          </w:tcPr>
          <w:p w14:paraId="738FD89A"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Number</w:t>
            </w:r>
          </w:p>
        </w:tc>
        <w:tc>
          <w:tcPr>
            <w:tcW w:w="1118" w:type="dxa"/>
            <w:shd w:val="clear" w:color="auto" w:fill="C6EFCE"/>
            <w:noWrap/>
            <w:vAlign w:val="center"/>
          </w:tcPr>
          <w:p w14:paraId="7075833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0</w:t>
            </w:r>
          </w:p>
        </w:tc>
        <w:tc>
          <w:tcPr>
            <w:tcW w:w="1257" w:type="dxa"/>
            <w:shd w:val="clear" w:color="auto" w:fill="C6EFCE"/>
            <w:noWrap/>
            <w:vAlign w:val="center"/>
          </w:tcPr>
          <w:p w14:paraId="67384ED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3 100</w:t>
            </w:r>
          </w:p>
        </w:tc>
        <w:tc>
          <w:tcPr>
            <w:tcW w:w="839" w:type="dxa"/>
            <w:shd w:val="clear" w:color="auto" w:fill="C6EFCE"/>
            <w:noWrap/>
            <w:vAlign w:val="center"/>
          </w:tcPr>
          <w:p w14:paraId="76366BCB" w14:textId="77777777" w:rsidR="0039681A" w:rsidRPr="00647572" w:rsidRDefault="0039681A">
            <w:pPr>
              <w:spacing w:before="120" w:after="120"/>
              <w:jc w:val="center"/>
              <w:rPr>
                <w:rFonts w:ascii="Arial Narrow" w:hAnsi="Arial Narrow"/>
                <w:noProof/>
                <w:color w:val="006600"/>
                <w:sz w:val="20"/>
                <w:szCs w:val="20"/>
              </w:rPr>
            </w:pPr>
            <w:r w:rsidRPr="00647572">
              <w:rPr>
                <w:rFonts w:ascii="Arial Narrow" w:hAnsi="Arial Narrow"/>
                <w:noProof/>
                <w:color w:val="006600"/>
                <w:sz w:val="20"/>
              </w:rPr>
              <w:t>Q2</w:t>
            </w:r>
          </w:p>
        </w:tc>
        <w:tc>
          <w:tcPr>
            <w:tcW w:w="840" w:type="dxa"/>
            <w:shd w:val="clear" w:color="auto" w:fill="C6EFCE"/>
            <w:noWrap/>
            <w:vAlign w:val="center"/>
          </w:tcPr>
          <w:p w14:paraId="20D24016" w14:textId="77777777" w:rsidR="0039681A" w:rsidRPr="00647572" w:rsidRDefault="0039681A">
            <w:pPr>
              <w:spacing w:before="120" w:after="120"/>
              <w:jc w:val="center"/>
              <w:rPr>
                <w:rFonts w:ascii="Arial Narrow" w:hAnsi="Arial Narrow"/>
                <w:noProof/>
                <w:color w:val="006600"/>
                <w:sz w:val="20"/>
                <w:szCs w:val="20"/>
              </w:rPr>
            </w:pPr>
            <w:r w:rsidRPr="00647572">
              <w:rPr>
                <w:rFonts w:ascii="Arial Narrow" w:hAnsi="Arial Narrow"/>
                <w:noProof/>
                <w:color w:val="006600"/>
                <w:sz w:val="20"/>
              </w:rPr>
              <w:t>2026</w:t>
            </w:r>
          </w:p>
        </w:tc>
        <w:tc>
          <w:tcPr>
            <w:tcW w:w="3410" w:type="dxa"/>
            <w:shd w:val="clear" w:color="auto" w:fill="C6EFCE"/>
            <w:noWrap/>
            <w:vAlign w:val="center"/>
          </w:tcPr>
          <w:p w14:paraId="3CF150DA" w14:textId="0D7BCBC1" w:rsidR="0039681A" w:rsidRPr="00527590" w:rsidRDefault="0039681A" w:rsidP="00351087">
            <w:pPr>
              <w:spacing w:before="120" w:after="120"/>
              <w:rPr>
                <w:rFonts w:ascii="Arial Narrow" w:hAnsi="Arial Narrow"/>
                <w:noProof/>
                <w:color w:val="006600"/>
                <w:sz w:val="20"/>
                <w:lang w:val="en-IE"/>
              </w:rPr>
            </w:pPr>
            <w:r w:rsidRPr="00527590">
              <w:rPr>
                <w:rFonts w:ascii="Arial Narrow" w:hAnsi="Arial Narrow"/>
                <w:noProof/>
                <w:color w:val="006600"/>
                <w:sz w:val="20"/>
                <w:lang w:val="en-IE"/>
              </w:rPr>
              <w:t>Proof of delivery or testing (which may include, but are not limited to, Verbale di Collaudo, Test Certificates, and Authorisation for use certificates) for 3 100</w:t>
            </w:r>
            <w:r w:rsidR="00381DB1" w:rsidRPr="00527590">
              <w:rPr>
                <w:rFonts w:ascii="Arial Narrow" w:hAnsi="Arial Narrow"/>
                <w:noProof/>
                <w:color w:val="006600"/>
                <w:sz w:val="20"/>
                <w:lang w:val="en-IE"/>
              </w:rPr>
              <w:t xml:space="preserve"> </w:t>
            </w:r>
            <w:r w:rsidRPr="00527590">
              <w:rPr>
                <w:rFonts w:ascii="Arial Narrow" w:hAnsi="Arial Narrow"/>
                <w:noProof/>
                <w:color w:val="006600"/>
                <w:sz w:val="20"/>
                <w:lang w:val="en-IE"/>
              </w:rPr>
              <w:t xml:space="preserve">items of diagnostic equipment. At least 290 items shall be from the following categories: NMR - nuclear magnetic resonance - at 1.5 T or more or linear Accelerators or PET/CT - positron emission tomography/computer tomography. </w:t>
            </w:r>
          </w:p>
          <w:p w14:paraId="10B79244" w14:textId="77777777" w:rsidR="0039681A" w:rsidRPr="00A36E36" w:rsidRDefault="0039681A" w:rsidP="00351087">
            <w:pPr>
              <w:spacing w:before="120" w:after="120"/>
              <w:rPr>
                <w:rFonts w:ascii="Arial Narrow" w:hAnsi="Arial Narrow"/>
                <w:noProof/>
                <w:color w:val="006600"/>
                <w:sz w:val="20"/>
                <w:szCs w:val="20"/>
                <w:lang w:val="en-IE"/>
              </w:rPr>
            </w:pPr>
            <w:r w:rsidRPr="2663C1A6">
              <w:rPr>
                <w:rFonts w:ascii="Arial Narrow" w:hAnsi="Arial Narrow"/>
                <w:noProof/>
                <w:color w:val="006600"/>
                <w:sz w:val="20"/>
                <w:szCs w:val="20"/>
                <w:lang w:val="en-IE"/>
              </w:rPr>
              <w:t xml:space="preserve">The remaining items of diagnostic equipment may include, but are not limited to, ultrasound, mammography, and CT – Computer tomography. </w:t>
            </w:r>
          </w:p>
        </w:tc>
      </w:tr>
      <w:tr w:rsidR="0039681A" w:rsidRPr="0070054C" w14:paraId="06FDF125" w14:textId="77777777" w:rsidTr="00351087">
        <w:trPr>
          <w:trHeight w:val="313"/>
          <w:jc w:val="center"/>
        </w:trPr>
        <w:tc>
          <w:tcPr>
            <w:tcW w:w="1142" w:type="dxa"/>
            <w:shd w:val="clear" w:color="auto" w:fill="C6EFCE"/>
            <w:noWrap/>
            <w:vAlign w:val="center"/>
          </w:tcPr>
          <w:p w14:paraId="6D89E7FC"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M6C2-7</w:t>
            </w:r>
          </w:p>
        </w:tc>
        <w:tc>
          <w:tcPr>
            <w:tcW w:w="1536" w:type="dxa"/>
            <w:shd w:val="clear" w:color="auto" w:fill="C6EFCE"/>
            <w:noWrap/>
            <w:vAlign w:val="center"/>
          </w:tcPr>
          <w:p w14:paraId="5E959546"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1.1: Digital update of hospitals’ technological equipment</w:t>
            </w:r>
          </w:p>
        </w:tc>
        <w:tc>
          <w:tcPr>
            <w:tcW w:w="978" w:type="dxa"/>
            <w:shd w:val="clear" w:color="auto" w:fill="C6EFCE"/>
            <w:noWrap/>
            <w:vAlign w:val="center"/>
          </w:tcPr>
          <w:p w14:paraId="2B8C7978"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Milestone</w:t>
            </w:r>
          </w:p>
        </w:tc>
        <w:tc>
          <w:tcPr>
            <w:tcW w:w="1607" w:type="dxa"/>
            <w:shd w:val="clear" w:color="auto" w:fill="C6EFCE"/>
            <w:noWrap/>
            <w:vAlign w:val="center"/>
          </w:tcPr>
          <w:p w14:paraId="471CBEAB"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Award of all public contracts</w:t>
            </w:r>
          </w:p>
        </w:tc>
        <w:tc>
          <w:tcPr>
            <w:tcW w:w="1674" w:type="dxa"/>
            <w:shd w:val="clear" w:color="auto" w:fill="C6EFCE"/>
            <w:noWrap/>
            <w:vAlign w:val="center"/>
          </w:tcPr>
          <w:p w14:paraId="34CB8A4D"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Notification of all awarded public contracts.</w:t>
            </w:r>
          </w:p>
        </w:tc>
        <w:tc>
          <w:tcPr>
            <w:tcW w:w="1257" w:type="dxa"/>
            <w:shd w:val="clear" w:color="auto" w:fill="C6EFCE"/>
            <w:noWrap/>
            <w:vAlign w:val="center"/>
          </w:tcPr>
          <w:p w14:paraId="7F85803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118" w:type="dxa"/>
            <w:shd w:val="clear" w:color="auto" w:fill="C6EFCE"/>
            <w:noWrap/>
            <w:vAlign w:val="center"/>
          </w:tcPr>
          <w:p w14:paraId="3F93B7E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57" w:type="dxa"/>
            <w:shd w:val="clear" w:color="auto" w:fill="C6EFCE"/>
            <w:noWrap/>
            <w:vAlign w:val="center"/>
          </w:tcPr>
          <w:p w14:paraId="2104277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839" w:type="dxa"/>
            <w:shd w:val="clear" w:color="auto" w:fill="C6EFCE"/>
            <w:noWrap/>
            <w:vAlign w:val="center"/>
          </w:tcPr>
          <w:p w14:paraId="376AB95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Q4</w:t>
            </w:r>
          </w:p>
        </w:tc>
        <w:tc>
          <w:tcPr>
            <w:tcW w:w="840" w:type="dxa"/>
            <w:shd w:val="clear" w:color="auto" w:fill="C6EFCE"/>
            <w:noWrap/>
            <w:vAlign w:val="center"/>
          </w:tcPr>
          <w:p w14:paraId="14548EB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2022</w:t>
            </w:r>
          </w:p>
        </w:tc>
        <w:tc>
          <w:tcPr>
            <w:tcW w:w="3410" w:type="dxa"/>
            <w:shd w:val="clear" w:color="auto" w:fill="C6EFCE"/>
            <w:noWrap/>
            <w:vAlign w:val="center"/>
          </w:tcPr>
          <w:p w14:paraId="0AF44CCA" w14:textId="77777777" w:rsidR="0039681A" w:rsidRPr="00A36E36" w:rsidRDefault="0039681A">
            <w:pPr>
              <w:spacing w:before="120" w:after="120"/>
              <w:rPr>
                <w:rFonts w:ascii="Arial Narrow" w:hAnsi="Arial Narrow"/>
                <w:noProof/>
                <w:color w:val="006600"/>
                <w:sz w:val="20"/>
                <w:szCs w:val="20"/>
                <w:lang w:val="en-IE"/>
              </w:rPr>
            </w:pPr>
            <w:r w:rsidRPr="00A36E36">
              <w:rPr>
                <w:rFonts w:ascii="Arial Narrow" w:hAnsi="Arial Narrow"/>
                <w:noProof/>
                <w:color w:val="006600"/>
                <w:sz w:val="20"/>
                <w:lang w:val="en-IE"/>
              </w:rPr>
              <w:t>Publication of tendering procedures (Consip framework agreement) and conclusion of contracts with service providers and digitisation of hospitals classed as DEA I and II level)</w:t>
            </w:r>
          </w:p>
          <w:p w14:paraId="5932A557" w14:textId="77777777" w:rsidR="0039681A" w:rsidRPr="00A36E36" w:rsidRDefault="0039681A">
            <w:pPr>
              <w:spacing w:before="120" w:after="120"/>
              <w:rPr>
                <w:rFonts w:ascii="Arial Narrow" w:hAnsi="Arial Narrow"/>
                <w:noProof/>
                <w:color w:val="006100"/>
                <w:sz w:val="20"/>
                <w:szCs w:val="20"/>
                <w:lang w:val="en-IE"/>
              </w:rPr>
            </w:pPr>
            <w:r w:rsidRPr="00A36E36">
              <w:rPr>
                <w:rFonts w:ascii="Arial Narrow" w:hAnsi="Arial Narrow"/>
                <w:noProof/>
                <w:color w:val="006600"/>
                <w:sz w:val="20"/>
                <w:lang w:val="en-IE"/>
              </w:rPr>
              <w:t>Contracts shall include the purchase of: a) Data Processing Centre (DPC), including ICT and any ancillary works, necessary to achieve the computerization of the entire hospital structure b) acquisition of hardware and / or software information technology, electromedical technologies, as well as additional technologies and any ancillary works, necessary to achieve computerization of hospital departments. The assessment of the current digitizing level, preliminary to the implementation of the intervention, shall allow to fine-tune this evaluation, according to the real needs of each region/hospital.</w:t>
            </w:r>
          </w:p>
        </w:tc>
      </w:tr>
      <w:tr w:rsidR="0039681A" w:rsidRPr="0070054C" w14:paraId="765DAC83" w14:textId="77777777" w:rsidTr="00351087">
        <w:trPr>
          <w:trHeight w:val="313"/>
          <w:jc w:val="center"/>
        </w:trPr>
        <w:tc>
          <w:tcPr>
            <w:tcW w:w="1142" w:type="dxa"/>
            <w:shd w:val="clear" w:color="auto" w:fill="C6EFCE"/>
            <w:noWrap/>
            <w:vAlign w:val="center"/>
          </w:tcPr>
          <w:p w14:paraId="5718D98E" w14:textId="77777777" w:rsidR="0039681A" w:rsidRPr="00647572" w:rsidRDefault="0039681A">
            <w:pPr>
              <w:spacing w:before="120" w:after="120"/>
              <w:jc w:val="center"/>
              <w:rPr>
                <w:rFonts w:ascii="Arial Narrow" w:hAnsi="Arial Narrow"/>
                <w:noProof/>
                <w:color w:val="006100"/>
                <w:sz w:val="20"/>
                <w:szCs w:val="20"/>
              </w:rPr>
            </w:pPr>
            <w:r w:rsidRPr="126DBA8B">
              <w:rPr>
                <w:rFonts w:ascii="Arial Narrow" w:hAnsi="Arial Narrow"/>
                <w:noProof/>
                <w:color w:val="006100"/>
                <w:sz w:val="20"/>
                <w:szCs w:val="20"/>
              </w:rPr>
              <w:t>M6C2-8</w:t>
            </w:r>
          </w:p>
        </w:tc>
        <w:tc>
          <w:tcPr>
            <w:tcW w:w="1536" w:type="dxa"/>
            <w:shd w:val="clear" w:color="auto" w:fill="C6EFCE"/>
            <w:noWrap/>
            <w:vAlign w:val="center"/>
          </w:tcPr>
          <w:p w14:paraId="6F5EF081"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1.1: Digital update of hospitals’ technological equipment</w:t>
            </w:r>
          </w:p>
        </w:tc>
        <w:tc>
          <w:tcPr>
            <w:tcW w:w="978" w:type="dxa"/>
            <w:shd w:val="clear" w:color="auto" w:fill="C6EFCE"/>
            <w:noWrap/>
            <w:vAlign w:val="center"/>
          </w:tcPr>
          <w:p w14:paraId="283D6F7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Target</w:t>
            </w:r>
          </w:p>
        </w:tc>
        <w:tc>
          <w:tcPr>
            <w:tcW w:w="1607" w:type="dxa"/>
            <w:shd w:val="clear" w:color="auto" w:fill="C6EFCE"/>
            <w:noWrap/>
            <w:vAlign w:val="center"/>
          </w:tcPr>
          <w:p w14:paraId="57EAD42B" w14:textId="77777777" w:rsidR="0039681A" w:rsidRPr="00A36E36" w:rsidRDefault="0039681A">
            <w:pPr>
              <w:spacing w:before="120" w:after="120"/>
              <w:jc w:val="center"/>
              <w:rPr>
                <w:rFonts w:ascii="Arial Narrow" w:eastAsia="Calibri" w:hAnsi="Arial Narrow"/>
                <w:noProof/>
                <w:color w:val="006600"/>
                <w:sz w:val="20"/>
                <w:szCs w:val="20"/>
                <w:lang w:val="en-IE"/>
              </w:rPr>
            </w:pPr>
            <w:r w:rsidRPr="00A36E36">
              <w:rPr>
                <w:rFonts w:ascii="Arial Narrow" w:hAnsi="Arial Narrow"/>
                <w:noProof/>
                <w:color w:val="006600"/>
                <w:sz w:val="20"/>
                <w:lang w:val="en-IE"/>
              </w:rPr>
              <w:t>Hospitals are digitized (DEA - Emergency and Admission Departments - Level I and Level II)</w:t>
            </w:r>
          </w:p>
        </w:tc>
        <w:tc>
          <w:tcPr>
            <w:tcW w:w="1674" w:type="dxa"/>
            <w:shd w:val="clear" w:color="auto" w:fill="C6EFCE"/>
            <w:noWrap/>
            <w:vAlign w:val="center"/>
          </w:tcPr>
          <w:p w14:paraId="66DA539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57" w:type="dxa"/>
            <w:shd w:val="clear" w:color="auto" w:fill="C6EFCE"/>
            <w:noWrap/>
            <w:vAlign w:val="center"/>
          </w:tcPr>
          <w:p w14:paraId="60C54C6D" w14:textId="77777777" w:rsidR="0039681A" w:rsidRPr="00647572" w:rsidRDefault="0039681A">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rPr>
              <w:t xml:space="preserve">Number </w:t>
            </w:r>
          </w:p>
        </w:tc>
        <w:tc>
          <w:tcPr>
            <w:tcW w:w="1118" w:type="dxa"/>
            <w:shd w:val="clear" w:color="auto" w:fill="C6EFCE"/>
            <w:noWrap/>
            <w:vAlign w:val="center"/>
          </w:tcPr>
          <w:p w14:paraId="0C11CE83"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0</w:t>
            </w:r>
          </w:p>
        </w:tc>
        <w:tc>
          <w:tcPr>
            <w:tcW w:w="1257" w:type="dxa"/>
            <w:shd w:val="clear" w:color="auto" w:fill="C6EFCE"/>
            <w:noWrap/>
            <w:vAlign w:val="center"/>
          </w:tcPr>
          <w:p w14:paraId="222C340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280</w:t>
            </w:r>
          </w:p>
        </w:tc>
        <w:tc>
          <w:tcPr>
            <w:tcW w:w="839" w:type="dxa"/>
            <w:shd w:val="clear" w:color="auto" w:fill="C6EFCE"/>
            <w:noWrap/>
            <w:vAlign w:val="center"/>
          </w:tcPr>
          <w:p w14:paraId="14D5ED5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Q4</w:t>
            </w:r>
          </w:p>
        </w:tc>
        <w:tc>
          <w:tcPr>
            <w:tcW w:w="840" w:type="dxa"/>
            <w:shd w:val="clear" w:color="auto" w:fill="C6EFCE"/>
            <w:noWrap/>
            <w:vAlign w:val="center"/>
          </w:tcPr>
          <w:p w14:paraId="6DFE8D1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2025</w:t>
            </w:r>
          </w:p>
        </w:tc>
        <w:tc>
          <w:tcPr>
            <w:tcW w:w="3410" w:type="dxa"/>
            <w:shd w:val="clear" w:color="auto" w:fill="C6EFCE"/>
            <w:noWrap/>
            <w:vAlign w:val="center"/>
          </w:tcPr>
          <w:p w14:paraId="5977F343" w14:textId="77777777" w:rsidR="0039681A" w:rsidRPr="00A36E36" w:rsidRDefault="0039681A">
            <w:pPr>
              <w:spacing w:before="120" w:after="120"/>
              <w:rPr>
                <w:rFonts w:ascii="Arial Narrow" w:hAnsi="Arial Narrow"/>
                <w:noProof/>
                <w:color w:val="006600"/>
                <w:sz w:val="20"/>
                <w:szCs w:val="20"/>
                <w:lang w:val="en-IE"/>
              </w:rPr>
            </w:pPr>
            <w:r w:rsidRPr="00A36E36">
              <w:rPr>
                <w:rFonts w:ascii="Arial Narrow" w:hAnsi="Arial Narrow"/>
                <w:noProof/>
                <w:color w:val="006600"/>
                <w:sz w:val="20"/>
                <w:szCs w:val="20"/>
                <w:lang w:val="en-IE"/>
              </w:rPr>
              <w:t>The target shall be achieved when the digitization of the 280 first- and second-level Emergency and Acceptance Department (DEA) has been elevated by at least one stage, according to the Electronic Medical Record Adoption Model (EMRAM) as attested by a digital maturity certificate from the Healthcare Information and Management Systems Society (HIMSS), reaching stage two or more of the maturity scale for at least 50 DEAs.</w:t>
            </w:r>
          </w:p>
          <w:p w14:paraId="69BC42DB" w14:textId="77777777" w:rsidR="0039681A" w:rsidRPr="00A36E36" w:rsidRDefault="0039681A">
            <w:pPr>
              <w:spacing w:before="120" w:after="120"/>
              <w:rPr>
                <w:rFonts w:ascii="Arial Narrow" w:hAnsi="Arial Narrow"/>
                <w:noProof/>
                <w:color w:val="006100"/>
                <w:sz w:val="20"/>
                <w:szCs w:val="20"/>
                <w:lang w:val="en-IE"/>
              </w:rPr>
            </w:pPr>
            <w:bookmarkStart w:id="24" w:name="_Hlk149126432"/>
            <w:r w:rsidRPr="00E74433">
              <w:rPr>
                <w:rFonts w:ascii="Arial Narrow" w:eastAsia="Times New Roman" w:hAnsi="Arial Narrow" w:cs="Segoe UI"/>
                <w:noProof/>
                <w:color w:val="006600"/>
                <w:sz w:val="20"/>
                <w:szCs w:val="20"/>
                <w:lang w:val="en-IE" w:eastAsia="en-GB"/>
              </w:rPr>
              <w:t>For the purpose of achieving this target, procurements other than those made under the contracts concluded for achieving M6C2-7 may be taken into account</w:t>
            </w:r>
            <w:r w:rsidRPr="00A36E36">
              <w:rPr>
                <w:rFonts w:ascii="Arial Narrow" w:eastAsia="Times New Roman" w:hAnsi="Arial Narrow" w:cs="Segoe UI"/>
                <w:noProof/>
                <w:color w:val="006600"/>
                <w:sz w:val="20"/>
                <w:szCs w:val="20"/>
                <w:lang w:val="en-IE" w:eastAsia="en-GB"/>
              </w:rPr>
              <w:t>,</w:t>
            </w:r>
            <w:r>
              <w:rPr>
                <w:rFonts w:ascii="Arial Narrow" w:eastAsia="Times New Roman" w:hAnsi="Arial Narrow" w:cs="Segoe UI"/>
                <w:noProof/>
                <w:color w:val="006600"/>
                <w:sz w:val="20"/>
                <w:szCs w:val="20"/>
                <w:lang w:val="en-IE" w:eastAsia="en-GB"/>
              </w:rPr>
              <w:t xml:space="preserve"> </w:t>
            </w:r>
            <w:r w:rsidRPr="00A36E36">
              <w:rPr>
                <w:rFonts w:ascii="Arial Narrow" w:hAnsi="Arial Narrow"/>
                <w:noProof/>
                <w:color w:val="006600"/>
                <w:sz w:val="20"/>
                <w:szCs w:val="20"/>
                <w:lang w:val="en-IE"/>
              </w:rPr>
              <w:t>as well as purchases made on the Electronic Market of Public Administration (Mepa) or Public Administration Dynamic Acquisition System (SDAPA).</w:t>
            </w:r>
            <w:bookmarkEnd w:id="24"/>
          </w:p>
        </w:tc>
      </w:tr>
      <w:tr w:rsidR="0039681A" w:rsidRPr="0070054C" w14:paraId="6CB4C3FA" w14:textId="77777777" w:rsidTr="00351087">
        <w:trPr>
          <w:trHeight w:val="313"/>
          <w:jc w:val="center"/>
        </w:trPr>
        <w:tc>
          <w:tcPr>
            <w:tcW w:w="1142" w:type="dxa"/>
            <w:shd w:val="clear" w:color="auto" w:fill="C6EFCE"/>
            <w:noWrap/>
            <w:vAlign w:val="center"/>
          </w:tcPr>
          <w:p w14:paraId="02B01F72"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M6C2-9</w:t>
            </w:r>
          </w:p>
        </w:tc>
        <w:tc>
          <w:tcPr>
            <w:tcW w:w="1536" w:type="dxa"/>
            <w:shd w:val="clear" w:color="auto" w:fill="C6EFCE"/>
            <w:noWrap/>
            <w:vAlign w:val="center"/>
          </w:tcPr>
          <w:p w14:paraId="39B303A6"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1.1: Digital update of hospitals’ technological equipment</w:t>
            </w:r>
          </w:p>
        </w:tc>
        <w:tc>
          <w:tcPr>
            <w:tcW w:w="978" w:type="dxa"/>
            <w:shd w:val="clear" w:color="auto" w:fill="C6EFCE"/>
            <w:noWrap/>
            <w:vAlign w:val="center"/>
          </w:tcPr>
          <w:p w14:paraId="239FC9B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Target</w:t>
            </w:r>
          </w:p>
        </w:tc>
        <w:tc>
          <w:tcPr>
            <w:tcW w:w="1607" w:type="dxa"/>
            <w:shd w:val="clear" w:color="auto" w:fill="C6EFCE"/>
            <w:noWrap/>
            <w:vAlign w:val="center"/>
          </w:tcPr>
          <w:p w14:paraId="440ACDEB" w14:textId="2622C052" w:rsidR="0039681A" w:rsidRPr="00AF5341" w:rsidRDefault="0039681A">
            <w:pPr>
              <w:spacing w:before="120" w:after="120"/>
              <w:jc w:val="center"/>
              <w:rPr>
                <w:rFonts w:ascii="Arial Narrow" w:hAnsi="Arial Narrow"/>
                <w:noProof/>
                <w:color w:val="006600"/>
                <w:sz w:val="20"/>
                <w:szCs w:val="20"/>
                <w:lang w:val="en-IE"/>
              </w:rPr>
            </w:pPr>
            <w:r w:rsidRPr="2663C1A6">
              <w:rPr>
                <w:rFonts w:ascii="Arial Narrow" w:hAnsi="Arial Narrow"/>
                <w:noProof/>
                <w:color w:val="006600"/>
                <w:sz w:val="20"/>
                <w:szCs w:val="20"/>
                <w:lang w:val="en-IE"/>
              </w:rPr>
              <w:t>Beds provided or converted in ICUs and semi-intensive care</w:t>
            </w:r>
          </w:p>
        </w:tc>
        <w:tc>
          <w:tcPr>
            <w:tcW w:w="1674" w:type="dxa"/>
            <w:shd w:val="clear" w:color="auto" w:fill="C6EFCE"/>
            <w:noWrap/>
            <w:vAlign w:val="center"/>
          </w:tcPr>
          <w:p w14:paraId="6D8A990B"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57" w:type="dxa"/>
            <w:shd w:val="clear" w:color="auto" w:fill="C6EFCE"/>
            <w:noWrap/>
            <w:vAlign w:val="center"/>
          </w:tcPr>
          <w:p w14:paraId="791E31AE" w14:textId="77777777" w:rsidR="0039681A" w:rsidRPr="00647572" w:rsidRDefault="0039681A">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szCs w:val="20"/>
              </w:rPr>
              <w:t xml:space="preserve">Number </w:t>
            </w:r>
          </w:p>
        </w:tc>
        <w:tc>
          <w:tcPr>
            <w:tcW w:w="1118" w:type="dxa"/>
            <w:shd w:val="clear" w:color="auto" w:fill="C6EFCE"/>
            <w:noWrap/>
            <w:vAlign w:val="center"/>
          </w:tcPr>
          <w:p w14:paraId="1664D5A0" w14:textId="77777777" w:rsidR="0039681A" w:rsidRPr="00647572" w:rsidRDefault="0039681A">
            <w:pPr>
              <w:spacing w:before="120" w:after="120"/>
              <w:jc w:val="center"/>
              <w:rPr>
                <w:rFonts w:ascii="Arial Narrow" w:hAnsi="Arial Narrow"/>
                <w:noProof/>
                <w:color w:val="006100"/>
                <w:sz w:val="20"/>
                <w:szCs w:val="20"/>
              </w:rPr>
            </w:pPr>
            <w:r>
              <w:rPr>
                <w:rFonts w:ascii="Arial Narrow" w:hAnsi="Arial Narrow"/>
                <w:noProof/>
                <w:color w:val="006100"/>
                <w:sz w:val="20"/>
                <w:szCs w:val="20"/>
              </w:rPr>
              <w:t>0</w:t>
            </w:r>
          </w:p>
        </w:tc>
        <w:tc>
          <w:tcPr>
            <w:tcW w:w="1257" w:type="dxa"/>
            <w:shd w:val="clear" w:color="auto" w:fill="C6EFCE"/>
            <w:noWrap/>
            <w:vAlign w:val="center"/>
          </w:tcPr>
          <w:p w14:paraId="356426E1"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5 922</w:t>
            </w:r>
          </w:p>
        </w:tc>
        <w:tc>
          <w:tcPr>
            <w:tcW w:w="839" w:type="dxa"/>
            <w:shd w:val="clear" w:color="auto" w:fill="C6EFCE"/>
            <w:noWrap/>
            <w:vAlign w:val="center"/>
          </w:tcPr>
          <w:p w14:paraId="5E3451B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Q2</w:t>
            </w:r>
          </w:p>
        </w:tc>
        <w:tc>
          <w:tcPr>
            <w:tcW w:w="840" w:type="dxa"/>
            <w:shd w:val="clear" w:color="auto" w:fill="C6EFCE"/>
            <w:noWrap/>
            <w:vAlign w:val="center"/>
          </w:tcPr>
          <w:p w14:paraId="182FBA5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2026</w:t>
            </w:r>
          </w:p>
        </w:tc>
        <w:tc>
          <w:tcPr>
            <w:tcW w:w="3410" w:type="dxa"/>
            <w:shd w:val="clear" w:color="auto" w:fill="C6EFCE"/>
            <w:noWrap/>
            <w:vAlign w:val="center"/>
          </w:tcPr>
          <w:p w14:paraId="7A0D564D" w14:textId="15EAE42B" w:rsidR="0039681A" w:rsidRPr="00E90B3A" w:rsidRDefault="0039681A">
            <w:pPr>
              <w:spacing w:before="120" w:after="120"/>
              <w:rPr>
                <w:rFonts w:ascii="Arial Narrow" w:eastAsia="Calibri" w:hAnsi="Arial Narrow"/>
                <w:noProof/>
                <w:color w:val="006600"/>
                <w:sz w:val="20"/>
                <w:szCs w:val="20"/>
                <w:lang w:val="en-IE"/>
              </w:rPr>
            </w:pPr>
            <w:r w:rsidRPr="00E90B3A">
              <w:rPr>
                <w:rFonts w:ascii="Arial Narrow" w:eastAsia="Calibri" w:hAnsi="Arial Narrow"/>
                <w:noProof/>
                <w:color w:val="006600"/>
                <w:sz w:val="20"/>
                <w:szCs w:val="20"/>
                <w:lang w:val="en-IE"/>
              </w:rPr>
              <w:t>Administrative certificates attesting</w:t>
            </w:r>
            <w:r w:rsidRPr="00A36E36">
              <w:rPr>
                <w:rFonts w:ascii="Arial Narrow" w:hAnsi="Arial Narrow"/>
                <w:noProof/>
                <w:color w:val="006600"/>
                <w:sz w:val="20"/>
                <w:szCs w:val="20"/>
                <w:lang w:val="en-IE"/>
              </w:rPr>
              <w:t xml:space="preserve"> completion of</w:t>
            </w:r>
            <w:r w:rsidR="00381DB1">
              <w:rPr>
                <w:rFonts w:ascii="Arial Narrow" w:hAnsi="Arial Narrow"/>
                <w:noProof/>
                <w:color w:val="006600"/>
                <w:sz w:val="20"/>
                <w:szCs w:val="20"/>
                <w:lang w:val="en-IE"/>
              </w:rPr>
              <w:t xml:space="preserve"> </w:t>
            </w:r>
            <w:r w:rsidRPr="00A36E36">
              <w:rPr>
                <w:rFonts w:ascii="Arial Narrow" w:hAnsi="Arial Narrow"/>
                <w:noProof/>
                <w:color w:val="006600"/>
                <w:sz w:val="20"/>
                <w:szCs w:val="20"/>
                <w:lang w:val="en-IE"/>
              </w:rPr>
              <w:t xml:space="preserve">interventions </w:t>
            </w:r>
            <w:r w:rsidRPr="00E90B3A">
              <w:rPr>
                <w:rFonts w:ascii="Arial Narrow" w:eastAsia="Calibri" w:hAnsi="Arial Narrow"/>
                <w:noProof/>
                <w:color w:val="006600"/>
                <w:sz w:val="20"/>
                <w:szCs w:val="20"/>
                <w:lang w:val="en-IE"/>
              </w:rPr>
              <w:t>to ensure</w:t>
            </w:r>
            <w:r w:rsidRPr="00A36E36">
              <w:rPr>
                <w:rFonts w:ascii="Arial Narrow" w:hAnsi="Arial Narrow"/>
                <w:noProof/>
                <w:color w:val="006600"/>
                <w:sz w:val="20"/>
                <w:szCs w:val="20"/>
                <w:lang w:val="en-IE"/>
              </w:rPr>
              <w:t xml:space="preserve"> the provision or conversion of at least 5</w:t>
            </w:r>
            <w:r w:rsidRPr="00E90B3A">
              <w:rPr>
                <w:rFonts w:ascii="Arial Narrow" w:eastAsia="Calibri" w:hAnsi="Arial Narrow"/>
                <w:noProof/>
                <w:color w:val="006600"/>
                <w:sz w:val="20"/>
                <w:szCs w:val="20"/>
                <w:lang w:val="en-IE"/>
              </w:rPr>
              <w:t xml:space="preserve"> </w:t>
            </w:r>
            <w:r w:rsidRPr="00A36E36">
              <w:rPr>
                <w:rFonts w:ascii="Arial Narrow" w:hAnsi="Arial Narrow"/>
                <w:noProof/>
                <w:color w:val="006600"/>
                <w:sz w:val="20"/>
                <w:szCs w:val="20"/>
                <w:lang w:val="en-IE"/>
              </w:rPr>
              <w:t xml:space="preserve">922 beds </w:t>
            </w:r>
            <w:r w:rsidRPr="00E90B3A">
              <w:rPr>
                <w:rFonts w:ascii="Arial Narrow" w:eastAsia="Calibri" w:hAnsi="Arial Narrow"/>
                <w:noProof/>
                <w:color w:val="006600"/>
                <w:sz w:val="20"/>
                <w:szCs w:val="20"/>
                <w:lang w:val="en-IE"/>
              </w:rPr>
              <w:t xml:space="preserve">in intensive care units </w:t>
            </w:r>
            <w:r w:rsidRPr="00A36E36">
              <w:rPr>
                <w:rFonts w:ascii="Arial Narrow" w:hAnsi="Arial Narrow"/>
                <w:noProof/>
                <w:color w:val="006600"/>
                <w:sz w:val="20"/>
                <w:szCs w:val="20"/>
                <w:lang w:val="en-IE"/>
              </w:rPr>
              <w:t xml:space="preserve">and </w:t>
            </w:r>
            <w:r w:rsidRPr="00E90B3A">
              <w:rPr>
                <w:rFonts w:ascii="Arial Narrow" w:eastAsia="Calibri" w:hAnsi="Arial Narrow"/>
                <w:noProof/>
                <w:color w:val="006600"/>
                <w:sz w:val="20"/>
                <w:szCs w:val="20"/>
                <w:lang w:val="en-IE"/>
              </w:rPr>
              <w:t>in semi intensive care</w:t>
            </w:r>
            <w:r w:rsidRPr="00A36E36">
              <w:rPr>
                <w:rFonts w:ascii="Arial Narrow" w:hAnsi="Arial Narrow"/>
                <w:noProof/>
                <w:color w:val="006600"/>
                <w:sz w:val="20"/>
                <w:szCs w:val="20"/>
                <w:lang w:val="en-IE"/>
              </w:rPr>
              <w:t xml:space="preserve">. The </w:t>
            </w:r>
            <w:r w:rsidRPr="00E90B3A">
              <w:rPr>
                <w:rFonts w:ascii="Arial Narrow" w:eastAsia="Calibri" w:hAnsi="Arial Narrow"/>
                <w:noProof/>
                <w:color w:val="006600"/>
                <w:sz w:val="20"/>
                <w:szCs w:val="20"/>
                <w:lang w:val="en-IE"/>
              </w:rPr>
              <w:t xml:space="preserve">number </w:t>
            </w:r>
            <w:r w:rsidRPr="00A36E36">
              <w:rPr>
                <w:rFonts w:ascii="Arial Narrow" w:hAnsi="Arial Narrow"/>
                <w:noProof/>
                <w:color w:val="006600"/>
                <w:sz w:val="20"/>
                <w:szCs w:val="20"/>
                <w:lang w:val="en-IE"/>
              </w:rPr>
              <w:t xml:space="preserve">of intensive care beds shall be at least </w:t>
            </w:r>
            <w:r w:rsidRPr="00E90B3A">
              <w:rPr>
                <w:rFonts w:ascii="Arial Narrow" w:eastAsia="Calibri" w:hAnsi="Arial Narrow"/>
                <w:noProof/>
                <w:color w:val="006600"/>
                <w:sz w:val="20"/>
                <w:szCs w:val="20"/>
                <w:lang w:val="en-IE"/>
              </w:rPr>
              <w:t>2368</w:t>
            </w:r>
            <w:r w:rsidRPr="00A36E36">
              <w:rPr>
                <w:rFonts w:ascii="Arial Narrow" w:hAnsi="Arial Narrow"/>
                <w:noProof/>
                <w:color w:val="006600"/>
                <w:sz w:val="20"/>
                <w:szCs w:val="20"/>
                <w:lang w:val="en-IE"/>
              </w:rPr>
              <w:t>.</w:t>
            </w:r>
          </w:p>
        </w:tc>
      </w:tr>
      <w:tr w:rsidR="0039681A" w:rsidRPr="0070054C" w14:paraId="34C51632" w14:textId="77777777" w:rsidTr="00351087">
        <w:trPr>
          <w:trHeight w:val="313"/>
          <w:jc w:val="center"/>
        </w:trPr>
        <w:tc>
          <w:tcPr>
            <w:tcW w:w="1142" w:type="dxa"/>
            <w:shd w:val="clear" w:color="auto" w:fill="C6EFCE"/>
            <w:noWrap/>
            <w:vAlign w:val="center"/>
          </w:tcPr>
          <w:p w14:paraId="6DCF3F5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M6C2-10</w:t>
            </w:r>
          </w:p>
        </w:tc>
        <w:tc>
          <w:tcPr>
            <w:tcW w:w="1536" w:type="dxa"/>
            <w:shd w:val="clear" w:color="auto" w:fill="C6EFCE"/>
            <w:noWrap/>
            <w:vAlign w:val="center"/>
          </w:tcPr>
          <w:p w14:paraId="42BDA746"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1.2: Toward a safe and sustainable hospital</w:t>
            </w:r>
          </w:p>
        </w:tc>
        <w:tc>
          <w:tcPr>
            <w:tcW w:w="978" w:type="dxa"/>
            <w:shd w:val="clear" w:color="auto" w:fill="C6EFCE"/>
            <w:noWrap/>
            <w:vAlign w:val="center"/>
          </w:tcPr>
          <w:p w14:paraId="00C70AF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Target</w:t>
            </w:r>
          </w:p>
        </w:tc>
        <w:tc>
          <w:tcPr>
            <w:tcW w:w="1607" w:type="dxa"/>
            <w:shd w:val="clear" w:color="auto" w:fill="C6EFCE"/>
            <w:noWrap/>
            <w:vAlign w:val="center"/>
          </w:tcPr>
          <w:p w14:paraId="6EFC53BC" w14:textId="77777777" w:rsidR="0039681A" w:rsidRPr="00A36E36" w:rsidRDefault="0039681A">
            <w:pPr>
              <w:spacing w:before="120" w:after="120"/>
              <w:jc w:val="center"/>
              <w:rPr>
                <w:rFonts w:ascii="Arial Narrow" w:eastAsia="Calibri" w:hAnsi="Arial Narrow"/>
                <w:noProof/>
                <w:color w:val="006600"/>
                <w:sz w:val="20"/>
                <w:szCs w:val="20"/>
                <w:lang w:val="en-IE"/>
              </w:rPr>
            </w:pPr>
            <w:r w:rsidRPr="00A36E36">
              <w:rPr>
                <w:rFonts w:ascii="Arial Narrow" w:hAnsi="Arial Narrow"/>
                <w:noProof/>
                <w:color w:val="006600"/>
                <w:sz w:val="20"/>
                <w:lang w:val="en-IE"/>
              </w:rPr>
              <w:t>Anti-seismic interventions in hospitals facilities are completed</w:t>
            </w:r>
          </w:p>
        </w:tc>
        <w:tc>
          <w:tcPr>
            <w:tcW w:w="1674" w:type="dxa"/>
            <w:shd w:val="clear" w:color="auto" w:fill="C6EFCE"/>
            <w:noWrap/>
            <w:vAlign w:val="center"/>
          </w:tcPr>
          <w:p w14:paraId="6125415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57" w:type="dxa"/>
            <w:shd w:val="clear" w:color="auto" w:fill="C6EFCE"/>
            <w:noWrap/>
            <w:vAlign w:val="center"/>
          </w:tcPr>
          <w:p w14:paraId="6D499215" w14:textId="77777777" w:rsidR="0039681A" w:rsidRPr="00647572" w:rsidRDefault="0039681A">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rPr>
              <w:t xml:space="preserve">Number </w:t>
            </w:r>
          </w:p>
        </w:tc>
        <w:tc>
          <w:tcPr>
            <w:tcW w:w="1118" w:type="dxa"/>
            <w:shd w:val="clear" w:color="auto" w:fill="C6EFCE"/>
            <w:noWrap/>
            <w:vAlign w:val="center"/>
          </w:tcPr>
          <w:p w14:paraId="3A760ECA"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0</w:t>
            </w:r>
          </w:p>
        </w:tc>
        <w:tc>
          <w:tcPr>
            <w:tcW w:w="1257" w:type="dxa"/>
            <w:shd w:val="clear" w:color="auto" w:fill="C6EFCE"/>
            <w:noWrap/>
            <w:vAlign w:val="center"/>
          </w:tcPr>
          <w:p w14:paraId="5E22293B" w14:textId="77777777" w:rsidR="0039681A" w:rsidRPr="00647572" w:rsidRDefault="0039681A">
            <w:pPr>
              <w:spacing w:before="120" w:after="120"/>
              <w:jc w:val="center"/>
              <w:rPr>
                <w:rFonts w:ascii="Arial Narrow" w:hAnsi="Arial Narrow"/>
                <w:noProof/>
                <w:color w:val="006600"/>
                <w:sz w:val="20"/>
                <w:szCs w:val="20"/>
              </w:rPr>
            </w:pPr>
            <w:r w:rsidRPr="00647572">
              <w:rPr>
                <w:rFonts w:ascii="Arial Narrow" w:hAnsi="Arial Narrow"/>
                <w:noProof/>
                <w:color w:val="006600"/>
                <w:sz w:val="20"/>
              </w:rPr>
              <w:t>84</w:t>
            </w:r>
          </w:p>
        </w:tc>
        <w:tc>
          <w:tcPr>
            <w:tcW w:w="839" w:type="dxa"/>
            <w:shd w:val="clear" w:color="auto" w:fill="C6EFCE"/>
            <w:noWrap/>
            <w:vAlign w:val="center"/>
          </w:tcPr>
          <w:p w14:paraId="5F94B212"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Q2</w:t>
            </w:r>
          </w:p>
        </w:tc>
        <w:tc>
          <w:tcPr>
            <w:tcW w:w="840" w:type="dxa"/>
            <w:shd w:val="clear" w:color="auto" w:fill="C6EFCE"/>
            <w:noWrap/>
            <w:vAlign w:val="center"/>
          </w:tcPr>
          <w:p w14:paraId="66803D1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2026</w:t>
            </w:r>
          </w:p>
        </w:tc>
        <w:tc>
          <w:tcPr>
            <w:tcW w:w="3410" w:type="dxa"/>
            <w:shd w:val="clear" w:color="auto" w:fill="C6EFCE"/>
            <w:noWrap/>
            <w:vAlign w:val="center"/>
          </w:tcPr>
          <w:p w14:paraId="60B5AD45" w14:textId="77777777" w:rsidR="0039681A" w:rsidRPr="00A36E36" w:rsidRDefault="0039681A">
            <w:pPr>
              <w:spacing w:before="120" w:after="120"/>
              <w:rPr>
                <w:rFonts w:ascii="Arial Narrow" w:hAnsi="Arial Narrow"/>
                <w:noProof/>
                <w:sz w:val="20"/>
                <w:szCs w:val="20"/>
                <w:lang w:val="en-IE"/>
              </w:rPr>
            </w:pPr>
            <w:r w:rsidRPr="00A36E36">
              <w:rPr>
                <w:rFonts w:ascii="Arial Narrow" w:hAnsi="Arial Narrow"/>
                <w:noProof/>
                <w:color w:val="006600"/>
                <w:sz w:val="20"/>
                <w:szCs w:val="20"/>
                <w:lang w:val="en-IE"/>
              </w:rPr>
              <w:t>Report on completed structure or Static test certificate issued for at least 84 anti-seismic interventions in hospitals facilities.</w:t>
            </w:r>
          </w:p>
        </w:tc>
      </w:tr>
      <w:tr w:rsidR="0039681A" w:rsidRPr="0070054C" w14:paraId="501C4962" w14:textId="77777777" w:rsidTr="00351087">
        <w:trPr>
          <w:trHeight w:val="313"/>
          <w:jc w:val="center"/>
        </w:trPr>
        <w:tc>
          <w:tcPr>
            <w:tcW w:w="1142" w:type="dxa"/>
            <w:shd w:val="clear" w:color="auto" w:fill="C6EFCE"/>
            <w:noWrap/>
            <w:vAlign w:val="center"/>
          </w:tcPr>
          <w:p w14:paraId="07F145BF" w14:textId="77777777" w:rsidR="0039681A" w:rsidRPr="00647572" w:rsidRDefault="0039681A">
            <w:pPr>
              <w:jc w:val="center"/>
              <w:rPr>
                <w:rFonts w:ascii="Arial Narrow" w:hAnsi="Arial Narrow"/>
                <w:noProof/>
                <w:color w:val="006100"/>
                <w:sz w:val="20"/>
                <w:szCs w:val="20"/>
              </w:rPr>
            </w:pPr>
            <w:r w:rsidRPr="00647572">
              <w:rPr>
                <w:rFonts w:ascii="Arial Narrow" w:hAnsi="Arial Narrow"/>
                <w:noProof/>
                <w:color w:val="006100"/>
                <w:sz w:val="20"/>
                <w:szCs w:val="20"/>
              </w:rPr>
              <w:t>M6C2-10</w:t>
            </w:r>
            <w:r>
              <w:rPr>
                <w:rFonts w:ascii="Arial Narrow" w:hAnsi="Arial Narrow"/>
                <w:noProof/>
                <w:color w:val="006100"/>
                <w:sz w:val="20"/>
                <w:szCs w:val="20"/>
              </w:rPr>
              <w:t>bis</w:t>
            </w:r>
          </w:p>
        </w:tc>
        <w:tc>
          <w:tcPr>
            <w:tcW w:w="1536" w:type="dxa"/>
            <w:shd w:val="clear" w:color="auto" w:fill="C6EFCE"/>
            <w:noWrap/>
            <w:vAlign w:val="center"/>
          </w:tcPr>
          <w:p w14:paraId="4E0D7219" w14:textId="77777777" w:rsidR="0039681A" w:rsidRPr="00A36E36" w:rsidRDefault="0039681A">
            <w:pPr>
              <w:spacing w:before="120" w:after="120" w:line="276" w:lineRule="auto"/>
              <w:jc w:val="center"/>
              <w:rPr>
                <w:rFonts w:ascii="Arial Narrow" w:hAnsi="Arial Narrow"/>
                <w:noProof/>
                <w:color w:val="006600"/>
                <w:sz w:val="20"/>
                <w:szCs w:val="20"/>
                <w:lang w:val="en-IE"/>
              </w:rPr>
            </w:pPr>
            <w:bookmarkStart w:id="25" w:name="_Hlk160472567"/>
            <w:r w:rsidRPr="00A36E36">
              <w:rPr>
                <w:rFonts w:ascii="Arial Narrow" w:hAnsi="Arial Narrow"/>
                <w:noProof/>
                <w:color w:val="006600"/>
                <w:sz w:val="20"/>
                <w:lang w:val="en-IE"/>
              </w:rPr>
              <w:t>Investment 1.2: Toward a safe and sustainable hospital</w:t>
            </w:r>
            <w:bookmarkEnd w:id="25"/>
          </w:p>
        </w:tc>
        <w:tc>
          <w:tcPr>
            <w:tcW w:w="978" w:type="dxa"/>
            <w:shd w:val="clear" w:color="auto" w:fill="C6EFCE"/>
            <w:noWrap/>
            <w:vAlign w:val="center"/>
          </w:tcPr>
          <w:p w14:paraId="74DF0E62" w14:textId="77777777" w:rsidR="0039681A" w:rsidRPr="00647572" w:rsidRDefault="0039681A">
            <w:pPr>
              <w:jc w:val="center"/>
              <w:rPr>
                <w:rFonts w:ascii="Arial Narrow" w:hAnsi="Arial Narrow"/>
                <w:noProof/>
                <w:color w:val="006600"/>
                <w:sz w:val="20"/>
                <w:szCs w:val="20"/>
              </w:rPr>
            </w:pPr>
            <w:r w:rsidRPr="00647572">
              <w:rPr>
                <w:rFonts w:ascii="Arial Narrow" w:hAnsi="Arial Narrow"/>
                <w:noProof/>
                <w:color w:val="006600"/>
                <w:sz w:val="20"/>
                <w:szCs w:val="20"/>
              </w:rPr>
              <w:t xml:space="preserve">Target </w:t>
            </w:r>
          </w:p>
        </w:tc>
        <w:tc>
          <w:tcPr>
            <w:tcW w:w="1607" w:type="dxa"/>
            <w:shd w:val="clear" w:color="auto" w:fill="C6EFCE"/>
            <w:noWrap/>
            <w:vAlign w:val="center"/>
          </w:tcPr>
          <w:p w14:paraId="2C37B59F" w14:textId="1BC97612" w:rsidR="0039681A" w:rsidRPr="00A36E36" w:rsidRDefault="0039681A">
            <w:pPr>
              <w:spacing w:before="120" w:after="120"/>
              <w:jc w:val="center"/>
              <w:rPr>
                <w:rFonts w:ascii="Arial Narrow" w:eastAsia="Calibri" w:hAnsi="Arial Narrow"/>
                <w:noProof/>
                <w:color w:val="006600"/>
                <w:sz w:val="20"/>
                <w:szCs w:val="20"/>
                <w:lang w:val="en-IE"/>
              </w:rPr>
            </w:pPr>
            <w:r>
              <w:rPr>
                <w:rFonts w:ascii="Arial Narrow" w:hAnsi="Arial Narrow"/>
                <w:noProof/>
                <w:color w:val="006600"/>
                <w:sz w:val="20"/>
                <w:szCs w:val="20"/>
                <w:lang w:val="en-IE"/>
              </w:rPr>
              <w:t>Payment(s)</w:t>
            </w:r>
            <w:r w:rsidRPr="00A36E36">
              <w:rPr>
                <w:rFonts w:ascii="Arial Narrow" w:hAnsi="Arial Narrow"/>
                <w:noProof/>
                <w:color w:val="006600"/>
                <w:sz w:val="20"/>
                <w:szCs w:val="20"/>
                <w:lang w:val="en-IE"/>
              </w:rPr>
              <w:t xml:space="preserve"> for </w:t>
            </w:r>
            <w:r>
              <w:rPr>
                <w:rFonts w:ascii="Arial Narrow" w:hAnsi="Arial Narrow"/>
                <w:noProof/>
                <w:color w:val="006600"/>
                <w:sz w:val="20"/>
                <w:szCs w:val="20"/>
                <w:lang w:val="en-IE"/>
              </w:rPr>
              <w:t>intervention</w:t>
            </w:r>
            <w:r w:rsidRPr="00A36E36">
              <w:rPr>
                <w:rFonts w:ascii="Arial Narrow" w:hAnsi="Arial Narrow"/>
                <w:noProof/>
                <w:color w:val="006600"/>
                <w:sz w:val="20"/>
                <w:szCs w:val="20"/>
                <w:lang w:val="en-IE"/>
              </w:rPr>
              <w:t xml:space="preserve">s under Art. 20 </w:t>
            </w:r>
            <w:r>
              <w:rPr>
                <w:rFonts w:ascii="Arial Narrow" w:hAnsi="Arial Narrow"/>
                <w:noProof/>
                <w:color w:val="006600"/>
                <w:sz w:val="20"/>
                <w:szCs w:val="20"/>
                <w:lang w:val="en-IE"/>
              </w:rPr>
              <w:t>of</w:t>
            </w:r>
            <w:r w:rsidRPr="00A36E36">
              <w:rPr>
                <w:rFonts w:ascii="Arial Narrow" w:hAnsi="Arial Narrow"/>
                <w:noProof/>
                <w:color w:val="006600"/>
                <w:sz w:val="20"/>
                <w:szCs w:val="20"/>
                <w:lang w:val="en-IE"/>
              </w:rPr>
              <w:t xml:space="preserve"> </w:t>
            </w:r>
            <w:r>
              <w:rPr>
                <w:rFonts w:ascii="Arial Narrow" w:hAnsi="Arial Narrow"/>
                <w:noProof/>
                <w:color w:val="006600"/>
                <w:sz w:val="20"/>
                <w:szCs w:val="20"/>
                <w:lang w:val="en-IE"/>
              </w:rPr>
              <w:t xml:space="preserve">Law </w:t>
            </w:r>
            <w:r w:rsidRPr="00A36E36">
              <w:rPr>
                <w:rFonts w:ascii="Arial Narrow" w:hAnsi="Arial Narrow"/>
                <w:noProof/>
                <w:color w:val="006600"/>
                <w:sz w:val="20"/>
                <w:szCs w:val="20"/>
                <w:lang w:val="en-IE"/>
              </w:rPr>
              <w:t>67/88</w:t>
            </w:r>
          </w:p>
        </w:tc>
        <w:tc>
          <w:tcPr>
            <w:tcW w:w="1674" w:type="dxa"/>
            <w:shd w:val="clear" w:color="auto" w:fill="C6EFCE"/>
            <w:noWrap/>
            <w:vAlign w:val="center"/>
          </w:tcPr>
          <w:p w14:paraId="703F5D84" w14:textId="77777777" w:rsidR="0039681A" w:rsidRPr="00647572" w:rsidRDefault="0039681A">
            <w:pPr>
              <w:jc w:val="center"/>
              <w:rPr>
                <w:rFonts w:ascii="Arial Narrow" w:hAnsi="Arial Narrow"/>
                <w:noProof/>
                <w:color w:val="006600"/>
                <w:sz w:val="20"/>
                <w:szCs w:val="20"/>
              </w:rPr>
            </w:pPr>
            <w:r w:rsidRPr="00647572">
              <w:rPr>
                <w:rFonts w:ascii="Arial Narrow" w:hAnsi="Arial Narrow"/>
                <w:noProof/>
                <w:color w:val="006600"/>
                <w:sz w:val="20"/>
                <w:szCs w:val="20"/>
              </w:rPr>
              <w:t>N/A</w:t>
            </w:r>
          </w:p>
        </w:tc>
        <w:tc>
          <w:tcPr>
            <w:tcW w:w="1257" w:type="dxa"/>
            <w:shd w:val="clear" w:color="auto" w:fill="C6EFCE"/>
            <w:noWrap/>
            <w:vAlign w:val="center"/>
          </w:tcPr>
          <w:p w14:paraId="49F3791A" w14:textId="77777777" w:rsidR="0039681A" w:rsidRPr="00647572" w:rsidRDefault="0039681A">
            <w:pPr>
              <w:jc w:val="center"/>
              <w:rPr>
                <w:rFonts w:ascii="Arial Narrow" w:eastAsia="Calibri" w:hAnsi="Arial Narrow"/>
                <w:noProof/>
                <w:color w:val="006600"/>
                <w:sz w:val="20"/>
                <w:szCs w:val="20"/>
              </w:rPr>
            </w:pPr>
            <w:r w:rsidRPr="00647572">
              <w:rPr>
                <w:rFonts w:ascii="Arial Narrow" w:hAnsi="Arial Narrow"/>
                <w:noProof/>
                <w:color w:val="006600"/>
                <w:sz w:val="20"/>
                <w:szCs w:val="20"/>
              </w:rPr>
              <w:t>Number</w:t>
            </w:r>
          </w:p>
        </w:tc>
        <w:tc>
          <w:tcPr>
            <w:tcW w:w="1118" w:type="dxa"/>
            <w:shd w:val="clear" w:color="auto" w:fill="C6EFCE"/>
            <w:noWrap/>
            <w:vAlign w:val="center"/>
          </w:tcPr>
          <w:p w14:paraId="1C79C6DE" w14:textId="77777777" w:rsidR="0039681A" w:rsidRPr="00647572" w:rsidRDefault="0039681A">
            <w:pPr>
              <w:jc w:val="center"/>
              <w:rPr>
                <w:rFonts w:ascii="Arial Narrow" w:hAnsi="Arial Narrow"/>
                <w:noProof/>
                <w:color w:val="006600"/>
                <w:sz w:val="20"/>
                <w:szCs w:val="20"/>
              </w:rPr>
            </w:pPr>
            <w:r w:rsidRPr="00647572">
              <w:rPr>
                <w:rFonts w:ascii="Arial Narrow" w:hAnsi="Arial Narrow"/>
                <w:noProof/>
                <w:color w:val="006600"/>
                <w:sz w:val="20"/>
                <w:szCs w:val="20"/>
              </w:rPr>
              <w:t>0</w:t>
            </w:r>
          </w:p>
        </w:tc>
        <w:tc>
          <w:tcPr>
            <w:tcW w:w="1257" w:type="dxa"/>
            <w:shd w:val="clear" w:color="auto" w:fill="C6EFCE"/>
            <w:noWrap/>
            <w:vAlign w:val="center"/>
          </w:tcPr>
          <w:p w14:paraId="06CF061F" w14:textId="77777777" w:rsidR="0039681A" w:rsidRPr="00647572" w:rsidRDefault="0039681A">
            <w:pPr>
              <w:jc w:val="center"/>
              <w:rPr>
                <w:rFonts w:ascii="Arial Narrow" w:hAnsi="Arial Narrow"/>
                <w:noProof/>
                <w:color w:val="006600"/>
                <w:sz w:val="20"/>
                <w:szCs w:val="20"/>
              </w:rPr>
            </w:pPr>
            <w:r w:rsidRPr="00647572">
              <w:rPr>
                <w:rFonts w:ascii="Arial Narrow" w:hAnsi="Arial Narrow"/>
                <w:noProof/>
                <w:color w:val="006600"/>
                <w:sz w:val="20"/>
                <w:szCs w:val="20"/>
              </w:rPr>
              <w:t>225</w:t>
            </w:r>
            <w:r w:rsidRPr="00647572">
              <w:rPr>
                <w:rFonts w:ascii="Arial Narrow" w:hAnsi="Arial Narrow"/>
                <w:noProof/>
                <w:color w:val="006100"/>
                <w:sz w:val="20"/>
                <w:szCs w:val="20"/>
              </w:rPr>
              <w:t> </w:t>
            </w:r>
            <w:r w:rsidRPr="00647572">
              <w:rPr>
                <w:rFonts w:ascii="Arial Narrow" w:hAnsi="Arial Narrow"/>
                <w:noProof/>
                <w:color w:val="006600"/>
                <w:sz w:val="20"/>
                <w:szCs w:val="20"/>
              </w:rPr>
              <w:t>000</w:t>
            </w:r>
            <w:r w:rsidRPr="00647572">
              <w:rPr>
                <w:rFonts w:ascii="Arial Narrow" w:hAnsi="Arial Narrow"/>
                <w:noProof/>
                <w:color w:val="006100"/>
                <w:sz w:val="20"/>
                <w:szCs w:val="20"/>
              </w:rPr>
              <w:t> </w:t>
            </w:r>
            <w:r w:rsidRPr="00647572">
              <w:rPr>
                <w:rFonts w:ascii="Arial Narrow" w:hAnsi="Arial Narrow"/>
                <w:noProof/>
                <w:color w:val="006600"/>
                <w:sz w:val="20"/>
                <w:szCs w:val="20"/>
              </w:rPr>
              <w:t>000</w:t>
            </w:r>
          </w:p>
        </w:tc>
        <w:tc>
          <w:tcPr>
            <w:tcW w:w="839" w:type="dxa"/>
            <w:shd w:val="clear" w:color="auto" w:fill="C6EFCE"/>
            <w:noWrap/>
            <w:vAlign w:val="center"/>
          </w:tcPr>
          <w:p w14:paraId="4F2A9413" w14:textId="77777777" w:rsidR="0039681A" w:rsidRPr="00647572" w:rsidRDefault="0039681A">
            <w:pPr>
              <w:jc w:val="center"/>
              <w:rPr>
                <w:rFonts w:ascii="Arial Narrow" w:hAnsi="Arial Narrow"/>
                <w:noProof/>
                <w:color w:val="006600"/>
                <w:sz w:val="20"/>
                <w:szCs w:val="20"/>
              </w:rPr>
            </w:pPr>
            <w:r w:rsidRPr="00647572">
              <w:rPr>
                <w:rFonts w:ascii="Arial Narrow" w:hAnsi="Arial Narrow"/>
                <w:noProof/>
                <w:color w:val="006600"/>
                <w:sz w:val="20"/>
              </w:rPr>
              <w:t>Q2</w:t>
            </w:r>
          </w:p>
        </w:tc>
        <w:tc>
          <w:tcPr>
            <w:tcW w:w="840" w:type="dxa"/>
            <w:shd w:val="clear" w:color="auto" w:fill="C6EFCE"/>
            <w:noWrap/>
            <w:vAlign w:val="center"/>
          </w:tcPr>
          <w:p w14:paraId="2F7F7B50" w14:textId="77777777" w:rsidR="0039681A" w:rsidRPr="00647572" w:rsidRDefault="0039681A">
            <w:pPr>
              <w:jc w:val="center"/>
              <w:rPr>
                <w:rFonts w:ascii="Arial Narrow" w:hAnsi="Arial Narrow"/>
                <w:noProof/>
                <w:color w:val="006600"/>
                <w:sz w:val="20"/>
                <w:szCs w:val="20"/>
              </w:rPr>
            </w:pPr>
            <w:r w:rsidRPr="00647572">
              <w:rPr>
                <w:rFonts w:ascii="Arial Narrow" w:hAnsi="Arial Narrow"/>
                <w:noProof/>
                <w:color w:val="006600"/>
                <w:sz w:val="20"/>
              </w:rPr>
              <w:t>2026</w:t>
            </w:r>
          </w:p>
        </w:tc>
        <w:tc>
          <w:tcPr>
            <w:tcW w:w="3410" w:type="dxa"/>
            <w:shd w:val="clear" w:color="auto" w:fill="C6EFCE"/>
            <w:noWrap/>
            <w:vAlign w:val="center"/>
          </w:tcPr>
          <w:p w14:paraId="48AA80CE" w14:textId="74BCE395" w:rsidR="0039681A" w:rsidRPr="00A36E36" w:rsidRDefault="0039681A">
            <w:pPr>
              <w:rPr>
                <w:rFonts w:ascii="Arial Narrow" w:eastAsia="Calibri" w:hAnsi="Arial Narrow"/>
                <w:noProof/>
                <w:color w:val="006600"/>
                <w:sz w:val="20"/>
                <w:szCs w:val="20"/>
                <w:lang w:val="en-IE"/>
              </w:rPr>
            </w:pPr>
            <w:r w:rsidRPr="2663C1A6">
              <w:rPr>
                <w:rFonts w:ascii="Arial Narrow" w:hAnsi="Arial Narrow"/>
                <w:noProof/>
                <w:color w:val="006600"/>
                <w:sz w:val="20"/>
                <w:szCs w:val="20"/>
                <w:lang w:val="en-IE"/>
              </w:rPr>
              <w:t>Proof of payment(s) of EUR 225 000 000 for f interventions under Article 20 of Law 67/88.</w:t>
            </w:r>
          </w:p>
        </w:tc>
      </w:tr>
      <w:tr w:rsidR="0039681A" w:rsidRPr="0070054C" w14:paraId="15530D6D" w14:textId="77777777" w:rsidTr="00351087">
        <w:trPr>
          <w:trHeight w:val="313"/>
          <w:jc w:val="center"/>
        </w:trPr>
        <w:tc>
          <w:tcPr>
            <w:tcW w:w="1142" w:type="dxa"/>
            <w:shd w:val="clear" w:color="auto" w:fill="C6EFCE"/>
            <w:noWrap/>
            <w:vAlign w:val="center"/>
          </w:tcPr>
          <w:p w14:paraId="683819A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M6C2-11</w:t>
            </w:r>
          </w:p>
        </w:tc>
        <w:tc>
          <w:tcPr>
            <w:tcW w:w="1536" w:type="dxa"/>
            <w:shd w:val="clear" w:color="auto" w:fill="C6EFCE"/>
            <w:noWrap/>
            <w:vAlign w:val="center"/>
          </w:tcPr>
          <w:p w14:paraId="4B3E0353"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1.3: Strengthening of the technological infrastructure and of the tools for data collection, data processing, data analysis and simulation</w:t>
            </w:r>
          </w:p>
        </w:tc>
        <w:tc>
          <w:tcPr>
            <w:tcW w:w="978" w:type="dxa"/>
            <w:shd w:val="clear" w:color="auto" w:fill="C6EFCE"/>
            <w:noWrap/>
            <w:vAlign w:val="center"/>
          </w:tcPr>
          <w:p w14:paraId="25125C33"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Target</w:t>
            </w:r>
          </w:p>
        </w:tc>
        <w:tc>
          <w:tcPr>
            <w:tcW w:w="1607" w:type="dxa"/>
            <w:shd w:val="clear" w:color="auto" w:fill="C6EFCE"/>
            <w:noWrap/>
            <w:vAlign w:val="center"/>
          </w:tcPr>
          <w:p w14:paraId="4C67CA39" w14:textId="77777777" w:rsidR="0039681A" w:rsidRPr="00A36E36" w:rsidRDefault="0039681A">
            <w:pPr>
              <w:spacing w:before="120" w:after="120"/>
              <w:jc w:val="center"/>
              <w:rPr>
                <w:rFonts w:ascii="Arial Narrow" w:hAnsi="Arial Narrow"/>
                <w:noProof/>
                <w:color w:val="006600"/>
                <w:sz w:val="20"/>
                <w:szCs w:val="20"/>
                <w:lang w:val="en-IE"/>
              </w:rPr>
            </w:pPr>
            <w:r w:rsidRPr="00A36E36">
              <w:rPr>
                <w:rFonts w:ascii="Arial Narrow" w:hAnsi="Arial Narrow"/>
                <w:noProof/>
                <w:color w:val="006600"/>
                <w:sz w:val="20"/>
                <w:lang w:val="en-IE"/>
              </w:rPr>
              <w:t>General practitioners feeding the Electronic Health Record.</w:t>
            </w:r>
          </w:p>
        </w:tc>
        <w:tc>
          <w:tcPr>
            <w:tcW w:w="1674" w:type="dxa"/>
            <w:shd w:val="clear" w:color="auto" w:fill="C6EFCE"/>
            <w:noWrap/>
            <w:vAlign w:val="center"/>
          </w:tcPr>
          <w:p w14:paraId="44C5C14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57" w:type="dxa"/>
            <w:shd w:val="clear" w:color="auto" w:fill="C6EFCE"/>
            <w:noWrap/>
            <w:vAlign w:val="center"/>
          </w:tcPr>
          <w:p w14:paraId="71958395" w14:textId="77777777" w:rsidR="0039681A" w:rsidRPr="00647572" w:rsidRDefault="0039681A">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rPr>
              <w:t xml:space="preserve">Percentage </w:t>
            </w:r>
          </w:p>
        </w:tc>
        <w:tc>
          <w:tcPr>
            <w:tcW w:w="1118" w:type="dxa"/>
            <w:shd w:val="clear" w:color="auto" w:fill="C6EFCE"/>
            <w:noWrap/>
            <w:vAlign w:val="center"/>
          </w:tcPr>
          <w:p w14:paraId="0FE5D87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0</w:t>
            </w:r>
          </w:p>
        </w:tc>
        <w:tc>
          <w:tcPr>
            <w:tcW w:w="1257" w:type="dxa"/>
            <w:shd w:val="clear" w:color="auto" w:fill="C6EFCE"/>
            <w:noWrap/>
            <w:vAlign w:val="center"/>
          </w:tcPr>
          <w:p w14:paraId="7FAD8E3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85</w:t>
            </w:r>
          </w:p>
        </w:tc>
        <w:tc>
          <w:tcPr>
            <w:tcW w:w="839" w:type="dxa"/>
            <w:shd w:val="clear" w:color="auto" w:fill="C6EFCE"/>
            <w:noWrap/>
            <w:vAlign w:val="center"/>
          </w:tcPr>
          <w:p w14:paraId="4035B70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Q4</w:t>
            </w:r>
          </w:p>
        </w:tc>
        <w:tc>
          <w:tcPr>
            <w:tcW w:w="840" w:type="dxa"/>
            <w:shd w:val="clear" w:color="auto" w:fill="C6EFCE"/>
            <w:noWrap/>
            <w:vAlign w:val="center"/>
          </w:tcPr>
          <w:p w14:paraId="67BBB33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szCs w:val="20"/>
              </w:rPr>
              <w:t>2025</w:t>
            </w:r>
          </w:p>
        </w:tc>
        <w:tc>
          <w:tcPr>
            <w:tcW w:w="3410" w:type="dxa"/>
            <w:shd w:val="clear" w:color="auto" w:fill="C6EFCE"/>
            <w:noWrap/>
            <w:vAlign w:val="center"/>
          </w:tcPr>
          <w:p w14:paraId="26D6B10D" w14:textId="77777777" w:rsidR="0039681A" w:rsidRPr="00A36E36" w:rsidRDefault="0039681A">
            <w:pPr>
              <w:spacing w:before="120" w:after="120"/>
              <w:rPr>
                <w:rFonts w:ascii="Arial Narrow" w:hAnsi="Arial Narrow"/>
                <w:noProof/>
                <w:color w:val="006600"/>
                <w:sz w:val="20"/>
                <w:szCs w:val="20"/>
                <w:lang w:val="en-IE"/>
              </w:rPr>
            </w:pPr>
            <w:r w:rsidRPr="00A36E36">
              <w:rPr>
                <w:rFonts w:ascii="Arial Narrow" w:hAnsi="Arial Narrow"/>
                <w:noProof/>
                <w:color w:val="006600"/>
                <w:sz w:val="20"/>
                <w:szCs w:val="20"/>
                <w:lang w:val="en-IE"/>
              </w:rPr>
              <w:t xml:space="preserve">General Practitioners (MMG/PLS) using the Electronic Health Record reaching (EHR) at least 85% of the total. The target is achieved through the verification on the EHR monitoring dashboard of the value at national level of indicator 2 referred to in Annex 2 of the Decree of August 8, 2022, and amendments. </w:t>
            </w:r>
          </w:p>
        </w:tc>
      </w:tr>
      <w:tr w:rsidR="0039681A" w:rsidRPr="0070054C" w14:paraId="0966CB9C" w14:textId="77777777" w:rsidTr="00351087">
        <w:trPr>
          <w:trHeight w:val="313"/>
          <w:jc w:val="center"/>
        </w:trPr>
        <w:tc>
          <w:tcPr>
            <w:tcW w:w="1142" w:type="dxa"/>
            <w:shd w:val="clear" w:color="auto" w:fill="C6EFCE"/>
            <w:noWrap/>
            <w:vAlign w:val="center"/>
          </w:tcPr>
          <w:p w14:paraId="2E36CFF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szCs w:val="20"/>
              </w:rPr>
              <w:t>M6C2-12</w:t>
            </w:r>
          </w:p>
        </w:tc>
        <w:tc>
          <w:tcPr>
            <w:tcW w:w="1536" w:type="dxa"/>
            <w:shd w:val="clear" w:color="auto" w:fill="C6EFCE"/>
            <w:noWrap/>
            <w:vAlign w:val="center"/>
          </w:tcPr>
          <w:p w14:paraId="07D3ECA7"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1.3: Strengthening of the technological infrastructure and of the tools for data collection, data processing, data analysis and simulation</w:t>
            </w:r>
          </w:p>
        </w:tc>
        <w:tc>
          <w:tcPr>
            <w:tcW w:w="978" w:type="dxa"/>
            <w:shd w:val="clear" w:color="auto" w:fill="C6EFCE"/>
            <w:noWrap/>
            <w:vAlign w:val="center"/>
          </w:tcPr>
          <w:p w14:paraId="682A7A9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Milestone</w:t>
            </w:r>
          </w:p>
        </w:tc>
        <w:tc>
          <w:tcPr>
            <w:tcW w:w="1607" w:type="dxa"/>
            <w:shd w:val="clear" w:color="auto" w:fill="C6EFCE"/>
            <w:noWrap/>
            <w:vAlign w:val="center"/>
          </w:tcPr>
          <w:p w14:paraId="40ACD37C" w14:textId="0AFEF40D" w:rsidR="0039681A" w:rsidRPr="00A36E36" w:rsidRDefault="0039681A">
            <w:pPr>
              <w:spacing w:before="120" w:after="120"/>
              <w:jc w:val="center"/>
              <w:rPr>
                <w:rFonts w:ascii="Arial Narrow" w:hAnsi="Arial Narrow"/>
                <w:noProof/>
                <w:color w:val="006600"/>
                <w:sz w:val="20"/>
                <w:szCs w:val="20"/>
                <w:lang w:val="en-IE"/>
              </w:rPr>
            </w:pPr>
            <w:r>
              <w:rPr>
                <w:rFonts w:ascii="Arial Narrow" w:hAnsi="Arial Narrow"/>
                <w:noProof/>
                <w:color w:val="006600"/>
                <w:sz w:val="20"/>
                <w:szCs w:val="20"/>
                <w:lang w:val="en-IE"/>
              </w:rPr>
              <w:t>Testing of the components of t</w:t>
            </w:r>
            <w:r w:rsidRPr="00A36E36">
              <w:rPr>
                <w:rFonts w:ascii="Arial Narrow" w:hAnsi="Arial Narrow"/>
                <w:noProof/>
                <w:color w:val="006600"/>
                <w:sz w:val="20"/>
                <w:szCs w:val="20"/>
                <w:lang w:val="en-IE"/>
              </w:rPr>
              <w:t>he Health Insurance card system</w:t>
            </w:r>
            <w:r>
              <w:rPr>
                <w:rFonts w:ascii="Arial Narrow" w:hAnsi="Arial Narrow"/>
                <w:noProof/>
                <w:color w:val="006600"/>
                <w:sz w:val="20"/>
                <w:szCs w:val="20"/>
                <w:lang w:val="en-IE"/>
              </w:rPr>
              <w:t>,</w:t>
            </w:r>
            <w:r w:rsidRPr="00A36E36">
              <w:rPr>
                <w:rFonts w:ascii="Arial Narrow" w:hAnsi="Arial Narrow"/>
                <w:noProof/>
                <w:color w:val="006600"/>
                <w:sz w:val="20"/>
                <w:szCs w:val="20"/>
                <w:lang w:val="en-IE"/>
              </w:rPr>
              <w:t xml:space="preserve"> </w:t>
            </w:r>
            <w:r>
              <w:rPr>
                <w:rFonts w:ascii="Arial Narrow" w:hAnsi="Arial Narrow"/>
                <w:noProof/>
                <w:color w:val="006600"/>
                <w:sz w:val="20"/>
                <w:szCs w:val="20"/>
                <w:lang w:val="en-IE"/>
              </w:rPr>
              <w:t xml:space="preserve">of </w:t>
            </w:r>
            <w:r w:rsidRPr="00A36E36">
              <w:rPr>
                <w:rFonts w:ascii="Arial Narrow" w:hAnsi="Arial Narrow"/>
                <w:noProof/>
                <w:color w:val="006600"/>
                <w:sz w:val="20"/>
                <w:szCs w:val="20"/>
                <w:lang w:val="en-IE"/>
              </w:rPr>
              <w:t>the infrastructure for the interoperability of the Electronic Health Record</w:t>
            </w:r>
            <w:r>
              <w:rPr>
                <w:rFonts w:ascii="Arial Narrow" w:hAnsi="Arial Narrow"/>
                <w:noProof/>
                <w:color w:val="006600"/>
                <w:sz w:val="20"/>
                <w:szCs w:val="20"/>
                <w:lang w:val="en-IE"/>
              </w:rPr>
              <w:t>,</w:t>
            </w:r>
            <w:r w:rsidRPr="00A36E36">
              <w:rPr>
                <w:rFonts w:ascii="Arial Narrow" w:hAnsi="Arial Narrow"/>
                <w:noProof/>
                <w:color w:val="006600"/>
                <w:sz w:val="20"/>
                <w:szCs w:val="20"/>
                <w:lang w:val="en-IE"/>
              </w:rPr>
              <w:t xml:space="preserve"> </w:t>
            </w:r>
            <w:r>
              <w:rPr>
                <w:rFonts w:ascii="Arial Narrow" w:hAnsi="Arial Narrow"/>
                <w:noProof/>
                <w:color w:val="006600"/>
                <w:sz w:val="20"/>
                <w:szCs w:val="20"/>
                <w:lang w:val="en-IE"/>
              </w:rPr>
              <w:t>and of the “Ecosistema Dati Sanitari”</w:t>
            </w:r>
            <w:r w:rsidRPr="00A36E36">
              <w:rPr>
                <w:rFonts w:ascii="Arial Narrow" w:hAnsi="Arial Narrow"/>
                <w:noProof/>
                <w:color w:val="006600"/>
                <w:sz w:val="20"/>
                <w:szCs w:val="20"/>
                <w:lang w:val="en-IE"/>
              </w:rPr>
              <w:t xml:space="preserve"> </w:t>
            </w:r>
          </w:p>
        </w:tc>
        <w:tc>
          <w:tcPr>
            <w:tcW w:w="1674" w:type="dxa"/>
            <w:shd w:val="clear" w:color="auto" w:fill="C6EFCE"/>
            <w:noWrap/>
            <w:vAlign w:val="center"/>
          </w:tcPr>
          <w:p w14:paraId="413A0879" w14:textId="6A6940F4" w:rsidR="0039681A" w:rsidRPr="00A36E36" w:rsidRDefault="0039681A">
            <w:pPr>
              <w:spacing w:before="120" w:after="120"/>
              <w:jc w:val="center"/>
              <w:rPr>
                <w:rFonts w:ascii="Arial Narrow" w:hAnsi="Arial Narrow"/>
                <w:noProof/>
                <w:sz w:val="20"/>
                <w:szCs w:val="20"/>
                <w:lang w:val="en-IE"/>
              </w:rPr>
            </w:pPr>
            <w:r>
              <w:rPr>
                <w:rFonts w:ascii="Arial Narrow" w:hAnsi="Arial Narrow"/>
                <w:noProof/>
                <w:color w:val="006600"/>
                <w:sz w:val="20"/>
                <w:szCs w:val="20"/>
                <w:lang w:val="en-IE"/>
              </w:rPr>
              <w:t xml:space="preserve">Administrative certificates confirming the testing </w:t>
            </w:r>
            <w:r w:rsidRPr="00A36E36">
              <w:rPr>
                <w:rFonts w:ascii="Arial Narrow" w:hAnsi="Arial Narrow"/>
                <w:noProof/>
                <w:color w:val="006600"/>
                <w:sz w:val="20"/>
                <w:szCs w:val="20"/>
                <w:lang w:val="en-IE"/>
              </w:rPr>
              <w:t xml:space="preserve">of the </w:t>
            </w:r>
            <w:r>
              <w:rPr>
                <w:rFonts w:ascii="Arial Narrow" w:hAnsi="Arial Narrow"/>
                <w:noProof/>
                <w:color w:val="006600"/>
                <w:sz w:val="20"/>
                <w:szCs w:val="20"/>
                <w:lang w:val="en-IE"/>
              </w:rPr>
              <w:t xml:space="preserve">components of the </w:t>
            </w:r>
            <w:r w:rsidRPr="00A36E36">
              <w:rPr>
                <w:rFonts w:ascii="Arial Narrow" w:hAnsi="Arial Narrow"/>
                <w:noProof/>
                <w:color w:val="006600"/>
                <w:sz w:val="20"/>
                <w:szCs w:val="20"/>
                <w:lang w:val="en-IE"/>
              </w:rPr>
              <w:t>Health Insurance card system</w:t>
            </w:r>
            <w:r>
              <w:rPr>
                <w:rFonts w:ascii="Arial Narrow" w:hAnsi="Arial Narrow"/>
                <w:noProof/>
                <w:color w:val="006600"/>
                <w:sz w:val="20"/>
                <w:szCs w:val="20"/>
                <w:lang w:val="en-IE"/>
              </w:rPr>
              <w:t>,</w:t>
            </w:r>
            <w:r w:rsidRPr="00A36E36">
              <w:rPr>
                <w:rFonts w:ascii="Arial Narrow" w:hAnsi="Arial Narrow"/>
                <w:noProof/>
                <w:color w:val="006600"/>
                <w:sz w:val="20"/>
                <w:szCs w:val="20"/>
                <w:lang w:val="en-IE"/>
              </w:rPr>
              <w:t xml:space="preserve"> of the infrastructure for the interoperability of the EHR</w:t>
            </w:r>
            <w:r>
              <w:rPr>
                <w:rFonts w:ascii="Arial Narrow" w:hAnsi="Arial Narrow"/>
                <w:noProof/>
                <w:color w:val="006600"/>
                <w:sz w:val="20"/>
                <w:szCs w:val="20"/>
                <w:lang w:val="en-IE"/>
              </w:rPr>
              <w:t xml:space="preserve">, </w:t>
            </w:r>
            <w:r w:rsidRPr="00A36E36">
              <w:rPr>
                <w:rFonts w:ascii="Arial Narrow" w:hAnsi="Arial Narrow"/>
                <w:noProof/>
                <w:color w:val="006600"/>
                <w:sz w:val="20"/>
                <w:szCs w:val="20"/>
                <w:lang w:val="en-IE"/>
              </w:rPr>
              <w:t xml:space="preserve">and </w:t>
            </w:r>
            <w:r w:rsidRPr="00A36E36" w:rsidDel="11EE4039">
              <w:rPr>
                <w:rFonts w:ascii="Arial Narrow" w:hAnsi="Arial Narrow"/>
                <w:noProof/>
                <w:color w:val="006600"/>
                <w:sz w:val="20"/>
                <w:szCs w:val="20"/>
                <w:lang w:val="en-IE"/>
              </w:rPr>
              <w:t>of the “Ecosistema Dati Sanitari”</w:t>
            </w:r>
            <w:r w:rsidRPr="00A36E36">
              <w:rPr>
                <w:rFonts w:ascii="Arial Narrow" w:hAnsi="Arial Narrow"/>
                <w:noProof/>
                <w:color w:val="006600"/>
                <w:sz w:val="20"/>
                <w:szCs w:val="20"/>
                <w:lang w:val="en-IE"/>
              </w:rPr>
              <w:t>.</w:t>
            </w:r>
          </w:p>
        </w:tc>
        <w:tc>
          <w:tcPr>
            <w:tcW w:w="1257" w:type="dxa"/>
            <w:shd w:val="clear" w:color="auto" w:fill="C6EFCE"/>
            <w:noWrap/>
            <w:vAlign w:val="center"/>
          </w:tcPr>
          <w:p w14:paraId="6A63EE4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118" w:type="dxa"/>
            <w:shd w:val="clear" w:color="auto" w:fill="C6EFCE"/>
            <w:noWrap/>
            <w:vAlign w:val="center"/>
          </w:tcPr>
          <w:p w14:paraId="16B948AE"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57" w:type="dxa"/>
            <w:shd w:val="clear" w:color="auto" w:fill="C6EFCE"/>
            <w:noWrap/>
            <w:vAlign w:val="center"/>
          </w:tcPr>
          <w:p w14:paraId="5D25ECB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839" w:type="dxa"/>
            <w:shd w:val="clear" w:color="auto" w:fill="C6EFCE"/>
            <w:noWrap/>
            <w:vAlign w:val="center"/>
          </w:tcPr>
          <w:p w14:paraId="12F7EAFA"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Q2</w:t>
            </w:r>
          </w:p>
        </w:tc>
        <w:tc>
          <w:tcPr>
            <w:tcW w:w="840" w:type="dxa"/>
            <w:shd w:val="clear" w:color="auto" w:fill="C6EFCE"/>
            <w:noWrap/>
            <w:vAlign w:val="center"/>
          </w:tcPr>
          <w:p w14:paraId="4BFE23E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2026</w:t>
            </w:r>
          </w:p>
        </w:tc>
        <w:tc>
          <w:tcPr>
            <w:tcW w:w="3410" w:type="dxa"/>
            <w:shd w:val="clear" w:color="auto" w:fill="C6EFCE"/>
            <w:noWrap/>
            <w:vAlign w:val="center"/>
          </w:tcPr>
          <w:p w14:paraId="6FB43FC3" w14:textId="56B7140E" w:rsidR="0039681A" w:rsidRDefault="0039681A">
            <w:pPr>
              <w:spacing w:before="120" w:after="120"/>
              <w:rPr>
                <w:rFonts w:ascii="Arial Narrow" w:hAnsi="Arial Narrow"/>
                <w:noProof/>
                <w:color w:val="006600"/>
                <w:sz w:val="20"/>
                <w:szCs w:val="20"/>
                <w:lang w:val="en-IE"/>
              </w:rPr>
            </w:pPr>
            <w:r w:rsidRPr="2663C1A6">
              <w:rPr>
                <w:rFonts w:ascii="Arial Narrow" w:hAnsi="Arial Narrow"/>
                <w:noProof/>
                <w:color w:val="006600"/>
                <w:sz w:val="20"/>
                <w:szCs w:val="20"/>
                <w:lang w:val="en-IE"/>
              </w:rPr>
              <w:t>Administrative certificates confirming the testing of:</w:t>
            </w:r>
          </w:p>
          <w:p w14:paraId="70FF1CCA" w14:textId="561AD098" w:rsidR="0039681A" w:rsidRPr="00AF5341" w:rsidRDefault="0039681A" w:rsidP="0039681A">
            <w:pPr>
              <w:pStyle w:val="ListParagraph"/>
              <w:numPr>
                <w:ilvl w:val="0"/>
                <w:numId w:val="150"/>
              </w:numPr>
              <w:spacing w:before="120" w:after="120"/>
              <w:rPr>
                <w:rFonts w:ascii="Arial Narrow" w:eastAsia="Calibri" w:hAnsi="Arial Narrow"/>
                <w:noProof/>
                <w:color w:val="006600"/>
                <w:sz w:val="20"/>
                <w:szCs w:val="20"/>
                <w:lang w:val="en-IE"/>
              </w:rPr>
            </w:pPr>
            <w:r w:rsidRPr="00AF5341">
              <w:rPr>
                <w:rFonts w:ascii="Arial Narrow" w:hAnsi="Arial Narrow"/>
                <w:noProof/>
                <w:color w:val="006600"/>
                <w:sz w:val="20"/>
                <w:szCs w:val="20"/>
                <w:lang w:val="en-IE"/>
              </w:rPr>
              <w:t xml:space="preserve">the </w:t>
            </w:r>
            <w:r>
              <w:rPr>
                <w:rFonts w:ascii="Arial Narrow" w:hAnsi="Arial Narrow"/>
                <w:noProof/>
                <w:color w:val="006600"/>
                <w:sz w:val="20"/>
                <w:szCs w:val="20"/>
                <w:lang w:val="en-IE"/>
              </w:rPr>
              <w:t xml:space="preserve">components of the </w:t>
            </w:r>
            <w:r w:rsidRPr="00AF5341">
              <w:rPr>
                <w:rFonts w:ascii="Arial Narrow" w:hAnsi="Arial Narrow"/>
                <w:noProof/>
                <w:color w:val="006600"/>
                <w:sz w:val="20"/>
                <w:szCs w:val="20"/>
                <w:lang w:val="en-IE"/>
              </w:rPr>
              <w:t xml:space="preserve">Health Insurance card system, </w:t>
            </w:r>
            <w:r>
              <w:rPr>
                <w:rFonts w:ascii="Arial Narrow" w:hAnsi="Arial Narrow"/>
                <w:noProof/>
                <w:color w:val="006600"/>
                <w:sz w:val="20"/>
                <w:szCs w:val="20"/>
                <w:lang w:val="en-IE"/>
              </w:rPr>
              <w:t>including the reengineering of the electronic medical prescription process;</w:t>
            </w:r>
          </w:p>
          <w:p w14:paraId="06006274" w14:textId="69071F66" w:rsidR="0039681A" w:rsidRPr="00AF5341" w:rsidRDefault="0039681A" w:rsidP="0039681A">
            <w:pPr>
              <w:pStyle w:val="ListParagraph"/>
              <w:numPr>
                <w:ilvl w:val="0"/>
                <w:numId w:val="150"/>
              </w:numPr>
              <w:spacing w:before="120" w:after="120"/>
              <w:rPr>
                <w:rFonts w:ascii="Arial Narrow" w:eastAsia="Calibri" w:hAnsi="Arial Narrow"/>
                <w:noProof/>
                <w:color w:val="006600"/>
                <w:sz w:val="20"/>
                <w:szCs w:val="20"/>
                <w:lang w:val="en-IE"/>
              </w:rPr>
            </w:pPr>
            <w:r w:rsidRPr="1B894296">
              <w:rPr>
                <w:rFonts w:ascii="Arial Narrow" w:hAnsi="Arial Narrow"/>
                <w:noProof/>
                <w:color w:val="006600"/>
                <w:sz w:val="20"/>
                <w:szCs w:val="20"/>
                <w:lang w:val="en-IE"/>
              </w:rPr>
              <w:t xml:space="preserve">the components </w:t>
            </w:r>
            <w:r w:rsidRPr="00AF5341">
              <w:rPr>
                <w:rFonts w:ascii="Arial Narrow" w:hAnsi="Arial Narrow"/>
                <w:noProof/>
                <w:color w:val="006600"/>
                <w:sz w:val="20"/>
                <w:szCs w:val="20"/>
                <w:lang w:val="en-IE"/>
              </w:rPr>
              <w:t xml:space="preserve">of the </w:t>
            </w:r>
            <w:r w:rsidRPr="1B894296">
              <w:rPr>
                <w:rFonts w:ascii="Arial Narrow" w:hAnsi="Arial Narrow"/>
                <w:noProof/>
                <w:color w:val="006600"/>
                <w:sz w:val="20"/>
                <w:szCs w:val="20"/>
                <w:lang w:val="en-IE"/>
              </w:rPr>
              <w:t>I</w:t>
            </w:r>
            <w:r w:rsidRPr="00AF5341">
              <w:rPr>
                <w:rFonts w:ascii="Arial Narrow" w:hAnsi="Arial Narrow"/>
                <w:noProof/>
                <w:color w:val="006600"/>
                <w:sz w:val="20"/>
                <w:szCs w:val="20"/>
                <w:lang w:val="en-IE"/>
              </w:rPr>
              <w:t xml:space="preserve">nfrastructure for the interoperability of the </w:t>
            </w:r>
            <w:r w:rsidRPr="1B894296">
              <w:rPr>
                <w:rFonts w:ascii="Arial Narrow" w:hAnsi="Arial Narrow"/>
                <w:noProof/>
                <w:color w:val="006600"/>
                <w:sz w:val="20"/>
                <w:szCs w:val="20"/>
                <w:lang w:val="en-IE"/>
              </w:rPr>
              <w:t>E</w:t>
            </w:r>
            <w:r w:rsidRPr="00AF5341">
              <w:rPr>
                <w:rFonts w:ascii="Arial Narrow" w:hAnsi="Arial Narrow"/>
                <w:noProof/>
                <w:color w:val="006600"/>
                <w:sz w:val="20"/>
                <w:szCs w:val="20"/>
                <w:lang w:val="en-IE"/>
              </w:rPr>
              <w:t xml:space="preserve">lectronic </w:t>
            </w:r>
            <w:r w:rsidRPr="1B894296">
              <w:rPr>
                <w:rFonts w:ascii="Arial Narrow" w:hAnsi="Arial Narrow"/>
                <w:noProof/>
                <w:color w:val="006600"/>
                <w:sz w:val="20"/>
                <w:szCs w:val="20"/>
                <w:lang w:val="en-IE"/>
              </w:rPr>
              <w:t>H</w:t>
            </w:r>
            <w:r w:rsidRPr="00AF5341">
              <w:rPr>
                <w:rFonts w:ascii="Arial Narrow" w:hAnsi="Arial Narrow"/>
                <w:noProof/>
                <w:color w:val="006600"/>
                <w:sz w:val="20"/>
                <w:szCs w:val="20"/>
                <w:lang w:val="en-IE"/>
              </w:rPr>
              <w:t xml:space="preserve">ealth </w:t>
            </w:r>
            <w:r w:rsidRPr="1B894296">
              <w:rPr>
                <w:rFonts w:ascii="Arial Narrow" w:hAnsi="Arial Narrow"/>
                <w:noProof/>
                <w:color w:val="006600"/>
                <w:sz w:val="20"/>
                <w:szCs w:val="20"/>
                <w:lang w:val="en-IE"/>
              </w:rPr>
              <w:t>R</w:t>
            </w:r>
            <w:r w:rsidRPr="00AF5341">
              <w:rPr>
                <w:rFonts w:ascii="Arial Narrow" w:hAnsi="Arial Narrow"/>
                <w:noProof/>
                <w:color w:val="006600"/>
                <w:sz w:val="20"/>
                <w:szCs w:val="20"/>
                <w:lang w:val="en-IE"/>
              </w:rPr>
              <w:t>ecord</w:t>
            </w:r>
            <w:r w:rsidRPr="1B894296">
              <w:rPr>
                <w:rFonts w:ascii="Arial Narrow" w:hAnsi="Arial Narrow"/>
                <w:noProof/>
                <w:color w:val="006600"/>
                <w:sz w:val="20"/>
                <w:szCs w:val="20"/>
                <w:lang w:val="en-IE"/>
              </w:rPr>
              <w:t>, including the national registry of patients dashboard, the EHR dashboard (for subsidiary regions);</w:t>
            </w:r>
            <w:r w:rsidRPr="00AF5341">
              <w:rPr>
                <w:rFonts w:ascii="Arial Narrow" w:hAnsi="Arial Narrow"/>
                <w:noProof/>
                <w:color w:val="006600"/>
                <w:sz w:val="20"/>
                <w:szCs w:val="20"/>
                <w:lang w:val="en-IE"/>
              </w:rPr>
              <w:t xml:space="preserve"> and</w:t>
            </w:r>
          </w:p>
          <w:p w14:paraId="57CDB35D" w14:textId="0A545AB8" w:rsidR="0039681A" w:rsidRPr="00AF5341" w:rsidRDefault="0039681A" w:rsidP="00AF5341">
            <w:pPr>
              <w:pStyle w:val="ListParagraph"/>
              <w:numPr>
                <w:ilvl w:val="0"/>
                <w:numId w:val="150"/>
              </w:numPr>
              <w:spacing w:before="120" w:after="120"/>
              <w:rPr>
                <w:rFonts w:ascii="Arial Narrow" w:eastAsia="Calibri" w:hAnsi="Arial Narrow"/>
                <w:noProof/>
                <w:color w:val="006600"/>
                <w:sz w:val="20"/>
                <w:szCs w:val="20"/>
                <w:lang w:val="en-IE"/>
              </w:rPr>
            </w:pPr>
            <w:r w:rsidRPr="2663C1A6">
              <w:rPr>
                <w:rFonts w:ascii="Arial Narrow" w:hAnsi="Arial Narrow"/>
                <w:noProof/>
                <w:color w:val="006600"/>
                <w:sz w:val="20"/>
                <w:szCs w:val="20"/>
                <w:lang w:val="en-IE"/>
              </w:rPr>
              <w:t xml:space="preserve">the </w:t>
            </w:r>
            <w:r w:rsidRPr="00AF5341">
              <w:rPr>
                <w:rFonts w:ascii="Arial Narrow" w:hAnsi="Arial Narrow"/>
                <w:noProof/>
                <w:color w:val="006600"/>
                <w:sz w:val="20"/>
                <w:szCs w:val="20"/>
                <w:lang w:val="en-IE"/>
              </w:rPr>
              <w:t>components</w:t>
            </w:r>
            <w:r w:rsidRPr="2663C1A6">
              <w:rPr>
                <w:rFonts w:ascii="Arial Narrow" w:hAnsi="Arial Narrow"/>
                <w:noProof/>
                <w:color w:val="006600"/>
                <w:sz w:val="20"/>
                <w:szCs w:val="20"/>
                <w:lang w:val="en-IE"/>
              </w:rPr>
              <w:t xml:space="preserve"> </w:t>
            </w:r>
            <w:r w:rsidRPr="00AF5341">
              <w:rPr>
                <w:rFonts w:ascii="Arial Narrow" w:hAnsi="Arial Narrow"/>
                <w:noProof/>
                <w:color w:val="006600"/>
                <w:sz w:val="20"/>
                <w:szCs w:val="20"/>
                <w:lang w:val="en-IE"/>
              </w:rPr>
              <w:t>of the “Ecosistema Dati Sanitari” (EDS), including th</w:t>
            </w:r>
            <w:r w:rsidRPr="2663C1A6">
              <w:rPr>
                <w:rFonts w:ascii="Arial Narrow" w:hAnsi="Arial Narrow"/>
                <w:noProof/>
                <w:color w:val="006600"/>
                <w:sz w:val="20"/>
                <w:szCs w:val="20"/>
                <w:lang w:val="en-IE"/>
              </w:rPr>
              <w:t>e data module, the EDS broker, and the Gateway.</w:t>
            </w:r>
          </w:p>
        </w:tc>
      </w:tr>
      <w:tr w:rsidR="0039681A" w:rsidRPr="0070054C" w14:paraId="0D924767" w14:textId="77777777" w:rsidTr="00351087">
        <w:trPr>
          <w:trHeight w:val="313"/>
          <w:jc w:val="center"/>
        </w:trPr>
        <w:tc>
          <w:tcPr>
            <w:tcW w:w="114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9DC47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M6C2-13</w:t>
            </w:r>
          </w:p>
        </w:tc>
        <w:tc>
          <w:tcPr>
            <w:tcW w:w="153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86C3D4"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1.3: Strengthening of the technological infrastructure and of the tools for data collection, data processing, data analysis and simulation</w:t>
            </w:r>
          </w:p>
        </w:tc>
        <w:tc>
          <w:tcPr>
            <w:tcW w:w="9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135123" w14:textId="77777777" w:rsidR="0039681A" w:rsidRPr="00647572" w:rsidRDefault="0039681A">
            <w:pPr>
              <w:spacing w:before="120" w:after="120"/>
              <w:jc w:val="center"/>
              <w:rPr>
                <w:rFonts w:ascii="Arial Narrow" w:hAnsi="Arial Narrow"/>
                <w:noProof/>
                <w:color w:val="006100"/>
                <w:sz w:val="20"/>
                <w:szCs w:val="20"/>
              </w:rPr>
            </w:pPr>
            <w:r w:rsidRPr="00647572" w:rsidDel="11EE4039">
              <w:rPr>
                <w:rFonts w:ascii="Arial Narrow" w:hAnsi="Arial Narrow"/>
                <w:noProof/>
                <w:color w:val="006600"/>
                <w:sz w:val="20"/>
                <w:szCs w:val="20"/>
              </w:rPr>
              <w:t>Target</w:t>
            </w:r>
          </w:p>
        </w:tc>
        <w:tc>
          <w:tcPr>
            <w:tcW w:w="160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CA399" w14:textId="77777777" w:rsidR="0039681A" w:rsidRPr="00A36E36" w:rsidRDefault="0039681A">
            <w:pPr>
              <w:spacing w:before="120" w:after="120"/>
              <w:jc w:val="center"/>
              <w:rPr>
                <w:rFonts w:ascii="Arial Narrow" w:eastAsia="Calibri" w:hAnsi="Arial Narrow"/>
                <w:noProof/>
                <w:color w:val="006600"/>
                <w:sz w:val="20"/>
                <w:szCs w:val="20"/>
                <w:lang w:val="en-IE"/>
              </w:rPr>
            </w:pPr>
            <w:r w:rsidRPr="00A36E36">
              <w:rPr>
                <w:rFonts w:ascii="Arial Narrow" w:hAnsi="Arial Narrow"/>
                <w:noProof/>
                <w:color w:val="006600"/>
                <w:sz w:val="20"/>
                <w:szCs w:val="20"/>
                <w:lang w:val="en-IE"/>
              </w:rPr>
              <w:t xml:space="preserve">The Electronic Health Record is being used for the majority of health records </w:t>
            </w:r>
          </w:p>
        </w:tc>
        <w:tc>
          <w:tcPr>
            <w:tcW w:w="167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BD1667"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111D85" w14:textId="77777777" w:rsidR="0039681A" w:rsidRPr="00647572" w:rsidRDefault="0039681A">
            <w:pPr>
              <w:spacing w:before="120" w:after="120"/>
              <w:jc w:val="center"/>
              <w:rPr>
                <w:rFonts w:ascii="Arial Narrow" w:eastAsia="Arial" w:hAnsi="Arial Narrow"/>
                <w:noProof/>
                <w:color w:val="006600"/>
                <w:sz w:val="20"/>
                <w:szCs w:val="20"/>
              </w:rPr>
            </w:pPr>
            <w:r w:rsidRPr="00647572">
              <w:rPr>
                <w:rFonts w:ascii="Arial Narrow" w:hAnsi="Arial Narrow"/>
                <w:noProof/>
                <w:color w:val="006600"/>
                <w:sz w:val="20"/>
              </w:rPr>
              <w:t>Percentage</w:t>
            </w:r>
          </w:p>
        </w:tc>
        <w:tc>
          <w:tcPr>
            <w:tcW w:w="111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A668A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0</w:t>
            </w:r>
          </w:p>
        </w:tc>
        <w:tc>
          <w:tcPr>
            <w:tcW w:w="125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0AD499"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90</w:t>
            </w:r>
          </w:p>
        </w:tc>
        <w:tc>
          <w:tcPr>
            <w:tcW w:w="83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8AAEF2"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Q2</w:t>
            </w:r>
          </w:p>
        </w:tc>
        <w:tc>
          <w:tcPr>
            <w:tcW w:w="84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6710D"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2026</w:t>
            </w:r>
          </w:p>
        </w:tc>
        <w:tc>
          <w:tcPr>
            <w:tcW w:w="341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0BD25F" w14:textId="77777777" w:rsidR="0039681A" w:rsidRPr="00A36E36" w:rsidRDefault="0039681A">
            <w:pPr>
              <w:spacing w:before="120" w:after="120"/>
              <w:rPr>
                <w:rFonts w:ascii="Arial Narrow" w:eastAsia="Calibri" w:hAnsi="Arial Narrow"/>
                <w:noProof/>
                <w:color w:val="006600"/>
                <w:sz w:val="20"/>
                <w:szCs w:val="20"/>
                <w:lang w:val="en-IE"/>
              </w:rPr>
            </w:pPr>
            <w:r w:rsidRPr="00A36E36">
              <w:rPr>
                <w:rFonts w:ascii="Arial Narrow" w:hAnsi="Arial Narrow"/>
                <w:noProof/>
                <w:color w:val="006600"/>
                <w:sz w:val="20"/>
                <w:szCs w:val="20"/>
                <w:lang w:val="en-IE"/>
              </w:rPr>
              <w:t>The production of native EHR documents out of total documents shall reach 90%. The target is achieved through the verification on the EHR monitoring dashboard, of the value, at national level, of indicator 1 referred to in Annex 2 of the Decree of August 8, 2022, and amendments, at least with respect to the following documents: Hospital discharge letter; emergency room report; laboratory report; radiology report; pathological anatomy report.</w:t>
            </w:r>
          </w:p>
        </w:tc>
      </w:tr>
      <w:tr w:rsidR="0039681A" w:rsidRPr="0070054C" w14:paraId="19F74F63" w14:textId="77777777" w:rsidTr="00351087">
        <w:trPr>
          <w:trHeight w:val="313"/>
          <w:jc w:val="center"/>
        </w:trPr>
        <w:tc>
          <w:tcPr>
            <w:tcW w:w="1142" w:type="dxa"/>
            <w:shd w:val="clear" w:color="auto" w:fill="C6EFCE"/>
            <w:noWrap/>
            <w:vAlign w:val="center"/>
          </w:tcPr>
          <w:p w14:paraId="3FC9F96F"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M6C2-14</w:t>
            </w:r>
          </w:p>
        </w:tc>
        <w:tc>
          <w:tcPr>
            <w:tcW w:w="1536" w:type="dxa"/>
            <w:shd w:val="clear" w:color="auto" w:fill="C6EFCE"/>
            <w:noWrap/>
            <w:vAlign w:val="center"/>
          </w:tcPr>
          <w:p w14:paraId="4272E7F2"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2.2: Development of technical-professional, digital and managerial skills of professionals in the healthcare system</w:t>
            </w:r>
          </w:p>
        </w:tc>
        <w:tc>
          <w:tcPr>
            <w:tcW w:w="978" w:type="dxa"/>
            <w:shd w:val="clear" w:color="auto" w:fill="C6EFCE"/>
            <w:noWrap/>
            <w:vAlign w:val="center"/>
          </w:tcPr>
          <w:p w14:paraId="4D3919D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Target</w:t>
            </w:r>
          </w:p>
        </w:tc>
        <w:tc>
          <w:tcPr>
            <w:tcW w:w="1607" w:type="dxa"/>
            <w:shd w:val="clear" w:color="auto" w:fill="C6EFCE"/>
            <w:noWrap/>
            <w:vAlign w:val="center"/>
          </w:tcPr>
          <w:p w14:paraId="22A1084D" w14:textId="77777777" w:rsidR="0039681A" w:rsidRPr="00A36E36" w:rsidRDefault="0039681A">
            <w:pPr>
              <w:spacing w:before="120" w:after="120"/>
              <w:jc w:val="center"/>
              <w:rPr>
                <w:rFonts w:ascii="Arial Narrow" w:hAnsi="Arial Narrow"/>
                <w:noProof/>
                <w:color w:val="006600"/>
                <w:sz w:val="20"/>
                <w:szCs w:val="20"/>
                <w:lang w:val="en-IE"/>
              </w:rPr>
            </w:pPr>
            <w:r w:rsidRPr="00A36E36">
              <w:rPr>
                <w:rFonts w:ascii="Arial Narrow" w:hAnsi="Arial Narrow"/>
                <w:noProof/>
                <w:color w:val="006600"/>
                <w:sz w:val="20"/>
                <w:lang w:val="en-IE"/>
              </w:rPr>
              <w:t>Scholarships for specific training in general medical practice are awarded.</w:t>
            </w:r>
          </w:p>
        </w:tc>
        <w:tc>
          <w:tcPr>
            <w:tcW w:w="1674" w:type="dxa"/>
            <w:shd w:val="clear" w:color="auto" w:fill="C6EFCE"/>
            <w:noWrap/>
            <w:vAlign w:val="center"/>
          </w:tcPr>
          <w:p w14:paraId="16C8387C"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57" w:type="dxa"/>
            <w:shd w:val="clear" w:color="auto" w:fill="C6EFCE"/>
            <w:noWrap/>
            <w:vAlign w:val="center"/>
          </w:tcPr>
          <w:p w14:paraId="1A2B9D9A" w14:textId="77777777" w:rsidR="0039681A" w:rsidRPr="00647572" w:rsidRDefault="0039681A">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rPr>
              <w:t xml:space="preserve">Number </w:t>
            </w:r>
          </w:p>
        </w:tc>
        <w:tc>
          <w:tcPr>
            <w:tcW w:w="1118" w:type="dxa"/>
            <w:shd w:val="clear" w:color="auto" w:fill="C6EFCE"/>
            <w:noWrap/>
            <w:vAlign w:val="center"/>
          </w:tcPr>
          <w:p w14:paraId="1649EB6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0</w:t>
            </w:r>
          </w:p>
        </w:tc>
        <w:tc>
          <w:tcPr>
            <w:tcW w:w="1257" w:type="dxa"/>
            <w:shd w:val="clear" w:color="auto" w:fill="C6EFCE"/>
            <w:noWrap/>
            <w:vAlign w:val="center"/>
          </w:tcPr>
          <w:p w14:paraId="2CD8625A"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1</w:t>
            </w:r>
            <w:r w:rsidRPr="00647572">
              <w:rPr>
                <w:noProof/>
                <w:sz w:val="23"/>
                <w:szCs w:val="23"/>
              </w:rPr>
              <w:t> </w:t>
            </w:r>
            <w:r w:rsidRPr="00647572">
              <w:rPr>
                <w:rFonts w:ascii="Arial Narrow" w:hAnsi="Arial Narrow"/>
                <w:noProof/>
                <w:color w:val="006600"/>
                <w:sz w:val="20"/>
              </w:rPr>
              <w:t>800</w:t>
            </w:r>
          </w:p>
        </w:tc>
        <w:tc>
          <w:tcPr>
            <w:tcW w:w="839" w:type="dxa"/>
            <w:shd w:val="clear" w:color="auto" w:fill="C6EFCE"/>
            <w:noWrap/>
            <w:vAlign w:val="center"/>
          </w:tcPr>
          <w:p w14:paraId="0441D65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Q2</w:t>
            </w:r>
          </w:p>
        </w:tc>
        <w:tc>
          <w:tcPr>
            <w:tcW w:w="840" w:type="dxa"/>
            <w:shd w:val="clear" w:color="auto" w:fill="C6EFCE"/>
            <w:noWrap/>
            <w:vAlign w:val="center"/>
          </w:tcPr>
          <w:p w14:paraId="6CC776B4"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2023</w:t>
            </w:r>
          </w:p>
        </w:tc>
        <w:tc>
          <w:tcPr>
            <w:tcW w:w="3410" w:type="dxa"/>
            <w:shd w:val="clear" w:color="auto" w:fill="C6EFCE"/>
            <w:noWrap/>
            <w:vAlign w:val="center"/>
          </w:tcPr>
          <w:p w14:paraId="3B21C7B5" w14:textId="77777777" w:rsidR="0039681A" w:rsidRPr="00A36E36" w:rsidRDefault="0039681A">
            <w:pPr>
              <w:spacing w:before="120" w:after="120"/>
              <w:rPr>
                <w:rFonts w:ascii="Arial Narrow" w:eastAsia="Calibri" w:hAnsi="Arial Narrow"/>
                <w:noProof/>
                <w:color w:val="006600"/>
                <w:sz w:val="20"/>
                <w:szCs w:val="20"/>
                <w:lang w:val="en-IE"/>
              </w:rPr>
            </w:pPr>
            <w:r w:rsidRPr="00A36E36">
              <w:rPr>
                <w:rFonts w:ascii="Arial Narrow" w:hAnsi="Arial Narrow"/>
                <w:noProof/>
                <w:color w:val="006600"/>
                <w:sz w:val="20"/>
                <w:lang w:val="en-IE"/>
              </w:rPr>
              <w:t>This investment shall increase scholarships for the specific course in general medicine, guaranteeing the completion of 3 three-year training cycles.</w:t>
            </w:r>
          </w:p>
        </w:tc>
      </w:tr>
      <w:tr w:rsidR="0039681A" w:rsidRPr="0070054C" w14:paraId="0B18C665" w14:textId="77777777" w:rsidTr="00351087">
        <w:trPr>
          <w:trHeight w:val="313"/>
          <w:jc w:val="center"/>
        </w:trPr>
        <w:tc>
          <w:tcPr>
            <w:tcW w:w="1142" w:type="dxa"/>
            <w:shd w:val="clear" w:color="auto" w:fill="C6EFCE"/>
            <w:noWrap/>
            <w:vAlign w:val="center"/>
          </w:tcPr>
          <w:p w14:paraId="3FAD3A4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100"/>
                <w:sz w:val="20"/>
              </w:rPr>
              <w:t>M6C2-15</w:t>
            </w:r>
          </w:p>
        </w:tc>
        <w:tc>
          <w:tcPr>
            <w:tcW w:w="1536" w:type="dxa"/>
            <w:shd w:val="clear" w:color="auto" w:fill="C6EFCE"/>
            <w:noWrap/>
            <w:vAlign w:val="center"/>
          </w:tcPr>
          <w:p w14:paraId="73A13078" w14:textId="77777777" w:rsidR="0039681A" w:rsidRPr="00A36E36" w:rsidRDefault="0039681A">
            <w:pPr>
              <w:spacing w:before="120" w:after="120"/>
              <w:jc w:val="center"/>
              <w:rPr>
                <w:rFonts w:ascii="Arial Narrow" w:hAnsi="Arial Narrow"/>
                <w:noProof/>
                <w:color w:val="006100"/>
                <w:sz w:val="20"/>
                <w:szCs w:val="20"/>
                <w:lang w:val="en-IE"/>
              </w:rPr>
            </w:pPr>
            <w:r w:rsidRPr="00A36E36">
              <w:rPr>
                <w:rFonts w:ascii="Arial Narrow" w:hAnsi="Arial Narrow"/>
                <w:noProof/>
                <w:color w:val="006600"/>
                <w:sz w:val="20"/>
                <w:lang w:val="en-IE"/>
              </w:rPr>
              <w:t>Investment 2.2: Development of technical-professional, digital and managerial skills of professionals in the healthcare system</w:t>
            </w:r>
          </w:p>
        </w:tc>
        <w:tc>
          <w:tcPr>
            <w:tcW w:w="978" w:type="dxa"/>
            <w:shd w:val="clear" w:color="auto" w:fill="C6EFCE"/>
            <w:noWrap/>
            <w:vAlign w:val="center"/>
          </w:tcPr>
          <w:p w14:paraId="09CD6FC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Target</w:t>
            </w:r>
          </w:p>
        </w:tc>
        <w:tc>
          <w:tcPr>
            <w:tcW w:w="1607" w:type="dxa"/>
            <w:shd w:val="clear" w:color="auto" w:fill="C6EFCE"/>
            <w:noWrap/>
            <w:vAlign w:val="center"/>
          </w:tcPr>
          <w:p w14:paraId="29459BEE" w14:textId="77777777" w:rsidR="0039681A" w:rsidRPr="00A36E36" w:rsidRDefault="0039681A">
            <w:pPr>
              <w:spacing w:before="120" w:after="120"/>
              <w:jc w:val="center"/>
              <w:rPr>
                <w:rFonts w:ascii="Arial Narrow" w:hAnsi="Arial Narrow"/>
                <w:noProof/>
                <w:sz w:val="20"/>
                <w:szCs w:val="20"/>
                <w:lang w:val="en-IE"/>
              </w:rPr>
            </w:pPr>
            <w:r w:rsidRPr="00A36E36">
              <w:rPr>
                <w:rFonts w:ascii="Arial Narrow" w:hAnsi="Arial Narrow"/>
                <w:noProof/>
                <w:color w:val="006600"/>
                <w:sz w:val="20"/>
                <w:lang w:val="en-IE"/>
              </w:rPr>
              <w:t>Additional scholarships for specific training in general medical practice are awarded.</w:t>
            </w:r>
          </w:p>
        </w:tc>
        <w:tc>
          <w:tcPr>
            <w:tcW w:w="1674" w:type="dxa"/>
            <w:shd w:val="clear" w:color="auto" w:fill="C6EFCE"/>
            <w:noWrap/>
            <w:vAlign w:val="center"/>
          </w:tcPr>
          <w:p w14:paraId="6E7BB84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N/A</w:t>
            </w:r>
          </w:p>
        </w:tc>
        <w:tc>
          <w:tcPr>
            <w:tcW w:w="1257" w:type="dxa"/>
            <w:shd w:val="clear" w:color="auto" w:fill="C6EFCE"/>
            <w:noWrap/>
            <w:vAlign w:val="center"/>
          </w:tcPr>
          <w:p w14:paraId="1B585155" w14:textId="77777777" w:rsidR="0039681A" w:rsidRPr="00647572" w:rsidRDefault="0039681A">
            <w:pPr>
              <w:spacing w:before="120" w:after="120"/>
              <w:jc w:val="center"/>
              <w:rPr>
                <w:rFonts w:ascii="Arial Narrow" w:eastAsia="Calibri" w:hAnsi="Arial Narrow"/>
                <w:noProof/>
                <w:color w:val="006600"/>
                <w:sz w:val="20"/>
                <w:szCs w:val="20"/>
              </w:rPr>
            </w:pPr>
            <w:r w:rsidRPr="00647572">
              <w:rPr>
                <w:rFonts w:ascii="Arial Narrow" w:hAnsi="Arial Narrow"/>
                <w:noProof/>
                <w:color w:val="006600"/>
                <w:sz w:val="20"/>
              </w:rPr>
              <w:t xml:space="preserve">Number </w:t>
            </w:r>
          </w:p>
        </w:tc>
        <w:tc>
          <w:tcPr>
            <w:tcW w:w="1118" w:type="dxa"/>
            <w:shd w:val="clear" w:color="auto" w:fill="C6EFCE"/>
            <w:noWrap/>
            <w:vAlign w:val="center"/>
          </w:tcPr>
          <w:p w14:paraId="2634FAE1"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1</w:t>
            </w:r>
            <w:r w:rsidRPr="00647572">
              <w:rPr>
                <w:noProof/>
                <w:sz w:val="23"/>
                <w:szCs w:val="23"/>
              </w:rPr>
              <w:t> </w:t>
            </w:r>
            <w:r w:rsidRPr="00647572">
              <w:rPr>
                <w:rFonts w:ascii="Arial Narrow" w:hAnsi="Arial Narrow"/>
                <w:noProof/>
                <w:color w:val="006600"/>
                <w:sz w:val="20"/>
              </w:rPr>
              <w:t>800</w:t>
            </w:r>
          </w:p>
        </w:tc>
        <w:tc>
          <w:tcPr>
            <w:tcW w:w="1257" w:type="dxa"/>
            <w:shd w:val="clear" w:color="auto" w:fill="C6EFCE"/>
            <w:noWrap/>
            <w:vAlign w:val="center"/>
          </w:tcPr>
          <w:p w14:paraId="59894AC6"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w:t>
            </w:r>
            <w:r w:rsidRPr="00647572">
              <w:rPr>
                <w:noProof/>
                <w:sz w:val="23"/>
                <w:szCs w:val="23"/>
              </w:rPr>
              <w:t> </w:t>
            </w:r>
            <w:r w:rsidRPr="00647572">
              <w:rPr>
                <w:rFonts w:ascii="Arial Narrow" w:hAnsi="Arial Narrow"/>
                <w:noProof/>
                <w:color w:val="006600"/>
                <w:sz w:val="20"/>
              </w:rPr>
              <w:t>700</w:t>
            </w:r>
          </w:p>
        </w:tc>
        <w:tc>
          <w:tcPr>
            <w:tcW w:w="839" w:type="dxa"/>
            <w:shd w:val="clear" w:color="auto" w:fill="C6EFCE"/>
            <w:noWrap/>
            <w:vAlign w:val="center"/>
          </w:tcPr>
          <w:p w14:paraId="03068140"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Q2</w:t>
            </w:r>
          </w:p>
        </w:tc>
        <w:tc>
          <w:tcPr>
            <w:tcW w:w="840" w:type="dxa"/>
            <w:shd w:val="clear" w:color="auto" w:fill="C6EFCE"/>
            <w:noWrap/>
            <w:vAlign w:val="center"/>
          </w:tcPr>
          <w:p w14:paraId="2B991645" w14:textId="77777777" w:rsidR="0039681A" w:rsidRPr="00647572" w:rsidRDefault="0039681A">
            <w:pPr>
              <w:spacing w:before="120" w:after="120"/>
              <w:jc w:val="center"/>
              <w:rPr>
                <w:rFonts w:ascii="Arial Narrow" w:hAnsi="Arial Narrow"/>
                <w:noProof/>
                <w:color w:val="006100"/>
                <w:sz w:val="20"/>
                <w:szCs w:val="20"/>
              </w:rPr>
            </w:pPr>
            <w:r w:rsidRPr="00647572">
              <w:rPr>
                <w:rFonts w:ascii="Arial Narrow" w:hAnsi="Arial Narrow"/>
                <w:noProof/>
                <w:color w:val="006600"/>
                <w:sz w:val="20"/>
              </w:rPr>
              <w:t>2024</w:t>
            </w:r>
          </w:p>
        </w:tc>
        <w:tc>
          <w:tcPr>
            <w:tcW w:w="3410" w:type="dxa"/>
            <w:shd w:val="clear" w:color="auto" w:fill="C6EFCE"/>
            <w:noWrap/>
            <w:vAlign w:val="center"/>
          </w:tcPr>
          <w:p w14:paraId="2AF81A61" w14:textId="77777777" w:rsidR="0039681A" w:rsidRPr="00A36E36" w:rsidRDefault="0039681A">
            <w:pPr>
              <w:spacing w:before="120" w:after="120"/>
              <w:rPr>
                <w:rFonts w:ascii="Arial Narrow" w:eastAsia="Calibri" w:hAnsi="Arial Narrow"/>
                <w:noProof/>
                <w:color w:val="006600"/>
                <w:sz w:val="20"/>
                <w:szCs w:val="20"/>
                <w:lang w:val="en-IE"/>
              </w:rPr>
            </w:pPr>
            <w:r w:rsidRPr="00A36E36">
              <w:rPr>
                <w:rFonts w:ascii="Arial Narrow" w:hAnsi="Arial Narrow"/>
                <w:noProof/>
                <w:color w:val="006600"/>
                <w:sz w:val="20"/>
                <w:lang w:val="en-IE"/>
              </w:rPr>
              <w:t>This investment shall increase scholarships for the specific course in general medicine, guaranteeing the completion of 3 three-year training cycles.</w:t>
            </w:r>
          </w:p>
        </w:tc>
      </w:tr>
    </w:tbl>
    <w:p w14:paraId="507FCB49" w14:textId="77777777" w:rsidR="0039681A" w:rsidRPr="00A36E36" w:rsidRDefault="0039681A" w:rsidP="00351087">
      <w:pPr>
        <w:tabs>
          <w:tab w:val="left" w:pos="4666"/>
        </w:tabs>
        <w:rPr>
          <w:rFonts w:ascii="Times New Roman" w:hAnsi="Times New Roman" w:cs="Times New Roman"/>
          <w:noProof/>
          <w:lang w:val="en-IE"/>
        </w:rPr>
        <w:sectPr w:rsidR="0039681A" w:rsidRPr="00A36E36" w:rsidSect="0039681A">
          <w:headerReference w:type="even" r:id="rId249"/>
          <w:headerReference w:type="default" r:id="rId250"/>
          <w:footerReference w:type="default" r:id="rId251"/>
          <w:headerReference w:type="first" r:id="rId252"/>
          <w:pgSz w:w="16838" w:h="11906" w:orient="landscape"/>
          <w:pgMar w:top="1134" w:right="1134" w:bottom="1134" w:left="1134" w:header="567" w:footer="567" w:gutter="0"/>
          <w:cols w:space="708"/>
          <w:docGrid w:linePitch="360"/>
        </w:sectPr>
      </w:pPr>
    </w:p>
    <w:p w14:paraId="3380FA79" w14:textId="77777777" w:rsidR="0039681A" w:rsidRPr="00A36E36" w:rsidRDefault="0039681A" w:rsidP="00351087">
      <w:pPr>
        <w:pStyle w:val="Heading2"/>
        <w:ind w:left="1080"/>
        <w:rPr>
          <w:rFonts w:ascii="Times New Roman" w:eastAsia="Times New Roman" w:hAnsi="Times New Roman" w:cs="Times New Roman"/>
          <w:b/>
          <w:bCs/>
          <w:noProof/>
          <w:color w:val="auto"/>
          <w:sz w:val="24"/>
          <w:szCs w:val="24"/>
          <w:lang w:val="en-IE"/>
        </w:rPr>
      </w:pPr>
      <w:r w:rsidRPr="00A36E36">
        <w:rPr>
          <w:rFonts w:ascii="Times New Roman" w:eastAsia="Times New Roman" w:hAnsi="Times New Roman" w:cs="Times New Roman"/>
          <w:b/>
          <w:bCs/>
          <w:noProof/>
          <w:color w:val="auto"/>
          <w:sz w:val="24"/>
          <w:szCs w:val="24"/>
          <w:lang w:val="en-IE"/>
        </w:rPr>
        <w:t>Q.MISSION 7: REPowerEU</w:t>
      </w:r>
    </w:p>
    <w:p w14:paraId="7615CD6B" w14:textId="77777777" w:rsidR="0039681A" w:rsidRPr="00647572" w:rsidRDefault="0039681A" w:rsidP="00351087">
      <w:pPr>
        <w:pStyle w:val="paragraph"/>
        <w:spacing w:before="0" w:beforeAutospacing="0" w:after="120" w:afterAutospacing="0"/>
        <w:jc w:val="both"/>
        <w:textAlignment w:val="baseline"/>
        <w:rPr>
          <w:noProof/>
          <w:sz w:val="22"/>
          <w:szCs w:val="22"/>
          <w:lang w:val="en-GB"/>
        </w:rPr>
      </w:pPr>
      <w:r w:rsidRPr="00647572">
        <w:rPr>
          <w:noProof/>
          <w:sz w:val="22"/>
          <w:szCs w:val="22"/>
          <w:lang w:val="en-GB"/>
        </w:rPr>
        <w:t>The REPowerEU chapter aims at strengthening distribution transmission and distribution networks, including those related to gas; accelerating renewable energy production, reducing energy demand, increasing energy efficiency and creating the skills in the public and private sectors for the green transition; promoting renewable energy and hydrogen value chains through measures facilitating access to credit and tax credits.</w:t>
      </w:r>
    </w:p>
    <w:p w14:paraId="3D767D6E" w14:textId="77777777" w:rsidR="0039681A" w:rsidRPr="00647572" w:rsidRDefault="0039681A" w:rsidP="00351087">
      <w:pPr>
        <w:pStyle w:val="paragraph"/>
        <w:spacing w:before="0" w:beforeAutospacing="0" w:after="120" w:afterAutospacing="0"/>
        <w:jc w:val="both"/>
        <w:textAlignment w:val="baseline"/>
        <w:rPr>
          <w:noProof/>
          <w:sz w:val="22"/>
          <w:szCs w:val="22"/>
          <w:lang w:val="en-GB"/>
        </w:rPr>
      </w:pPr>
      <w:r w:rsidRPr="00647572">
        <w:rPr>
          <w:noProof/>
          <w:sz w:val="22"/>
          <w:szCs w:val="22"/>
          <w:lang w:val="en-GB"/>
        </w:rPr>
        <w:t>The component addresses the country-specific recommendations addressed to Italy in 2022 and 2023. Notably, it aims to accelerate the deployment of additional renewable energy capacity by investing in major electricity interconnections projects (namely, two interconnectors connecting Sardinia and Sicily to the mainland), upgrading the national transmission grid and streamlining permitting procedures. It contributes to increasing the capacity for internal gas transmission to overcome bottlenecks, diversify energy imports and strengthen the security of supply. It promotes sustainable mobility by reducing environmentally harmful subsidies and strengthening the railway fleet. It helps reducing the reliance on fossil fuels by electrifying the consumption of households and increasing the resilience of the network. It contributes to increasing energy efficiency in the residential and corporate sectors, including through targeted incentive schemes and financial instruments. Finally, it includes reforms and investments to improve the provision and acquisition of the skills needed for the green transition – both in the private and in the public sectors.</w:t>
      </w:r>
    </w:p>
    <w:p w14:paraId="05B6ACAC" w14:textId="77777777" w:rsidR="0039681A" w:rsidRPr="00647572" w:rsidRDefault="0039681A" w:rsidP="00351087">
      <w:pPr>
        <w:pStyle w:val="paragraph"/>
        <w:spacing w:before="0" w:beforeAutospacing="0" w:after="120" w:afterAutospacing="0"/>
        <w:jc w:val="both"/>
        <w:textAlignment w:val="baseline"/>
        <w:rPr>
          <w:rFonts w:eastAsia="Calibri"/>
          <w:noProof/>
          <w:sz w:val="22"/>
          <w:szCs w:val="22"/>
          <w:lang w:val="en-GB"/>
        </w:rPr>
      </w:pPr>
      <w:r w:rsidRPr="00647572">
        <w:rPr>
          <w:noProof/>
          <w:sz w:val="22"/>
          <w:szCs w:val="22"/>
          <w:lang w:val="en-GB"/>
        </w:rPr>
        <w:t xml:space="preserve">Nine projects have a cross-border dimension. </w:t>
      </w:r>
      <w:r>
        <w:rPr>
          <w:noProof/>
          <w:sz w:val="22"/>
          <w:szCs w:val="22"/>
          <w:lang w:val="en-GB"/>
        </w:rPr>
        <w:t>Two</w:t>
      </w:r>
      <w:r w:rsidRPr="00647572">
        <w:rPr>
          <w:noProof/>
          <w:sz w:val="22"/>
          <w:szCs w:val="22"/>
          <w:lang w:val="en-GB"/>
        </w:rPr>
        <w:t xml:space="preserve"> of them have a direct cross-border impact: 1) an investment contributing to the construction of an electric interconnection between Sardinia, Corsica and Tuscany; </w:t>
      </w:r>
      <w:r>
        <w:rPr>
          <w:noProof/>
          <w:sz w:val="22"/>
          <w:szCs w:val="22"/>
          <w:lang w:val="en-GB"/>
        </w:rPr>
        <w:t>2</w:t>
      </w:r>
      <w:r w:rsidRPr="00647572">
        <w:rPr>
          <w:noProof/>
          <w:sz w:val="22"/>
          <w:szCs w:val="22"/>
          <w:lang w:val="en-GB"/>
        </w:rPr>
        <w:t>) an investment in a compressor station that shall increase gas export towards Central Europe. Other projects indirectly benefit cross-border Member states by addressing internal energy transmission and distribution bottlenecks and increasing the efficiency and resilience of the grid.</w:t>
      </w:r>
    </w:p>
    <w:p w14:paraId="4C0AEF71"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w:t>
      </w:r>
      <w:r w:rsidRPr="00A36E36">
        <w:rPr>
          <w:rFonts w:ascii="Times New Roman" w:hAnsi="Times New Roman" w:cs="Times New Roman"/>
          <w:noProof/>
          <w:color w:val="000000" w:themeColor="text1"/>
          <w:lang w:val="en-IE"/>
        </w:rPr>
        <w:t>(</w:t>
      </w:r>
      <w:r w:rsidRPr="00A36E36">
        <w:rPr>
          <w:rFonts w:ascii="Times New Roman" w:hAnsi="Times New Roman" w:cs="Times New Roman"/>
          <w:noProof/>
          <w:lang w:val="en-IE"/>
        </w:rPr>
        <w:t>C(2023) 6454 final</w:t>
      </w:r>
      <w:r w:rsidRPr="00A36E36">
        <w:rPr>
          <w:rFonts w:ascii="Times New Roman" w:hAnsi="Times New Roman" w:cs="Times New Roman"/>
          <w:noProof/>
          <w:color w:val="000000" w:themeColor="text1"/>
          <w:lang w:val="en-IE"/>
        </w:rPr>
        <w:t>)</w:t>
      </w:r>
      <w:r w:rsidRPr="00A36E36">
        <w:rPr>
          <w:rFonts w:ascii="Times New Roman" w:hAnsi="Times New Roman" w:cs="Times New Roman"/>
          <w:noProof/>
          <w:lang w:val="en-IE"/>
        </w:rPr>
        <w:t>, whereas the principle of “do no significant harm” does not apply to investment 13 - Adriatic Line Phase 1 (Sulmona compressor station and Sestino-Minerbio gas pipeline) and investment 14 - Cross-border gas export infrastructure, in accordance with Article 21c(6) pf Regulation (EU) 2021/241.</w:t>
      </w:r>
    </w:p>
    <w:p w14:paraId="5A909B4A" w14:textId="77777777" w:rsidR="0039681A" w:rsidRPr="00A36E36" w:rsidRDefault="0039681A" w:rsidP="0035108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Q.1. </w:t>
      </w:r>
      <w:r w:rsidRPr="00A36E36">
        <w:rPr>
          <w:rFonts w:ascii="Times New Roman" w:hAnsi="Times New Roman" w:cs="Times New Roman"/>
          <w:b/>
          <w:noProof/>
          <w:sz w:val="24"/>
          <w:szCs w:val="24"/>
          <w:u w:val="single"/>
          <w:lang w:val="en-IE"/>
        </w:rPr>
        <w:tab/>
        <w:t>Description of the reforms and investments for non-repayable financial support</w:t>
      </w:r>
    </w:p>
    <w:p w14:paraId="78A24C88" w14:textId="77777777" w:rsidR="0039681A" w:rsidRPr="00A36E36" w:rsidRDefault="0039681A" w:rsidP="00351087">
      <w:pPr>
        <w:pStyle w:val="Heading4"/>
        <w:rPr>
          <w:rStyle w:val="normaltextrun"/>
          <w:rFonts w:ascii="Times New Roman" w:hAnsi="Times New Roman" w:cs="Times New Roman"/>
          <w:b/>
          <w:i w:val="0"/>
          <w:noProof/>
          <w:color w:val="000000" w:themeColor="text1"/>
          <w:lang w:val="en-IE"/>
        </w:rPr>
      </w:pPr>
      <w:r w:rsidRPr="00A36E36">
        <w:rPr>
          <w:rStyle w:val="normaltextrun"/>
          <w:rFonts w:ascii="Times New Roman" w:hAnsi="Times New Roman" w:cs="Times New Roman"/>
          <w:b/>
          <w:i w:val="0"/>
          <w:noProof/>
          <w:color w:val="000000" w:themeColor="text1"/>
          <w:lang w:val="en-IE"/>
        </w:rPr>
        <w:t xml:space="preserve">Reform 1. Streamlining permitting procedures for renewable energy at central and local level </w:t>
      </w:r>
    </w:p>
    <w:p w14:paraId="055EF7C5" w14:textId="7A41B0A1" w:rsidR="0039681A" w:rsidRPr="00647572" w:rsidRDefault="0039681A" w:rsidP="00351087">
      <w:pPr>
        <w:pStyle w:val="Text1"/>
        <w:spacing w:before="0"/>
        <w:ind w:left="0"/>
        <w:rPr>
          <w:noProof/>
          <w:sz w:val="22"/>
          <w:szCs w:val="22"/>
          <w:lang w:val="en-GB"/>
        </w:rPr>
      </w:pPr>
      <w:r w:rsidRPr="00647572">
        <w:rPr>
          <w:rFonts w:eastAsiaTheme="minorHAnsi"/>
          <w:noProof/>
          <w:kern w:val="2"/>
          <w:sz w:val="22"/>
          <w:szCs w:val="22"/>
          <w:lang w:val="en-GB" w:eastAsia="en-US"/>
        </w:rPr>
        <w:t>The objective of this reform is to consolidate and streamline the existing legislation and provisions regulating the permitting of renewable energy sources. The reform consists in the adoption and entry</w:t>
      </w:r>
      <w:r w:rsidRPr="00647572">
        <w:rPr>
          <w:noProof/>
          <w:sz w:val="22"/>
          <w:szCs w:val="22"/>
          <w:lang w:val="en-GB"/>
        </w:rPr>
        <w:t xml:space="preserve"> </w:t>
      </w:r>
      <w:r w:rsidRPr="00647572">
        <w:rPr>
          <w:rFonts w:eastAsiaTheme="minorHAnsi"/>
          <w:noProof/>
          <w:kern w:val="2"/>
          <w:sz w:val="22"/>
          <w:szCs w:val="22"/>
          <w:lang w:val="en-GB" w:eastAsia="en-US"/>
        </w:rPr>
        <w:t>into force of a legal act (also known</w:t>
      </w:r>
      <w:r w:rsidRPr="00647572">
        <w:rPr>
          <w:noProof/>
          <w:sz w:val="22"/>
          <w:szCs w:val="22"/>
          <w:lang w:val="en-GB"/>
        </w:rPr>
        <w:t xml:space="preserve"> as </w:t>
      </w:r>
      <w:r w:rsidRPr="00647572">
        <w:rPr>
          <w:i/>
          <w:iCs/>
          <w:noProof/>
          <w:sz w:val="22"/>
          <w:szCs w:val="22"/>
          <w:lang w:val="en-GB"/>
        </w:rPr>
        <w:t>Testo Unico</w:t>
      </w:r>
      <w:r w:rsidRPr="00647572">
        <w:rPr>
          <w:noProof/>
          <w:sz w:val="22"/>
          <w:szCs w:val="22"/>
          <w:lang w:val="en-GB"/>
        </w:rPr>
        <w:t xml:space="preserve">) </w:t>
      </w:r>
      <w:r w:rsidRPr="00647572">
        <w:rPr>
          <w:rFonts w:eastAsiaTheme="minorHAnsi"/>
          <w:noProof/>
          <w:kern w:val="2"/>
          <w:sz w:val="22"/>
          <w:szCs w:val="22"/>
          <w:lang w:val="en-GB" w:eastAsia="en-US"/>
        </w:rPr>
        <w:t>collecting, compiling, and consolidating the</w:t>
      </w:r>
      <w:r w:rsidRPr="00647572">
        <w:rPr>
          <w:noProof/>
          <w:sz w:val="22"/>
          <w:szCs w:val="22"/>
          <w:lang w:val="en-GB"/>
        </w:rPr>
        <w:t xml:space="preserve"> </w:t>
      </w:r>
      <w:r w:rsidRPr="00647572">
        <w:rPr>
          <w:rFonts w:eastAsiaTheme="minorHAnsi"/>
          <w:noProof/>
          <w:kern w:val="2"/>
          <w:sz w:val="22"/>
          <w:szCs w:val="22"/>
          <w:lang w:val="en-GB" w:eastAsia="en-US"/>
        </w:rPr>
        <w:t xml:space="preserve">norms regulating the permitting of renewables, and superseding past legislation on that matter. The reform also aims to set out the legal framework for the identification of “renewable acceleration areas’’ and to establish a digital platform </w:t>
      </w:r>
      <w:r>
        <w:rPr>
          <w:rFonts w:eastAsiaTheme="minorHAnsi"/>
          <w:noProof/>
          <w:kern w:val="2"/>
          <w:sz w:val="22"/>
          <w:szCs w:val="22"/>
          <w:lang w:val="en-GB" w:eastAsia="en-US"/>
        </w:rPr>
        <w:t>enabling the submission</w:t>
      </w:r>
      <w:r w:rsidR="00E53588">
        <w:rPr>
          <w:rFonts w:eastAsiaTheme="minorHAnsi"/>
          <w:noProof/>
          <w:kern w:val="2"/>
          <w:sz w:val="22"/>
          <w:szCs w:val="22"/>
          <w:lang w:val="en-GB" w:eastAsia="en-US"/>
        </w:rPr>
        <w:t xml:space="preserve"> and/or the collection – when introduced via other platforms –</w:t>
      </w:r>
      <w:r>
        <w:rPr>
          <w:rFonts w:eastAsiaTheme="minorHAnsi"/>
          <w:noProof/>
          <w:kern w:val="2"/>
          <w:sz w:val="22"/>
          <w:szCs w:val="22"/>
          <w:lang w:val="en-GB" w:eastAsia="en-US"/>
        </w:rPr>
        <w:t xml:space="preserve"> of authorization requests</w:t>
      </w:r>
      <w:r w:rsidRPr="00647572">
        <w:rPr>
          <w:rFonts w:eastAsiaTheme="minorHAnsi"/>
          <w:noProof/>
          <w:kern w:val="2"/>
          <w:sz w:val="22"/>
          <w:szCs w:val="22"/>
          <w:lang w:val="en-GB" w:eastAsia="en-US"/>
        </w:rPr>
        <w:t xml:space="preserve"> at national and sub-national level to install renewable energy </w:t>
      </w:r>
      <w:r>
        <w:rPr>
          <w:rFonts w:eastAsiaTheme="minorHAnsi"/>
          <w:noProof/>
          <w:kern w:val="2"/>
          <w:sz w:val="22"/>
          <w:szCs w:val="22"/>
          <w:lang w:val="en-GB" w:eastAsia="en-US"/>
        </w:rPr>
        <w:t>plants as well as the submission of the communication on plants installed under Edilizia Libera</w:t>
      </w:r>
      <w:r w:rsidRPr="00647572">
        <w:rPr>
          <w:rFonts w:eastAsiaTheme="minorHAnsi"/>
          <w:noProof/>
          <w:kern w:val="2"/>
          <w:sz w:val="22"/>
          <w:szCs w:val="22"/>
          <w:lang w:val="en-GB" w:eastAsia="en-US"/>
        </w:rPr>
        <w:t>.</w:t>
      </w:r>
    </w:p>
    <w:p w14:paraId="2753E582" w14:textId="77777777" w:rsidR="0039681A" w:rsidRPr="00A36E36" w:rsidRDefault="0039681A" w:rsidP="00351087">
      <w:pPr>
        <w:pStyle w:val="Heading4"/>
        <w:numPr>
          <w:ilvl w:val="3"/>
          <w:numId w:val="0"/>
        </w:numPr>
        <w:spacing w:line="240" w:lineRule="auto"/>
        <w:rPr>
          <w:rStyle w:val="normaltextrun"/>
          <w:rFonts w:ascii="Times New Roman" w:eastAsiaTheme="minorEastAsia" w:hAnsi="Times New Roman" w:cs="Times New Roman"/>
          <w:b/>
          <w:i w:val="0"/>
          <w:iCs w:val="0"/>
          <w:noProof/>
          <w:snapToGrid w:val="0"/>
          <w:color w:val="000000" w:themeColor="text1"/>
          <w:w w:val="0"/>
          <w:sz w:val="0"/>
          <w:szCs w:val="0"/>
          <w:u w:color="000000"/>
          <w:bdr w:val="none" w:sz="0" w:space="0" w:color="000000"/>
          <w:shd w:val="clear" w:color="000000" w:fill="000000"/>
          <w:lang w:val="en-IE" w:eastAsia="en-GB" w:bidi="x-none"/>
        </w:rPr>
      </w:pPr>
      <w:r w:rsidRPr="00A36E36">
        <w:rPr>
          <w:rStyle w:val="normaltextrun"/>
          <w:rFonts w:ascii="Times New Roman" w:hAnsi="Times New Roman" w:cs="Times New Roman"/>
          <w:b/>
          <w:i w:val="0"/>
          <w:noProof/>
          <w:color w:val="000000" w:themeColor="text1"/>
          <w:lang w:val="en-IE"/>
        </w:rPr>
        <w:t>Reform 2. Reduction of Environmental Harmful Subsidies</w:t>
      </w:r>
    </w:p>
    <w:p w14:paraId="589874C2" w14:textId="77777777" w:rsidR="0039681A" w:rsidRPr="00A36E36" w:rsidRDefault="0039681A" w:rsidP="00351087">
      <w:pPr>
        <w:spacing w:after="120" w:line="240" w:lineRule="auto"/>
        <w:jc w:val="both"/>
        <w:rPr>
          <w:rFonts w:ascii="Times New Roman" w:hAnsi="Times New Roman" w:cs="Times New Roman"/>
          <w:noProof/>
          <w:color w:val="000000" w:themeColor="text1"/>
          <w:lang w:val="en-IE"/>
        </w:rPr>
      </w:pPr>
      <w:r w:rsidRPr="00A36E36">
        <w:rPr>
          <w:rFonts w:ascii="Times New Roman" w:hAnsi="Times New Roman" w:cs="Times New Roman"/>
          <w:noProof/>
          <w:color w:val="000000" w:themeColor="text1"/>
          <w:lang w:val="en-IE"/>
        </w:rPr>
        <w:t>The objective of this reform is to lead to a reduction of Environmentally Harmful Subsidies, based on the 2022 Catalogue of Environmentally Harmful Subsidies published by MASE. The reform consists in the adoption of a stakeholders consultation report and of legal acts.</w:t>
      </w:r>
    </w:p>
    <w:p w14:paraId="6BC409B8" w14:textId="77777777" w:rsidR="0039681A" w:rsidRPr="00A36E36" w:rsidRDefault="0039681A" w:rsidP="00AF5341">
      <w:pPr>
        <w:pStyle w:val="Heading4"/>
        <w:spacing w:line="240" w:lineRule="auto"/>
        <w:rPr>
          <w:rStyle w:val="normaltextrun"/>
          <w:rFonts w:ascii="Times New Roman" w:eastAsiaTheme="minorEastAsia" w:hAnsi="Times New Roman" w:cs="Times New Roman"/>
          <w:b/>
          <w:bCs/>
          <w:i w:val="0"/>
          <w:iCs w:val="0"/>
          <w:noProof/>
          <w:color w:val="000000" w:themeColor="text1"/>
          <w:lang w:val="en-IE"/>
        </w:rPr>
      </w:pPr>
      <w:r w:rsidRPr="7BD10B78">
        <w:rPr>
          <w:rStyle w:val="normaltextrun"/>
          <w:rFonts w:ascii="Times New Roman" w:hAnsi="Times New Roman" w:cs="Times New Roman"/>
          <w:b/>
          <w:bCs/>
          <w:i w:val="0"/>
          <w:iCs w:val="0"/>
          <w:noProof/>
          <w:color w:val="000000" w:themeColor="text1"/>
          <w:lang w:val="en-IE"/>
        </w:rPr>
        <w:t>Reform 3. Reduction of the costs of connection to the gas network of biomethane</w:t>
      </w:r>
    </w:p>
    <w:p w14:paraId="5AB5D07A" w14:textId="77777777" w:rsidR="0039681A" w:rsidRPr="00647572" w:rsidRDefault="0039681A" w:rsidP="00351087">
      <w:pPr>
        <w:pStyle w:val="Text1"/>
        <w:spacing w:before="0"/>
        <w:ind w:left="0"/>
        <w:rPr>
          <w:noProof/>
          <w:color w:val="000000" w:themeColor="text1"/>
          <w:sz w:val="22"/>
          <w:szCs w:val="22"/>
          <w:lang w:val="en-GB"/>
        </w:rPr>
      </w:pPr>
      <w:r w:rsidRPr="00647572">
        <w:rPr>
          <w:noProof/>
          <w:color w:val="000000" w:themeColor="text1"/>
          <w:sz w:val="22"/>
          <w:szCs w:val="22"/>
          <w:lang w:val="en-GB"/>
        </w:rPr>
        <w:t>The reform aims to facilitate the inclusion of biomethane into the energy system and energy market and to create new sustainable biomethane production capacity in line with Directive (EU) 2018/2001 (Renewable Directive) and its delegated acts, and in particular to favour the flexibility and efficiency of the natural gas network by facilitating a conversion to biomethane. The reform consists in the entry into force of legal acts to reduce the connection costs of sustainable biomethane production plants, and encourage investments targeting the uptake of sustainable biomethane in natural gas networks.</w:t>
      </w:r>
    </w:p>
    <w:p w14:paraId="0C0BC33F" w14:textId="77777777" w:rsidR="0039681A" w:rsidRPr="00A36E36" w:rsidRDefault="0039681A" w:rsidP="00351087">
      <w:pPr>
        <w:pStyle w:val="Heading4"/>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Reform 4. Mitigation of financial risk associated with renewable PPAs (Power Purchase Agreements)</w:t>
      </w:r>
    </w:p>
    <w:p w14:paraId="3A4E0315" w14:textId="77777777" w:rsidR="0039681A" w:rsidRPr="00647572" w:rsidRDefault="0039681A" w:rsidP="00351087">
      <w:pPr>
        <w:pStyle w:val="Text1"/>
        <w:spacing w:before="0"/>
        <w:ind w:left="0"/>
        <w:rPr>
          <w:noProof/>
          <w:sz w:val="22"/>
          <w:szCs w:val="22"/>
          <w:lang w:val="en-GB"/>
        </w:rPr>
      </w:pPr>
      <w:r w:rsidRPr="00647572">
        <w:rPr>
          <w:noProof/>
          <w:sz w:val="22"/>
          <w:szCs w:val="22"/>
          <w:lang w:val="en-GB"/>
        </w:rPr>
        <w:t xml:space="preserve">The objective of the reform is to establish a system of guarantees mitigating the financial risk associated with renewable Power Purchase Agreements with a duration of at least three years. </w:t>
      </w:r>
    </w:p>
    <w:p w14:paraId="5DD90323" w14:textId="77777777" w:rsidR="0039681A" w:rsidRPr="00647572" w:rsidRDefault="0039681A" w:rsidP="00351087">
      <w:pPr>
        <w:pStyle w:val="Text1"/>
        <w:spacing w:before="0"/>
        <w:ind w:left="0"/>
        <w:rPr>
          <w:noProof/>
          <w:sz w:val="22"/>
          <w:szCs w:val="22"/>
          <w:lang w:val="en-GB"/>
        </w:rPr>
      </w:pPr>
      <w:r w:rsidRPr="00647572">
        <w:rPr>
          <w:noProof/>
          <w:sz w:val="22"/>
          <w:szCs w:val="22"/>
          <w:lang w:val="en-GB"/>
        </w:rPr>
        <w:t xml:space="preserve">The reform shall: </w:t>
      </w:r>
    </w:p>
    <w:p w14:paraId="695A2CA1" w14:textId="77777777" w:rsidR="0039681A" w:rsidRPr="00647572" w:rsidRDefault="0039681A" w:rsidP="0039681A">
      <w:pPr>
        <w:pStyle w:val="Text1"/>
        <w:numPr>
          <w:ilvl w:val="0"/>
          <w:numId w:val="151"/>
        </w:numPr>
        <w:spacing w:before="0"/>
        <w:rPr>
          <w:noProof/>
          <w:sz w:val="22"/>
          <w:szCs w:val="22"/>
          <w:lang w:val="en-GB"/>
        </w:rPr>
      </w:pPr>
      <w:r w:rsidRPr="00647572">
        <w:rPr>
          <w:noProof/>
          <w:sz w:val="22"/>
          <w:szCs w:val="22"/>
          <w:lang w:val="en-GB"/>
        </w:rPr>
        <w:t xml:space="preserve">require for each operator to guarantee partial coverage of the countervalue of the Power Purchase Agreements by means of guarantee instruments provided on the electricity market; </w:t>
      </w:r>
    </w:p>
    <w:p w14:paraId="436F114D" w14:textId="77777777" w:rsidR="0039681A" w:rsidRPr="00647572" w:rsidRDefault="0039681A" w:rsidP="0039681A">
      <w:pPr>
        <w:pStyle w:val="Text1"/>
        <w:numPr>
          <w:ilvl w:val="0"/>
          <w:numId w:val="151"/>
        </w:numPr>
        <w:spacing w:before="0"/>
        <w:rPr>
          <w:noProof/>
          <w:sz w:val="22"/>
          <w:szCs w:val="22"/>
          <w:lang w:val="en-GB"/>
        </w:rPr>
      </w:pPr>
      <w:r w:rsidRPr="00647572">
        <w:rPr>
          <w:noProof/>
          <w:sz w:val="22"/>
          <w:szCs w:val="22"/>
          <w:lang w:val="en-GB"/>
        </w:rPr>
        <w:t>introduce measures to mitigate the risk of default, including requirements and constraints on the bidder and regulatory sanctions in the event of the producer’s default;</w:t>
      </w:r>
    </w:p>
    <w:p w14:paraId="16F797A2" w14:textId="77777777" w:rsidR="0039681A" w:rsidRPr="00647572" w:rsidRDefault="0039681A" w:rsidP="0039681A">
      <w:pPr>
        <w:pStyle w:val="Text1"/>
        <w:numPr>
          <w:ilvl w:val="0"/>
          <w:numId w:val="151"/>
        </w:numPr>
        <w:spacing w:before="0"/>
        <w:rPr>
          <w:noProof/>
          <w:sz w:val="22"/>
          <w:szCs w:val="22"/>
          <w:lang w:val="en-GB"/>
        </w:rPr>
      </w:pPr>
      <w:r w:rsidRPr="00647572">
        <w:rPr>
          <w:noProof/>
          <w:sz w:val="22"/>
          <w:szCs w:val="22"/>
          <w:lang w:val="en-GB"/>
        </w:rPr>
        <w:t xml:space="preserve">identify an institutional entity to take on the role of seller/buyer of last resort, who would take over from the failing counterpart and ensure the fulfilment of the obligations assumed vis-à-vis the performing counterpart. </w:t>
      </w:r>
    </w:p>
    <w:p w14:paraId="3380E177" w14:textId="77777777" w:rsidR="0039681A" w:rsidRPr="00A36E36" w:rsidRDefault="0039681A" w:rsidP="00AF5341">
      <w:pPr>
        <w:pStyle w:val="Heading4"/>
        <w:spacing w:line="240" w:lineRule="auto"/>
        <w:rPr>
          <w:rFonts w:ascii="Times New Roman" w:hAnsi="Times New Roman" w:cs="Times New Roman"/>
          <w:b/>
          <w:bCs/>
          <w:i w:val="0"/>
          <w:iCs w:val="0"/>
          <w:noProof/>
          <w:color w:val="000000" w:themeColor="text1"/>
          <w:lang w:val="en-IE"/>
        </w:rPr>
      </w:pPr>
      <w:bookmarkStart w:id="26" w:name="_Hlk160472416"/>
      <w:r w:rsidRPr="7BD10B78">
        <w:rPr>
          <w:rFonts w:ascii="Times New Roman" w:hAnsi="Times New Roman" w:cs="Times New Roman"/>
          <w:b/>
          <w:bCs/>
          <w:i w:val="0"/>
          <w:iCs w:val="0"/>
          <w:noProof/>
          <w:color w:val="000000" w:themeColor="text1"/>
          <w:lang w:val="en-IE"/>
        </w:rPr>
        <w:t>Reform 5. Plan for new Skills – Transitions</w:t>
      </w:r>
    </w:p>
    <w:bookmarkEnd w:id="26"/>
    <w:p w14:paraId="7256743C" w14:textId="77777777" w:rsidR="0039681A" w:rsidRPr="00A36E36" w:rsidRDefault="0039681A" w:rsidP="00351087">
      <w:pPr>
        <w:spacing w:after="120" w:line="240" w:lineRule="auto"/>
        <w:jc w:val="both"/>
        <w:rPr>
          <w:rFonts w:ascii="Times New Roman" w:eastAsia="Times New Roman" w:hAnsi="Times New Roman" w:cs="Times New Roman"/>
          <w:noProof/>
          <w:lang w:val="en-IE"/>
        </w:rPr>
      </w:pPr>
      <w:r w:rsidRPr="00A36E36">
        <w:rPr>
          <w:rFonts w:ascii="Times New Roman" w:hAnsi="Times New Roman" w:cs="Times New Roman"/>
          <w:noProof/>
          <w:lang w:val="en-IE"/>
        </w:rPr>
        <w:t>The objective of the reform is to</w:t>
      </w:r>
      <w:r w:rsidRPr="00A36E36">
        <w:rPr>
          <w:rFonts w:ascii="Times New Roman" w:eastAsia="Times New Roman" w:hAnsi="Times New Roman" w:cs="Times New Roman"/>
          <w:noProof/>
          <w:lang w:val="en-IE"/>
        </w:rPr>
        <w:t xml:space="preserve"> </w:t>
      </w:r>
      <w:r w:rsidRPr="00A36E36">
        <w:rPr>
          <w:rFonts w:ascii="Times New Roman" w:hAnsi="Times New Roman" w:cs="Times New Roman"/>
          <w:noProof/>
          <w:lang w:val="en-IE"/>
        </w:rPr>
        <w:t xml:space="preserve">better align </w:t>
      </w:r>
      <w:r w:rsidRPr="00A36E36">
        <w:rPr>
          <w:rFonts w:ascii="Times New Roman" w:eastAsia="Times New Roman" w:hAnsi="Times New Roman" w:cs="Times New Roman"/>
          <w:noProof/>
          <w:lang w:val="en-IE"/>
        </w:rPr>
        <w:t>training programmes to labour market needs to combat skills mismatch, with specific attention to green and digital skills. This reform consists in the adoption and entry into force of legal acts at national level updating the New Skills Plan (“Piano Nuove Competenze – Transizioni”) and regional legal acts.</w:t>
      </w:r>
    </w:p>
    <w:p w14:paraId="79B6121C" w14:textId="77777777" w:rsidR="0039681A" w:rsidRPr="00A36E36" w:rsidRDefault="0039681A" w:rsidP="00AF5341">
      <w:pPr>
        <w:pStyle w:val="Heading4"/>
        <w:spacing w:line="240" w:lineRule="auto"/>
        <w:rPr>
          <w:rStyle w:val="normaltextrun"/>
          <w:rFonts w:ascii="Times New Roman" w:eastAsiaTheme="minorEastAsia" w:hAnsi="Times New Roman" w:cs="Times New Roman"/>
          <w:b/>
          <w:bCs/>
          <w:i w:val="0"/>
          <w:iCs w:val="0"/>
          <w:noProof/>
          <w:color w:val="000000" w:themeColor="text1"/>
          <w:lang w:val="en-IE"/>
        </w:rPr>
      </w:pPr>
      <w:r w:rsidRPr="7BD10B78">
        <w:rPr>
          <w:rStyle w:val="normaltextrun"/>
          <w:rFonts w:ascii="Times New Roman" w:hAnsi="Times New Roman" w:cs="Times New Roman"/>
          <w:b/>
          <w:bCs/>
          <w:i w:val="0"/>
          <w:iCs w:val="0"/>
          <w:noProof/>
          <w:color w:val="000000" w:themeColor="text1"/>
          <w:lang w:val="en-IE"/>
        </w:rPr>
        <w:t>Investment 1. Scale-up measure: Smart grids</w:t>
      </w:r>
    </w:p>
    <w:p w14:paraId="58E1C72A" w14:textId="798EA794" w:rsidR="0039681A" w:rsidRPr="00E454A7" w:rsidRDefault="0039681A" w:rsidP="00351087">
      <w:pPr>
        <w:spacing w:after="120" w:line="240" w:lineRule="auto"/>
        <w:jc w:val="both"/>
        <w:rPr>
          <w:rFonts w:ascii="Times New Roman" w:eastAsia="Times New Roman" w:hAnsi="Times New Roman" w:cs="Times New Roman"/>
          <w:noProof/>
          <w:lang w:val="en-IE"/>
        </w:rPr>
      </w:pPr>
      <w:r w:rsidRPr="00E454A7">
        <w:rPr>
          <w:rFonts w:ascii="Times New Roman" w:eastAsia="Times New Roman" w:hAnsi="Times New Roman" w:cs="Times New Roman"/>
          <w:noProof/>
          <w:lang w:val="en-IE"/>
        </w:rPr>
        <w:t xml:space="preserve">The objective of this investment is to digitalise the electricity distribution grid as a scale up of Investment 2.1 (Strengthening smart grids) in Mission 2 Component 2. The investment consists in </w:t>
      </w:r>
      <w:r>
        <w:rPr>
          <w:rFonts w:ascii="Times New Roman" w:eastAsia="Times New Roman" w:hAnsi="Times New Roman" w:cs="Times New Roman"/>
          <w:noProof/>
          <w:lang w:val="en-IE"/>
        </w:rPr>
        <w:t xml:space="preserve">providing grants to grid operators to finance </w:t>
      </w:r>
      <w:r w:rsidRPr="00E454A7">
        <w:rPr>
          <w:rFonts w:ascii="Times New Roman" w:eastAsia="Times New Roman" w:hAnsi="Times New Roman" w:cs="Times New Roman"/>
          <w:noProof/>
          <w:lang w:val="en-IE"/>
        </w:rPr>
        <w:t xml:space="preserve">interventions </w:t>
      </w:r>
      <w:r>
        <w:rPr>
          <w:rFonts w:ascii="Times New Roman" w:eastAsia="Times New Roman" w:hAnsi="Times New Roman" w:cs="Times New Roman"/>
          <w:noProof/>
          <w:lang w:val="en-IE"/>
        </w:rPr>
        <w:t>corresponding to an</w:t>
      </w:r>
      <w:r w:rsidRPr="00E454A7">
        <w:rPr>
          <w:rFonts w:ascii="Times New Roman" w:eastAsia="Times New Roman" w:hAnsi="Times New Roman" w:cs="Times New Roman"/>
          <w:noProof/>
          <w:lang w:val="en-IE"/>
        </w:rPr>
        <w:t xml:space="preserve"> </w:t>
      </w:r>
      <w:r w:rsidRPr="004825A9">
        <w:rPr>
          <w:rFonts w:ascii="Times New Roman" w:eastAsia="Times New Roman" w:hAnsi="Times New Roman" w:cs="Times New Roman"/>
          <w:noProof/>
          <w:lang w:val="en-IE"/>
        </w:rPr>
        <w:t>increas</w:t>
      </w:r>
      <w:r>
        <w:rPr>
          <w:rFonts w:ascii="Times New Roman" w:eastAsia="Times New Roman" w:hAnsi="Times New Roman" w:cs="Times New Roman"/>
          <w:noProof/>
          <w:lang w:val="en-IE"/>
        </w:rPr>
        <w:t>ed</w:t>
      </w:r>
      <w:r w:rsidRPr="004825A9">
        <w:rPr>
          <w:rFonts w:ascii="Times New Roman" w:eastAsia="Times New Roman" w:hAnsi="Times New Roman" w:cs="Times New Roman"/>
          <w:noProof/>
          <w:lang w:val="en-IE"/>
        </w:rPr>
        <w:t xml:space="preserve"> maximum power delivered for consumption by the grid </w:t>
      </w:r>
      <w:r w:rsidRPr="72F385F1">
        <w:rPr>
          <w:rFonts w:ascii="Times New Roman" w:eastAsia="Times New Roman" w:hAnsi="Times New Roman" w:cs="Times New Roman"/>
          <w:noProof/>
          <w:lang w:val="en-IE"/>
        </w:rPr>
        <w:t xml:space="preserve">for </w:t>
      </w:r>
      <w:r w:rsidRPr="00E454A7">
        <w:rPr>
          <w:rFonts w:ascii="Times New Roman" w:eastAsia="Times New Roman" w:hAnsi="Times New Roman" w:cs="Times New Roman"/>
          <w:noProof/>
          <w:lang w:val="en-IE"/>
        </w:rPr>
        <w:t xml:space="preserve">more inhabitants than </w:t>
      </w:r>
      <w:r w:rsidRPr="08DC604E">
        <w:rPr>
          <w:rFonts w:ascii="Times New Roman" w:eastAsia="Times New Roman" w:hAnsi="Times New Roman" w:cs="Times New Roman"/>
          <w:noProof/>
          <w:lang w:val="en-IE"/>
        </w:rPr>
        <w:t>what is already envisaged by the M2C2 measure.</w:t>
      </w:r>
    </w:p>
    <w:p w14:paraId="68A26DFF" w14:textId="77777777" w:rsidR="0039681A" w:rsidRPr="00A36E36" w:rsidRDefault="0039681A" w:rsidP="00351087">
      <w:pPr>
        <w:pStyle w:val="Heading4"/>
        <w:spacing w:line="240" w:lineRule="auto"/>
        <w:ind w:left="850" w:hanging="850"/>
        <w:jc w:val="both"/>
        <w:rPr>
          <w:rStyle w:val="normaltextrun"/>
          <w:rFonts w:ascii="Times New Roman" w:hAnsi="Times New Roman" w:cs="Times New Roman"/>
          <w:b/>
          <w:bCs/>
          <w:i w:val="0"/>
          <w:iCs w:val="0"/>
          <w:noProof/>
          <w:color w:val="000000" w:themeColor="text1"/>
          <w:lang w:val="en-IE" w:eastAsia="en-GB"/>
        </w:rPr>
      </w:pPr>
      <w:r w:rsidRPr="1B2CD392">
        <w:rPr>
          <w:rStyle w:val="normaltextrun"/>
          <w:rFonts w:ascii="Times New Roman" w:hAnsi="Times New Roman" w:cs="Times New Roman"/>
          <w:b/>
          <w:bCs/>
          <w:i w:val="0"/>
          <w:iCs w:val="0"/>
          <w:noProof/>
          <w:color w:val="000000" w:themeColor="text1"/>
          <w:lang w:val="en-IE"/>
        </w:rPr>
        <w:t>Investment 2. Scale-up measure: Interventions to increase the resilience of power grid</w:t>
      </w:r>
    </w:p>
    <w:p w14:paraId="3A62C460" w14:textId="0809DA4E" w:rsidR="0039681A" w:rsidRPr="00647572" w:rsidRDefault="0039681A" w:rsidP="00351087">
      <w:pPr>
        <w:pStyle w:val="Text1"/>
        <w:spacing w:before="0"/>
        <w:ind w:left="0"/>
        <w:rPr>
          <w:noProof/>
          <w:sz w:val="22"/>
          <w:szCs w:val="22"/>
          <w:lang w:val="en-GB"/>
        </w:rPr>
      </w:pPr>
      <w:r w:rsidRPr="00647572">
        <w:rPr>
          <w:noProof/>
          <w:sz w:val="22"/>
          <w:szCs w:val="22"/>
          <w:lang w:val="en-GB"/>
        </w:rPr>
        <w:t xml:space="preserve">The objective of this investment is to increase the resilience of the </w:t>
      </w:r>
      <w:r>
        <w:rPr>
          <w:noProof/>
          <w:sz w:val="22"/>
          <w:szCs w:val="22"/>
          <w:lang w:val="en-GB"/>
        </w:rPr>
        <w:t>transmission and distribution</w:t>
      </w:r>
      <w:r w:rsidRPr="00647572">
        <w:rPr>
          <w:noProof/>
          <w:sz w:val="22"/>
          <w:szCs w:val="22"/>
          <w:lang w:val="en-GB"/>
        </w:rPr>
        <w:t xml:space="preserve"> grid to extreme weather events as a scale up of Investment 2.2 in Mission 2 Component 2. The investment consists in providing grants to </w:t>
      </w:r>
      <w:r>
        <w:rPr>
          <w:noProof/>
          <w:sz w:val="22"/>
          <w:szCs w:val="22"/>
          <w:lang w:val="en-GB"/>
        </w:rPr>
        <w:t>grid</w:t>
      </w:r>
      <w:r w:rsidRPr="00647572">
        <w:rPr>
          <w:noProof/>
          <w:sz w:val="22"/>
          <w:szCs w:val="22"/>
          <w:lang w:val="en-GB"/>
        </w:rPr>
        <w:t xml:space="preserve"> operators for </w:t>
      </w:r>
      <w:r w:rsidR="00E53588">
        <w:rPr>
          <w:noProof/>
          <w:sz w:val="22"/>
          <w:szCs w:val="22"/>
          <w:lang w:val="en-GB"/>
        </w:rPr>
        <w:t>interventions</w:t>
      </w:r>
      <w:r w:rsidRPr="00647572">
        <w:rPr>
          <w:noProof/>
          <w:sz w:val="22"/>
          <w:szCs w:val="22"/>
          <w:lang w:val="en-GB"/>
        </w:rPr>
        <w:t xml:space="preserve"> corresponding to increased resilience of </w:t>
      </w:r>
      <w:r>
        <w:rPr>
          <w:noProof/>
          <w:sz w:val="22"/>
          <w:szCs w:val="22"/>
          <w:lang w:val="en-GB"/>
        </w:rPr>
        <w:t>the</w:t>
      </w:r>
      <w:r w:rsidR="00381DB1">
        <w:rPr>
          <w:noProof/>
          <w:sz w:val="22"/>
          <w:szCs w:val="22"/>
          <w:lang w:val="en-GB"/>
        </w:rPr>
        <w:t xml:space="preserve"> </w:t>
      </w:r>
      <w:r w:rsidRPr="00647572">
        <w:rPr>
          <w:noProof/>
          <w:sz w:val="22"/>
          <w:szCs w:val="22"/>
          <w:lang w:val="en-GB"/>
        </w:rPr>
        <w:t>grid on top of what is already envisaged by the M2C2 measure.</w:t>
      </w:r>
    </w:p>
    <w:p w14:paraId="7A147090" w14:textId="77777777" w:rsidR="0039681A" w:rsidRPr="00A36E36" w:rsidRDefault="0039681A" w:rsidP="00351087">
      <w:pPr>
        <w:pStyle w:val="Heading4"/>
        <w:spacing w:line="240" w:lineRule="auto"/>
        <w:jc w:val="both"/>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Investment 3. Scale-up measure: Production of Hydrogen in brownfield sites (Hydrogen Valleys)</w:t>
      </w:r>
    </w:p>
    <w:p w14:paraId="7D2F2E68" w14:textId="029144DA" w:rsidR="0039681A" w:rsidRPr="00647572" w:rsidRDefault="0039681A" w:rsidP="00351087">
      <w:pPr>
        <w:pStyle w:val="Text1"/>
        <w:spacing w:before="0"/>
        <w:ind w:left="0"/>
        <w:rPr>
          <w:noProof/>
          <w:sz w:val="22"/>
          <w:szCs w:val="22"/>
          <w:lang w:val="en-GB"/>
        </w:rPr>
      </w:pPr>
      <w:r w:rsidRPr="00647572">
        <w:rPr>
          <w:noProof/>
          <w:sz w:val="22"/>
          <w:szCs w:val="22"/>
          <w:lang w:val="en-GB"/>
        </w:rPr>
        <w:t>The objective of this investment is to create new hydrogen valleys, that is local production and use of renewable hydrogen in industry, SMEs, and local transport</w:t>
      </w:r>
      <w:r>
        <w:rPr>
          <w:noProof/>
          <w:sz w:val="22"/>
          <w:szCs w:val="22"/>
          <w:lang w:val="en-GB"/>
        </w:rPr>
        <w:t xml:space="preserve"> in abandoned industrial areas</w:t>
      </w:r>
      <w:r w:rsidRPr="00647572">
        <w:rPr>
          <w:noProof/>
          <w:sz w:val="22"/>
          <w:szCs w:val="22"/>
          <w:lang w:val="en-GB"/>
        </w:rPr>
        <w:t xml:space="preserve">, as a scale-up of Investment 3.1 in Mission 2 Component 2. The scale-up investment consists in carrying out 2 additional projects to </w:t>
      </w:r>
      <w:r>
        <w:rPr>
          <w:noProof/>
          <w:sz w:val="22"/>
          <w:szCs w:val="22"/>
          <w:lang w:val="en-GB"/>
        </w:rPr>
        <w:t xml:space="preserve">create hydrogen valleys </w:t>
      </w:r>
      <w:r w:rsidRPr="00647572">
        <w:rPr>
          <w:noProof/>
          <w:sz w:val="22"/>
          <w:szCs w:val="22"/>
          <w:lang w:val="en-GB"/>
        </w:rPr>
        <w:t>compared to those envisaged by Investment 3.1 in Mission 2 Component 2.</w:t>
      </w:r>
      <w:r w:rsidRPr="4E241451">
        <w:rPr>
          <w:noProof/>
          <w:sz w:val="22"/>
          <w:szCs w:val="22"/>
          <w:lang w:val="en-GB"/>
        </w:rPr>
        <w:t xml:space="preserve"> </w:t>
      </w:r>
    </w:p>
    <w:p w14:paraId="161453C7" w14:textId="77777777" w:rsidR="0039681A" w:rsidRPr="00A36E36" w:rsidRDefault="0039681A" w:rsidP="00AF5341">
      <w:pPr>
        <w:pStyle w:val="Heading4"/>
        <w:rPr>
          <w:rFonts w:ascii="Times New Roman" w:hAnsi="Times New Roman" w:cs="Times New Roman"/>
          <w:b/>
          <w:bCs/>
          <w:i w:val="0"/>
          <w:iCs w:val="0"/>
          <w:noProof/>
          <w:color w:val="000000" w:themeColor="text1"/>
          <w:lang w:val="en-IE"/>
        </w:rPr>
      </w:pPr>
      <w:r w:rsidRPr="7BD10B78">
        <w:rPr>
          <w:rFonts w:ascii="Times New Roman" w:hAnsi="Times New Roman" w:cs="Times New Roman"/>
          <w:b/>
          <w:bCs/>
          <w:i w:val="0"/>
          <w:iCs w:val="0"/>
          <w:noProof/>
          <w:color w:val="000000" w:themeColor="text1"/>
          <w:lang w:val="en-IE"/>
        </w:rPr>
        <w:t>Investment 4. Tyrrhenian link</w:t>
      </w:r>
    </w:p>
    <w:p w14:paraId="24DEC6D9" w14:textId="1A0B026A" w:rsidR="0039681A" w:rsidRPr="00647572" w:rsidRDefault="0039681A" w:rsidP="00351087">
      <w:pPr>
        <w:pStyle w:val="Text1"/>
        <w:spacing w:before="0"/>
        <w:ind w:left="0"/>
        <w:rPr>
          <w:noProof/>
          <w:sz w:val="22"/>
          <w:szCs w:val="22"/>
          <w:lang w:val="en-GB"/>
        </w:rPr>
      </w:pPr>
      <w:r w:rsidRPr="1B2CD392">
        <w:rPr>
          <w:noProof/>
          <w:sz w:val="22"/>
          <w:szCs w:val="22"/>
          <w:lang w:val="en-GB"/>
        </w:rPr>
        <w:t>The objective of this investment is to increase the integration of the South of Italy in the national transmission grid. This investment consists in the construction of the “East interconnection line” of the Tyrrhenian link between Sicily and Campania, particularly the installation of the point-to-point direct current (HVDC) cable(s).</w:t>
      </w:r>
    </w:p>
    <w:p w14:paraId="117F263C" w14:textId="77777777" w:rsidR="0039681A" w:rsidRPr="00DE68FB" w:rsidRDefault="0039681A" w:rsidP="00AF5341">
      <w:pPr>
        <w:pStyle w:val="Heading4"/>
        <w:rPr>
          <w:rFonts w:ascii="Times New Roman" w:hAnsi="Times New Roman" w:cs="Times New Roman"/>
          <w:b/>
          <w:bCs/>
          <w:i w:val="0"/>
          <w:iCs w:val="0"/>
          <w:noProof/>
          <w:color w:val="000000" w:themeColor="text1"/>
          <w:lang w:val="en-IE"/>
        </w:rPr>
      </w:pPr>
      <w:r w:rsidRPr="7BD10B78">
        <w:rPr>
          <w:rFonts w:ascii="Times New Roman" w:hAnsi="Times New Roman" w:cs="Times New Roman"/>
          <w:b/>
          <w:bCs/>
          <w:i w:val="0"/>
          <w:iCs w:val="0"/>
          <w:noProof/>
          <w:color w:val="000000" w:themeColor="text1"/>
          <w:lang w:val="en-IE"/>
        </w:rPr>
        <w:t>Investment 5. SA.CO.I.3</w:t>
      </w:r>
    </w:p>
    <w:p w14:paraId="55EA9680" w14:textId="77777777" w:rsidR="0039681A" w:rsidRPr="00647572" w:rsidRDefault="0039681A" w:rsidP="00351087">
      <w:pPr>
        <w:pStyle w:val="Text1"/>
        <w:spacing w:before="0"/>
        <w:ind w:left="0"/>
        <w:rPr>
          <w:noProof/>
          <w:sz w:val="22"/>
          <w:szCs w:val="22"/>
          <w:lang w:val="en-GB"/>
        </w:rPr>
      </w:pPr>
      <w:r w:rsidRPr="00647572">
        <w:rPr>
          <w:noProof/>
          <w:sz w:val="22"/>
          <w:szCs w:val="22"/>
          <w:lang w:val="en-GB"/>
        </w:rPr>
        <w:t>The objective of this investment is to modernise the electricity transmission infrastructure connecting Sardinia to the rest of Italy, via Corsica, and to increase its integration into the national transmission grid. This investment consists in the construction of the shells (external infrastructure) of the conversion stations in Codrongianos and Suvereto for the “Sardinian-Corsica-Italy 3” interconnection project.</w:t>
      </w:r>
    </w:p>
    <w:p w14:paraId="239C8A03" w14:textId="77777777" w:rsidR="0039681A" w:rsidRPr="00A36E36" w:rsidRDefault="0039681A" w:rsidP="00351087">
      <w:pPr>
        <w:pStyle w:val="Heading4"/>
        <w:rPr>
          <w:rFonts w:ascii="Times New Roman" w:hAnsi="Times New Roman" w:cs="Times New Roman"/>
          <w:b/>
          <w:i w:val="0"/>
          <w:noProof/>
          <w:color w:val="auto"/>
          <w:lang w:val="en-IE"/>
        </w:rPr>
      </w:pPr>
      <w:r w:rsidRPr="00A36E36">
        <w:rPr>
          <w:rFonts w:ascii="Times New Roman" w:hAnsi="Times New Roman" w:cs="Times New Roman"/>
          <w:b/>
          <w:i w:val="0"/>
          <w:noProof/>
          <w:color w:val="auto"/>
          <w:lang w:val="en-IE"/>
        </w:rPr>
        <w:t xml:space="preserve">Investment 7. Smart National Transmission Grid </w:t>
      </w:r>
    </w:p>
    <w:p w14:paraId="476762F1" w14:textId="2A817542" w:rsidR="0039681A" w:rsidRPr="00647572" w:rsidRDefault="0039681A" w:rsidP="00351087">
      <w:pPr>
        <w:pStyle w:val="Text1"/>
        <w:spacing w:before="0"/>
        <w:ind w:left="0"/>
        <w:rPr>
          <w:noProof/>
          <w:sz w:val="22"/>
          <w:szCs w:val="22"/>
          <w:lang w:val="en-GB"/>
        </w:rPr>
      </w:pPr>
      <w:r w:rsidRPr="00647572">
        <w:rPr>
          <w:noProof/>
          <w:sz w:val="22"/>
          <w:szCs w:val="22"/>
          <w:lang w:val="en-GB"/>
        </w:rPr>
        <w:t xml:space="preserve">The objective of this investment is to digitalise the national transmission </w:t>
      </w:r>
      <w:r>
        <w:rPr>
          <w:noProof/>
          <w:sz w:val="22"/>
          <w:szCs w:val="22"/>
          <w:lang w:val="en-GB"/>
        </w:rPr>
        <w:t>g</w:t>
      </w:r>
      <w:r w:rsidRPr="00647572">
        <w:rPr>
          <w:noProof/>
          <w:sz w:val="22"/>
          <w:szCs w:val="22"/>
          <w:lang w:val="en-GB"/>
        </w:rPr>
        <w:t xml:space="preserve">rid and </w:t>
      </w:r>
      <w:r>
        <w:rPr>
          <w:noProof/>
          <w:sz w:val="22"/>
          <w:szCs w:val="22"/>
          <w:lang w:val="en-GB"/>
        </w:rPr>
        <w:t>improve</w:t>
      </w:r>
      <w:r w:rsidRPr="00647572">
        <w:rPr>
          <w:noProof/>
          <w:sz w:val="22"/>
          <w:szCs w:val="22"/>
          <w:lang w:val="en-GB"/>
        </w:rPr>
        <w:t xml:space="preserve"> the management and control system operated by the transmission system operator. The investment consists in the installation of secure protocol 104 and 5G equipment or ICT architecture in electrical stations, as well as of monitoring systems on electricity pylons.</w:t>
      </w:r>
    </w:p>
    <w:p w14:paraId="644B86D3" w14:textId="437C2E7B" w:rsidR="0039681A" w:rsidRPr="00A36E36" w:rsidRDefault="0039681A" w:rsidP="00351087">
      <w:pPr>
        <w:pStyle w:val="Heading4"/>
        <w:ind w:left="850" w:hanging="850"/>
        <w:rPr>
          <w:rFonts w:ascii="Times New Roman" w:hAnsi="Times New Roman" w:cs="Times New Roman"/>
          <w:b/>
          <w:bCs/>
          <w:i w:val="0"/>
          <w:iCs w:val="0"/>
          <w:noProof/>
          <w:color w:val="000000" w:themeColor="text1"/>
          <w:lang w:val="en-IE"/>
        </w:rPr>
      </w:pPr>
      <w:r w:rsidRPr="7BD10B78">
        <w:rPr>
          <w:rFonts w:ascii="Times New Roman" w:hAnsi="Times New Roman" w:cs="Times New Roman"/>
          <w:b/>
          <w:bCs/>
          <w:i w:val="0"/>
          <w:iCs w:val="0"/>
          <w:noProof/>
          <w:color w:val="000000" w:themeColor="text1"/>
          <w:lang w:val="en-IE"/>
        </w:rPr>
        <w:t>Investment 8. Sustainable, circular and secure supply of Critical Raw Materials</w:t>
      </w:r>
    </w:p>
    <w:p w14:paraId="40802D3C" w14:textId="0E1005CB" w:rsidR="0039681A" w:rsidRPr="00647572" w:rsidRDefault="0039681A" w:rsidP="00351087">
      <w:pPr>
        <w:pStyle w:val="Text1"/>
        <w:spacing w:before="0"/>
        <w:ind w:left="0"/>
        <w:rPr>
          <w:noProof/>
          <w:sz w:val="22"/>
          <w:szCs w:val="22"/>
          <w:lang w:val="en-GB"/>
        </w:rPr>
      </w:pPr>
      <w:r w:rsidRPr="2A313B6D">
        <w:rPr>
          <w:noProof/>
          <w:sz w:val="22"/>
          <w:szCs w:val="22"/>
          <w:lang w:val="en-GB"/>
        </w:rPr>
        <w:t>The objective of this investment is to support the recovery and recycling of critical raw materials (CRM), and thereby the value chains in CRM and technologies linked to the green transition. The investment consists in analysing future CRM needs and the potential of eco-design to reduce their demand as well as in supporting the creation of a geographic information system platform for identifying recyclable materials in urban environments and waste in abandoned or closed mines. It also consists in equipping laboratories to create a single hub for Urban Mining and Eco-design.</w:t>
      </w:r>
      <w:r w:rsidRPr="2A313B6D">
        <w:rPr>
          <w:rFonts w:eastAsiaTheme="minorEastAsia"/>
          <w:noProof/>
          <w:sz w:val="22"/>
          <w:szCs w:val="22"/>
          <w:lang w:val="en-GB"/>
        </w:rPr>
        <w:t xml:space="preserve"> </w:t>
      </w:r>
    </w:p>
    <w:p w14:paraId="105435CF" w14:textId="77777777" w:rsidR="0039681A" w:rsidRPr="00DE68FB" w:rsidRDefault="0039681A" w:rsidP="00AF5341">
      <w:pPr>
        <w:pStyle w:val="Heading4"/>
        <w:rPr>
          <w:rFonts w:ascii="Times New Roman" w:hAnsi="Times New Roman" w:cs="Times New Roman"/>
          <w:b/>
          <w:bCs/>
          <w:i w:val="0"/>
          <w:iCs w:val="0"/>
          <w:noProof/>
          <w:color w:val="000000" w:themeColor="text1"/>
          <w:lang w:val="en-IE"/>
        </w:rPr>
      </w:pPr>
      <w:r w:rsidRPr="7BD10B78">
        <w:rPr>
          <w:rFonts w:ascii="Times New Roman" w:hAnsi="Times New Roman" w:cs="Times New Roman"/>
          <w:b/>
          <w:bCs/>
          <w:i w:val="0"/>
          <w:iCs w:val="0"/>
          <w:noProof/>
          <w:color w:val="000000" w:themeColor="text1"/>
          <w:lang w:val="en-IE"/>
        </w:rPr>
        <w:t>Investment 10. Pilot project on skills “Crescere Green”</w:t>
      </w:r>
    </w:p>
    <w:p w14:paraId="09A105F8" w14:textId="77777777" w:rsidR="0039681A" w:rsidRPr="00A36E36" w:rsidRDefault="0039681A" w:rsidP="00351087">
      <w:pPr>
        <w:spacing w:after="120"/>
        <w:jc w:val="both"/>
        <w:rPr>
          <w:rFonts w:ascii="Times New Roman" w:hAnsi="Times New Roman" w:cs="Times New Roman"/>
          <w:noProof/>
          <w:color w:val="000000" w:themeColor="text1"/>
          <w:lang w:val="en-IE"/>
        </w:rPr>
      </w:pPr>
      <w:r w:rsidRPr="00A36E36">
        <w:rPr>
          <w:rFonts w:ascii="Times New Roman" w:hAnsi="Times New Roman" w:cs="Times New Roman"/>
          <w:noProof/>
          <w:lang w:val="en-IE"/>
        </w:rPr>
        <w:t xml:space="preserve">The objective of this investment is to foster green skills with the involvement of the private sector. </w:t>
      </w:r>
      <w:r w:rsidRPr="00A36E36">
        <w:rPr>
          <w:rFonts w:ascii="Times New Roman" w:hAnsi="Times New Roman" w:cs="Times New Roman"/>
          <w:noProof/>
          <w:color w:val="000000" w:themeColor="text1"/>
          <w:lang w:val="en-IE"/>
        </w:rPr>
        <w:t>The measure consists in delivering short training interventions focusing on green skills.</w:t>
      </w:r>
    </w:p>
    <w:p w14:paraId="016E9E50" w14:textId="77777777" w:rsidR="0039681A" w:rsidRPr="00A36E36" w:rsidRDefault="0039681A" w:rsidP="00351087">
      <w:pPr>
        <w:pStyle w:val="Heading4"/>
        <w:rPr>
          <w:rFonts w:ascii="Times New Roman" w:hAnsi="Times New Roman" w:cs="Times New Roman"/>
          <w:b/>
          <w:bCs/>
          <w:i w:val="0"/>
          <w:iCs w:val="0"/>
          <w:noProof/>
          <w:color w:val="000000" w:themeColor="text1"/>
          <w:lang w:val="en-IE"/>
        </w:rPr>
      </w:pPr>
      <w:r w:rsidRPr="00A36E36">
        <w:rPr>
          <w:rFonts w:ascii="Times New Roman" w:hAnsi="Times New Roman" w:cs="Times New Roman"/>
          <w:b/>
          <w:bCs/>
          <w:i w:val="0"/>
          <w:iCs w:val="0"/>
          <w:noProof/>
          <w:color w:val="000000" w:themeColor="text1"/>
          <w:lang w:val="en-IE"/>
        </w:rPr>
        <w:t>Investment 11. Strengthening of the regional public transport railway fleet with zero emission trains and universal service</w:t>
      </w:r>
    </w:p>
    <w:p w14:paraId="0BBC24C7" w14:textId="4CD2A4F5" w:rsidR="0039681A" w:rsidRPr="00A36E36" w:rsidRDefault="0039681A" w:rsidP="00351087">
      <w:pPr>
        <w:spacing w:before="120" w:after="120"/>
        <w:jc w:val="both"/>
        <w:rPr>
          <w:rFonts w:ascii="Times New Roman" w:hAnsi="Times New Roman" w:cs="Times New Roman"/>
          <w:noProof/>
          <w:lang w:val="en-IE"/>
        </w:rPr>
      </w:pPr>
      <w:bookmarkStart w:id="27" w:name="_Hlk180665112"/>
      <w:r w:rsidRPr="32AF7A47">
        <w:rPr>
          <w:rFonts w:ascii="Times New Roman" w:hAnsi="Times New Roman" w:cs="Times New Roman"/>
          <w:noProof/>
          <w:lang w:val="en-IE"/>
        </w:rPr>
        <w:t>The objective of the investment is to reduce greenhouse gases emissions of railway transport and modernise the railway fleet. This investment consists in the procurement</w:t>
      </w:r>
      <w:r w:rsidR="00381DB1">
        <w:rPr>
          <w:rFonts w:ascii="Times New Roman" w:hAnsi="Times New Roman" w:cs="Times New Roman"/>
          <w:noProof/>
          <w:lang w:val="en-IE"/>
        </w:rPr>
        <w:t xml:space="preserve"> </w:t>
      </w:r>
      <w:r w:rsidRPr="32AF7A47">
        <w:rPr>
          <w:rFonts w:ascii="Times New Roman" w:hAnsi="Times New Roman" w:cs="Times New Roman"/>
          <w:noProof/>
          <w:lang w:val="en-IE"/>
        </w:rPr>
        <w:t xml:space="preserve">of at least 79 zero emission passengers’ trains. </w:t>
      </w:r>
    </w:p>
    <w:bookmarkEnd w:id="27"/>
    <w:p w14:paraId="4BDBA53C" w14:textId="77777777" w:rsidR="0039681A" w:rsidRPr="00DE68FB" w:rsidRDefault="0039681A" w:rsidP="00AF5341">
      <w:pPr>
        <w:pStyle w:val="Heading4"/>
        <w:rPr>
          <w:rFonts w:ascii="Times New Roman" w:hAnsi="Times New Roman" w:cs="Times New Roman"/>
          <w:b/>
          <w:bCs/>
          <w:i w:val="0"/>
          <w:iCs w:val="0"/>
          <w:noProof/>
          <w:color w:val="000000" w:themeColor="text1"/>
          <w:lang w:val="en-IE"/>
        </w:rPr>
      </w:pPr>
      <w:r w:rsidRPr="7BD10B78">
        <w:rPr>
          <w:rFonts w:ascii="Times New Roman" w:hAnsi="Times New Roman" w:cs="Times New Roman"/>
          <w:b/>
          <w:bCs/>
          <w:i w:val="0"/>
          <w:iCs w:val="0"/>
          <w:noProof/>
          <w:color w:val="000000" w:themeColor="text1"/>
          <w:lang w:val="en-IE"/>
        </w:rPr>
        <w:t>Investment 18 – Scale-up measure: Private and light commercial vehicle fleet renewal program with electric vehicles</w:t>
      </w:r>
    </w:p>
    <w:p w14:paraId="445EC3F4" w14:textId="317C9EF7" w:rsidR="0039681A" w:rsidRPr="00A36E36" w:rsidRDefault="0039681A" w:rsidP="00351087">
      <w:pPr>
        <w:jc w:val="both"/>
        <w:rPr>
          <w:rFonts w:ascii="Times New Roman" w:hAnsi="Times New Roman" w:cs="Times New Roman"/>
          <w:noProof/>
          <w:lang w:val="en-IE"/>
        </w:rPr>
      </w:pPr>
      <w:r w:rsidRPr="00A36E36">
        <w:rPr>
          <w:rFonts w:ascii="Times New Roman" w:hAnsi="Times New Roman" w:cs="Times New Roman"/>
          <w:noProof/>
          <w:lang w:val="en-IE"/>
        </w:rPr>
        <w:t xml:space="preserve">This investment aims at reducing greenhouse gases and air pollution caused by road transport in urban areas. This investment consists in </w:t>
      </w:r>
      <w:r>
        <w:rPr>
          <w:rFonts w:ascii="Times New Roman" w:hAnsi="Times New Roman" w:cs="Times New Roman"/>
          <w:noProof/>
          <w:lang w:val="en-IE"/>
        </w:rPr>
        <w:t xml:space="preserve">purchasing zero-emission vehicles and scrapping thermal vehicles. </w:t>
      </w:r>
    </w:p>
    <w:p w14:paraId="02903F03" w14:textId="77777777" w:rsidR="0039681A" w:rsidRPr="00A36E36" w:rsidRDefault="0039681A" w:rsidP="00351087">
      <w:pPr>
        <w:rPr>
          <w:noProof/>
          <w:lang w:val="en-IE"/>
        </w:rPr>
        <w:sectPr w:rsidR="0039681A" w:rsidRPr="00A36E36" w:rsidSect="00AF5341">
          <w:headerReference w:type="even" r:id="rId253"/>
          <w:headerReference w:type="default" r:id="rId254"/>
          <w:footerReference w:type="default" r:id="rId255"/>
          <w:headerReference w:type="first" r:id="rId256"/>
          <w:pgSz w:w="11906" w:h="16838"/>
          <w:pgMar w:top="1440" w:right="1440" w:bottom="1440" w:left="1440" w:header="708" w:footer="708" w:gutter="0"/>
          <w:cols w:space="708"/>
          <w:docGrid w:linePitch="360"/>
        </w:sectPr>
      </w:pPr>
    </w:p>
    <w:p w14:paraId="72CE019F" w14:textId="77777777" w:rsidR="0039681A" w:rsidRPr="00A36E36" w:rsidRDefault="0039681A" w:rsidP="00351087">
      <w:pPr>
        <w:pStyle w:val="Heading3"/>
        <w:ind w:left="850" w:hanging="850"/>
        <w:rPr>
          <w:rFonts w:ascii="Times New Roman" w:hAnsi="Times New Roman" w:cs="Times New Roman"/>
          <w:b/>
          <w:noProof/>
          <w:sz w:val="24"/>
          <w:szCs w:val="24"/>
          <w:u w:val="single"/>
          <w:lang w:val="en-IE"/>
        </w:rPr>
      </w:pPr>
      <w:r w:rsidRPr="00A36E36">
        <w:rPr>
          <w:rFonts w:ascii="Times New Roman" w:hAnsi="Times New Roman" w:cs="Times New Roman"/>
          <w:b/>
          <w:noProof/>
          <w:sz w:val="24"/>
          <w:szCs w:val="24"/>
          <w:u w:val="single"/>
          <w:lang w:val="en-IE"/>
        </w:rPr>
        <w:t xml:space="preserve">Q.2. </w:t>
      </w:r>
      <w:r w:rsidRPr="00A36E36">
        <w:rPr>
          <w:rFonts w:ascii="Times New Roman" w:hAnsi="Times New Roman" w:cs="Times New Roman"/>
          <w:b/>
          <w:noProof/>
          <w:sz w:val="24"/>
          <w:szCs w:val="24"/>
          <w:u w:val="single"/>
          <w:lang w:val="en-IE"/>
        </w:rPr>
        <w:tab/>
        <w:t>Milestones, targets, indicators, and timetable for monitoring and implementation for non-repayable financial support</w:t>
      </w:r>
    </w:p>
    <w:tbl>
      <w:tblPr>
        <w:tblW w:w="15168"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135"/>
        <w:gridCol w:w="1843"/>
        <w:gridCol w:w="992"/>
        <w:gridCol w:w="1417"/>
        <w:gridCol w:w="1560"/>
        <w:gridCol w:w="1134"/>
        <w:gridCol w:w="992"/>
        <w:gridCol w:w="992"/>
        <w:gridCol w:w="851"/>
        <w:gridCol w:w="708"/>
        <w:gridCol w:w="3544"/>
      </w:tblGrid>
      <w:tr w:rsidR="0039681A" w:rsidRPr="0070054C" w14:paraId="6FD37963" w14:textId="77777777" w:rsidTr="00351087">
        <w:trPr>
          <w:trHeight w:val="300"/>
          <w:tblHeader/>
        </w:trPr>
        <w:tc>
          <w:tcPr>
            <w:tcW w:w="1135" w:type="dxa"/>
            <w:vMerge w:val="restart"/>
            <w:shd w:val="clear" w:color="auto" w:fill="BDD7EE"/>
            <w:vAlign w:val="center"/>
            <w:hideMark/>
          </w:tcPr>
          <w:p w14:paraId="64211F0E" w14:textId="77777777" w:rsidR="0039681A" w:rsidRPr="00647572" w:rsidRDefault="0039681A">
            <w:pPr>
              <w:spacing w:after="120"/>
              <w:jc w:val="center"/>
              <w:rPr>
                <w:rFonts w:ascii="Arial Narrow" w:hAnsi="Arial Narrow"/>
                <w:b/>
                <w:bCs/>
                <w:noProof/>
                <w:sz w:val="20"/>
                <w:szCs w:val="20"/>
              </w:rPr>
            </w:pPr>
            <w:r w:rsidRPr="00647572">
              <w:rPr>
                <w:rFonts w:ascii="Arial Narrow" w:hAnsi="Arial Narrow"/>
                <w:b/>
                <w:noProof/>
                <w:sz w:val="20"/>
              </w:rPr>
              <w:t>Sequential Number</w:t>
            </w:r>
          </w:p>
        </w:tc>
        <w:tc>
          <w:tcPr>
            <w:tcW w:w="1843" w:type="dxa"/>
            <w:vMerge w:val="restart"/>
            <w:shd w:val="clear" w:color="auto" w:fill="BDD7EE"/>
            <w:vAlign w:val="center"/>
            <w:hideMark/>
          </w:tcPr>
          <w:p w14:paraId="65B15B63" w14:textId="77777777" w:rsidR="0039681A" w:rsidRPr="00A36E36" w:rsidRDefault="0039681A">
            <w:pPr>
              <w:spacing w:after="120"/>
              <w:jc w:val="center"/>
              <w:rPr>
                <w:rFonts w:ascii="Arial Narrow" w:hAnsi="Arial Narrow"/>
                <w:b/>
                <w:bCs/>
                <w:noProof/>
                <w:sz w:val="20"/>
                <w:szCs w:val="20"/>
                <w:lang w:val="en-IE"/>
              </w:rPr>
            </w:pPr>
            <w:r w:rsidRPr="00A36E36">
              <w:rPr>
                <w:rFonts w:ascii="Arial Narrow" w:hAnsi="Arial Narrow"/>
                <w:b/>
                <w:noProof/>
                <w:sz w:val="20"/>
                <w:lang w:val="en-IE"/>
              </w:rPr>
              <w:t>Related Measure (Reform or Investment)</w:t>
            </w:r>
          </w:p>
        </w:tc>
        <w:tc>
          <w:tcPr>
            <w:tcW w:w="992" w:type="dxa"/>
            <w:vMerge w:val="restart"/>
            <w:shd w:val="clear" w:color="auto" w:fill="BDD7EE"/>
            <w:vAlign w:val="center"/>
            <w:hideMark/>
          </w:tcPr>
          <w:p w14:paraId="600BD61B" w14:textId="77777777" w:rsidR="0039681A" w:rsidRPr="00647572" w:rsidRDefault="0039681A">
            <w:pPr>
              <w:spacing w:after="120"/>
              <w:jc w:val="center"/>
              <w:rPr>
                <w:rFonts w:ascii="Arial Narrow" w:hAnsi="Arial Narrow"/>
                <w:b/>
                <w:bCs/>
                <w:noProof/>
                <w:sz w:val="20"/>
                <w:szCs w:val="20"/>
              </w:rPr>
            </w:pPr>
            <w:r w:rsidRPr="00647572">
              <w:rPr>
                <w:rFonts w:ascii="Arial Narrow" w:hAnsi="Arial Narrow"/>
                <w:b/>
                <w:noProof/>
                <w:sz w:val="20"/>
              </w:rPr>
              <w:t>Milestone</w:t>
            </w:r>
          </w:p>
          <w:p w14:paraId="4121AE4A" w14:textId="77777777" w:rsidR="0039681A" w:rsidRPr="00647572" w:rsidRDefault="0039681A">
            <w:pPr>
              <w:spacing w:after="120"/>
              <w:jc w:val="center"/>
              <w:rPr>
                <w:rFonts w:ascii="Arial Narrow" w:hAnsi="Arial Narrow"/>
                <w:b/>
                <w:bCs/>
                <w:noProof/>
                <w:sz w:val="20"/>
                <w:szCs w:val="20"/>
              </w:rPr>
            </w:pPr>
            <w:r w:rsidRPr="00647572">
              <w:rPr>
                <w:rFonts w:ascii="Arial Narrow" w:hAnsi="Arial Narrow"/>
                <w:b/>
                <w:noProof/>
                <w:sz w:val="20"/>
              </w:rPr>
              <w:t>/ Target</w:t>
            </w:r>
          </w:p>
        </w:tc>
        <w:tc>
          <w:tcPr>
            <w:tcW w:w="1417" w:type="dxa"/>
            <w:vMerge w:val="restart"/>
            <w:shd w:val="clear" w:color="auto" w:fill="BDD7EE"/>
            <w:vAlign w:val="center"/>
            <w:hideMark/>
          </w:tcPr>
          <w:p w14:paraId="4428169D" w14:textId="77777777" w:rsidR="0039681A" w:rsidRPr="00647572" w:rsidRDefault="0039681A">
            <w:pPr>
              <w:spacing w:after="120"/>
              <w:jc w:val="center"/>
              <w:rPr>
                <w:rFonts w:ascii="Arial Narrow" w:hAnsi="Arial Narrow"/>
                <w:b/>
                <w:bCs/>
                <w:noProof/>
                <w:sz w:val="20"/>
                <w:szCs w:val="20"/>
              </w:rPr>
            </w:pPr>
            <w:r w:rsidRPr="00647572">
              <w:rPr>
                <w:rFonts w:ascii="Arial Narrow" w:hAnsi="Arial Narrow"/>
                <w:b/>
                <w:noProof/>
                <w:sz w:val="20"/>
              </w:rPr>
              <w:t>Name</w:t>
            </w:r>
          </w:p>
        </w:tc>
        <w:tc>
          <w:tcPr>
            <w:tcW w:w="1560" w:type="dxa"/>
            <w:vMerge w:val="restart"/>
            <w:shd w:val="clear" w:color="auto" w:fill="BDD7EE"/>
            <w:vAlign w:val="center"/>
            <w:hideMark/>
          </w:tcPr>
          <w:p w14:paraId="50F854AF" w14:textId="77777777" w:rsidR="0039681A" w:rsidRPr="00647572" w:rsidRDefault="0039681A">
            <w:pPr>
              <w:spacing w:after="120"/>
              <w:jc w:val="center"/>
              <w:rPr>
                <w:rFonts w:ascii="Arial Narrow" w:hAnsi="Arial Narrow"/>
                <w:b/>
                <w:bCs/>
                <w:noProof/>
                <w:sz w:val="20"/>
                <w:szCs w:val="20"/>
              </w:rPr>
            </w:pPr>
            <w:r w:rsidRPr="00647572">
              <w:rPr>
                <w:rFonts w:ascii="Arial Narrow" w:hAnsi="Arial Narrow"/>
                <w:b/>
                <w:noProof/>
                <w:sz w:val="20"/>
              </w:rPr>
              <w:t>Qualitative indicators</w:t>
            </w:r>
            <w:r w:rsidRPr="00647572">
              <w:rPr>
                <w:noProof/>
              </w:rPr>
              <w:t xml:space="preserve"> </w:t>
            </w:r>
            <w:r w:rsidRPr="00647572">
              <w:rPr>
                <w:noProof/>
              </w:rPr>
              <w:br/>
            </w:r>
            <w:r w:rsidRPr="00647572">
              <w:rPr>
                <w:rFonts w:ascii="Arial Narrow" w:hAnsi="Arial Narrow"/>
                <w:b/>
                <w:noProof/>
                <w:sz w:val="20"/>
              </w:rPr>
              <w:t>(for milestones)</w:t>
            </w:r>
          </w:p>
        </w:tc>
        <w:tc>
          <w:tcPr>
            <w:tcW w:w="3118" w:type="dxa"/>
            <w:gridSpan w:val="3"/>
            <w:shd w:val="clear" w:color="auto" w:fill="BDD7EE"/>
            <w:vAlign w:val="center"/>
            <w:hideMark/>
          </w:tcPr>
          <w:p w14:paraId="61D59AA2" w14:textId="77777777" w:rsidR="0039681A" w:rsidRPr="00647572" w:rsidRDefault="0039681A">
            <w:pPr>
              <w:spacing w:after="120"/>
              <w:jc w:val="center"/>
              <w:rPr>
                <w:rFonts w:ascii="Arial Narrow" w:hAnsi="Arial Narrow"/>
                <w:b/>
                <w:bCs/>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59" w:type="dxa"/>
            <w:gridSpan w:val="2"/>
            <w:shd w:val="clear" w:color="auto" w:fill="BDD7EE"/>
            <w:vAlign w:val="center"/>
            <w:hideMark/>
          </w:tcPr>
          <w:p w14:paraId="5A9A299E" w14:textId="77777777" w:rsidR="0039681A" w:rsidRPr="00647572" w:rsidRDefault="0039681A">
            <w:pPr>
              <w:spacing w:after="120"/>
              <w:jc w:val="center"/>
              <w:rPr>
                <w:rFonts w:ascii="Arial Narrow" w:hAnsi="Arial Narrow"/>
                <w:b/>
                <w:bCs/>
                <w:noProof/>
                <w:sz w:val="20"/>
                <w:szCs w:val="20"/>
              </w:rPr>
            </w:pPr>
            <w:r w:rsidRPr="00647572">
              <w:rPr>
                <w:rFonts w:ascii="Arial Narrow" w:hAnsi="Arial Narrow"/>
                <w:b/>
                <w:noProof/>
                <w:sz w:val="20"/>
              </w:rPr>
              <w:t>Indicative timeline for completion</w:t>
            </w:r>
          </w:p>
        </w:tc>
        <w:tc>
          <w:tcPr>
            <w:tcW w:w="3544" w:type="dxa"/>
            <w:vMerge w:val="restart"/>
            <w:shd w:val="clear" w:color="auto" w:fill="BDD7EE"/>
            <w:vAlign w:val="center"/>
            <w:hideMark/>
          </w:tcPr>
          <w:p w14:paraId="673B7A66" w14:textId="77777777" w:rsidR="0039681A" w:rsidRPr="00A36E36" w:rsidRDefault="0039681A">
            <w:pPr>
              <w:spacing w:after="120"/>
              <w:jc w:val="center"/>
              <w:rPr>
                <w:rFonts w:ascii="Arial Narrow" w:hAnsi="Arial Narrow"/>
                <w:b/>
                <w:bCs/>
                <w:noProof/>
                <w:sz w:val="20"/>
                <w:szCs w:val="20"/>
                <w:lang w:val="en-IE"/>
              </w:rPr>
            </w:pPr>
            <w:r w:rsidRPr="00A36E36">
              <w:rPr>
                <w:rFonts w:ascii="Arial Narrow" w:hAnsi="Arial Narrow"/>
                <w:b/>
                <w:noProof/>
                <w:sz w:val="20"/>
                <w:lang w:val="en-IE"/>
              </w:rPr>
              <w:t>Description of each milestone and target</w:t>
            </w:r>
          </w:p>
        </w:tc>
      </w:tr>
      <w:tr w:rsidR="0039681A" w:rsidRPr="00647572" w14:paraId="71E21693" w14:textId="77777777" w:rsidTr="00351087">
        <w:trPr>
          <w:trHeight w:val="300"/>
          <w:tblHeader/>
        </w:trPr>
        <w:tc>
          <w:tcPr>
            <w:tcW w:w="1135" w:type="dxa"/>
            <w:vMerge/>
            <w:vAlign w:val="center"/>
            <w:hideMark/>
          </w:tcPr>
          <w:p w14:paraId="1EE4BF1B" w14:textId="77777777" w:rsidR="0039681A" w:rsidRPr="00A36E36" w:rsidRDefault="0039681A">
            <w:pPr>
              <w:spacing w:after="120"/>
              <w:jc w:val="center"/>
              <w:rPr>
                <w:rFonts w:ascii="Arial Narrow" w:hAnsi="Arial Narrow"/>
                <w:b/>
                <w:bCs/>
                <w:noProof/>
                <w:sz w:val="20"/>
                <w:szCs w:val="20"/>
                <w:lang w:val="en-IE"/>
              </w:rPr>
            </w:pPr>
          </w:p>
        </w:tc>
        <w:tc>
          <w:tcPr>
            <w:tcW w:w="1843" w:type="dxa"/>
            <w:vMerge/>
            <w:vAlign w:val="center"/>
            <w:hideMark/>
          </w:tcPr>
          <w:p w14:paraId="48843744" w14:textId="77777777" w:rsidR="0039681A" w:rsidRPr="00A36E36" w:rsidRDefault="0039681A">
            <w:pPr>
              <w:spacing w:after="120"/>
              <w:jc w:val="center"/>
              <w:rPr>
                <w:rFonts w:ascii="Arial Narrow" w:hAnsi="Arial Narrow"/>
                <w:b/>
                <w:bCs/>
                <w:noProof/>
                <w:sz w:val="20"/>
                <w:szCs w:val="20"/>
                <w:lang w:val="en-IE"/>
              </w:rPr>
            </w:pPr>
          </w:p>
        </w:tc>
        <w:tc>
          <w:tcPr>
            <w:tcW w:w="992" w:type="dxa"/>
            <w:vMerge/>
            <w:vAlign w:val="center"/>
            <w:hideMark/>
          </w:tcPr>
          <w:p w14:paraId="1348F7FC" w14:textId="77777777" w:rsidR="0039681A" w:rsidRPr="00A36E36" w:rsidRDefault="0039681A">
            <w:pPr>
              <w:spacing w:after="120"/>
              <w:jc w:val="center"/>
              <w:rPr>
                <w:rFonts w:ascii="Arial Narrow" w:hAnsi="Arial Narrow"/>
                <w:b/>
                <w:bCs/>
                <w:noProof/>
                <w:sz w:val="20"/>
                <w:szCs w:val="20"/>
                <w:lang w:val="en-IE"/>
              </w:rPr>
            </w:pPr>
          </w:p>
        </w:tc>
        <w:tc>
          <w:tcPr>
            <w:tcW w:w="1417" w:type="dxa"/>
            <w:vMerge/>
            <w:vAlign w:val="center"/>
            <w:hideMark/>
          </w:tcPr>
          <w:p w14:paraId="715E2E93" w14:textId="77777777" w:rsidR="0039681A" w:rsidRPr="00A36E36" w:rsidRDefault="0039681A">
            <w:pPr>
              <w:spacing w:after="120"/>
              <w:jc w:val="center"/>
              <w:rPr>
                <w:rFonts w:ascii="Arial Narrow" w:hAnsi="Arial Narrow"/>
                <w:b/>
                <w:bCs/>
                <w:noProof/>
                <w:sz w:val="20"/>
                <w:szCs w:val="20"/>
                <w:lang w:val="en-IE"/>
              </w:rPr>
            </w:pPr>
          </w:p>
        </w:tc>
        <w:tc>
          <w:tcPr>
            <w:tcW w:w="1560" w:type="dxa"/>
            <w:vMerge/>
            <w:vAlign w:val="center"/>
            <w:hideMark/>
          </w:tcPr>
          <w:p w14:paraId="452DA7CD" w14:textId="77777777" w:rsidR="0039681A" w:rsidRPr="00A36E36" w:rsidRDefault="0039681A">
            <w:pPr>
              <w:spacing w:after="120"/>
              <w:jc w:val="center"/>
              <w:rPr>
                <w:rFonts w:ascii="Arial Narrow" w:hAnsi="Arial Narrow"/>
                <w:b/>
                <w:bCs/>
                <w:noProof/>
                <w:sz w:val="20"/>
                <w:szCs w:val="20"/>
                <w:lang w:val="en-IE"/>
              </w:rPr>
            </w:pPr>
          </w:p>
        </w:tc>
        <w:tc>
          <w:tcPr>
            <w:tcW w:w="1134" w:type="dxa"/>
            <w:shd w:val="clear" w:color="auto" w:fill="BDD7EE"/>
            <w:vAlign w:val="center"/>
            <w:hideMark/>
          </w:tcPr>
          <w:p w14:paraId="038B3A9E" w14:textId="77777777" w:rsidR="0039681A" w:rsidRPr="00647572" w:rsidRDefault="0039681A">
            <w:pPr>
              <w:spacing w:after="120"/>
              <w:jc w:val="center"/>
              <w:rPr>
                <w:rFonts w:ascii="Arial Narrow" w:hAnsi="Arial Narrow"/>
                <w:b/>
                <w:bCs/>
                <w:noProof/>
                <w:sz w:val="20"/>
                <w:szCs w:val="20"/>
              </w:rPr>
            </w:pPr>
            <w:r w:rsidRPr="00647572">
              <w:rPr>
                <w:rFonts w:ascii="Arial Narrow" w:hAnsi="Arial Narrow"/>
                <w:b/>
                <w:noProof/>
                <w:sz w:val="20"/>
              </w:rPr>
              <w:t>Unit of measure</w:t>
            </w:r>
          </w:p>
        </w:tc>
        <w:tc>
          <w:tcPr>
            <w:tcW w:w="992" w:type="dxa"/>
            <w:shd w:val="clear" w:color="auto" w:fill="BDD7EE"/>
            <w:vAlign w:val="center"/>
            <w:hideMark/>
          </w:tcPr>
          <w:p w14:paraId="0F547C65" w14:textId="77777777" w:rsidR="0039681A" w:rsidRPr="00647572" w:rsidRDefault="0039681A">
            <w:pPr>
              <w:spacing w:after="120"/>
              <w:jc w:val="center"/>
              <w:rPr>
                <w:rFonts w:ascii="Arial Narrow" w:hAnsi="Arial Narrow"/>
                <w:b/>
                <w:bCs/>
                <w:noProof/>
                <w:sz w:val="20"/>
                <w:szCs w:val="20"/>
              </w:rPr>
            </w:pPr>
            <w:r w:rsidRPr="00647572">
              <w:rPr>
                <w:rFonts w:ascii="Arial Narrow" w:hAnsi="Arial Narrow"/>
                <w:b/>
                <w:noProof/>
                <w:sz w:val="20"/>
              </w:rPr>
              <w:t>Baseline</w:t>
            </w:r>
          </w:p>
        </w:tc>
        <w:tc>
          <w:tcPr>
            <w:tcW w:w="992" w:type="dxa"/>
            <w:shd w:val="clear" w:color="auto" w:fill="BDD7EE"/>
            <w:vAlign w:val="center"/>
            <w:hideMark/>
          </w:tcPr>
          <w:p w14:paraId="3734DCA0" w14:textId="77777777" w:rsidR="0039681A" w:rsidRPr="00647572" w:rsidRDefault="0039681A">
            <w:pPr>
              <w:spacing w:after="120"/>
              <w:jc w:val="center"/>
              <w:rPr>
                <w:rFonts w:ascii="Arial Narrow" w:hAnsi="Arial Narrow"/>
                <w:b/>
                <w:bCs/>
                <w:noProof/>
                <w:sz w:val="20"/>
                <w:szCs w:val="20"/>
              </w:rPr>
            </w:pPr>
            <w:r w:rsidRPr="00647572">
              <w:rPr>
                <w:rFonts w:ascii="Arial Narrow" w:hAnsi="Arial Narrow"/>
                <w:b/>
                <w:noProof/>
                <w:sz w:val="20"/>
              </w:rPr>
              <w:t>Goal</w:t>
            </w:r>
          </w:p>
        </w:tc>
        <w:tc>
          <w:tcPr>
            <w:tcW w:w="851" w:type="dxa"/>
            <w:shd w:val="clear" w:color="auto" w:fill="BDD7EE"/>
            <w:vAlign w:val="center"/>
            <w:hideMark/>
          </w:tcPr>
          <w:p w14:paraId="0200A6DE" w14:textId="77777777" w:rsidR="0039681A" w:rsidRPr="00647572" w:rsidRDefault="0039681A">
            <w:pPr>
              <w:spacing w:after="120"/>
              <w:jc w:val="center"/>
              <w:rPr>
                <w:rFonts w:ascii="Arial Narrow" w:hAnsi="Arial Narrow"/>
                <w:b/>
                <w:bCs/>
                <w:noProof/>
                <w:sz w:val="20"/>
                <w:szCs w:val="20"/>
              </w:rPr>
            </w:pPr>
            <w:r w:rsidRPr="00647572">
              <w:rPr>
                <w:rFonts w:ascii="Arial Narrow" w:hAnsi="Arial Narrow"/>
                <w:b/>
                <w:noProof/>
                <w:sz w:val="20"/>
              </w:rPr>
              <w:t>Quarter</w:t>
            </w:r>
          </w:p>
        </w:tc>
        <w:tc>
          <w:tcPr>
            <w:tcW w:w="708" w:type="dxa"/>
            <w:shd w:val="clear" w:color="auto" w:fill="BDD7EE"/>
            <w:vAlign w:val="center"/>
            <w:hideMark/>
          </w:tcPr>
          <w:p w14:paraId="6E0E43B9" w14:textId="77777777" w:rsidR="0039681A" w:rsidRPr="00647572" w:rsidRDefault="0039681A">
            <w:pPr>
              <w:spacing w:after="120"/>
              <w:jc w:val="center"/>
              <w:rPr>
                <w:rFonts w:ascii="Arial Narrow" w:hAnsi="Arial Narrow"/>
                <w:b/>
                <w:bCs/>
                <w:noProof/>
                <w:sz w:val="20"/>
                <w:szCs w:val="20"/>
              </w:rPr>
            </w:pPr>
            <w:r w:rsidRPr="00647572">
              <w:rPr>
                <w:rFonts w:ascii="Arial Narrow" w:hAnsi="Arial Narrow"/>
                <w:b/>
                <w:noProof/>
                <w:sz w:val="20"/>
              </w:rPr>
              <w:t>Year</w:t>
            </w:r>
          </w:p>
        </w:tc>
        <w:tc>
          <w:tcPr>
            <w:tcW w:w="3544" w:type="dxa"/>
            <w:vMerge/>
            <w:vAlign w:val="center"/>
            <w:hideMark/>
          </w:tcPr>
          <w:p w14:paraId="34490F70" w14:textId="77777777" w:rsidR="0039681A" w:rsidRPr="00647572" w:rsidRDefault="0039681A">
            <w:pPr>
              <w:spacing w:after="120"/>
              <w:jc w:val="center"/>
              <w:rPr>
                <w:rFonts w:ascii="Arial Narrow" w:hAnsi="Arial Narrow"/>
                <w:b/>
                <w:bCs/>
                <w:noProof/>
                <w:sz w:val="20"/>
                <w:szCs w:val="20"/>
              </w:rPr>
            </w:pPr>
          </w:p>
        </w:tc>
      </w:tr>
      <w:tr w:rsidR="0039681A" w:rsidRPr="0070054C" w14:paraId="2F2A197B"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88EBE8"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CEE956"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Streamlining permitting procedures for renewable energy</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DA8213"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BCFA15" w14:textId="77777777" w:rsidR="0039681A" w:rsidRPr="00A36E36" w:rsidRDefault="0039681A">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Legal framework for the identification of “renewable acceleration areas”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D2AFC0" w14:textId="77777777" w:rsidR="0039681A" w:rsidRPr="00A36E36" w:rsidRDefault="0039681A">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Provision in the law indicating the entry into force of the legal framework for the identification of renewable acceleration areas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D3475"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C2794B"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417C5" w14:textId="77777777" w:rsidR="0039681A" w:rsidRPr="00A36E36" w:rsidRDefault="0039681A">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00E57E"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70CF3D"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6FCB4766"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primary legislation setting out the legal framework for the identification of “renewable acceleration areas”.</w:t>
            </w:r>
          </w:p>
          <w:p w14:paraId="647F1800"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The legal framework shall:</w:t>
            </w:r>
          </w:p>
          <w:p w14:paraId="7AC8B341"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1)</w:t>
            </w:r>
            <w:r w:rsidRPr="00A36E36">
              <w:rPr>
                <w:rFonts w:ascii="Arial Narrow" w:hAnsi="Arial Narrow"/>
                <w:noProof/>
                <w:color w:val="006100"/>
                <w:sz w:val="20"/>
                <w:szCs w:val="20"/>
                <w:lang w:val="en-IE"/>
              </w:rPr>
              <w:tab/>
              <w:t>require the mapping of renewable energy potential across the country;</w:t>
            </w:r>
          </w:p>
          <w:p w14:paraId="0091BD1A"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2)</w:t>
            </w:r>
            <w:r w:rsidRPr="00A36E36">
              <w:rPr>
                <w:rFonts w:ascii="Arial Narrow" w:hAnsi="Arial Narrow"/>
                <w:noProof/>
                <w:color w:val="006100"/>
                <w:sz w:val="20"/>
                <w:szCs w:val="20"/>
                <w:lang w:val="en-IE"/>
              </w:rPr>
              <w:tab/>
              <w:t>based on the mapping, establish a first set of areas, setting a minimum set for the future identification of renewable acceleration areas;</w:t>
            </w:r>
          </w:p>
          <w:p w14:paraId="721044EA"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3)</w:t>
            </w:r>
            <w:r w:rsidRPr="00A36E36">
              <w:rPr>
                <w:rFonts w:ascii="Arial Narrow" w:hAnsi="Arial Narrow"/>
                <w:noProof/>
                <w:color w:val="006100"/>
                <w:sz w:val="20"/>
                <w:szCs w:val="20"/>
                <w:lang w:val="en-IE"/>
              </w:rPr>
              <w:tab/>
              <w:t>based on the minimum set of areas, require regions and autonomous provinces to identify renewable acceleration areas by 21 February 2026;</w:t>
            </w:r>
          </w:p>
          <w:p w14:paraId="7530C73B"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4)</w:t>
            </w:r>
            <w:r w:rsidRPr="00A36E36">
              <w:rPr>
                <w:rFonts w:ascii="Arial Narrow" w:hAnsi="Arial Narrow"/>
                <w:noProof/>
                <w:color w:val="006100"/>
                <w:sz w:val="20"/>
                <w:szCs w:val="20"/>
                <w:lang w:val="en-IE"/>
              </w:rPr>
              <w:tab/>
              <w:t>entitle the central government to exert substitutive powers in case regions or autonomous provinces fail to identify renewable acceleration areas by 21 February 2026;</w:t>
            </w:r>
          </w:p>
          <w:p w14:paraId="6B582255"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5)</w:t>
            </w:r>
            <w:r w:rsidRPr="00A36E36">
              <w:rPr>
                <w:rFonts w:ascii="Arial Narrow" w:hAnsi="Arial Narrow"/>
                <w:noProof/>
                <w:color w:val="006100"/>
                <w:sz w:val="20"/>
                <w:szCs w:val="20"/>
                <w:lang w:val="en-IE"/>
              </w:rPr>
              <w:tab/>
              <w:t>require the identification of off-shore areas for renewables deployment in coherence with maritime spatial plans.</w:t>
            </w:r>
          </w:p>
        </w:tc>
      </w:tr>
      <w:tr w:rsidR="0039681A" w:rsidRPr="0070054C" w14:paraId="1CCEB07F"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204E3C"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M7-2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6649BC"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Streamlining permitting procedures for renewable energy</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78789"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79598"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the legal act (Testo Unico)</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82C7C0"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Provision in the law indicating the entry into force of the legal act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36014A"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DC6D57"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5B8D4E" w14:textId="77777777" w:rsidR="0039681A" w:rsidRPr="00A36E36" w:rsidRDefault="0039681A">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48B5FD"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7A7DC9"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23383774"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a legal act (Testo Unico) collecting, compiling and consolidating the norms regulating the permitting of renewables, and superseding past legislation on that matter.</w:t>
            </w:r>
          </w:p>
          <w:p w14:paraId="3EB40FCB"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The Testo Unico shall also set out “ceiling rules” on permitting such that regions cannot implement stricter rules than those set out in national legislation. </w:t>
            </w:r>
          </w:p>
        </w:tc>
      </w:tr>
      <w:tr w:rsidR="0039681A" w:rsidRPr="0070054C" w14:paraId="62BB48E9"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55B222"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DC30A2" w14:textId="73BF0D62" w:rsidR="0039681A" w:rsidRPr="00A36E36" w:rsidRDefault="0039681A" w:rsidP="00527590">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1: Streamlining permitting procedures for renewable energy</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427F4E"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1AC5FA" w14:textId="1134EFEC"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Establishment of the</w:t>
            </w:r>
            <w:r w:rsidR="00381DB1">
              <w:rPr>
                <w:rFonts w:ascii="Arial Narrow" w:hAnsi="Arial Narrow"/>
                <w:noProof/>
                <w:color w:val="006100"/>
                <w:sz w:val="20"/>
                <w:lang w:val="en-IE"/>
              </w:rPr>
              <w:t xml:space="preserve"> </w:t>
            </w:r>
            <w:r w:rsidRPr="00A36E36">
              <w:rPr>
                <w:rFonts w:ascii="Arial Narrow" w:hAnsi="Arial Narrow"/>
                <w:noProof/>
                <w:color w:val="006100"/>
                <w:sz w:val="20"/>
                <w:lang w:val="en-IE"/>
              </w:rPr>
              <w:t>digital platform for authorizations related to renewables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29DE5C" w14:textId="0C4EA809" w:rsidR="0039681A" w:rsidRPr="00A36E36" w:rsidRDefault="0039681A">
            <w:pPr>
              <w:spacing w:after="120"/>
              <w:jc w:val="center"/>
              <w:rPr>
                <w:rFonts w:ascii="Arial Narrow" w:hAnsi="Arial Narrow"/>
                <w:noProof/>
                <w:color w:val="006100"/>
                <w:sz w:val="20"/>
                <w:szCs w:val="20"/>
                <w:lang w:val="en-IE"/>
              </w:rPr>
            </w:pPr>
            <w:r w:rsidRPr="2A313B6D">
              <w:rPr>
                <w:rFonts w:ascii="Arial Narrow" w:hAnsi="Arial Narrow"/>
                <w:noProof/>
                <w:color w:val="006100"/>
                <w:sz w:val="20"/>
                <w:szCs w:val="20"/>
                <w:lang w:val="en-IE"/>
              </w:rPr>
              <w:t>Establishment of the digital platform for authorization related to renewables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4467C2"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D4C86"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7DA2B9" w14:textId="77777777" w:rsidR="0039681A" w:rsidRPr="00A36E36" w:rsidRDefault="0039681A">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D85838" w14:textId="77777777" w:rsidR="0039681A" w:rsidRPr="00647572" w:rsidRDefault="0039681A">
            <w:pPr>
              <w:spacing w:after="120"/>
              <w:jc w:val="center"/>
              <w:rPr>
                <w:rFonts w:ascii="Arial Narrow" w:hAnsi="Arial Narrow"/>
                <w:noProof/>
                <w:color w:val="006100"/>
                <w:sz w:val="20"/>
                <w:szCs w:val="20"/>
              </w:rPr>
            </w:pPr>
            <w:r w:rsidRPr="7C6722E0">
              <w:rPr>
                <w:rFonts w:ascii="Arial Narrow" w:hAnsi="Arial Narrow"/>
                <w:noProof/>
                <w:color w:val="006100"/>
                <w:sz w:val="20"/>
                <w:szCs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D1AFD" w14:textId="77777777" w:rsidR="0039681A" w:rsidRPr="00647572" w:rsidRDefault="0039681A">
            <w:pPr>
              <w:spacing w:after="120"/>
              <w:jc w:val="center"/>
              <w:rPr>
                <w:rFonts w:ascii="Arial Narrow" w:hAnsi="Arial Narrow"/>
                <w:noProof/>
                <w:color w:val="006100"/>
                <w:sz w:val="20"/>
                <w:szCs w:val="20"/>
              </w:rPr>
            </w:pPr>
            <w:r w:rsidRPr="7C6722E0">
              <w:rPr>
                <w:rFonts w:ascii="Arial Narrow" w:hAnsi="Arial Narrow"/>
                <w:noProof/>
                <w:color w:val="006100"/>
                <w:sz w:val="20"/>
                <w:szCs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489DA477" w14:textId="068B5957" w:rsidR="0039681A" w:rsidRPr="00A36E36" w:rsidRDefault="0039681A" w:rsidP="000647DD">
            <w:pPr>
              <w:spacing w:after="120"/>
              <w:rPr>
                <w:rFonts w:ascii="Arial Narrow" w:hAnsi="Arial Narrow"/>
                <w:noProof/>
                <w:color w:val="006100"/>
                <w:sz w:val="20"/>
                <w:szCs w:val="20"/>
                <w:lang w:val="en-IE"/>
              </w:rPr>
            </w:pPr>
            <w:r w:rsidRPr="4FC62381">
              <w:rPr>
                <w:rFonts w:ascii="Arial Narrow" w:hAnsi="Arial Narrow"/>
                <w:noProof/>
                <w:color w:val="006100"/>
                <w:sz w:val="20"/>
                <w:szCs w:val="20"/>
                <w:lang w:val="en-IE"/>
              </w:rPr>
              <w:t>The digital platform is online and shall enable the submission and/or the collection – when introduced via other platforms - of authorization requests related to the installation of renewable energy plants</w:t>
            </w:r>
            <w:r w:rsidR="00381DB1">
              <w:rPr>
                <w:rFonts w:ascii="Arial Narrow" w:hAnsi="Arial Narrow"/>
                <w:noProof/>
                <w:color w:val="006100"/>
                <w:sz w:val="20"/>
                <w:szCs w:val="20"/>
                <w:lang w:val="en-IE"/>
              </w:rPr>
              <w:t xml:space="preserve"> </w:t>
            </w:r>
            <w:r w:rsidRPr="4FC62381">
              <w:rPr>
                <w:rFonts w:ascii="Arial Narrow" w:hAnsi="Arial Narrow"/>
                <w:noProof/>
                <w:color w:val="006100"/>
                <w:sz w:val="20"/>
                <w:szCs w:val="20"/>
                <w:lang w:val="en-IE"/>
              </w:rPr>
              <w:t xml:space="preserve">at national and sub-national level (Autorizzazione Unica, Procedura </w:t>
            </w:r>
            <w:r w:rsidR="003678D7">
              <w:rPr>
                <w:rFonts w:ascii="Arial Narrow" w:hAnsi="Arial Narrow"/>
                <w:noProof/>
                <w:color w:val="006100"/>
                <w:sz w:val="20"/>
                <w:szCs w:val="20"/>
                <w:lang w:val="en-IE"/>
              </w:rPr>
              <w:t xml:space="preserve">Abilitativa </w:t>
            </w:r>
            <w:r w:rsidRPr="4FC62381">
              <w:rPr>
                <w:rFonts w:ascii="Arial Narrow" w:hAnsi="Arial Narrow"/>
                <w:noProof/>
                <w:color w:val="006100"/>
                <w:sz w:val="20"/>
                <w:szCs w:val="20"/>
                <w:lang w:val="en-IE"/>
              </w:rPr>
              <w:t>Semplificata) as well as the submission of the communication on plants installed under Edilizia Libera.</w:t>
            </w:r>
          </w:p>
        </w:tc>
      </w:tr>
      <w:tr w:rsidR="0039681A" w:rsidRPr="0070054C" w14:paraId="3EF16181"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E91120"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42C37B"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 Reduction of Environmental Harmful Subsidies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20AC5"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73ED2D"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 xml:space="preserve">Adoption of a government report, </w:t>
            </w:r>
            <w:r w:rsidRPr="00A36E36">
              <w:rPr>
                <w:rFonts w:ascii="Arial Narrow" w:hAnsi="Arial Narrow"/>
                <w:noProof/>
                <w:color w:val="006100"/>
                <w:sz w:val="20"/>
                <w:szCs w:val="20"/>
                <w:lang w:val="en-IE"/>
              </w:rPr>
              <w:t>presenting</w:t>
            </w:r>
            <w:r w:rsidRPr="00A36E36">
              <w:rPr>
                <w:rFonts w:ascii="Arial Narrow" w:hAnsi="Arial Narrow"/>
                <w:noProof/>
                <w:color w:val="006100"/>
                <w:sz w:val="20"/>
                <w:lang w:val="en-IE"/>
              </w:rPr>
              <w:t xml:space="preserve"> the outcome of </w:t>
            </w:r>
            <w:r w:rsidRPr="00A36E36">
              <w:rPr>
                <w:rFonts w:ascii="Arial Narrow" w:hAnsi="Arial Narrow"/>
                <w:noProof/>
                <w:color w:val="006100"/>
                <w:sz w:val="20"/>
                <w:szCs w:val="20"/>
                <w:lang w:val="en-IE"/>
              </w:rPr>
              <w:t xml:space="preserve">a </w:t>
            </w:r>
            <w:r w:rsidRPr="00A36E36">
              <w:rPr>
                <w:rFonts w:ascii="Arial Narrow" w:hAnsi="Arial Narrow"/>
                <w:noProof/>
                <w:color w:val="006100"/>
                <w:sz w:val="20"/>
                <w:lang w:val="en-IE"/>
              </w:rPr>
              <w:t>government consultation with stakeholders to reduce environmentally harmful subsidies.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5EA760"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Adoption of government report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47C10E" w14:textId="77777777" w:rsidR="0039681A" w:rsidRPr="00647572" w:rsidRDefault="0039681A">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5EBE4" w14:textId="77777777" w:rsidR="0039681A" w:rsidRPr="00647572" w:rsidRDefault="0039681A">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F73279" w14:textId="77777777" w:rsidR="0039681A" w:rsidRPr="00647572" w:rsidRDefault="0039681A">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584DB2"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A97FF3"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4A9E88C2"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 xml:space="preserve">A report shall </w:t>
            </w:r>
            <w:r w:rsidRPr="00A36E36">
              <w:rPr>
                <w:rFonts w:ascii="Arial Narrow" w:hAnsi="Arial Narrow"/>
                <w:noProof/>
                <w:color w:val="006100"/>
                <w:sz w:val="20"/>
                <w:szCs w:val="20"/>
                <w:lang w:val="en-IE"/>
              </w:rPr>
              <w:t>outline</w:t>
            </w:r>
            <w:r w:rsidRPr="00A36E36">
              <w:rPr>
                <w:rFonts w:ascii="Arial Narrow" w:hAnsi="Arial Narrow"/>
                <w:noProof/>
                <w:color w:val="006100"/>
                <w:sz w:val="20"/>
                <w:lang w:val="en-IE"/>
              </w:rPr>
              <w:t xml:space="preserve"> the actions taken to consult relevant stakeholders on the reform of environmentally harmful subsidies, including the input received by stakeholders. Consulted stakeholders shall include relevant public bodies and private stakeholders.</w:t>
            </w:r>
          </w:p>
        </w:tc>
      </w:tr>
      <w:tr w:rsidR="0039681A" w:rsidRPr="0070054C" w14:paraId="3627F5B5"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366256" w14:textId="77777777" w:rsidR="0039681A" w:rsidRPr="00647572" w:rsidRDefault="0039681A">
            <w:pPr>
              <w:spacing w:after="120"/>
              <w:jc w:val="center"/>
              <w:rPr>
                <w:rFonts w:ascii="Arial Narrow" w:hAnsi="Arial Narrow"/>
                <w:noProof/>
                <w:color w:val="006100"/>
                <w:sz w:val="20"/>
                <w:szCs w:val="20"/>
              </w:rPr>
            </w:pPr>
            <w:r w:rsidRPr="48242546">
              <w:rPr>
                <w:rFonts w:ascii="Arial Narrow" w:hAnsi="Arial Narrow"/>
                <w:noProof/>
                <w:color w:val="006100"/>
                <w:sz w:val="20"/>
                <w:szCs w:val="20"/>
              </w:rPr>
              <w:t>M7-5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675A3B"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2: Reduction of Environmental Harmful Subsidies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FD4CDF"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ACCC4"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legal act(s)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0E7F88"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legal 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3F2F7D"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0DB943"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90A91" w14:textId="77777777" w:rsidR="0039681A" w:rsidRPr="00A36E36" w:rsidRDefault="0039681A">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67449A"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BF9F4F" w14:textId="77777777" w:rsidR="0039681A" w:rsidRPr="00647572" w:rsidRDefault="0039681A">
            <w:pPr>
              <w:spacing w:after="120"/>
              <w:jc w:val="both"/>
              <w:rPr>
                <w:rFonts w:ascii="Arial Narrow" w:hAnsi="Arial Narrow"/>
                <w:noProof/>
                <w:color w:val="006100"/>
                <w:sz w:val="20"/>
                <w:szCs w:val="20"/>
              </w:rPr>
            </w:pPr>
            <w:r w:rsidRPr="4119873E">
              <w:rPr>
                <w:rFonts w:ascii="Arial Narrow" w:hAnsi="Arial Narrow"/>
                <w:noProof/>
                <w:color w:val="006100"/>
                <w:sz w:val="20"/>
                <w:szCs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9F525F" w14:textId="2D0808C7" w:rsidR="0039681A" w:rsidRPr="00A36E36" w:rsidRDefault="0039681A" w:rsidP="000647DD">
            <w:pPr>
              <w:spacing w:after="120"/>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Entry into force of legal acts providing for the reduction of environmentally harmful subsidies of at least EUR 4.5 billion in 2026. </w:t>
            </w:r>
          </w:p>
        </w:tc>
      </w:tr>
      <w:tr w:rsidR="0039681A" w:rsidRPr="0070054C" w14:paraId="1D393E15"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09E983"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M7-6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500861"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3: Reduction of the costs of connection to the gas network of biomethane</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5E3725"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67256"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legal acts to reduce the costs of connection to the gas network of biomethane production plants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D3CA9"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Provision in the law indicating the entry into force of legal 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DCFD22"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E7BDBE"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670B4D" w14:textId="77777777" w:rsidR="0039681A" w:rsidRPr="00A36E36" w:rsidRDefault="0039681A">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294451"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2EABDF"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508458B0" w14:textId="77777777" w:rsidR="0039681A" w:rsidRPr="00647572" w:rsidRDefault="0039681A">
            <w:pPr>
              <w:spacing w:after="120" w:line="240" w:lineRule="auto"/>
              <w:rPr>
                <w:rFonts w:ascii="Arial Narrow" w:hAnsi="Arial Narrow"/>
                <w:noProof/>
                <w:color w:val="006100"/>
                <w:sz w:val="20"/>
                <w:szCs w:val="20"/>
              </w:rPr>
            </w:pPr>
            <w:r w:rsidRPr="00647572">
              <w:rPr>
                <w:rFonts w:ascii="Arial Narrow" w:hAnsi="Arial Narrow"/>
                <w:noProof/>
                <w:color w:val="006100"/>
                <w:sz w:val="20"/>
                <w:szCs w:val="20"/>
              </w:rPr>
              <w:t>The legal acts shall:</w:t>
            </w:r>
          </w:p>
          <w:p w14:paraId="004B2724" w14:textId="77777777" w:rsidR="0039681A" w:rsidRPr="00A36E36" w:rsidRDefault="0039681A" w:rsidP="0039681A">
            <w:pPr>
              <w:pStyle w:val="ListParagraph"/>
              <w:numPr>
                <w:ilvl w:val="3"/>
                <w:numId w:val="152"/>
              </w:numPr>
              <w:spacing w:after="120" w:line="240" w:lineRule="auto"/>
              <w:ind w:left="382"/>
              <w:contextualSpacing w:val="0"/>
              <w:jc w:val="both"/>
              <w:rPr>
                <w:rFonts w:ascii="Arial Narrow" w:hAnsi="Arial Narrow"/>
                <w:noProof/>
                <w:color w:val="006100"/>
                <w:sz w:val="20"/>
                <w:szCs w:val="20"/>
                <w:lang w:val="en-IE"/>
              </w:rPr>
            </w:pPr>
            <w:r w:rsidRPr="00A36E36">
              <w:rPr>
                <w:rFonts w:ascii="Arial Narrow" w:hAnsi="Arial Narrow"/>
                <w:noProof/>
                <w:color w:val="006100"/>
                <w:sz w:val="20"/>
                <w:lang w:val="en-IE"/>
              </w:rPr>
              <w:t>Reduce the costs of connection to the gas network of biomethane production plants for the producer.</w:t>
            </w:r>
          </w:p>
          <w:p w14:paraId="5E294354" w14:textId="77777777" w:rsidR="0039681A" w:rsidRPr="00A36E36" w:rsidRDefault="0039681A" w:rsidP="0039681A">
            <w:pPr>
              <w:pStyle w:val="ListParagraph"/>
              <w:numPr>
                <w:ilvl w:val="3"/>
                <w:numId w:val="152"/>
              </w:numPr>
              <w:spacing w:after="120" w:line="240" w:lineRule="auto"/>
              <w:ind w:left="382"/>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Provide regulatory incentives to invest in the gas network to increase the integration of renewable gases. </w:t>
            </w:r>
          </w:p>
          <w:p w14:paraId="7008D0A5" w14:textId="77777777" w:rsidR="0039681A" w:rsidRPr="00A36E36" w:rsidRDefault="0039681A" w:rsidP="0039681A">
            <w:pPr>
              <w:pStyle w:val="ListParagraph"/>
              <w:numPr>
                <w:ilvl w:val="3"/>
                <w:numId w:val="152"/>
              </w:numPr>
              <w:spacing w:after="120" w:line="240" w:lineRule="auto"/>
              <w:ind w:left="382"/>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Facilitate the integration between transmission and distribution network, also through mechanisms for sharing the costs of investments in grid connection. </w:t>
            </w:r>
          </w:p>
        </w:tc>
      </w:tr>
      <w:tr w:rsidR="0039681A" w:rsidRPr="0070054C" w14:paraId="0C31B037"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0F7416"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E53C45"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4: Mitigation of financial risk associated with renewable PPAs (Power Purchase Agreements)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45F975"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7FE7E7"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primary and secondary legislation</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F0600F"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Provision in the law indicating the entry into force of the law</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A202CE"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526D22"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17217" w14:textId="77777777" w:rsidR="0039681A" w:rsidRPr="00A36E36" w:rsidRDefault="0039681A">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F2B3CD"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E871F9"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947A2"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primary and secondary l</w:t>
            </w:r>
            <w:r w:rsidRPr="00A36E36">
              <w:rPr>
                <w:rFonts w:ascii="Arial Narrow" w:eastAsia="Arial Narrow" w:hAnsi="Arial Narrow" w:cs="Arial Narrow"/>
                <w:noProof/>
                <w:color w:val="006100"/>
                <w:sz w:val="20"/>
                <w:szCs w:val="20"/>
                <w:lang w:val="en-IE"/>
              </w:rPr>
              <w:t>egislation.</w:t>
            </w:r>
          </w:p>
          <w:p w14:paraId="3CEDD417" w14:textId="77777777" w:rsidR="0039681A" w:rsidRPr="00A36E36" w:rsidRDefault="0039681A">
            <w:pP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The primary legislation shall provide for the adoption of secondary legislation implementing the requisites i), ii) and iii) below.</w:t>
            </w:r>
          </w:p>
          <w:p w14:paraId="0AEE3FB7" w14:textId="77777777" w:rsidR="0039681A" w:rsidRPr="00647572" w:rsidRDefault="0039681A">
            <w:pPr>
              <w:spacing w:after="120" w:line="240" w:lineRule="auto"/>
              <w:rPr>
                <w:noProof/>
              </w:rPr>
            </w:pPr>
            <w:r w:rsidRPr="00647572">
              <w:rPr>
                <w:rFonts w:ascii="Arial Narrow" w:hAnsi="Arial Narrow"/>
                <w:noProof/>
                <w:color w:val="006100"/>
                <w:sz w:val="20"/>
                <w:szCs w:val="20"/>
              </w:rPr>
              <w:t>The secondary legislation shall:</w:t>
            </w:r>
          </w:p>
          <w:p w14:paraId="710EFC49" w14:textId="77777777" w:rsidR="0039681A" w:rsidRPr="00A36E36" w:rsidRDefault="0039681A" w:rsidP="0039681A">
            <w:pPr>
              <w:pStyle w:val="ListParagraph"/>
              <w:numPr>
                <w:ilvl w:val="0"/>
                <w:numId w:val="153"/>
              </w:numPr>
              <w:spacing w:before="120" w:after="120" w:line="240" w:lineRule="auto"/>
              <w:jc w:val="both"/>
              <w:rPr>
                <w:rFonts w:ascii="Arial Narrow" w:hAnsi="Arial Narrow"/>
                <w:noProof/>
                <w:color w:val="006100"/>
                <w:lang w:val="en-IE"/>
              </w:rPr>
            </w:pPr>
            <w:r w:rsidRPr="00A36E36">
              <w:rPr>
                <w:rFonts w:ascii="Arial Narrow" w:hAnsi="Arial Narrow"/>
                <w:noProof/>
                <w:color w:val="006100"/>
                <w:sz w:val="20"/>
                <w:szCs w:val="20"/>
                <w:lang w:val="en-IE"/>
              </w:rPr>
              <w:t xml:space="preserve">require for each operator to guarantee partial coverage of the countervalue of the Power Purchase Agreements by means of guarantee instruments provided on the electricity market; </w:t>
            </w:r>
          </w:p>
          <w:p w14:paraId="66F16E2F" w14:textId="77777777" w:rsidR="0039681A" w:rsidRPr="00A36E36" w:rsidRDefault="0039681A" w:rsidP="0039681A">
            <w:pPr>
              <w:pStyle w:val="ListParagraph"/>
              <w:numPr>
                <w:ilvl w:val="0"/>
                <w:numId w:val="153"/>
              </w:numPr>
              <w:spacing w:before="120" w:after="120" w:line="240" w:lineRule="auto"/>
              <w:jc w:val="both"/>
              <w:rPr>
                <w:rFonts w:ascii="Arial Narrow" w:hAnsi="Arial Narrow"/>
                <w:noProof/>
                <w:color w:val="006100"/>
                <w:lang w:val="en-IE"/>
              </w:rPr>
            </w:pPr>
            <w:r w:rsidRPr="00A36E36">
              <w:rPr>
                <w:rFonts w:ascii="Arial Narrow" w:hAnsi="Arial Narrow"/>
                <w:noProof/>
                <w:color w:val="006100"/>
                <w:sz w:val="20"/>
                <w:szCs w:val="20"/>
                <w:lang w:val="en-IE"/>
              </w:rPr>
              <w:t>introduce measures to mitigate the risk of default, including requirements and constraints on the bidder and regulatory sanctions in the event of producer’s default;</w:t>
            </w:r>
          </w:p>
          <w:p w14:paraId="571CF00B" w14:textId="77777777" w:rsidR="0039681A" w:rsidRPr="00A36E36" w:rsidRDefault="0039681A" w:rsidP="0039681A">
            <w:pPr>
              <w:pStyle w:val="ListParagraph"/>
              <w:numPr>
                <w:ilvl w:val="0"/>
                <w:numId w:val="153"/>
              </w:numPr>
              <w:spacing w:before="120"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identify an institutional entity to take on the role of seller/buyer of last resort, who would take over from the failing counterpart and ensure the fulfilment of the obligations assumed vis-à-vis the performing counterpart.</w:t>
            </w:r>
          </w:p>
        </w:tc>
      </w:tr>
      <w:tr w:rsidR="0039681A" w:rsidRPr="0070054C" w14:paraId="4684F451"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41D5C4"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B2AB5A"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Reform 5: Plan for new Skills - Transitions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646BCB"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82B41"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Adoption and publication of the New Skills Plan – Transitions and of the Road Map for implementation</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F034A7"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Adoption of the plan and roadmap</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0D4EC"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950493"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DD6701" w14:textId="77777777" w:rsidR="0039681A" w:rsidRPr="00A36E36" w:rsidRDefault="0039681A">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C53E8B"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FD48A4"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D89605" w14:textId="77777777" w:rsidR="0039681A" w:rsidRPr="00A36E36" w:rsidRDefault="0039681A">
            <w:pP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lang w:val="en-IE"/>
              </w:rPr>
              <w:t>The “Piano Nuove Competenze” adopted by Decree of 14 December 2021and published in Gazzetta ufficiale n.307 of 28 December 2021 is amended and the new Transitions skills plan enters into force. The plan includes the general principles to be further specified by regional laws, which shall include:</w:t>
            </w:r>
          </w:p>
          <w:p w14:paraId="45FFFA82" w14:textId="77777777" w:rsidR="0039681A" w:rsidRPr="00A36E36" w:rsidRDefault="0039681A" w:rsidP="0039681A">
            <w:pPr>
              <w:pStyle w:val="ListParagraph"/>
              <w:numPr>
                <w:ilvl w:val="0"/>
                <w:numId w:val="154"/>
              </w:numPr>
              <w:spacing w:after="120" w:line="240" w:lineRule="auto"/>
              <w:ind w:left="382" w:hanging="142"/>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greater involvement of the private sector in training provision, </w:t>
            </w:r>
          </w:p>
          <w:p w14:paraId="083A2C04" w14:textId="77777777" w:rsidR="0039681A" w:rsidRPr="00A36E36" w:rsidRDefault="0039681A" w:rsidP="0039681A">
            <w:pPr>
              <w:pStyle w:val="ListParagraph"/>
              <w:numPr>
                <w:ilvl w:val="0"/>
                <w:numId w:val="154"/>
              </w:numPr>
              <w:spacing w:after="120" w:line="240" w:lineRule="auto"/>
              <w:ind w:left="382" w:hanging="142"/>
              <w:contextualSpacing w:val="0"/>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improved recognition of on-the-job training and micro-credentials, </w:t>
            </w:r>
          </w:p>
          <w:p w14:paraId="3AB74050" w14:textId="77777777" w:rsidR="0039681A" w:rsidRPr="00A36E36" w:rsidRDefault="0039681A" w:rsidP="0039681A">
            <w:pPr>
              <w:pStyle w:val="ListParagraph"/>
              <w:numPr>
                <w:ilvl w:val="0"/>
                <w:numId w:val="154"/>
              </w:numPr>
              <w:spacing w:after="120" w:line="240" w:lineRule="auto"/>
              <w:ind w:left="382" w:hanging="142"/>
              <w:contextualSpacing w:val="0"/>
              <w:jc w:val="both"/>
              <w:rPr>
                <w:rFonts w:ascii="Arial Narrow" w:hAnsi="Arial Narrow"/>
                <w:noProof/>
                <w:color w:val="006100"/>
                <w:sz w:val="20"/>
                <w:szCs w:val="20"/>
                <w:lang w:val="en-IE"/>
              </w:rPr>
            </w:pPr>
            <w:r w:rsidRPr="00A36E36">
              <w:rPr>
                <w:rFonts w:ascii="Arial Narrow" w:hAnsi="Arial Narrow"/>
                <w:noProof/>
                <w:color w:val="006100"/>
                <w:sz w:val="20"/>
                <w:lang w:val="en-IE"/>
              </w:rPr>
              <w:t xml:space="preserve">greater ex-ante labour market analysis and monitoring of occupational effects of training. </w:t>
            </w:r>
          </w:p>
          <w:p w14:paraId="232B1302" w14:textId="77777777" w:rsidR="0039681A" w:rsidRPr="00A36E36" w:rsidRDefault="0039681A">
            <w:pP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lang w:val="en-IE"/>
              </w:rPr>
              <w:t>An implementation roadmap is also adopted.</w:t>
            </w:r>
          </w:p>
        </w:tc>
      </w:tr>
      <w:tr w:rsidR="0039681A" w:rsidRPr="0070054C" w14:paraId="1401FDB2"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9D90ED" w14:textId="77777777" w:rsidR="0039681A" w:rsidRPr="00647572" w:rsidRDefault="0039681A">
            <w:pPr>
              <w:spacing w:after="120"/>
              <w:jc w:val="center"/>
              <w:rPr>
                <w:rFonts w:ascii="Arial Narrow" w:eastAsia="Arial Narrow" w:hAnsi="Arial Narrow" w:cs="Arial Narrow"/>
                <w:noProof/>
                <w:color w:val="006100"/>
                <w:sz w:val="20"/>
                <w:szCs w:val="20"/>
              </w:rPr>
            </w:pPr>
            <w:r w:rsidRPr="48242546">
              <w:rPr>
                <w:rFonts w:ascii="Arial Narrow" w:hAnsi="Arial Narrow"/>
                <w:noProof/>
                <w:color w:val="006100"/>
                <w:sz w:val="20"/>
                <w:szCs w:val="20"/>
              </w:rPr>
              <w:t>M7-10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CDDB92" w14:textId="77777777" w:rsidR="0039681A" w:rsidRPr="00A36E36" w:rsidRDefault="0039681A">
            <w:pPr>
              <w:spacing w:after="120"/>
              <w:jc w:val="center"/>
              <w:rPr>
                <w:rFonts w:ascii="Arial Narrow" w:eastAsia="Arial Narrow" w:hAnsi="Arial Narrow" w:cs="Arial Narrow"/>
                <w:noProof/>
                <w:color w:val="006100"/>
                <w:sz w:val="20"/>
                <w:szCs w:val="20"/>
                <w:lang w:val="en-IE"/>
              </w:rPr>
            </w:pPr>
            <w:r w:rsidRPr="00A36E36">
              <w:rPr>
                <w:rFonts w:ascii="Arial Narrow" w:hAnsi="Arial Narrow"/>
                <w:noProof/>
                <w:color w:val="006100"/>
                <w:sz w:val="20"/>
                <w:szCs w:val="20"/>
                <w:lang w:val="en-IE"/>
              </w:rPr>
              <w:t>Reform 5: Plan for new Skills - Transitions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D3319" w14:textId="77777777" w:rsidR="0039681A" w:rsidRPr="00647572" w:rsidRDefault="0039681A">
            <w:pPr>
              <w:spacing w:after="120"/>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4E35BA"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Entry into force of legal act(s) for regions and autonomous province(s)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6FECC6"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 Provision(s) in legal acts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DB375B" w14:textId="77777777" w:rsidR="0039681A" w:rsidRPr="00A36E36" w:rsidRDefault="0039681A">
            <w:pPr>
              <w:spacing w:after="120"/>
              <w:jc w:val="center"/>
              <w:rPr>
                <w:rFonts w:ascii="Arial Narrow" w:eastAsia="Arial Narrow" w:hAnsi="Arial Narrow" w:cs="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E76636" w14:textId="77777777" w:rsidR="0039681A" w:rsidRPr="00A36E36" w:rsidRDefault="0039681A">
            <w:pPr>
              <w:spacing w:after="120"/>
              <w:jc w:val="center"/>
              <w:rPr>
                <w:rFonts w:ascii="Arial Narrow" w:eastAsia="Arial Narrow" w:hAnsi="Arial Narrow" w:cs="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4922BF" w14:textId="77777777" w:rsidR="0039681A" w:rsidRPr="00A36E36" w:rsidRDefault="0039681A">
            <w:pPr>
              <w:spacing w:after="120"/>
              <w:jc w:val="center"/>
              <w:rPr>
                <w:rFonts w:ascii="Arial Narrow" w:eastAsia="Arial Narrow" w:hAnsi="Arial Narrow" w:cs="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6E043" w14:textId="77777777" w:rsidR="0039681A" w:rsidRPr="00647572" w:rsidRDefault="0039681A">
            <w:pPr>
              <w:spacing w:after="120"/>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96533E" w14:textId="77777777" w:rsidR="0039681A" w:rsidRPr="00647572" w:rsidRDefault="0039681A">
            <w:pPr>
              <w:spacing w:after="120"/>
              <w:jc w:val="center"/>
              <w:rPr>
                <w:rFonts w:ascii="Arial Narrow" w:eastAsia="Arial Narrow" w:hAnsi="Arial Narrow" w:cs="Arial Narrow"/>
                <w:noProof/>
                <w:color w:val="006100"/>
                <w:sz w:val="20"/>
                <w:szCs w:val="20"/>
              </w:rPr>
            </w:pPr>
            <w:r w:rsidRPr="00647572">
              <w:rPr>
                <w:rFonts w:ascii="Arial Narrow" w:hAnsi="Arial Narrow"/>
                <w:noProof/>
                <w:color w:val="006100"/>
                <w:sz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043064" w14:textId="77777777" w:rsidR="0039681A" w:rsidRPr="00A36E36" w:rsidRDefault="0039681A">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Entry into force of legal act(s) including provisions to:</w:t>
            </w:r>
          </w:p>
          <w:p w14:paraId="7CC12F03" w14:textId="77777777" w:rsidR="0039681A" w:rsidRPr="00E74433" w:rsidRDefault="0039681A" w:rsidP="0039681A">
            <w:pPr>
              <w:pStyle w:val="ListParagraph"/>
              <w:numPr>
                <w:ilvl w:val="0"/>
                <w:numId w:val="155"/>
              </w:numPr>
              <w:spacing w:before="120" w:after="120" w:line="240" w:lineRule="auto"/>
              <w:jc w:val="both"/>
              <w:rPr>
                <w:rFonts w:ascii="Arial Narrow" w:eastAsiaTheme="minorEastAsia" w:hAnsi="Arial Narrow"/>
                <w:noProof/>
                <w:color w:val="006100"/>
                <w:sz w:val="20"/>
                <w:szCs w:val="20"/>
                <w:lang w:val="en-IE"/>
              </w:rPr>
            </w:pPr>
            <w:r w:rsidRPr="00E74433">
              <w:rPr>
                <w:rFonts w:ascii="Arial Narrow" w:eastAsiaTheme="minorEastAsia" w:hAnsi="Arial Narrow"/>
                <w:noProof/>
                <w:color w:val="006100"/>
                <w:sz w:val="20"/>
                <w:szCs w:val="20"/>
                <w:lang w:val="en-IE"/>
              </w:rPr>
              <w:t xml:space="preserve">ensure that the planning of training activities: </w:t>
            </w:r>
          </w:p>
          <w:p w14:paraId="1A357942" w14:textId="77777777" w:rsidR="0039681A" w:rsidRPr="00A36E36" w:rsidRDefault="0039681A" w:rsidP="0039681A">
            <w:pPr>
              <w:pStyle w:val="ListParagraph"/>
              <w:numPr>
                <w:ilvl w:val="0"/>
                <w:numId w:val="156"/>
              </w:numPr>
              <w:spacing w:before="120" w:after="120" w:line="240" w:lineRule="auto"/>
              <w:jc w:val="both"/>
              <w:rPr>
                <w:rFonts w:ascii="Arial Narrow" w:eastAsiaTheme="minorEastAsia" w:hAnsi="Arial Narrow"/>
                <w:noProof/>
                <w:color w:val="006100"/>
                <w:sz w:val="20"/>
                <w:szCs w:val="20"/>
                <w:lang w:val="en-IE"/>
              </w:rPr>
            </w:pPr>
            <w:r w:rsidRPr="00A36E36">
              <w:rPr>
                <w:rFonts w:ascii="Arial Narrow" w:eastAsiaTheme="minorEastAsia" w:hAnsi="Arial Narrow"/>
                <w:noProof/>
                <w:color w:val="006100"/>
                <w:sz w:val="20"/>
                <w:szCs w:val="20"/>
                <w:lang w:val="en-IE"/>
              </w:rPr>
              <w:t>Involves private sector stakeholders</w:t>
            </w:r>
            <w:r>
              <w:rPr>
                <w:rFonts w:ascii="Arial Narrow" w:eastAsiaTheme="minorEastAsia" w:hAnsi="Arial Narrow"/>
                <w:noProof/>
                <w:color w:val="006100"/>
                <w:sz w:val="20"/>
                <w:szCs w:val="20"/>
                <w:lang w:val="en-IE"/>
              </w:rPr>
              <w:t>,</w:t>
            </w:r>
            <w:r w:rsidRPr="00A36E36">
              <w:rPr>
                <w:rFonts w:ascii="Arial Narrow" w:eastAsiaTheme="minorEastAsia" w:hAnsi="Arial Narrow"/>
                <w:noProof/>
                <w:color w:val="006100"/>
                <w:sz w:val="20"/>
                <w:szCs w:val="20"/>
                <w:lang w:val="en-IE"/>
              </w:rPr>
              <w:t xml:space="preserve"> and/or</w:t>
            </w:r>
          </w:p>
          <w:p w14:paraId="10799380" w14:textId="1DBD2E9F" w:rsidR="0039681A" w:rsidRPr="00A36E36" w:rsidRDefault="0039681A" w:rsidP="0039681A">
            <w:pPr>
              <w:pStyle w:val="ListParagraph"/>
              <w:numPr>
                <w:ilvl w:val="0"/>
                <w:numId w:val="156"/>
              </w:numPr>
              <w:spacing w:before="120" w:after="120" w:line="240" w:lineRule="auto"/>
              <w:jc w:val="both"/>
              <w:rPr>
                <w:rFonts w:ascii="Arial Narrow" w:eastAsiaTheme="minorEastAsia" w:hAnsi="Arial Narrow"/>
                <w:noProof/>
                <w:color w:val="006100"/>
                <w:sz w:val="20"/>
                <w:szCs w:val="20"/>
                <w:lang w:val="en-IE"/>
              </w:rPr>
            </w:pPr>
            <w:r w:rsidRPr="00A36E36">
              <w:rPr>
                <w:rFonts w:ascii="Arial Narrow" w:eastAsiaTheme="minorEastAsia" w:hAnsi="Arial Narrow"/>
                <w:noProof/>
                <w:color w:val="006100"/>
                <w:sz w:val="20"/>
                <w:szCs w:val="20"/>
                <w:lang w:val="en-IE"/>
              </w:rPr>
              <w:t>is based on the use of skills intelligence tools to respond to the medium and long-term skills needs</w:t>
            </w:r>
            <w:r>
              <w:rPr>
                <w:rFonts w:ascii="Arial Narrow" w:eastAsiaTheme="minorEastAsia" w:hAnsi="Arial Narrow"/>
                <w:noProof/>
                <w:color w:val="006100"/>
                <w:sz w:val="20"/>
                <w:szCs w:val="20"/>
                <w:lang w:val="en-IE"/>
              </w:rPr>
              <w:t>,</w:t>
            </w:r>
            <w:r w:rsidRPr="00A36E36">
              <w:rPr>
                <w:rFonts w:ascii="Arial Narrow" w:eastAsiaTheme="minorEastAsia" w:hAnsi="Arial Narrow"/>
                <w:noProof/>
                <w:color w:val="006100"/>
                <w:sz w:val="20"/>
                <w:szCs w:val="20"/>
                <w:lang w:val="en-IE"/>
              </w:rPr>
              <w:t xml:space="preserve"> and/or</w:t>
            </w:r>
            <w:r w:rsidR="00381DB1">
              <w:rPr>
                <w:rFonts w:ascii="Arial Narrow" w:eastAsiaTheme="minorEastAsia" w:hAnsi="Arial Narrow"/>
                <w:noProof/>
                <w:color w:val="006100"/>
                <w:sz w:val="20"/>
                <w:szCs w:val="20"/>
                <w:lang w:val="en-IE"/>
              </w:rPr>
              <w:t xml:space="preserve"> </w:t>
            </w:r>
          </w:p>
          <w:p w14:paraId="231C43A8" w14:textId="77777777" w:rsidR="0039681A" w:rsidRPr="00A36E36" w:rsidRDefault="0039681A" w:rsidP="0039681A">
            <w:pPr>
              <w:pStyle w:val="ListParagraph"/>
              <w:numPr>
                <w:ilvl w:val="0"/>
                <w:numId w:val="156"/>
              </w:numPr>
              <w:spacing w:before="120" w:after="120" w:line="240" w:lineRule="auto"/>
              <w:jc w:val="both"/>
              <w:rPr>
                <w:rFonts w:ascii="Arial Narrow" w:eastAsiaTheme="minorEastAsia" w:hAnsi="Arial Narrow"/>
                <w:noProof/>
                <w:color w:val="006100"/>
                <w:sz w:val="20"/>
                <w:szCs w:val="20"/>
                <w:lang w:val="en-IE"/>
              </w:rPr>
            </w:pPr>
            <w:r w:rsidRPr="00A36E36">
              <w:rPr>
                <w:rFonts w:ascii="Arial Narrow" w:eastAsiaTheme="minorEastAsia" w:hAnsi="Arial Narrow"/>
                <w:noProof/>
                <w:color w:val="006100"/>
                <w:sz w:val="20"/>
                <w:szCs w:val="20"/>
                <w:lang w:val="en-IE"/>
              </w:rPr>
              <w:t>has a focus on the skills needed for the green and digital transitions;</w:t>
            </w:r>
          </w:p>
          <w:p w14:paraId="0E5C59AD" w14:textId="77777777" w:rsidR="0039681A" w:rsidRPr="00903B92" w:rsidRDefault="0039681A">
            <w:pPr>
              <w:spacing w:line="240" w:lineRule="auto"/>
              <w:rPr>
                <w:rFonts w:ascii="Arial Narrow" w:hAnsi="Arial Narrow"/>
                <w:noProof/>
                <w:color w:val="006100"/>
                <w:sz w:val="20"/>
                <w:szCs w:val="20"/>
              </w:rPr>
            </w:pPr>
            <w:r w:rsidRPr="00903B92">
              <w:rPr>
                <w:rFonts w:ascii="Arial Narrow" w:hAnsi="Arial Narrow"/>
                <w:noProof/>
                <w:color w:val="006100"/>
                <w:sz w:val="20"/>
                <w:szCs w:val="20"/>
              </w:rPr>
              <w:t>and/or</w:t>
            </w:r>
          </w:p>
          <w:p w14:paraId="07E90CEE" w14:textId="77777777" w:rsidR="0039681A" w:rsidRPr="00A36E36" w:rsidRDefault="0039681A" w:rsidP="0039681A">
            <w:pPr>
              <w:pStyle w:val="ListParagraph"/>
              <w:numPr>
                <w:ilvl w:val="0"/>
                <w:numId w:val="157"/>
              </w:numPr>
              <w:spacing w:before="120" w:after="120" w:line="240" w:lineRule="auto"/>
              <w:jc w:val="both"/>
              <w:rPr>
                <w:rFonts w:ascii="Arial Narrow" w:eastAsiaTheme="minorEastAsia" w:hAnsi="Arial Narrow"/>
                <w:noProof/>
                <w:color w:val="006100"/>
                <w:sz w:val="20"/>
                <w:szCs w:val="20"/>
                <w:lang w:val="en-IE"/>
              </w:rPr>
            </w:pPr>
            <w:r w:rsidRPr="00A36E36">
              <w:rPr>
                <w:rFonts w:ascii="Arial Narrow" w:eastAsiaTheme="minorEastAsia" w:hAnsi="Arial Narrow"/>
                <w:noProof/>
                <w:color w:val="006100"/>
                <w:sz w:val="20"/>
                <w:szCs w:val="20"/>
                <w:lang w:val="en-IE"/>
              </w:rPr>
              <w:t>Validate training and their outcomes through the release of certificates,</w:t>
            </w:r>
            <w:r w:rsidRPr="00E74433">
              <w:rPr>
                <w:rFonts w:ascii="Arial Narrow" w:eastAsiaTheme="minorEastAsia" w:hAnsi="Arial Narrow"/>
                <w:noProof/>
                <w:color w:val="006100"/>
                <w:sz w:val="20"/>
                <w:szCs w:val="20"/>
                <w:lang w:val="en-IE"/>
              </w:rPr>
              <w:t xml:space="preserve"> according to common minimum standards, for:</w:t>
            </w:r>
          </w:p>
          <w:p w14:paraId="12A1BA17" w14:textId="77777777" w:rsidR="0039681A" w:rsidRPr="00E74433" w:rsidRDefault="0039681A" w:rsidP="0039681A">
            <w:pPr>
              <w:pStyle w:val="ListParagraph"/>
              <w:numPr>
                <w:ilvl w:val="0"/>
                <w:numId w:val="158"/>
              </w:numPr>
              <w:spacing w:line="240" w:lineRule="auto"/>
              <w:rPr>
                <w:rFonts w:ascii="Arial Narrow" w:eastAsiaTheme="minorEastAsia" w:hAnsi="Arial Narrow"/>
                <w:noProof/>
                <w:color w:val="006100"/>
                <w:sz w:val="20"/>
                <w:szCs w:val="20"/>
              </w:rPr>
            </w:pPr>
            <w:r w:rsidRPr="00E74433">
              <w:rPr>
                <w:rFonts w:ascii="Arial Narrow" w:eastAsiaTheme="minorEastAsia" w:hAnsi="Arial Narrow"/>
                <w:noProof/>
                <w:color w:val="006100"/>
                <w:sz w:val="20"/>
                <w:szCs w:val="20"/>
              </w:rPr>
              <w:t>in-compa</w:t>
            </w:r>
            <w:r w:rsidRPr="21103103">
              <w:rPr>
                <w:rFonts w:ascii="Arial Narrow" w:eastAsiaTheme="minorEastAsia" w:hAnsi="Arial Narrow"/>
                <w:noProof/>
                <w:color w:val="006100"/>
                <w:sz w:val="20"/>
                <w:szCs w:val="20"/>
              </w:rPr>
              <w:t>n</w:t>
            </w:r>
            <w:r w:rsidRPr="00E74433">
              <w:rPr>
                <w:rFonts w:ascii="Arial Narrow" w:eastAsiaTheme="minorEastAsia" w:hAnsi="Arial Narrow"/>
                <w:noProof/>
                <w:color w:val="006100"/>
                <w:sz w:val="20"/>
                <w:szCs w:val="20"/>
              </w:rPr>
              <w:t>y training, and/or</w:t>
            </w:r>
          </w:p>
          <w:p w14:paraId="616CBD99" w14:textId="77777777" w:rsidR="0039681A" w:rsidRPr="00E74433" w:rsidRDefault="0039681A" w:rsidP="0039681A">
            <w:pPr>
              <w:pStyle w:val="ListParagraph"/>
              <w:numPr>
                <w:ilvl w:val="0"/>
                <w:numId w:val="158"/>
              </w:numPr>
              <w:spacing w:line="240" w:lineRule="auto"/>
              <w:rPr>
                <w:rFonts w:ascii="Arial Narrow" w:eastAsiaTheme="minorEastAsia" w:hAnsi="Arial Narrow"/>
                <w:noProof/>
                <w:color w:val="196B24" w:themeColor="accent3"/>
                <w:sz w:val="20"/>
                <w:szCs w:val="20"/>
              </w:rPr>
            </w:pPr>
            <w:r w:rsidRPr="21103103">
              <w:rPr>
                <w:rFonts w:ascii="Arial Narrow" w:eastAsiaTheme="minorEastAsia" w:hAnsi="Arial Narrow"/>
                <w:noProof/>
                <w:color w:val="196B24" w:themeColor="accent3"/>
                <w:sz w:val="20"/>
                <w:szCs w:val="20"/>
              </w:rPr>
              <w:t>micro-credentials.</w:t>
            </w:r>
          </w:p>
          <w:p w14:paraId="23B28E18" w14:textId="77777777" w:rsidR="0039681A" w:rsidRPr="00E74433" w:rsidRDefault="0039681A">
            <w:pPr>
              <w:spacing w:line="240" w:lineRule="auto"/>
              <w:rPr>
                <w:rFonts w:ascii="Arial Narrow" w:hAnsi="Arial Narrow" w:cs="Times New Roman"/>
                <w:noProof/>
                <w:sz w:val="20"/>
                <w:szCs w:val="20"/>
                <w:lang w:val="en-IE"/>
              </w:rPr>
            </w:pPr>
            <w:r w:rsidRPr="00E74433">
              <w:rPr>
                <w:rFonts w:ascii="Arial Narrow" w:hAnsi="Arial Narrow"/>
                <w:noProof/>
                <w:color w:val="196B24" w:themeColor="accent3"/>
                <w:sz w:val="20"/>
                <w:szCs w:val="20"/>
                <w:lang w:val="en-IE"/>
              </w:rPr>
              <w:t>The legal acts shall enter into force for all the Italian Regions and Autonomous Province(s), excluding Bolzano and Valle d’Aosta.</w:t>
            </w:r>
          </w:p>
        </w:tc>
      </w:tr>
      <w:tr w:rsidR="0039681A" w:rsidRPr="0070054C" w14:paraId="3A0317C4"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E5A60" w14:textId="77777777" w:rsidR="0039681A" w:rsidRPr="00647572" w:rsidRDefault="0039681A">
            <w:pPr>
              <w:spacing w:after="120"/>
              <w:jc w:val="center"/>
              <w:rPr>
                <w:rFonts w:ascii="Arial Narrow" w:hAnsi="Arial Narrow"/>
                <w:noProof/>
                <w:color w:val="006100"/>
                <w:sz w:val="20"/>
                <w:szCs w:val="20"/>
              </w:rPr>
            </w:pPr>
            <w:r w:rsidRPr="02C26CF8">
              <w:rPr>
                <w:rFonts w:ascii="Arial Narrow" w:hAnsi="Arial Narrow"/>
                <w:noProof/>
                <w:color w:val="006100"/>
                <w:sz w:val="20"/>
                <w:szCs w:val="20"/>
              </w:rPr>
              <w:t>M7-11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8DDE01"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 Scale-up measure: Smart grids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8AB0FE" w14:textId="6BE3B266" w:rsidR="0039681A" w:rsidRPr="00647572" w:rsidRDefault="0039681A">
            <w:pPr>
              <w:spacing w:after="120"/>
              <w:jc w:val="center"/>
              <w:rPr>
                <w:rFonts w:ascii="Arial Narrow" w:hAnsi="Arial Narrow"/>
                <w:noProof/>
                <w:color w:val="006100"/>
                <w:sz w:val="20"/>
                <w:szCs w:val="20"/>
              </w:rPr>
            </w:pPr>
            <w:r w:rsidRPr="02C26CF8">
              <w:rPr>
                <w:rFonts w:ascii="Arial Narrow" w:hAnsi="Arial Narrow"/>
                <w:noProof/>
                <w:color w:val="006100"/>
                <w:sz w:val="20"/>
                <w:szCs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B4D7F0" w14:textId="3DD9DD5B" w:rsidR="0039681A" w:rsidRPr="00A36E36" w:rsidRDefault="0039681A" w:rsidP="00351087">
            <w:pPr>
              <w:spacing w:after="120"/>
              <w:jc w:val="center"/>
              <w:rPr>
                <w:rFonts w:ascii="Arial Narrow" w:hAnsi="Arial Narrow"/>
                <w:noProof/>
                <w:color w:val="006100"/>
                <w:sz w:val="20"/>
                <w:szCs w:val="20"/>
                <w:lang w:val="en-IE"/>
              </w:rPr>
            </w:pPr>
            <w:r w:rsidRPr="20828445">
              <w:rPr>
                <w:rFonts w:ascii="Arial Narrow" w:hAnsi="Arial Narrow"/>
                <w:noProof/>
                <w:color w:val="006100"/>
                <w:sz w:val="20"/>
                <w:szCs w:val="20"/>
                <w:lang w:val="en-IE"/>
              </w:rPr>
              <w:t>Increase</w:t>
            </w:r>
            <w:r>
              <w:rPr>
                <w:rFonts w:ascii="Arial Narrow" w:hAnsi="Arial Narrow"/>
                <w:noProof/>
                <w:color w:val="006100"/>
                <w:sz w:val="20"/>
                <w:szCs w:val="20"/>
                <w:lang w:val="en-IE"/>
              </w:rPr>
              <w:t xml:space="preserve"> in maximum power delivered for consumption</w:t>
            </w:r>
            <w:r w:rsidRPr="20828445">
              <w:rPr>
                <w:rFonts w:ascii="Arial Narrow" w:hAnsi="Arial Narrow"/>
                <w:noProof/>
                <w:color w:val="006100"/>
                <w:sz w:val="20"/>
                <w:szCs w:val="20"/>
                <w:lang w:val="en-IE"/>
              </w:rPr>
              <w:t xml:space="preserve"> by the grid</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CCFFF4" w14:textId="6A0DCE23" w:rsidR="0039681A" w:rsidRPr="00A36E36" w:rsidRDefault="0039681A" w:rsidP="00351087">
            <w:pPr>
              <w:spacing w:after="120"/>
              <w:jc w:val="center"/>
              <w:rPr>
                <w:rFonts w:ascii="Arial Narrow" w:hAnsi="Arial Narrow"/>
                <w:noProof/>
                <w:color w:val="006100"/>
                <w:sz w:val="20"/>
                <w:szCs w:val="20"/>
                <w:lang w:val="en-IE"/>
              </w:rPr>
            </w:pPr>
            <w:r>
              <w:rPr>
                <w:rFonts w:ascii="Arial Narrow" w:hAnsi="Arial Narrow"/>
                <w:noProof/>
                <w:color w:val="006100"/>
                <w:sz w:val="20"/>
                <w:szCs w:val="20"/>
                <w:lang w:val="en-IE"/>
              </w:rPr>
              <w:t>Interventions carried out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8437D0" w14:textId="2EAA0C01" w:rsidR="0039681A" w:rsidRPr="00647572" w:rsidRDefault="0039681A">
            <w:pPr>
              <w:spacing w:after="120"/>
              <w:jc w:val="center"/>
              <w:rPr>
                <w:rFonts w:ascii="Arial Narrow" w:hAnsi="Arial Narrow"/>
                <w:noProof/>
                <w:color w:val="006100"/>
                <w:sz w:val="20"/>
                <w:szCs w:val="20"/>
              </w:rPr>
            </w:pPr>
            <w:r w:rsidRPr="02C26CF8">
              <w:rPr>
                <w:rFonts w:ascii="Arial Narrow" w:hAnsi="Arial Narrow"/>
                <w:noProof/>
                <w:color w:val="006100"/>
                <w:sz w:val="20"/>
                <w:szCs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5E1049" w14:textId="4C9B3C6F" w:rsidR="0039681A" w:rsidRPr="00647572" w:rsidRDefault="0039681A">
            <w:pPr>
              <w:spacing w:after="120"/>
              <w:jc w:val="center"/>
              <w:rPr>
                <w:rFonts w:ascii="Arial Narrow" w:hAnsi="Arial Narrow"/>
                <w:noProof/>
                <w:color w:val="006100"/>
                <w:sz w:val="20"/>
                <w:szCs w:val="20"/>
              </w:rPr>
            </w:pPr>
            <w:r w:rsidRPr="02C26CF8">
              <w:rPr>
                <w:rFonts w:ascii="Arial Narrow" w:hAnsi="Arial Narrow"/>
                <w:noProof/>
                <w:color w:val="006100"/>
                <w:sz w:val="20"/>
                <w:szCs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A3A5C0" w14:textId="7A6A3F65" w:rsidR="0039681A" w:rsidRPr="00647572" w:rsidRDefault="0039681A">
            <w:pPr>
              <w:spacing w:after="120"/>
              <w:jc w:val="center"/>
              <w:rPr>
                <w:rFonts w:ascii="Arial Narrow" w:hAnsi="Arial Narrow"/>
                <w:noProof/>
                <w:color w:val="006100"/>
                <w:sz w:val="20"/>
                <w:szCs w:val="20"/>
              </w:rPr>
            </w:pPr>
            <w:r w:rsidRPr="02C26CF8">
              <w:rPr>
                <w:rFonts w:ascii="Arial Narrow" w:hAnsi="Arial Narrow"/>
                <w:noProof/>
                <w:color w:val="006100"/>
                <w:sz w:val="20"/>
                <w:szCs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1A796F"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B18A7E"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ABE4B" w14:textId="60BD8280" w:rsidR="0039681A" w:rsidRPr="00324E17" w:rsidRDefault="0039681A" w:rsidP="00324E17">
            <w:pPr>
              <w:spacing w:after="0" w:line="230" w:lineRule="auto"/>
              <w:ind w:right="144"/>
              <w:rPr>
                <w:rFonts w:ascii="Arial Narrow" w:hAnsi="Arial Narrow"/>
                <w:noProof/>
                <w:color w:val="006100"/>
                <w:sz w:val="20"/>
                <w:szCs w:val="20"/>
                <w:lang w:val="en-IE"/>
              </w:rPr>
            </w:pPr>
            <w:r>
              <w:rPr>
                <w:rFonts w:ascii="Arial Narrow" w:hAnsi="Arial Narrow"/>
                <w:noProof/>
                <w:color w:val="006100"/>
                <w:sz w:val="20"/>
                <w:szCs w:val="20"/>
                <w:lang w:val="en-IE"/>
              </w:rPr>
              <w:t xml:space="preserve">Independent engineer report(s) certifying that </w:t>
            </w:r>
            <w:r w:rsidRPr="2A313B6D">
              <w:rPr>
                <w:rFonts w:ascii="Arial Narrow" w:hAnsi="Arial Narrow"/>
                <w:noProof/>
                <w:color w:val="006100"/>
                <w:sz w:val="20"/>
                <w:szCs w:val="20"/>
                <w:lang w:val="en-IE"/>
              </w:rPr>
              <w:t xml:space="preserve">interventions </w:t>
            </w:r>
            <w:r>
              <w:rPr>
                <w:rFonts w:ascii="Arial Narrow" w:hAnsi="Arial Narrow"/>
                <w:noProof/>
                <w:color w:val="006100"/>
                <w:sz w:val="20"/>
                <w:szCs w:val="20"/>
                <w:lang w:val="en-IE"/>
              </w:rPr>
              <w:t>have been carried out</w:t>
            </w:r>
            <w:r w:rsidRPr="2A313B6D">
              <w:rPr>
                <w:rFonts w:ascii="Arial Narrow" w:hAnsi="Arial Narrow"/>
                <w:noProof/>
                <w:color w:val="006100"/>
                <w:sz w:val="20"/>
                <w:szCs w:val="20"/>
                <w:lang w:val="en-IE"/>
              </w:rPr>
              <w:t xml:space="preserve"> resulting in an increase in the maximum power delivered for consumption by the grid for a number of Points Of Delivery corresponding to at least 230 000 inhabitants on top of the 1</w:t>
            </w:r>
            <w:r w:rsidR="00D221E7">
              <w:rPr>
                <w:rFonts w:ascii="Arial Narrow" w:hAnsi="Arial Narrow"/>
                <w:noProof/>
                <w:color w:val="006100"/>
                <w:sz w:val="20"/>
                <w:szCs w:val="20"/>
                <w:lang w:val="en-IE"/>
              </w:rPr>
              <w:t> </w:t>
            </w:r>
            <w:r w:rsidRPr="2A313B6D">
              <w:rPr>
                <w:rFonts w:ascii="Arial Narrow" w:hAnsi="Arial Narrow"/>
                <w:noProof/>
                <w:color w:val="006100"/>
                <w:sz w:val="20"/>
                <w:szCs w:val="20"/>
                <w:lang w:val="en-IE"/>
              </w:rPr>
              <w:t>500</w:t>
            </w:r>
            <w:r w:rsidR="00F025C3">
              <w:rPr>
                <w:rFonts w:ascii="Arial Narrow" w:hAnsi="Arial Narrow"/>
                <w:noProof/>
                <w:color w:val="006100"/>
                <w:sz w:val="20"/>
                <w:szCs w:val="20"/>
                <w:lang w:val="en-IE"/>
              </w:rPr>
              <w:t> </w:t>
            </w:r>
            <w:r w:rsidRPr="2A313B6D">
              <w:rPr>
                <w:rFonts w:ascii="Arial Narrow" w:hAnsi="Arial Narrow"/>
                <w:noProof/>
                <w:color w:val="006100"/>
                <w:sz w:val="20"/>
                <w:szCs w:val="20"/>
                <w:lang w:val="en-IE"/>
              </w:rPr>
              <w:t>000 inhabitants under M2C2-10</w:t>
            </w:r>
            <w:r>
              <w:rPr>
                <w:rFonts w:ascii="Arial Narrow" w:hAnsi="Arial Narrow"/>
                <w:noProof/>
                <w:color w:val="006100"/>
                <w:sz w:val="20"/>
                <w:szCs w:val="20"/>
                <w:lang w:val="en-IE"/>
              </w:rPr>
              <w:t>.</w:t>
            </w:r>
          </w:p>
        </w:tc>
      </w:tr>
      <w:tr w:rsidR="0039681A" w:rsidRPr="0070054C" w14:paraId="1005F1E9"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B38FD9" w14:textId="77777777" w:rsidR="0039681A" w:rsidRPr="00324E17" w:rsidRDefault="0039681A">
            <w:pPr>
              <w:spacing w:after="120"/>
              <w:jc w:val="center"/>
              <w:rPr>
                <w:rFonts w:ascii="Arial Narrow" w:hAnsi="Arial Narrow"/>
                <w:noProof/>
                <w:color w:val="006100"/>
                <w:sz w:val="20"/>
                <w:szCs w:val="20"/>
              </w:rPr>
            </w:pPr>
            <w:r w:rsidRPr="00324E17">
              <w:rPr>
                <w:rFonts w:ascii="Arial Narrow" w:hAnsi="Arial Narrow"/>
                <w:noProof/>
                <w:color w:val="006100"/>
                <w:sz w:val="20"/>
                <w:szCs w:val="20"/>
              </w:rPr>
              <w:t>M7-12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242E9" w14:textId="77777777" w:rsidR="0039681A" w:rsidRPr="00324E17" w:rsidRDefault="0039681A">
            <w:pPr>
              <w:spacing w:after="120"/>
              <w:jc w:val="center"/>
              <w:rPr>
                <w:rFonts w:ascii="Arial Narrow" w:hAnsi="Arial Narrow"/>
                <w:noProof/>
                <w:color w:val="006100"/>
                <w:sz w:val="20"/>
                <w:szCs w:val="20"/>
                <w:lang w:val="en-IE"/>
              </w:rPr>
            </w:pPr>
            <w:r w:rsidRPr="00324E17">
              <w:rPr>
                <w:rFonts w:ascii="Arial Narrow" w:hAnsi="Arial Narrow"/>
                <w:noProof/>
                <w:color w:val="006100"/>
                <w:sz w:val="20"/>
                <w:lang w:val="en-IE"/>
              </w:rPr>
              <w:t>Investment 2: Scale-up measure: Interventions to increase the resilience of power grid</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EDBEA1" w14:textId="45261AB4" w:rsidR="0039681A" w:rsidRPr="00324E17" w:rsidRDefault="0039681A">
            <w:pPr>
              <w:spacing w:after="120"/>
              <w:jc w:val="center"/>
              <w:rPr>
                <w:rFonts w:ascii="Arial Narrow" w:hAnsi="Arial Narrow"/>
                <w:noProof/>
                <w:color w:val="006100"/>
                <w:sz w:val="20"/>
                <w:szCs w:val="20"/>
              </w:rPr>
            </w:pPr>
            <w:r w:rsidRPr="00324E17">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B72C76" w14:textId="36CD39A5" w:rsidR="0039681A" w:rsidRPr="00324E17" w:rsidRDefault="0039681A">
            <w:pPr>
              <w:spacing w:after="120"/>
              <w:jc w:val="center"/>
              <w:rPr>
                <w:rFonts w:ascii="Arial Narrow" w:hAnsi="Arial Narrow"/>
                <w:noProof/>
                <w:color w:val="006100"/>
                <w:sz w:val="20"/>
                <w:szCs w:val="20"/>
                <w:lang w:val="en-IE"/>
              </w:rPr>
            </w:pPr>
            <w:r w:rsidRPr="00324E17">
              <w:rPr>
                <w:rFonts w:ascii="Arial Narrow" w:hAnsi="Arial Narrow"/>
                <w:noProof/>
                <w:color w:val="006100"/>
                <w:sz w:val="20"/>
                <w:szCs w:val="20"/>
                <w:lang w:val="en-IE"/>
              </w:rPr>
              <w:t>Increase the resilience of the electric grid</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317C04" w14:textId="77777777" w:rsidR="0039681A" w:rsidRPr="00324E17" w:rsidRDefault="0039681A" w:rsidP="00351087">
            <w:pPr>
              <w:spacing w:after="120"/>
              <w:jc w:val="center"/>
              <w:rPr>
                <w:rFonts w:ascii="Arial Narrow" w:hAnsi="Arial Narrow"/>
                <w:noProof/>
                <w:color w:val="006100"/>
                <w:sz w:val="20"/>
                <w:szCs w:val="20"/>
                <w:lang w:val="en-IE"/>
              </w:rPr>
            </w:pPr>
            <w:r w:rsidRPr="00324E17">
              <w:rPr>
                <w:rFonts w:ascii="Arial Narrow" w:hAnsi="Arial Narrow"/>
                <w:noProof/>
                <w:color w:val="006100"/>
                <w:sz w:val="20"/>
                <w:szCs w:val="20"/>
                <w:lang w:val="en-IE"/>
              </w:rPr>
              <w:t>Interventions carried out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F746D" w14:textId="7A2949C0" w:rsidR="0039681A" w:rsidRPr="00324E17" w:rsidRDefault="0039681A">
            <w:pPr>
              <w:spacing w:after="120"/>
              <w:jc w:val="center"/>
              <w:rPr>
                <w:rFonts w:ascii="Arial Narrow" w:eastAsia="Arial Narrow" w:hAnsi="Arial Narrow" w:cs="Arial Narrow"/>
                <w:noProof/>
                <w:sz w:val="20"/>
                <w:szCs w:val="20"/>
              </w:rPr>
            </w:pPr>
            <w:r w:rsidRPr="00324E17">
              <w:rPr>
                <w:rFonts w:ascii="Arial Narrow" w:hAnsi="Arial Narrow"/>
                <w:noProof/>
                <w:color w:val="006100"/>
                <w:sz w:val="20"/>
                <w:szCs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D264AB" w14:textId="1CFF50A6" w:rsidR="0039681A" w:rsidRPr="00324E17" w:rsidRDefault="0039681A">
            <w:pPr>
              <w:spacing w:after="120"/>
              <w:jc w:val="center"/>
              <w:rPr>
                <w:rFonts w:ascii="Arial Narrow" w:hAnsi="Arial Narrow"/>
                <w:noProof/>
                <w:color w:val="006100"/>
                <w:sz w:val="20"/>
                <w:szCs w:val="20"/>
              </w:rPr>
            </w:pPr>
            <w:r w:rsidRPr="00324E17">
              <w:rPr>
                <w:rFonts w:ascii="Arial Narrow" w:hAnsi="Arial Narrow"/>
                <w:noProof/>
                <w:color w:val="006100"/>
                <w:sz w:val="20"/>
                <w:szCs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6CE39E" w14:textId="09C5BA90" w:rsidR="0039681A" w:rsidRPr="00324E17" w:rsidRDefault="0039681A" w:rsidP="00351087">
            <w:pPr>
              <w:spacing w:after="120"/>
              <w:jc w:val="center"/>
              <w:rPr>
                <w:rFonts w:ascii="Arial Narrow" w:hAnsi="Arial Narrow"/>
                <w:noProof/>
                <w:color w:val="006100"/>
                <w:sz w:val="20"/>
                <w:szCs w:val="20"/>
              </w:rPr>
            </w:pPr>
            <w:r w:rsidRPr="00324E17">
              <w:rPr>
                <w:rFonts w:ascii="Arial Narrow" w:hAnsi="Arial Narrow"/>
                <w:noProof/>
                <w:color w:val="006100"/>
                <w:sz w:val="20"/>
                <w:szCs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64E2AA" w14:textId="77777777" w:rsidR="0039681A" w:rsidRPr="00324E17" w:rsidRDefault="0039681A">
            <w:pPr>
              <w:spacing w:after="120"/>
              <w:jc w:val="center"/>
              <w:rPr>
                <w:rFonts w:ascii="Arial Narrow" w:hAnsi="Arial Narrow"/>
                <w:noProof/>
                <w:color w:val="006100"/>
                <w:sz w:val="20"/>
                <w:szCs w:val="20"/>
              </w:rPr>
            </w:pPr>
            <w:r w:rsidRPr="00324E17">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586B6D" w14:textId="77777777" w:rsidR="0039681A" w:rsidRPr="00324E17" w:rsidRDefault="0039681A">
            <w:pPr>
              <w:spacing w:after="120"/>
              <w:jc w:val="center"/>
              <w:rPr>
                <w:rFonts w:ascii="Arial Narrow" w:hAnsi="Arial Narrow"/>
                <w:noProof/>
                <w:color w:val="006100"/>
                <w:sz w:val="20"/>
                <w:szCs w:val="20"/>
              </w:rPr>
            </w:pPr>
            <w:r w:rsidRPr="00324E17">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FCD1B5" w14:textId="490A6334" w:rsidR="0039681A" w:rsidRPr="00324E17" w:rsidRDefault="0039681A" w:rsidP="00324E17">
            <w:pPr>
              <w:spacing w:after="0" w:line="230" w:lineRule="auto"/>
              <w:ind w:right="144"/>
              <w:rPr>
                <w:rFonts w:ascii="Arial Narrow" w:hAnsi="Arial Narrow"/>
                <w:noProof/>
                <w:color w:val="006100"/>
                <w:sz w:val="20"/>
                <w:szCs w:val="20"/>
                <w:lang w:val="en-IE"/>
              </w:rPr>
            </w:pPr>
            <w:r w:rsidRPr="00324E17">
              <w:rPr>
                <w:rFonts w:ascii="Arial Narrow" w:hAnsi="Arial Narrow"/>
                <w:noProof/>
                <w:color w:val="006100"/>
                <w:sz w:val="20"/>
                <w:szCs w:val="20"/>
                <w:lang w:val="en-IE"/>
              </w:rPr>
              <w:t>Independent engineer report(s) certifying that interventions have been carried out corresponding to an increase in resilience of at least 648 km of electric grid on top of the 4</w:t>
            </w:r>
            <w:r w:rsidR="00F025C3" w:rsidRPr="00324E17">
              <w:rPr>
                <w:rFonts w:ascii="Arial Narrow" w:hAnsi="Arial Narrow"/>
                <w:noProof/>
                <w:color w:val="006100"/>
                <w:sz w:val="20"/>
                <w:szCs w:val="20"/>
                <w:lang w:val="en-IE"/>
              </w:rPr>
              <w:t> </w:t>
            </w:r>
            <w:r w:rsidRPr="00324E17">
              <w:rPr>
                <w:rFonts w:ascii="Arial Narrow" w:hAnsi="Arial Narrow"/>
                <w:noProof/>
                <w:color w:val="006100"/>
                <w:sz w:val="20"/>
                <w:szCs w:val="20"/>
                <w:lang w:val="en-IE"/>
              </w:rPr>
              <w:t xml:space="preserve">000 km under M2C2-13). </w:t>
            </w:r>
          </w:p>
        </w:tc>
      </w:tr>
      <w:tr w:rsidR="0039681A" w:rsidRPr="0070054C" w14:paraId="52DF1DEC"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1E335D"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M7-13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A547B5"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3: Scale-up measure: Production of Hydrogen in brownfield sites (Hydrogen Valleys)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BCCB2F"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CBC182" w14:textId="6921F692" w:rsidR="0039681A" w:rsidRPr="00647572" w:rsidRDefault="0039681A">
            <w:pPr>
              <w:spacing w:after="120"/>
              <w:jc w:val="center"/>
              <w:rPr>
                <w:rFonts w:ascii="Arial Narrow" w:hAnsi="Arial Narrow"/>
                <w:noProof/>
                <w:color w:val="006100"/>
                <w:sz w:val="20"/>
                <w:szCs w:val="20"/>
              </w:rPr>
            </w:pPr>
            <w:r>
              <w:rPr>
                <w:rFonts w:ascii="Arial Narrow" w:hAnsi="Arial Narrow"/>
                <w:noProof/>
                <w:color w:val="006100"/>
                <w:sz w:val="20"/>
                <w:szCs w:val="20"/>
              </w:rPr>
              <w:t>Electrolysers installed</w:t>
            </w:r>
            <w:r w:rsidRPr="00647572">
              <w:rPr>
                <w:rFonts w:ascii="Arial Narrow" w:hAnsi="Arial Narrow"/>
                <w:noProof/>
                <w:color w:val="006100"/>
                <w:sz w:val="20"/>
                <w:szCs w:val="20"/>
              </w:rPr>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CB8699" w14:textId="77777777" w:rsidR="0039681A" w:rsidRPr="00647572" w:rsidRDefault="0039681A">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F7646A"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D3FF43"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F4957D"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12</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7C8AE"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7AA72F"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6C861A" w14:textId="56FD1D73" w:rsidR="0039681A" w:rsidRPr="00A36E36" w:rsidRDefault="0039681A">
            <w:pPr>
              <w:spacing w:after="120"/>
              <w:jc w:val="both"/>
              <w:rPr>
                <w:rFonts w:ascii="Arial Narrow" w:hAnsi="Arial Narrow"/>
                <w:noProof/>
                <w:color w:val="006100"/>
                <w:sz w:val="20"/>
                <w:szCs w:val="20"/>
                <w:lang w:val="en-IE"/>
              </w:rPr>
            </w:pPr>
            <w:r>
              <w:rPr>
                <w:rFonts w:ascii="Arial Narrow" w:hAnsi="Arial Narrow"/>
                <w:noProof/>
                <w:color w:val="006100"/>
                <w:sz w:val="20"/>
                <w:szCs w:val="20"/>
                <w:lang w:val="en-IE"/>
              </w:rPr>
              <w:t xml:space="preserve">Installation of 12 electrolysers of a capacity of at least 1 MW each within 12 hydrogen valley projects. </w:t>
            </w:r>
          </w:p>
          <w:p w14:paraId="7461469E" w14:textId="77777777" w:rsidR="0039681A" w:rsidRPr="00A36E36" w:rsidRDefault="0039681A">
            <w:pPr>
              <w:spacing w:after="120"/>
              <w:rPr>
                <w:rFonts w:ascii="Arial Narrow" w:hAnsi="Arial Narrow"/>
                <w:noProof/>
                <w:color w:val="006100"/>
                <w:sz w:val="20"/>
                <w:szCs w:val="20"/>
                <w:lang w:val="en-IE"/>
              </w:rPr>
            </w:pPr>
            <w:r w:rsidRPr="1B2CD392">
              <w:rPr>
                <w:rFonts w:ascii="Arial Narrow" w:hAnsi="Arial Narrow"/>
                <w:noProof/>
                <w:color w:val="006100"/>
                <w:sz w:val="20"/>
                <w:szCs w:val="20"/>
                <w:lang w:val="en-IE"/>
              </w:rPr>
              <w:t>Connection cost estimates accepted or paid by the developer are issued for the electrolysers requiring grid connection.</w:t>
            </w:r>
          </w:p>
        </w:tc>
      </w:tr>
      <w:tr w:rsidR="0039681A" w:rsidRPr="0070054C" w14:paraId="2E17FE21"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8BD0C2"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M7-14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D47D25"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Investment 4: Tyrrhenian link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D19FAC"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78246"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Award of contracts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7D636A"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contracts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5BA4E4"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D167F8" w14:textId="77777777" w:rsidR="0039681A" w:rsidRPr="00A36E36" w:rsidRDefault="0039681A">
            <w:pPr>
              <w:spacing w:after="120"/>
              <w:jc w:val="center"/>
              <w:rPr>
                <w:rFonts w:ascii="Arial Narrow" w:hAnsi="Arial Narrow"/>
                <w:noProof/>
                <w:color w:val="006100"/>
                <w:sz w:val="20"/>
                <w:szCs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8E3DDC" w14:textId="77777777" w:rsidR="0039681A" w:rsidRPr="00A36E36" w:rsidRDefault="0039681A">
            <w:pPr>
              <w:spacing w:after="120"/>
              <w:jc w:val="center"/>
              <w:rPr>
                <w:rFonts w:ascii="Arial Narrow" w:hAnsi="Arial Narrow"/>
                <w:noProof/>
                <w:color w:val="006100"/>
                <w:sz w:val="20"/>
                <w:szCs w:val="20"/>
                <w:lang w:val="en-IE"/>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E7CD34"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Q3</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B82B25"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5BE975"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award of all the contracts for the works necessary for the laying of 511 km of cables connecting Caracoli to Eboli.</w:t>
            </w:r>
          </w:p>
        </w:tc>
      </w:tr>
      <w:tr w:rsidR="0039681A" w:rsidRPr="0070054C" w14:paraId="3300214B"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7CFC8C"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M7-15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F1686A"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Investment 4: Tyrrhenian link</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3F9762"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9F3B3C"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C</w:t>
            </w:r>
            <w:r w:rsidRPr="00647572">
              <w:rPr>
                <w:rFonts w:ascii="Arial Narrow" w:hAnsi="Arial Narrow"/>
                <w:noProof/>
                <w:color w:val="006100"/>
                <w:sz w:val="20"/>
              </w:rPr>
              <w:t>able</w:t>
            </w:r>
            <w:r>
              <w:rPr>
                <w:rFonts w:ascii="Arial Narrow" w:hAnsi="Arial Narrow"/>
                <w:noProof/>
                <w:color w:val="006100"/>
                <w:sz w:val="20"/>
              </w:rPr>
              <w:t>(s)</w:t>
            </w:r>
            <w:r w:rsidRPr="00647572">
              <w:rPr>
                <w:rFonts w:ascii="Arial Narrow" w:hAnsi="Arial Narrow"/>
                <w:noProof/>
                <w:color w:val="006100"/>
                <w:sz w:val="20"/>
              </w:rPr>
              <w:t xml:space="preserve"> laid down</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01BDA" w14:textId="1B309C5E" w:rsidR="0039681A" w:rsidRPr="00A36E36" w:rsidRDefault="0039681A" w:rsidP="00351087">
            <w:pPr>
              <w:spacing w:after="120"/>
              <w:jc w:val="center"/>
              <w:rPr>
                <w:rFonts w:ascii="Arial Narrow" w:hAnsi="Arial Narrow"/>
                <w:noProof/>
                <w:color w:val="006100"/>
                <w:sz w:val="20"/>
                <w:szCs w:val="20"/>
                <w:lang w:val="en-IE"/>
              </w:rPr>
            </w:pPr>
            <w:r w:rsidRPr="1B2CD392">
              <w:rPr>
                <w:rFonts w:ascii="Arial Narrow" w:hAnsi="Arial Narrow"/>
                <w:noProof/>
                <w:color w:val="006100"/>
                <w:sz w:val="20"/>
                <w:szCs w:val="20"/>
                <w:lang w:val="en-IE"/>
              </w:rPr>
              <w:t>Works carried out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956BB" w14:textId="77777777" w:rsidR="0039681A" w:rsidRPr="00A36E36" w:rsidRDefault="0039681A" w:rsidP="00351087">
            <w:pPr>
              <w:spacing w:after="120"/>
              <w:jc w:val="center"/>
              <w:rPr>
                <w:rFonts w:ascii="Arial Narrow" w:hAnsi="Arial Narrow"/>
                <w:noProof/>
                <w:color w:val="006100"/>
                <w:sz w:val="20"/>
                <w:szCs w:val="20"/>
                <w:lang w:val="en-IE"/>
              </w:rPr>
            </w:pPr>
            <w:r w:rsidRPr="2A313B6D">
              <w:rPr>
                <w:rFonts w:ascii="Arial Narrow" w:hAnsi="Arial Narrow"/>
                <w:noProof/>
                <w:color w:val="006100"/>
                <w:sz w:val="20"/>
                <w:szCs w:val="20"/>
                <w:lang w:val="en-I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F12A49" w14:textId="77777777" w:rsidR="0039681A" w:rsidRPr="00A36E36" w:rsidRDefault="0039681A">
            <w:pPr>
              <w:spacing w:after="120"/>
              <w:jc w:val="center"/>
              <w:rPr>
                <w:rFonts w:ascii="Arial Narrow" w:hAnsi="Arial Narrow"/>
                <w:noProof/>
                <w:color w:val="006100"/>
                <w:sz w:val="20"/>
                <w:szCs w:val="20"/>
                <w:lang w:val="en-IE"/>
              </w:rPr>
            </w:pPr>
            <w:r w:rsidRPr="1B5D7A91">
              <w:rPr>
                <w:rFonts w:ascii="Arial Narrow" w:hAnsi="Arial Narrow"/>
                <w:noProof/>
                <w:color w:val="006100"/>
                <w:sz w:val="20"/>
                <w:szCs w:val="20"/>
                <w:lang w:val="en-I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01128" w14:textId="77777777" w:rsidR="0039681A" w:rsidRPr="00A36E36" w:rsidRDefault="0039681A">
            <w:pPr>
              <w:spacing w:after="120"/>
              <w:jc w:val="center"/>
              <w:rPr>
                <w:rFonts w:ascii="Arial Narrow" w:hAnsi="Arial Narrow"/>
                <w:noProof/>
                <w:color w:val="006100"/>
                <w:sz w:val="20"/>
                <w:szCs w:val="20"/>
                <w:lang w:val="en-IE"/>
              </w:rPr>
            </w:pPr>
            <w:r w:rsidRPr="2A313B6D">
              <w:rPr>
                <w:rFonts w:ascii="Arial Narrow" w:hAnsi="Arial Narrow"/>
                <w:noProof/>
                <w:color w:val="006100"/>
                <w:sz w:val="20"/>
                <w:szCs w:val="20"/>
                <w:lang w:val="en-I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CEEED0"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ACA61C"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6D6673" w14:textId="308449A3" w:rsidR="0039681A" w:rsidRPr="00A36E36" w:rsidRDefault="0039681A">
            <w:pPr>
              <w:spacing w:after="120"/>
              <w:rPr>
                <w:rFonts w:ascii="Arial Narrow" w:hAnsi="Arial Narrow"/>
                <w:noProof/>
                <w:color w:val="006100"/>
                <w:sz w:val="20"/>
                <w:szCs w:val="20"/>
                <w:lang w:val="en-IE"/>
              </w:rPr>
            </w:pPr>
            <w:r w:rsidRPr="1B2CD392">
              <w:rPr>
                <w:rFonts w:ascii="Arial Narrow" w:hAnsi="Arial Narrow"/>
                <w:noProof/>
                <w:color w:val="006100"/>
                <w:sz w:val="20"/>
                <w:szCs w:val="20"/>
                <w:lang w:val="en-IE"/>
              </w:rPr>
              <w:t>Works for laying down the East link Pole 1 cable(s) connecting Sicily to Campania and ensuring a nominal capacity of 500 MW have been carried out.</w:t>
            </w:r>
          </w:p>
        </w:tc>
      </w:tr>
      <w:tr w:rsidR="0039681A" w:rsidRPr="0070054C" w14:paraId="02B565EA"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A1A15"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M7-16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75751"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Investment 5: SA.CO.I.3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FDA766"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0BE041"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Award of contracts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A6DC2E"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Award of contracts</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599DE3" w14:textId="77777777" w:rsidR="0039681A" w:rsidRPr="00647572" w:rsidRDefault="0039681A">
            <w:pPr>
              <w:spacing w:after="120"/>
              <w:jc w:val="center"/>
              <w:rPr>
                <w:rFonts w:ascii="Arial Narrow" w:hAnsi="Arial Narrow"/>
                <w:noProof/>
                <w:color w:val="FF00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AEAC1" w14:textId="77777777" w:rsidR="0039681A" w:rsidRPr="00647572" w:rsidRDefault="0039681A">
            <w:pPr>
              <w:spacing w:after="120"/>
              <w:jc w:val="center"/>
              <w:rPr>
                <w:rFonts w:ascii="Arial Narrow" w:hAnsi="Arial Narrow"/>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DCA70F" w14:textId="77777777" w:rsidR="0039681A" w:rsidRPr="00647572" w:rsidRDefault="0039681A">
            <w:pPr>
              <w:spacing w:after="120"/>
              <w:jc w:val="center"/>
              <w:rPr>
                <w:rFonts w:ascii="Arial Narrow" w:hAnsi="Arial Narrow"/>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1C616"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191973"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F23A5A"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Award of all the contracts for the works necessary for the completion of shells of the conversion stations of Sardinia and Tuscany.</w:t>
            </w:r>
          </w:p>
        </w:tc>
      </w:tr>
      <w:tr w:rsidR="0039681A" w:rsidRPr="0070054C" w14:paraId="0AFDD5E3"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1385F9"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M7-17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074B44"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Investment 5: SA.CO.I.3</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DF6E2C"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927011" w14:textId="5E09C815" w:rsidR="0039681A" w:rsidRPr="00A36E36" w:rsidRDefault="0039681A">
            <w:pPr>
              <w:spacing w:after="120"/>
              <w:jc w:val="center"/>
              <w:rPr>
                <w:rFonts w:ascii="Arial Narrow" w:hAnsi="Arial Narrow"/>
                <w:noProof/>
                <w:color w:val="006100"/>
                <w:sz w:val="20"/>
                <w:szCs w:val="20"/>
                <w:lang w:val="en-IE"/>
              </w:rPr>
            </w:pPr>
            <w:r>
              <w:rPr>
                <w:rFonts w:ascii="Arial Narrow" w:hAnsi="Arial Narrow"/>
                <w:noProof/>
                <w:color w:val="006100"/>
                <w:sz w:val="20"/>
                <w:lang w:val="en-IE"/>
              </w:rPr>
              <w:t>Construction</w:t>
            </w:r>
            <w:r w:rsidRPr="00A36E36">
              <w:rPr>
                <w:rFonts w:ascii="Arial Narrow" w:hAnsi="Arial Narrow"/>
                <w:noProof/>
                <w:color w:val="006100"/>
                <w:sz w:val="20"/>
                <w:lang w:val="en-IE"/>
              </w:rPr>
              <w:t xml:space="preserve"> of </w:t>
            </w:r>
            <w:r>
              <w:rPr>
                <w:rFonts w:ascii="Arial Narrow" w:hAnsi="Arial Narrow"/>
                <w:noProof/>
                <w:color w:val="006100"/>
                <w:sz w:val="20"/>
                <w:lang w:val="en-IE"/>
              </w:rPr>
              <w:t xml:space="preserve">the </w:t>
            </w:r>
            <w:r w:rsidRPr="00A36E36">
              <w:rPr>
                <w:rFonts w:ascii="Arial Narrow" w:hAnsi="Arial Narrow"/>
                <w:noProof/>
                <w:color w:val="006100"/>
                <w:sz w:val="20"/>
                <w:lang w:val="en-IE"/>
              </w:rPr>
              <w:t xml:space="preserve">shells of </w:t>
            </w:r>
            <w:r>
              <w:rPr>
                <w:rFonts w:ascii="Arial Narrow" w:hAnsi="Arial Narrow"/>
                <w:noProof/>
                <w:color w:val="006100"/>
                <w:sz w:val="20"/>
                <w:lang w:val="en-IE"/>
              </w:rPr>
              <w:t xml:space="preserve">the </w:t>
            </w:r>
            <w:r w:rsidRPr="00A36E36">
              <w:rPr>
                <w:rFonts w:ascii="Arial Narrow" w:hAnsi="Arial Narrow"/>
                <w:noProof/>
                <w:color w:val="006100"/>
                <w:sz w:val="20"/>
                <w:lang w:val="en-IE"/>
              </w:rPr>
              <w:t>conversion stations in Sardinia (Codrongianos) and Tuscany (Suvereto)</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20D19" w14:textId="2E04436A" w:rsidR="0039681A" w:rsidRPr="00A36E36" w:rsidRDefault="0039681A" w:rsidP="00351087">
            <w:pPr>
              <w:spacing w:after="120"/>
              <w:jc w:val="center"/>
              <w:rPr>
                <w:rFonts w:ascii="Arial Narrow" w:eastAsia="Arial Narrow" w:hAnsi="Arial Narrow" w:cs="Arial Narrow"/>
                <w:noProof/>
                <w:sz w:val="20"/>
                <w:szCs w:val="20"/>
                <w:lang w:val="en-IE"/>
              </w:rPr>
            </w:pPr>
            <w:r w:rsidRPr="389830E8">
              <w:rPr>
                <w:rFonts w:ascii="Arial Narrow" w:hAnsi="Arial Narrow"/>
                <w:noProof/>
                <w:color w:val="006100"/>
                <w:sz w:val="20"/>
                <w:szCs w:val="20"/>
                <w:lang w:val="en-IE"/>
              </w:rPr>
              <w:t xml:space="preserve"> </w:t>
            </w:r>
            <w:r w:rsidRPr="3DCF003D">
              <w:rPr>
                <w:rFonts w:ascii="Arial Narrow" w:hAnsi="Arial Narrow"/>
                <w:noProof/>
                <w:color w:val="006100"/>
                <w:sz w:val="20"/>
                <w:szCs w:val="20"/>
                <w:lang w:val="en-IE"/>
              </w:rPr>
              <w:t>Works carried out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1D5884" w14:textId="77777777" w:rsidR="0039681A" w:rsidRPr="00A36E36" w:rsidRDefault="0039681A">
            <w:pPr>
              <w:spacing w:after="120"/>
              <w:jc w:val="center"/>
              <w:rPr>
                <w:rFonts w:ascii="Arial Narrow" w:hAnsi="Arial Narrow"/>
                <w:noProof/>
                <w:color w:val="006100"/>
                <w:sz w:val="20"/>
                <w:szCs w:val="20"/>
                <w:lang w:val="en-IE"/>
              </w:rPr>
            </w:pPr>
            <w:r w:rsidRPr="2A313B6D">
              <w:rPr>
                <w:rFonts w:ascii="Arial Narrow" w:hAnsi="Arial Narrow"/>
                <w:noProof/>
                <w:color w:val="006100"/>
                <w:sz w:val="20"/>
                <w:szCs w:val="20"/>
                <w:lang w:val="en-I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D99107" w14:textId="77777777" w:rsidR="0039681A" w:rsidRPr="00A36E36" w:rsidRDefault="0039681A">
            <w:pPr>
              <w:spacing w:after="120"/>
              <w:jc w:val="center"/>
              <w:rPr>
                <w:rFonts w:ascii="Arial Narrow" w:hAnsi="Arial Narrow"/>
                <w:noProof/>
                <w:color w:val="006100"/>
                <w:sz w:val="20"/>
                <w:szCs w:val="20"/>
                <w:lang w:val="en-IE"/>
              </w:rPr>
            </w:pPr>
            <w:r w:rsidRPr="1B5D7A91">
              <w:rPr>
                <w:rFonts w:ascii="Arial Narrow" w:hAnsi="Arial Narrow"/>
                <w:noProof/>
                <w:color w:val="006100"/>
                <w:sz w:val="20"/>
                <w:szCs w:val="20"/>
                <w:lang w:val="en-I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9D818C" w14:textId="77777777" w:rsidR="0039681A" w:rsidRPr="00A36E36" w:rsidRDefault="0039681A">
            <w:pPr>
              <w:spacing w:after="120"/>
              <w:jc w:val="center"/>
              <w:rPr>
                <w:rFonts w:ascii="Arial Narrow" w:hAnsi="Arial Narrow"/>
                <w:noProof/>
                <w:color w:val="006100"/>
                <w:sz w:val="20"/>
                <w:szCs w:val="20"/>
                <w:lang w:val="en-IE"/>
              </w:rPr>
            </w:pPr>
            <w:r w:rsidRPr="2A313B6D">
              <w:rPr>
                <w:rFonts w:ascii="Arial Narrow" w:hAnsi="Arial Narrow"/>
                <w:noProof/>
                <w:color w:val="006100"/>
                <w:sz w:val="20"/>
                <w:szCs w:val="20"/>
                <w:lang w:val="en-I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7FC70E"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042CD7"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391C41" w14:textId="0E4D9F12" w:rsidR="0039681A" w:rsidRPr="00A36E36" w:rsidRDefault="0039681A">
            <w:pPr>
              <w:spacing w:after="120"/>
              <w:rPr>
                <w:rFonts w:ascii="Arial Narrow" w:hAnsi="Arial Narrow"/>
                <w:noProof/>
                <w:color w:val="006100"/>
                <w:sz w:val="20"/>
                <w:szCs w:val="20"/>
                <w:lang w:val="en-IE"/>
              </w:rPr>
            </w:pPr>
            <w:r w:rsidRPr="1B2CD392">
              <w:rPr>
                <w:rFonts w:ascii="Arial Narrow" w:hAnsi="Arial Narrow"/>
                <w:noProof/>
                <w:color w:val="006100"/>
                <w:sz w:val="20"/>
                <w:szCs w:val="20"/>
                <w:lang w:val="en-IE"/>
              </w:rPr>
              <w:t>Works for the construction of the shells of the conversion stations of Sardinia (Codrongianos) and Tuscany (Suvereto) have been carried out.</w:t>
            </w:r>
          </w:p>
        </w:tc>
      </w:tr>
      <w:tr w:rsidR="0039681A" w:rsidRPr="0070054C" w14:paraId="2C9F1B1F"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032B00"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M7-22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95680E"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7: Smart National Transmission Grid</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C5BEC0"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33812D" w14:textId="7928BA16"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Installation of 5G equipment,</w:t>
            </w:r>
            <w:r w:rsidR="007F3532">
              <w:rPr>
                <w:rFonts w:ascii="Arial Narrow" w:hAnsi="Arial Narrow"/>
                <w:noProof/>
                <w:color w:val="006100"/>
                <w:sz w:val="20"/>
                <w:lang w:val="en-IE"/>
              </w:rPr>
              <w:t xml:space="preserve"> </w:t>
            </w:r>
            <w:r w:rsidRPr="00A36E36">
              <w:rPr>
                <w:rFonts w:ascii="Arial Narrow" w:hAnsi="Arial Narrow"/>
                <w:noProof/>
                <w:color w:val="006100"/>
                <w:sz w:val="20"/>
                <w:lang w:val="en-IE"/>
              </w:rPr>
              <w:t xml:space="preserve">information communication technology architecture, secure protocol 104 in electric stations and </w:t>
            </w:r>
            <w:r>
              <w:rPr>
                <w:rFonts w:ascii="Arial Narrow" w:hAnsi="Arial Narrow"/>
                <w:noProof/>
                <w:color w:val="006100"/>
                <w:sz w:val="20"/>
                <w:lang w:val="en-IE"/>
              </w:rPr>
              <w:t>monitoring systems</w:t>
            </w:r>
            <w:r w:rsidR="00381DB1">
              <w:rPr>
                <w:rFonts w:ascii="Arial Narrow" w:hAnsi="Arial Narrow"/>
                <w:noProof/>
                <w:color w:val="006100"/>
                <w:sz w:val="20"/>
                <w:lang w:val="en-IE"/>
              </w:rPr>
              <w:t xml:space="preserve"> </w:t>
            </w:r>
            <w:r w:rsidRPr="00A36E36">
              <w:rPr>
                <w:rFonts w:ascii="Arial Narrow" w:hAnsi="Arial Narrow"/>
                <w:noProof/>
                <w:color w:val="006100"/>
                <w:sz w:val="20"/>
                <w:lang w:val="en-IE"/>
              </w:rPr>
              <w:t>in electricity pylons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EF6262" w14:textId="4C8BE842" w:rsidR="0039681A" w:rsidRPr="00A36E36" w:rsidRDefault="0039681A">
            <w:pPr>
              <w:spacing w:after="120"/>
              <w:jc w:val="center"/>
              <w:rPr>
                <w:rFonts w:ascii="Arial Narrow" w:hAnsi="Arial Narrow"/>
                <w:noProof/>
                <w:color w:val="006100"/>
                <w:sz w:val="20"/>
                <w:szCs w:val="20"/>
                <w:lang w:val="en-IE"/>
              </w:rPr>
            </w:pPr>
            <w:r>
              <w:rPr>
                <w:rFonts w:ascii="Arial Narrow" w:hAnsi="Arial Narrow"/>
                <w:noProof/>
                <w:color w:val="006100"/>
                <w:sz w:val="20"/>
                <w:szCs w:val="20"/>
                <w:lang w:val="en-IE"/>
              </w:rPr>
              <w:t>Interventions carried out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9E1B93" w14:textId="77777777" w:rsidR="0039681A" w:rsidRPr="00A36E36" w:rsidRDefault="0039681A">
            <w:pPr>
              <w:spacing w:after="120"/>
              <w:jc w:val="center"/>
              <w:rPr>
                <w:rFonts w:ascii="Arial Narrow" w:hAnsi="Arial Narrow"/>
                <w:noProof/>
                <w:color w:val="006100"/>
                <w:sz w:val="20"/>
                <w:szCs w:val="20"/>
                <w:lang w:val="en-IE"/>
              </w:rPr>
            </w:pPr>
            <w:r w:rsidRPr="2A313B6D">
              <w:rPr>
                <w:rFonts w:ascii="Arial Narrow" w:hAnsi="Arial Narrow"/>
                <w:noProof/>
                <w:color w:val="006100"/>
                <w:sz w:val="20"/>
                <w:szCs w:val="20"/>
                <w:lang w:val="en-I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94A54E" w14:textId="77777777" w:rsidR="0039681A" w:rsidRPr="00A36E36" w:rsidRDefault="0039681A">
            <w:pPr>
              <w:spacing w:after="120"/>
              <w:jc w:val="center"/>
              <w:rPr>
                <w:rFonts w:ascii="Arial Narrow" w:hAnsi="Arial Narrow"/>
                <w:noProof/>
                <w:color w:val="006100"/>
                <w:sz w:val="20"/>
                <w:szCs w:val="20"/>
                <w:lang w:val="en-IE"/>
              </w:rPr>
            </w:pPr>
            <w:r w:rsidRPr="1B5D7A91">
              <w:rPr>
                <w:rFonts w:ascii="Arial Narrow" w:hAnsi="Arial Narrow"/>
                <w:noProof/>
                <w:color w:val="006100"/>
                <w:sz w:val="20"/>
                <w:szCs w:val="20"/>
                <w:lang w:val="en-IE"/>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965F14" w14:textId="77777777" w:rsidR="0039681A" w:rsidRPr="00A36E36" w:rsidRDefault="0039681A" w:rsidP="00351087">
            <w:pPr>
              <w:spacing w:after="120"/>
              <w:jc w:val="center"/>
              <w:rPr>
                <w:rFonts w:ascii="Arial Narrow" w:hAnsi="Arial Narrow"/>
                <w:noProof/>
                <w:color w:val="006100"/>
                <w:sz w:val="20"/>
                <w:szCs w:val="20"/>
                <w:lang w:val="en-IE"/>
              </w:rPr>
            </w:pPr>
            <w:r w:rsidRPr="00AF5341">
              <w:rPr>
                <w:rFonts w:ascii="Arial Narrow" w:hAnsi="Arial Narrow"/>
                <w:noProof/>
                <w:color w:val="006100"/>
                <w:sz w:val="20"/>
                <w:szCs w:val="20"/>
                <w:lang w:val="en-IE"/>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CA4F84"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597636"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18C7D0" w14:textId="77777777" w:rsidR="0039681A" w:rsidRDefault="0039681A">
            <w:pPr>
              <w:spacing w:after="120"/>
              <w:jc w:val="both"/>
              <w:rPr>
                <w:rFonts w:ascii="Arial Narrow" w:hAnsi="Arial Narrow"/>
                <w:noProof/>
                <w:color w:val="006100"/>
                <w:sz w:val="20"/>
                <w:szCs w:val="20"/>
                <w:lang w:val="en-IE"/>
              </w:rPr>
            </w:pPr>
            <w:r>
              <w:rPr>
                <w:rFonts w:ascii="Arial Narrow" w:hAnsi="Arial Narrow"/>
                <w:noProof/>
                <w:color w:val="006100"/>
                <w:sz w:val="20"/>
                <w:szCs w:val="20"/>
                <w:lang w:val="en-IE"/>
              </w:rPr>
              <w:t xml:space="preserve">Independent engineer report(s) certifying that interventions have been carried out resulting in the installation of: </w:t>
            </w:r>
          </w:p>
          <w:p w14:paraId="6EB65A5D" w14:textId="21E0E445" w:rsidR="0039681A" w:rsidRPr="00A36E36" w:rsidRDefault="0039681A">
            <w:pPr>
              <w:spacing w:after="120"/>
              <w:jc w:val="both"/>
              <w:rPr>
                <w:rFonts w:ascii="Arial Narrow" w:hAnsi="Arial Narrow"/>
                <w:noProof/>
                <w:color w:val="006100"/>
                <w:sz w:val="20"/>
                <w:szCs w:val="20"/>
                <w:lang w:val="en-IE"/>
              </w:rPr>
            </w:pPr>
            <w:r w:rsidRPr="2A313B6D">
              <w:rPr>
                <w:rFonts w:ascii="Arial Narrow" w:hAnsi="Arial Narrow"/>
                <w:noProof/>
                <w:color w:val="006100"/>
                <w:sz w:val="20"/>
                <w:szCs w:val="20"/>
                <w:lang w:val="en-IE"/>
              </w:rPr>
              <w:t xml:space="preserve"> </w:t>
            </w:r>
            <w:r>
              <w:rPr>
                <w:rFonts w:ascii="Arial Narrow" w:hAnsi="Arial Narrow"/>
                <w:noProof/>
                <w:color w:val="006100"/>
                <w:sz w:val="20"/>
                <w:szCs w:val="20"/>
                <w:lang w:val="en-IE"/>
              </w:rPr>
              <w:t>-</w:t>
            </w:r>
            <w:r w:rsidRPr="2A313B6D">
              <w:rPr>
                <w:rFonts w:ascii="Arial Narrow" w:hAnsi="Arial Narrow"/>
                <w:noProof/>
                <w:color w:val="006100"/>
                <w:sz w:val="20"/>
                <w:szCs w:val="20"/>
                <w:lang w:val="en-IE"/>
              </w:rPr>
              <w:t>5G equipment or information communication technology architecture in at least 40 stations.</w:t>
            </w:r>
          </w:p>
          <w:p w14:paraId="26C3BC48" w14:textId="77777777" w:rsidR="0039681A" w:rsidRPr="00A36E36" w:rsidRDefault="0039681A">
            <w:pPr>
              <w:spacing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-Secure protocol 104 (International Electrotechnical Commission 62 351 protocol) in at least 250 electric stations. </w:t>
            </w:r>
          </w:p>
          <w:p w14:paraId="25BBB1C2" w14:textId="49EA8DF2" w:rsidR="0039681A" w:rsidRPr="00A36E36" w:rsidRDefault="0039681A" w:rsidP="00F025C3">
            <w:pPr>
              <w:spacing w:after="120" w:line="240" w:lineRule="auto"/>
              <w:jc w:val="both"/>
              <w:rPr>
                <w:rFonts w:ascii="Arial Narrow" w:hAnsi="Arial Narrow"/>
                <w:noProof/>
                <w:color w:val="006100"/>
                <w:sz w:val="20"/>
                <w:szCs w:val="20"/>
                <w:lang w:val="en-IE"/>
              </w:rPr>
            </w:pPr>
            <w:r w:rsidRPr="00A36E36">
              <w:rPr>
                <w:rFonts w:ascii="Arial Narrow" w:hAnsi="Arial Narrow"/>
                <w:noProof/>
                <w:color w:val="006100"/>
                <w:sz w:val="20"/>
                <w:szCs w:val="20"/>
                <w:lang w:val="en-IE"/>
              </w:rPr>
              <w:t>-</w:t>
            </w:r>
            <w:r w:rsidRPr="00A36E36">
              <w:rPr>
                <w:rFonts w:ascii="Arial Narrow" w:hAnsi="Arial Narrow"/>
                <w:noProof/>
                <w:color w:val="006100"/>
                <w:sz w:val="20"/>
                <w:lang w:val="en-IE"/>
              </w:rPr>
              <w:t xml:space="preserve"> </w:t>
            </w:r>
            <w:r>
              <w:rPr>
                <w:rFonts w:ascii="Arial Narrow" w:hAnsi="Arial Narrow"/>
                <w:noProof/>
                <w:color w:val="006100"/>
                <w:sz w:val="20"/>
                <w:lang w:val="en-IE"/>
              </w:rPr>
              <w:t>M</w:t>
            </w:r>
            <w:r w:rsidRPr="00A36E36">
              <w:rPr>
                <w:rFonts w:ascii="Arial Narrow" w:hAnsi="Arial Narrow"/>
                <w:noProof/>
                <w:color w:val="006100"/>
                <w:sz w:val="20"/>
                <w:lang w:val="en-IE"/>
              </w:rPr>
              <w:t>onitoring systems in at least 1</w:t>
            </w:r>
            <w:r w:rsidRPr="00A36E36">
              <w:rPr>
                <w:noProof/>
                <w:sz w:val="23"/>
                <w:szCs w:val="23"/>
                <w:lang w:val="en-IE"/>
              </w:rPr>
              <w:t> </w:t>
            </w:r>
            <w:r w:rsidRPr="00A36E36">
              <w:rPr>
                <w:rFonts w:ascii="Arial Narrow" w:hAnsi="Arial Narrow"/>
                <w:noProof/>
                <w:color w:val="006100"/>
                <w:sz w:val="20"/>
                <w:lang w:val="en-IE"/>
              </w:rPr>
              <w:t>500 electricity pylons.</w:t>
            </w:r>
          </w:p>
        </w:tc>
      </w:tr>
      <w:tr w:rsidR="0039681A" w:rsidRPr="0070054C" w14:paraId="4DDFDE03" w14:textId="77777777" w:rsidTr="00351087">
        <w:trPr>
          <w:trHeight w:val="159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E03E37"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M7-25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BBFA889"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8: Sustainable, circular and secure supply of Critical Raw Materials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2B1609D"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9D466DE"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Publication of the report on the future needs for CRM and the potential of eco-design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7B01A2"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 xml:space="preserve">Publication of the report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FA530E"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512A90"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FDA8E22"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8B948F"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CEDC23"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69DFE84E"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Publication of a report analysing the future needs for critical raw materials and the potential of eco-design to reduce the demand for critical raw materials.</w:t>
            </w:r>
          </w:p>
        </w:tc>
      </w:tr>
      <w:tr w:rsidR="0039681A" w:rsidRPr="0070054C" w14:paraId="57009784"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550597"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M7-26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8C425ED"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8: Sustainable, circular and secure supply of Critical Raw Materials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7EFFE85"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6D03ECE3" w14:textId="77777777" w:rsidR="0039681A" w:rsidRPr="00647572" w:rsidRDefault="0039681A">
            <w:pPr>
              <w:spacing w:after="120"/>
              <w:jc w:val="center"/>
              <w:rPr>
                <w:rFonts w:ascii="Arial Narrow" w:hAnsi="Arial Narrow"/>
                <w:noProof/>
                <w:color w:val="006100"/>
                <w:sz w:val="20"/>
                <w:szCs w:val="20"/>
              </w:rPr>
            </w:pPr>
            <w:r w:rsidRPr="7839DE13">
              <w:rPr>
                <w:rFonts w:ascii="Arial Narrow" w:hAnsi="Arial Narrow"/>
                <w:noProof/>
                <w:color w:val="006100"/>
                <w:sz w:val="20"/>
                <w:szCs w:val="20"/>
              </w:rPr>
              <w:t xml:space="preserve">Geographical Information system platform available online </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A39FA0" w14:textId="77777777" w:rsidR="0039681A" w:rsidRPr="00647572" w:rsidRDefault="0039681A">
            <w:pPr>
              <w:spacing w:after="120"/>
              <w:jc w:val="center"/>
              <w:rPr>
                <w:rFonts w:ascii="Arial Narrow" w:hAnsi="Arial Narrow"/>
                <w:noProof/>
                <w:color w:val="006100"/>
                <w:sz w:val="20"/>
                <w:szCs w:val="20"/>
              </w:rPr>
            </w:pPr>
            <w:r w:rsidRPr="7839DE13">
              <w:rPr>
                <w:rFonts w:ascii="Arial Narrow" w:hAnsi="Arial Narrow"/>
                <w:noProof/>
                <w:color w:val="006100"/>
                <w:sz w:val="20"/>
                <w:szCs w:val="20"/>
              </w:rPr>
              <w:t>Geographic information system platform available online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2F8AFB"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F36817"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ED414E"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EF1CFD"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7CC9B"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B14714" w14:textId="77777777" w:rsidR="0039681A" w:rsidRPr="00A36E36" w:rsidRDefault="0039681A">
            <w:pPr>
              <w:rPr>
                <w:rFonts w:ascii="Arial Narrow" w:hAnsi="Arial Narrow"/>
                <w:noProof/>
                <w:color w:val="006100"/>
                <w:sz w:val="20"/>
                <w:szCs w:val="20"/>
                <w:lang w:val="en-IE"/>
              </w:rPr>
            </w:pPr>
            <w:r w:rsidRPr="00A36E36">
              <w:rPr>
                <w:rFonts w:ascii="Arial Narrow" w:hAnsi="Arial Narrow"/>
                <w:noProof/>
                <w:color w:val="006100"/>
                <w:sz w:val="20"/>
                <w:szCs w:val="20"/>
                <w:lang w:val="en-IE"/>
              </w:rPr>
              <w:t>A geographic information system platform is available online, identifying recyclable materials in urban environments and waste in abandoned or closed mines.</w:t>
            </w:r>
          </w:p>
        </w:tc>
      </w:tr>
      <w:tr w:rsidR="0039681A" w:rsidRPr="0070054C" w14:paraId="3CFC449B"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C18735"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M7-27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6CD771" w14:textId="77777777" w:rsidR="0039681A" w:rsidRPr="00A36E36" w:rsidRDefault="0039681A" w:rsidP="00351087">
            <w:pPr>
              <w:spacing w:after="120"/>
              <w:jc w:val="center"/>
              <w:rPr>
                <w:rFonts w:ascii="Arial Narrow" w:hAnsi="Arial Narrow"/>
                <w:noProof/>
                <w:color w:val="006100"/>
                <w:sz w:val="20"/>
                <w:szCs w:val="20"/>
                <w:lang w:val="en-IE"/>
              </w:rPr>
            </w:pPr>
            <w:r w:rsidRPr="2A313B6D">
              <w:rPr>
                <w:rFonts w:ascii="Arial Narrow" w:hAnsi="Arial Narrow"/>
                <w:noProof/>
                <w:color w:val="006100"/>
                <w:sz w:val="20"/>
                <w:szCs w:val="20"/>
                <w:lang w:val="en-IE"/>
              </w:rPr>
              <w:t>Investment 8: Sustainable, circular and secure supply of Critical Raw Materials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91E610"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 xml:space="preserve">Milestone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33CFC0" w14:textId="7EF83D7D" w:rsidR="0039681A" w:rsidRPr="00A36E36" w:rsidRDefault="0039681A" w:rsidP="00351087">
            <w:pPr>
              <w:spacing w:after="120"/>
              <w:jc w:val="center"/>
              <w:rPr>
                <w:rFonts w:ascii="Arial Narrow" w:hAnsi="Arial Narrow"/>
                <w:noProof/>
                <w:color w:val="006100"/>
                <w:sz w:val="20"/>
                <w:szCs w:val="20"/>
                <w:lang w:val="en-IE"/>
              </w:rPr>
            </w:pPr>
            <w:r w:rsidRPr="2A313B6D">
              <w:rPr>
                <w:rFonts w:ascii="Arial Narrow" w:hAnsi="Arial Narrow"/>
                <w:noProof/>
                <w:color w:val="006100"/>
                <w:sz w:val="20"/>
                <w:szCs w:val="20"/>
                <w:lang w:val="en-IE"/>
              </w:rPr>
              <w:t>Equipment of laboratories on Urban mining and eco-design</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B5CDB8" w14:textId="4654478B" w:rsidR="0039681A" w:rsidRPr="00A36E36" w:rsidRDefault="0039681A" w:rsidP="00351087">
            <w:pPr>
              <w:spacing w:after="120"/>
              <w:jc w:val="center"/>
              <w:rPr>
                <w:rFonts w:ascii="Arial Narrow" w:hAnsi="Arial Narrow"/>
                <w:noProof/>
                <w:color w:val="006100"/>
                <w:sz w:val="20"/>
                <w:szCs w:val="20"/>
                <w:lang w:val="en-IE"/>
              </w:rPr>
            </w:pPr>
            <w:r w:rsidRPr="2A313B6D">
              <w:rPr>
                <w:rFonts w:ascii="Arial Narrow" w:hAnsi="Arial Narrow"/>
                <w:noProof/>
                <w:color w:val="006100"/>
                <w:sz w:val="20"/>
                <w:szCs w:val="20"/>
                <w:lang w:val="en-IE"/>
              </w:rPr>
              <w:t>Equipment of at least 6 laboratories of the technological hub for urban mining and eco-design delivered</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A1E4EF"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D87D8A"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N/A</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54F360"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N/A</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094DFE"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szCs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01D1E1"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tcPr>
          <w:p w14:paraId="6F5C24CA" w14:textId="77777777" w:rsidR="0039681A" w:rsidRPr="00A36E36" w:rsidRDefault="0039681A">
            <w:pPr>
              <w:spacing w:line="240" w:lineRule="auto"/>
              <w:rPr>
                <w:rFonts w:ascii="Arial Narrow" w:hAnsi="Arial Narrow"/>
                <w:noProof/>
                <w:color w:val="006100"/>
                <w:sz w:val="20"/>
                <w:szCs w:val="20"/>
                <w:lang w:val="en-IE"/>
              </w:rPr>
            </w:pPr>
            <w:r w:rsidRPr="00A36E36">
              <w:rPr>
                <w:rFonts w:ascii="Arial Narrow" w:hAnsi="Arial Narrow"/>
                <w:noProof/>
                <w:color w:val="006100"/>
                <w:sz w:val="20"/>
                <w:szCs w:val="20"/>
                <w:lang w:val="en-IE"/>
              </w:rPr>
              <w:t>Delivery and acceptance reports for the equipment of at least 6 laboratories of the Technological hub for Urban Mining and Eco-design.</w:t>
            </w:r>
          </w:p>
        </w:tc>
      </w:tr>
      <w:tr w:rsidR="0039681A" w:rsidRPr="0070054C" w14:paraId="1CFEA962"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E0C574"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M7-30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3B022"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10: Pilot project on skills “Crescere Green”</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88DCA5"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858D0B"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Training certificates</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80B66F" w14:textId="77777777" w:rsidR="0039681A" w:rsidRPr="00647572" w:rsidRDefault="0039681A">
            <w:pPr>
              <w:spacing w:after="120"/>
              <w:jc w:val="center"/>
              <w:rPr>
                <w:rFonts w:ascii="Arial Narrow" w:hAnsi="Arial Narrow"/>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3BF8D"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386E8B"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F5C109"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B3787"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szCs w:val="20"/>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8E3E44"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2025</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F772DF" w14:textId="77777777" w:rsidR="0039681A" w:rsidRPr="00A36E36" w:rsidRDefault="0039681A">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Training certificates issued for at least 20 000 beneficiaries of the pilot project. The pilot project shall cover at least two regions, and it shall concern green skills, as defined by the ESCO database.</w:t>
            </w:r>
          </w:p>
        </w:tc>
      </w:tr>
      <w:tr w:rsidR="0039681A" w:rsidRPr="0070054C" w14:paraId="6F8B3DFA"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B4DC4E" w14:textId="77777777" w:rsidR="0039681A" w:rsidRPr="00647572" w:rsidRDefault="0039681A">
            <w:pPr>
              <w:spacing w:after="120"/>
              <w:jc w:val="center"/>
              <w:rPr>
                <w:rFonts w:ascii="Arial Narrow" w:hAnsi="Arial Narrow"/>
                <w:noProof/>
                <w:color w:val="006100"/>
                <w:sz w:val="20"/>
                <w:szCs w:val="20"/>
              </w:rPr>
            </w:pPr>
            <w:r w:rsidRPr="1B2CD392">
              <w:rPr>
                <w:rFonts w:ascii="Arial Narrow" w:hAnsi="Arial Narrow"/>
                <w:noProof/>
                <w:color w:val="006100"/>
                <w:sz w:val="20"/>
                <w:szCs w:val="20"/>
              </w:rPr>
              <w:t>M7-31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749604" w14:textId="77777777" w:rsidR="0039681A" w:rsidRPr="00A36E36" w:rsidRDefault="0039681A">
            <w:pPr>
              <w:spacing w:after="120"/>
              <w:jc w:val="center"/>
              <w:rPr>
                <w:rFonts w:ascii="Arial Narrow" w:hAnsi="Arial Narrow"/>
                <w:noProof/>
                <w:color w:val="006100"/>
                <w:sz w:val="20"/>
                <w:lang w:val="en-IE"/>
              </w:rPr>
            </w:pPr>
            <w:bookmarkStart w:id="28" w:name="_Hlk160472344"/>
            <w:r w:rsidRPr="00A36E36">
              <w:rPr>
                <w:rFonts w:ascii="Arial Narrow" w:hAnsi="Arial Narrow"/>
                <w:noProof/>
                <w:color w:val="006100"/>
                <w:sz w:val="20"/>
                <w:lang w:val="en-IE"/>
              </w:rPr>
              <w:t>Investment 11: Strengthening of the regional public transport railway fleet with zero emission trains and universal service</w:t>
            </w:r>
            <w:bookmarkEnd w:id="28"/>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AC170E"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FD5ABE" w14:textId="4A31958D" w:rsidR="0039681A" w:rsidRPr="00647572" w:rsidRDefault="0039681A" w:rsidP="00351087">
            <w:pPr>
              <w:spacing w:after="120"/>
              <w:jc w:val="center"/>
              <w:rPr>
                <w:rFonts w:ascii="Arial Narrow" w:hAnsi="Arial Narrow"/>
                <w:noProof/>
                <w:color w:val="006100"/>
                <w:sz w:val="20"/>
                <w:szCs w:val="20"/>
              </w:rPr>
            </w:pPr>
            <w:r w:rsidRPr="58F5C4F8">
              <w:rPr>
                <w:rFonts w:ascii="Arial Narrow" w:hAnsi="Arial Narrow"/>
                <w:noProof/>
                <w:color w:val="006100"/>
                <w:sz w:val="20"/>
                <w:szCs w:val="20"/>
              </w:rPr>
              <w:t>Number of trains procured</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8ED8A8"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1A7042"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517BE7"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0B2449" w14:textId="56CA0D18" w:rsidR="0039681A" w:rsidRPr="00647572" w:rsidRDefault="0039681A">
            <w:pPr>
              <w:spacing w:after="120"/>
              <w:jc w:val="center"/>
              <w:rPr>
                <w:rFonts w:ascii="Arial Narrow" w:hAnsi="Arial Narrow"/>
                <w:noProof/>
                <w:color w:val="006100"/>
                <w:sz w:val="20"/>
                <w:szCs w:val="20"/>
              </w:rPr>
            </w:pPr>
            <w:r>
              <w:rPr>
                <w:rFonts w:ascii="Arial Narrow" w:hAnsi="Arial Narrow"/>
                <w:noProof/>
                <w:color w:val="006100"/>
                <w:sz w:val="20"/>
                <w:szCs w:val="20"/>
              </w:rPr>
              <w:t>79</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7BD66C"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DD8ECD"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BC36B3" w14:textId="65B1EE32" w:rsidR="0039681A" w:rsidRPr="00A36E36" w:rsidRDefault="0039681A">
            <w:pPr>
              <w:spacing w:after="120"/>
              <w:rPr>
                <w:rFonts w:ascii="Arial Narrow" w:hAnsi="Arial Narrow"/>
                <w:noProof/>
                <w:color w:val="006100"/>
                <w:sz w:val="20"/>
                <w:szCs w:val="20"/>
                <w:highlight w:val="yellow"/>
                <w:lang w:val="en-IE"/>
              </w:rPr>
            </w:pPr>
            <w:r w:rsidRPr="1B2CD392">
              <w:rPr>
                <w:rFonts w:ascii="Arial Narrow" w:hAnsi="Arial Narrow"/>
                <w:noProof/>
                <w:color w:val="006100"/>
                <w:sz w:val="20"/>
                <w:szCs w:val="20"/>
                <w:lang w:val="en-IE"/>
              </w:rPr>
              <w:t>Registration or confirmation of acceptance accompanied by the Declaration of Conformity of at least 79 zero-emission (electric or hydrogen fuel cell) trains on top of the rolling stock referred to under Investment 4.4.2 of Mission 2 Component 2</w:t>
            </w:r>
          </w:p>
        </w:tc>
      </w:tr>
      <w:tr w:rsidR="0039681A" w:rsidRPr="0070054C" w14:paraId="6724754E"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D58E90" w14:textId="77777777" w:rsidR="0039681A" w:rsidRPr="00647572" w:rsidRDefault="0039681A">
            <w:pPr>
              <w:spacing w:after="120"/>
              <w:jc w:val="center"/>
              <w:rPr>
                <w:rFonts w:ascii="Arial Narrow" w:hAnsi="Arial Narrow"/>
                <w:noProof/>
                <w:color w:val="006100"/>
                <w:sz w:val="20"/>
                <w:szCs w:val="20"/>
              </w:rPr>
            </w:pPr>
            <w:r w:rsidRPr="00647572">
              <w:rPr>
                <w:rFonts w:ascii="Arial Narrow" w:hAnsi="Arial Narrow"/>
                <w:noProof/>
                <w:color w:val="006100"/>
                <w:sz w:val="20"/>
              </w:rPr>
              <w:t>M7-32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CB1622"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12 Financial Instrument for the development of an international, industrial and R&amp;D leadership in zero-emission buses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1CFECD"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67E041"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Implementing Agreement</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12F907" w14:textId="77777777" w:rsidR="0039681A" w:rsidRPr="00A36E36" w:rsidRDefault="0039681A">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Implementing Agreement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84C18" w14:textId="77777777" w:rsidR="0039681A" w:rsidRPr="00A36E36" w:rsidRDefault="0039681A">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BC2AA9" w14:textId="77777777" w:rsidR="0039681A" w:rsidRPr="00A36E36" w:rsidRDefault="0039681A">
            <w:pPr>
              <w:spacing w:after="120"/>
              <w:jc w:val="center"/>
              <w:rPr>
                <w:rFonts w:ascii="Arial Narrow" w:hAnsi="Arial Narrow"/>
                <w:noProof/>
                <w:color w:val="006100"/>
                <w:sz w:val="20"/>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BD4520" w14:textId="77777777" w:rsidR="0039681A" w:rsidRPr="00A36E36" w:rsidRDefault="0039681A">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11AB27"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Q1</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DFB86E"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2024</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335D2" w14:textId="77777777" w:rsidR="0039681A" w:rsidRPr="00A36E36" w:rsidRDefault="0039681A">
            <w:pPr>
              <w:jc w:val="both"/>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tc>
      </w:tr>
      <w:tr w:rsidR="0039681A" w:rsidRPr="0070054C" w14:paraId="6E13FA4C" w14:textId="77777777" w:rsidTr="00351087">
        <w:trPr>
          <w:trHeight w:val="300"/>
        </w:trPr>
        <w:tc>
          <w:tcPr>
            <w:tcW w:w="11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B51E21"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M7-50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51CE4D" w14:textId="77777777" w:rsidR="0039681A" w:rsidRPr="00A36E36" w:rsidRDefault="0039681A">
            <w:pPr>
              <w:spacing w:after="120"/>
              <w:jc w:val="center"/>
              <w:rPr>
                <w:rFonts w:ascii="Arial Narrow" w:hAnsi="Arial Narrow"/>
                <w:noProof/>
                <w:color w:val="006100"/>
                <w:sz w:val="20"/>
                <w:lang w:val="en-IE"/>
              </w:rPr>
            </w:pPr>
            <w:r w:rsidRPr="00A36E36">
              <w:rPr>
                <w:rFonts w:ascii="Arial Narrow" w:hAnsi="Arial Narrow"/>
                <w:noProof/>
                <w:color w:val="006100"/>
                <w:sz w:val="20"/>
                <w:szCs w:val="20"/>
                <w:lang w:val="en-IE"/>
              </w:rPr>
              <w:t>Investment 18 - Scale-up measure: Private and light commercial vehicle fleet renewal program with electric vehicles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64329F"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Target</w:t>
            </w:r>
          </w:p>
        </w:tc>
        <w:tc>
          <w:tcPr>
            <w:tcW w:w="14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F6BEA6"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szCs w:val="20"/>
              </w:rPr>
              <w:t>Number of vehicles purchased</w:t>
            </w:r>
          </w:p>
        </w:tc>
        <w:tc>
          <w:tcPr>
            <w:tcW w:w="156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CCBAE"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N/A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1EC932"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196E16"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szCs w:val="20"/>
              </w:rPr>
              <w:t>30 830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1238D"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46 500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DD9EBC"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F42DA" w14:textId="77777777" w:rsidR="0039681A" w:rsidRPr="00647572" w:rsidRDefault="0039681A">
            <w:pPr>
              <w:spacing w:after="120"/>
              <w:jc w:val="center"/>
              <w:rPr>
                <w:rFonts w:ascii="Arial Narrow" w:hAnsi="Arial Narrow"/>
                <w:noProof/>
                <w:color w:val="006100"/>
                <w:sz w:val="20"/>
              </w:rPr>
            </w:pPr>
            <w:r w:rsidRPr="00647572">
              <w:rPr>
                <w:rFonts w:ascii="Arial Narrow" w:hAnsi="Arial Narrow"/>
                <w:noProof/>
                <w:color w:val="006100"/>
                <w:sz w:val="20"/>
              </w:rPr>
              <w:t>2026</w:t>
            </w:r>
          </w:p>
        </w:tc>
        <w:tc>
          <w:tcPr>
            <w:tcW w:w="3544"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5473A7" w14:textId="760BDB43" w:rsidR="0039681A" w:rsidRPr="00A36E36" w:rsidRDefault="0039681A">
            <w:pPr>
              <w:spacing w:after="120"/>
              <w:rPr>
                <w:rFonts w:ascii="Arial Narrow" w:hAnsi="Arial Narrow"/>
                <w:noProof/>
                <w:color w:val="006100"/>
                <w:sz w:val="20"/>
                <w:szCs w:val="20"/>
                <w:lang w:val="en-IE"/>
              </w:rPr>
            </w:pPr>
            <w:r w:rsidRPr="1B2CD392">
              <w:rPr>
                <w:rFonts w:ascii="Arial Narrow" w:hAnsi="Arial Narrow"/>
                <w:noProof/>
                <w:color w:val="006100"/>
                <w:sz w:val="20"/>
                <w:szCs w:val="20"/>
                <w:lang w:val="en-IE"/>
              </w:rPr>
              <w:t>Signature of contracts for purchase of at least 46 500 zero-emission vehicles.</w:t>
            </w:r>
          </w:p>
          <w:p w14:paraId="2CCA75BF" w14:textId="2A49760A" w:rsidR="0039681A" w:rsidRPr="00A36E36" w:rsidRDefault="0039681A" w:rsidP="00F025C3">
            <w:pPr>
              <w:spacing w:after="120" w:line="240" w:lineRule="auto"/>
              <w:jc w:val="both"/>
              <w:rPr>
                <w:rFonts w:ascii="Arial Narrow" w:hAnsi="Arial Narrow"/>
                <w:noProof/>
                <w:color w:val="006100"/>
                <w:sz w:val="20"/>
                <w:lang w:val="en-IE"/>
              </w:rPr>
            </w:pPr>
            <w:r w:rsidRPr="00A36E36">
              <w:rPr>
                <w:rFonts w:ascii="Arial Narrow" w:hAnsi="Arial Narrow"/>
                <w:noProof/>
                <w:color w:val="006100"/>
                <w:sz w:val="20"/>
                <w:szCs w:val="20"/>
                <w:lang w:val="en-IE"/>
              </w:rPr>
              <w:t>For each vehicle</w:t>
            </w:r>
            <w:r>
              <w:rPr>
                <w:rFonts w:ascii="Arial Narrow" w:hAnsi="Arial Narrow"/>
                <w:noProof/>
                <w:color w:val="006100"/>
                <w:sz w:val="20"/>
                <w:szCs w:val="20"/>
                <w:lang w:val="en-IE"/>
              </w:rPr>
              <w:t xml:space="preserve"> purchased</w:t>
            </w:r>
            <w:r w:rsidRPr="00A36E36">
              <w:rPr>
                <w:rFonts w:ascii="Arial Narrow" w:hAnsi="Arial Narrow"/>
                <w:noProof/>
                <w:color w:val="006100"/>
                <w:sz w:val="20"/>
                <w:szCs w:val="20"/>
                <w:lang w:val="en-IE"/>
              </w:rPr>
              <w:t>, a scrapping certificate demo</w:t>
            </w:r>
            <w:r w:rsidR="00586458">
              <w:rPr>
                <w:rFonts w:ascii="Arial Narrow" w:hAnsi="Arial Narrow"/>
                <w:noProof/>
                <w:color w:val="006100"/>
                <w:sz w:val="20"/>
                <w:szCs w:val="20"/>
                <w:lang w:val="en-IE"/>
              </w:rPr>
              <w:t>n</w:t>
            </w:r>
            <w:r w:rsidRPr="00A36E36">
              <w:rPr>
                <w:rFonts w:ascii="Arial Narrow" w:hAnsi="Arial Narrow"/>
                <w:noProof/>
                <w:color w:val="006100"/>
                <w:sz w:val="20"/>
                <w:szCs w:val="20"/>
                <w:lang w:val="en-IE"/>
              </w:rPr>
              <w:t>strating the scrapping of a thermal vehicle shall also be provided.</w:t>
            </w:r>
          </w:p>
        </w:tc>
      </w:tr>
    </w:tbl>
    <w:p w14:paraId="0F76349E" w14:textId="77777777" w:rsidR="0039681A" w:rsidRPr="00A36E36" w:rsidRDefault="0039681A" w:rsidP="00351087">
      <w:pPr>
        <w:rPr>
          <w:noProof/>
          <w:lang w:val="en-IE"/>
        </w:rPr>
        <w:sectPr w:rsidR="0039681A" w:rsidRPr="00A36E36" w:rsidSect="0039681A">
          <w:headerReference w:type="even" r:id="rId257"/>
          <w:headerReference w:type="default" r:id="rId258"/>
          <w:footerReference w:type="default" r:id="rId259"/>
          <w:headerReference w:type="first" r:id="rId260"/>
          <w:pgSz w:w="16838" w:h="11906" w:orient="landscape"/>
          <w:pgMar w:top="1134" w:right="1134" w:bottom="1134" w:left="1134" w:header="567" w:footer="567" w:gutter="0"/>
          <w:cols w:space="708"/>
          <w:docGrid w:linePitch="360"/>
        </w:sectPr>
      </w:pPr>
    </w:p>
    <w:p w14:paraId="44CD4061" w14:textId="77777777" w:rsidR="0039681A" w:rsidRPr="00A36E36" w:rsidRDefault="0039681A" w:rsidP="00351087">
      <w:pPr>
        <w:pStyle w:val="Heading3"/>
        <w:ind w:left="850" w:hanging="850"/>
        <w:rPr>
          <w:rFonts w:ascii="Times New Roman" w:hAnsi="Times New Roman" w:cs="Times New Roman"/>
          <w:b/>
          <w:bCs/>
          <w:noProof/>
          <w:sz w:val="24"/>
          <w:szCs w:val="24"/>
          <w:u w:val="single"/>
          <w:lang w:val="en-IE"/>
        </w:rPr>
      </w:pPr>
      <w:bookmarkStart w:id="29" w:name="_Hlk180665465"/>
      <w:r w:rsidRPr="00A36E36">
        <w:rPr>
          <w:rFonts w:ascii="Times New Roman" w:hAnsi="Times New Roman" w:cs="Times New Roman"/>
          <w:b/>
          <w:bCs/>
          <w:noProof/>
          <w:sz w:val="24"/>
          <w:szCs w:val="24"/>
          <w:u w:val="single"/>
          <w:lang w:val="en-IE"/>
        </w:rPr>
        <w:t xml:space="preserve">Q.3. </w:t>
      </w:r>
      <w:r w:rsidRPr="00A36E36">
        <w:rPr>
          <w:rFonts w:ascii="Times New Roman" w:hAnsi="Times New Roman" w:cs="Times New Roman"/>
          <w:b/>
          <w:bCs/>
          <w:noProof/>
          <w:sz w:val="24"/>
          <w:szCs w:val="24"/>
          <w:u w:val="single"/>
          <w:lang w:val="en-IE"/>
        </w:rPr>
        <w:tab/>
        <w:t xml:space="preserve">Description of the reforms and investments for the loan </w:t>
      </w:r>
    </w:p>
    <w:p w14:paraId="112B9ECF" w14:textId="77777777" w:rsidR="0039681A" w:rsidRPr="00A36E36" w:rsidRDefault="0039681A" w:rsidP="00351087">
      <w:pPr>
        <w:pStyle w:val="Heading4"/>
        <w:spacing w:before="0"/>
        <w:rPr>
          <w:rFonts w:ascii="Times New Roman" w:hAnsi="Times New Roman" w:cs="Times New Roman"/>
          <w:b/>
          <w:i w:val="0"/>
          <w:noProof/>
          <w:color w:val="000000" w:themeColor="text1"/>
          <w:lang w:val="en-IE"/>
        </w:rPr>
      </w:pPr>
      <w:bookmarkStart w:id="30" w:name="_Hlk140650645"/>
      <w:bookmarkEnd w:id="29"/>
      <w:r w:rsidRPr="00A36E36">
        <w:rPr>
          <w:rFonts w:ascii="Times New Roman" w:hAnsi="Times New Roman" w:cs="Times New Roman"/>
          <w:b/>
          <w:i w:val="0"/>
          <w:noProof/>
          <w:color w:val="000000" w:themeColor="text1"/>
          <w:lang w:val="en-IE"/>
        </w:rPr>
        <w:t>Investment 13. Adriatic Line Phase 1 (Sulmona compressor station and Sestino-Minerbio gas pipeline)</w:t>
      </w:r>
    </w:p>
    <w:p w14:paraId="51782F4F" w14:textId="77777777" w:rsidR="0039681A" w:rsidRPr="00647572" w:rsidRDefault="0039681A" w:rsidP="00351087">
      <w:pPr>
        <w:pStyle w:val="Text1"/>
        <w:spacing w:before="0"/>
        <w:ind w:left="0"/>
        <w:rPr>
          <w:noProof/>
          <w:sz w:val="22"/>
          <w:szCs w:val="22"/>
          <w:lang w:val="en-GB"/>
        </w:rPr>
      </w:pPr>
      <w:r w:rsidRPr="00647572">
        <w:rPr>
          <w:noProof/>
          <w:sz w:val="22"/>
          <w:szCs w:val="22"/>
          <w:lang w:val="en-GB"/>
        </w:rPr>
        <w:t>The objective of this investment is to increase and diversify security of supply for gas, including liquefied natural gas. The measure consists in the construction of a compressor station in Sulmona and a gas pipeline connecting the nodes of Sestino and Minerbio, as part of the Adriatic Line.</w:t>
      </w:r>
    </w:p>
    <w:p w14:paraId="0ABBC7D0" w14:textId="77777777" w:rsidR="0039681A" w:rsidRPr="00A36E36" w:rsidRDefault="0039681A" w:rsidP="00351087">
      <w:pPr>
        <w:pStyle w:val="Heading4"/>
        <w:numPr>
          <w:ilvl w:val="3"/>
          <w:numId w:val="0"/>
        </w:numPr>
        <w:ind w:left="850" w:hanging="850"/>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Investment 14. Cross-border gas export infrastructure</w:t>
      </w:r>
    </w:p>
    <w:p w14:paraId="60ED2F6E" w14:textId="77777777" w:rsidR="0039681A" w:rsidRPr="00647572" w:rsidRDefault="0039681A" w:rsidP="00351087">
      <w:pPr>
        <w:pStyle w:val="Text1"/>
        <w:spacing w:before="0"/>
        <w:ind w:left="0"/>
        <w:rPr>
          <w:noProof/>
          <w:sz w:val="22"/>
          <w:szCs w:val="22"/>
          <w:lang w:val="en-GB"/>
        </w:rPr>
      </w:pPr>
      <w:r w:rsidRPr="00647572">
        <w:rPr>
          <w:noProof/>
          <w:sz w:val="22"/>
          <w:szCs w:val="22"/>
          <w:lang w:val="en-GB"/>
        </w:rPr>
        <w:t>The objective of this investment is to increase and diversify security of supply for gas, including liquified natural gas. This investment consists in upgrading the existing gas infrastructure allowing for the export of natural gas via the Tarvisio exit point, in particular through the construction of a new electric compression unit in the Poggio Renatico compressor station.</w:t>
      </w:r>
    </w:p>
    <w:p w14:paraId="064189FF" w14:textId="77777777" w:rsidR="0039681A" w:rsidRPr="00A36E36" w:rsidRDefault="0039681A" w:rsidP="00351087">
      <w:pPr>
        <w:pStyle w:val="Heading4"/>
        <w:numPr>
          <w:ilvl w:val="3"/>
          <w:numId w:val="0"/>
        </w:numPr>
        <w:ind w:left="850" w:hanging="850"/>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 xml:space="preserve">Investment 15. Transizione 5.0 </w:t>
      </w:r>
    </w:p>
    <w:bookmarkEnd w:id="30"/>
    <w:p w14:paraId="1B57B8DB"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this investment is to support the transition towards energy efficient, sustainable and renewable-based production models for firms. The investment consists in granting a tax credit to firms commensurate with eligible expenses incurred between 1 January 2024 and 31 December 2025, and namely digital assets (4.0 tangible capital goods, 4.0 intangible capital goods</w:t>
      </w:r>
      <w:r w:rsidRPr="00647572">
        <w:rPr>
          <w:rFonts w:ascii="Times New Roman" w:hAnsi="Times New Roman" w:cs="Times New Roman"/>
          <w:noProof/>
          <w:vertAlign w:val="superscript"/>
        </w:rPr>
        <w:footnoteReference w:id="92"/>
      </w:r>
      <w:r w:rsidRPr="00A36E36">
        <w:rPr>
          <w:rFonts w:ascii="Times New Roman" w:hAnsi="Times New Roman" w:cs="Times New Roman"/>
          <w:noProof/>
          <w:lang w:val="en-IE"/>
        </w:rPr>
        <w:t>), assets necessary for self-production and self-consumption from renewable sources (with the exclusion of biomass), and training staff in skills for the green transition. The investment also consists in setting-up an IT support platform and related activities for management, monitoring, and control purposes provided by GSE – Gestore Servizi Energetici.</w:t>
      </w:r>
    </w:p>
    <w:p w14:paraId="0F5B6C66" w14:textId="77777777" w:rsidR="0039681A" w:rsidRPr="00A36E36" w:rsidRDefault="0039681A" w:rsidP="00351087">
      <w:pPr>
        <w:pStyle w:val="Heading4"/>
        <w:numPr>
          <w:ilvl w:val="3"/>
          <w:numId w:val="0"/>
        </w:numPr>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Investment 16. Support to SMEs for self-production from renewable energy sources</w:t>
      </w:r>
    </w:p>
    <w:p w14:paraId="415A396E"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 xml:space="preserve">This measure shall consist of a public investment in a Grant Scheme the </w:t>
      </w:r>
      <w:r w:rsidRPr="00A36E36">
        <w:rPr>
          <w:rFonts w:ascii="Times New Roman" w:hAnsi="Times New Roman" w:cs="Times New Roman"/>
          <w:i/>
          <w:noProof/>
          <w:lang w:val="en-IE"/>
        </w:rPr>
        <w:t xml:space="preserve">“Support to SMEs for self-production from renewable energy sources” </w:t>
      </w:r>
      <w:r w:rsidRPr="00A36E36">
        <w:rPr>
          <w:rFonts w:ascii="Times New Roman" w:hAnsi="Times New Roman" w:cs="Times New Roman"/>
          <w:noProof/>
          <w:lang w:val="en-IE"/>
        </w:rPr>
        <w:t>in order to incentivise private investment and improve access to finance in Italy’s self-production of energy from renewable sources (RES).</w:t>
      </w:r>
    </w:p>
    <w:p w14:paraId="3D5A0987"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The Scheme aims to support micro, small and medium-sized enterprises (SMEs) in the implementation of investment programs aimed at the self-production of energy from renewable sources</w:t>
      </w:r>
      <w:r w:rsidRPr="00647572">
        <w:rPr>
          <w:rStyle w:val="FootnoteReference"/>
          <w:rFonts w:ascii="Times New Roman" w:hAnsi="Times New Roman" w:cs="Times New Roman"/>
          <w:noProof/>
        </w:rPr>
        <w:footnoteReference w:id="93"/>
      </w:r>
      <w:r w:rsidRPr="00A36E36">
        <w:rPr>
          <w:rFonts w:ascii="Times New Roman" w:hAnsi="Times New Roman" w:cs="Times New Roman"/>
          <w:noProof/>
          <w:lang w:val="en-IE"/>
        </w:rPr>
        <w:t xml:space="preserve">. </w:t>
      </w:r>
    </w:p>
    <w:p w14:paraId="422C4E58" w14:textId="77777777" w:rsidR="0039681A" w:rsidRPr="00A36E36" w:rsidRDefault="0039681A" w:rsidP="00351087">
      <w:pPr>
        <w:spacing w:after="120"/>
        <w:rPr>
          <w:rFonts w:ascii="Times New Roman" w:hAnsi="Times New Roman" w:cs="Times New Roman"/>
          <w:noProof/>
          <w:lang w:val="en-IE"/>
        </w:rPr>
      </w:pPr>
      <w:r w:rsidRPr="00A36E36">
        <w:rPr>
          <w:rFonts w:ascii="Times New Roman" w:hAnsi="Times New Roman" w:cs="Times New Roman"/>
          <w:noProof/>
          <w:lang w:val="en-IE"/>
        </w:rPr>
        <w:t>The scheme shall operate by providing grants directly to the private sector.</w:t>
      </w:r>
    </w:p>
    <w:p w14:paraId="38C658B1" w14:textId="77777777" w:rsidR="0039681A" w:rsidRPr="00647572" w:rsidRDefault="0039681A" w:rsidP="00351087">
      <w:pPr>
        <w:spacing w:after="120"/>
        <w:jc w:val="both"/>
        <w:rPr>
          <w:rFonts w:ascii="Times New Roman" w:hAnsi="Times New Roman" w:cs="Times New Roman"/>
          <w:noProof/>
        </w:rPr>
      </w:pPr>
      <w:r w:rsidRPr="00A36E36">
        <w:rPr>
          <w:rFonts w:ascii="Times New Roman" w:hAnsi="Times New Roman" w:cs="Times New Roman"/>
          <w:noProof/>
          <w:lang w:val="en-IE"/>
        </w:rPr>
        <w:t xml:space="preserve">The Scheme shall be managed by Invitalia SpA as the implementing partner. </w:t>
      </w:r>
      <w:r w:rsidRPr="00647572">
        <w:rPr>
          <w:rFonts w:ascii="Times New Roman" w:hAnsi="Times New Roman" w:cs="Times New Roman"/>
          <w:noProof/>
        </w:rPr>
        <w:t>The Scheme shall include the following product lines:</w:t>
      </w:r>
    </w:p>
    <w:p w14:paraId="2C454629" w14:textId="77777777" w:rsidR="0039681A" w:rsidRPr="00A36E36" w:rsidRDefault="0039681A" w:rsidP="0039681A">
      <w:pPr>
        <w:pStyle w:val="ListParagraph"/>
        <w:numPr>
          <w:ilvl w:val="0"/>
          <w:numId w:val="159"/>
        </w:numPr>
        <w:spacing w:after="120" w:line="240" w:lineRule="auto"/>
        <w:jc w:val="both"/>
        <w:rPr>
          <w:noProof/>
          <w:lang w:val="en-IE"/>
        </w:rPr>
      </w:pPr>
      <w:r w:rsidRPr="00A36E36">
        <w:rPr>
          <w:rFonts w:ascii="Times New Roman" w:hAnsi="Times New Roman" w:cs="Times New Roman"/>
          <w:noProof/>
          <w:lang w:val="en-IE"/>
        </w:rPr>
        <w:t>non-repayable contributions amounting to at least 30% of the total investment - for the purchase of systems and related digital technologies, which allow the direct production of energy from renewable sources for immediate self-consumption or through accumulation/storage systems.</w:t>
      </w:r>
    </w:p>
    <w:p w14:paraId="78A14DC9"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Scheme, Italy and Invitalia SpA shall sign an Implementing Agreement that shall include the following content:</w:t>
      </w:r>
    </w:p>
    <w:p w14:paraId="5F320F61" w14:textId="77777777" w:rsidR="0039681A" w:rsidRPr="00384DBE" w:rsidRDefault="0039681A" w:rsidP="00384DBE">
      <w:pPr>
        <w:pStyle w:val="LegalNumPar"/>
        <w:numPr>
          <w:ilvl w:val="0"/>
          <w:numId w:val="173"/>
        </w:numPr>
        <w:spacing w:after="120" w:line="240" w:lineRule="auto"/>
        <w:rPr>
          <w:rFonts w:ascii="Times New Roman" w:eastAsia="Times New Roman" w:hAnsi="Times New Roman" w:cs="Times New Roman"/>
          <w:noProof/>
          <w:lang w:val="en-GB"/>
        </w:rPr>
      </w:pPr>
      <w:r w:rsidRPr="00384DBE">
        <w:rPr>
          <w:rFonts w:ascii="Times New Roman" w:hAnsi="Times New Roman" w:cs="Times New Roman"/>
          <w:noProof/>
          <w:lang w:val="en-GB"/>
        </w:rPr>
        <w:t>Description of the decision-making process of the Scheme: The final investment decision of the Scheme shall be taken by an investment committee or other relevant equivalent governing body and approved by a majority of votes from members who are independent from the government.</w:t>
      </w:r>
    </w:p>
    <w:p w14:paraId="1E84E3B7" w14:textId="77777777" w:rsidR="0039681A" w:rsidRPr="00647572" w:rsidRDefault="0039681A" w:rsidP="0039681A">
      <w:pPr>
        <w:pStyle w:val="LegalNumPar"/>
        <w:spacing w:after="120" w:line="240" w:lineRule="auto"/>
        <w:ind w:left="901" w:hanging="476"/>
        <w:jc w:val="both"/>
        <w:rPr>
          <w:rFonts w:ascii="Times New Roman" w:hAnsi="Times New Roman" w:cs="Times New Roman"/>
          <w:noProof/>
          <w:lang w:val="en-GB"/>
        </w:rPr>
      </w:pPr>
      <w:r w:rsidRPr="00647572">
        <w:rPr>
          <w:rFonts w:ascii="Times New Roman" w:hAnsi="Times New Roman" w:cs="Times New Roman"/>
          <w:noProof/>
          <w:lang w:val="en-GB"/>
        </w:rPr>
        <w:t>Key requirements of the associated investment policy,</w:t>
      </w:r>
      <w:r w:rsidRPr="00647572">
        <w:rPr>
          <w:rFonts w:ascii="Times New Roman" w:hAnsi="Times New Roman" w:cs="Times New Roman"/>
          <w:b/>
          <w:noProof/>
          <w:lang w:val="en-GB"/>
        </w:rPr>
        <w:t xml:space="preserve"> </w:t>
      </w:r>
      <w:r w:rsidRPr="00647572">
        <w:rPr>
          <w:rFonts w:ascii="Times New Roman" w:hAnsi="Times New Roman" w:cs="Times New Roman"/>
          <w:noProof/>
          <w:lang w:val="en-GB"/>
        </w:rPr>
        <w:t>which shall include:</w:t>
      </w:r>
    </w:p>
    <w:p w14:paraId="6B20B766" w14:textId="77777777" w:rsidR="0039681A" w:rsidRPr="00647572" w:rsidRDefault="0039681A" w:rsidP="0039681A">
      <w:pPr>
        <w:pStyle w:val="LegalNumPar2"/>
        <w:numPr>
          <w:ilvl w:val="1"/>
          <w:numId w:val="160"/>
        </w:numPr>
        <w:spacing w:after="120" w:line="240" w:lineRule="auto"/>
        <w:ind w:left="1418"/>
        <w:jc w:val="both"/>
        <w:rPr>
          <w:rFonts w:ascii="Times New Roman" w:hAnsi="Times New Roman" w:cs="Times New Roman"/>
          <w:noProof/>
          <w:lang w:val="en-GB"/>
        </w:rPr>
      </w:pPr>
      <w:r w:rsidRPr="00647572">
        <w:rPr>
          <w:rFonts w:ascii="Times New Roman" w:hAnsi="Times New Roman" w:cs="Times New Roman"/>
          <w:noProof/>
          <w:lang w:val="en-GB"/>
        </w:rPr>
        <w:t xml:space="preserve">The description of the type of support provided and eligible final beneficiaries. </w:t>
      </w:r>
    </w:p>
    <w:p w14:paraId="6128AEAD" w14:textId="77777777" w:rsidR="0039681A" w:rsidRPr="00647572" w:rsidRDefault="0039681A" w:rsidP="0039681A">
      <w:pPr>
        <w:pStyle w:val="LegalNumPar2"/>
        <w:numPr>
          <w:ilvl w:val="1"/>
          <w:numId w:val="160"/>
        </w:numPr>
        <w:spacing w:after="120" w:line="240" w:lineRule="auto"/>
        <w:ind w:left="1418"/>
        <w:jc w:val="both"/>
        <w:rPr>
          <w:rFonts w:ascii="Times New Roman" w:hAnsi="Times New Roman" w:cs="Times New Roman"/>
          <w:noProof/>
          <w:lang w:val="en-GB"/>
        </w:rPr>
      </w:pPr>
      <w:r w:rsidRPr="00647572">
        <w:rPr>
          <w:rFonts w:ascii="Times New Roman" w:hAnsi="Times New Roman" w:cs="Times New Roman"/>
          <w:noProof/>
          <w:lang w:val="en-GB"/>
        </w:rPr>
        <w:t>The requirement that all investments supported are economically viable</w:t>
      </w:r>
      <w:r w:rsidRPr="00647572">
        <w:rPr>
          <w:rFonts w:ascii="Times New Roman" w:hAnsi="Times New Roman" w:cs="Times New Roman"/>
          <w:b/>
          <w:noProof/>
          <w:lang w:val="en-GB"/>
        </w:rPr>
        <w:t>.</w:t>
      </w:r>
    </w:p>
    <w:p w14:paraId="70C20EF7" w14:textId="77777777" w:rsidR="0039681A" w:rsidRPr="00647572" w:rsidRDefault="0039681A" w:rsidP="0039681A">
      <w:pPr>
        <w:pStyle w:val="LegalNumPar2"/>
        <w:numPr>
          <w:ilvl w:val="1"/>
          <w:numId w:val="104"/>
        </w:numPr>
        <w:spacing w:after="120" w:line="240" w:lineRule="auto"/>
        <w:ind w:left="1418"/>
        <w:jc w:val="both"/>
        <w:rPr>
          <w:rFonts w:ascii="Times New Roman" w:hAnsi="Times New Roman" w:cs="Times New Roman"/>
          <w:noProof/>
          <w:lang w:val="en-GB"/>
        </w:rPr>
      </w:pPr>
      <w:r w:rsidRPr="00647572">
        <w:rPr>
          <w:rFonts w:ascii="Times New Roman" w:hAnsi="Times New Roman" w:cs="Times New Roman"/>
          <w:noProof/>
          <w:lang w:val="en-GB"/>
        </w:rPr>
        <w:t>The requirement to comply with the ‘Do no significant harm’ (DNSH) principle as set out in the DNSH Technical Guidance (2021/C58/01). In particular, in the case of general support to corporates, the investment policy shall exclude companies with a substantial focus</w:t>
      </w:r>
      <w:r w:rsidRPr="00647572">
        <w:rPr>
          <w:rFonts w:ascii="Times New Roman" w:hAnsi="Times New Roman" w:cs="Times New Roman"/>
          <w:noProof/>
          <w:vertAlign w:val="superscript"/>
          <w:lang w:val="en-GB"/>
        </w:rPr>
        <w:footnoteReference w:id="94"/>
      </w:r>
      <w:r w:rsidRPr="00647572">
        <w:rPr>
          <w:rFonts w:ascii="Times New Roman" w:hAnsi="Times New Roman" w:cs="Times New Roman"/>
          <w:noProof/>
          <w:lang w:val="en-GB"/>
        </w:rPr>
        <w:t xml:space="preserve"> in the following sectors: (i) fossil fuel-based energy production and related activities</w:t>
      </w:r>
      <w:r w:rsidRPr="00647572">
        <w:rPr>
          <w:rFonts w:ascii="Times New Roman" w:hAnsi="Times New Roman" w:cs="Times New Roman"/>
          <w:noProof/>
          <w:vertAlign w:val="superscript"/>
          <w:lang w:val="en-GB"/>
        </w:rPr>
        <w:footnoteReference w:id="95"/>
      </w:r>
      <w:r w:rsidRPr="00647572">
        <w:rPr>
          <w:rFonts w:ascii="Times New Roman" w:hAnsi="Times New Roman" w:cs="Times New Roman"/>
          <w:noProof/>
          <w:lang w:val="en-GB"/>
        </w:rPr>
        <w:t>; (ii) energy-intensive and/or high CO2-emitting industries</w:t>
      </w:r>
      <w:r w:rsidRPr="00647572">
        <w:rPr>
          <w:rFonts w:ascii="Times New Roman" w:hAnsi="Times New Roman" w:cs="Times New Roman"/>
          <w:noProof/>
          <w:vertAlign w:val="superscript"/>
          <w:lang w:val="en-GB"/>
        </w:rPr>
        <w:footnoteReference w:id="96"/>
      </w:r>
      <w:r w:rsidRPr="00647572">
        <w:rPr>
          <w:rFonts w:ascii="Times New Roman" w:hAnsi="Times New Roman" w:cs="Times New Roman"/>
          <w:noProof/>
          <w:lang w:val="en-GB"/>
        </w:rPr>
        <w:t>; (iii) production, rental, or sale of polluting vehicles</w:t>
      </w:r>
      <w:r w:rsidRPr="00647572">
        <w:rPr>
          <w:rFonts w:ascii="Times New Roman" w:hAnsi="Times New Roman" w:cs="Times New Roman"/>
          <w:noProof/>
          <w:vertAlign w:val="superscript"/>
          <w:lang w:val="en-GB"/>
        </w:rPr>
        <w:footnoteReference w:id="97"/>
      </w:r>
      <w:r w:rsidRPr="00647572">
        <w:rPr>
          <w:rFonts w:ascii="Times New Roman" w:hAnsi="Times New Roman" w:cs="Times New Roman"/>
          <w:noProof/>
          <w:lang w:val="en-GB"/>
        </w:rPr>
        <w:t>; (iv) waste collection, waste treatment and disposal</w:t>
      </w:r>
      <w:r w:rsidRPr="00647572">
        <w:rPr>
          <w:rFonts w:ascii="Times New Roman" w:hAnsi="Times New Roman" w:cs="Times New Roman"/>
          <w:noProof/>
          <w:vertAlign w:val="superscript"/>
          <w:lang w:val="en-GB"/>
        </w:rPr>
        <w:footnoteReference w:id="98"/>
      </w:r>
      <w:r w:rsidRPr="00647572">
        <w:rPr>
          <w:rFonts w:ascii="Times New Roman" w:hAnsi="Times New Roman" w:cs="Times New Roman"/>
          <w:noProof/>
          <w:lang w:val="en-GB"/>
        </w:rPr>
        <w:t>, (v) processing of nuclear fuel, production of nuclear energy. Furthermore, the investment policy shall require compliance</w:t>
      </w:r>
      <w:r w:rsidRPr="00647572">
        <w:rPr>
          <w:rFonts w:ascii="Times New Roman" w:hAnsi="Times New Roman" w:cs="Times New Roman"/>
          <w:b/>
          <w:noProof/>
          <w:lang w:val="en-GB"/>
        </w:rPr>
        <w:t xml:space="preserve"> </w:t>
      </w:r>
      <w:r w:rsidRPr="00647572">
        <w:rPr>
          <w:rFonts w:ascii="Times New Roman" w:hAnsi="Times New Roman" w:cs="Times New Roman"/>
          <w:noProof/>
          <w:lang w:val="en-GB"/>
        </w:rPr>
        <w:t xml:space="preserve">with the relevant EU and national environmental legislation of the final beneficiaries of the Scheme. </w:t>
      </w:r>
    </w:p>
    <w:p w14:paraId="5FC51E0D" w14:textId="77777777" w:rsidR="0039681A" w:rsidRPr="00647572" w:rsidRDefault="0039681A" w:rsidP="0039681A">
      <w:pPr>
        <w:pStyle w:val="LegalNumPar2"/>
        <w:numPr>
          <w:ilvl w:val="1"/>
          <w:numId w:val="160"/>
        </w:numPr>
        <w:spacing w:after="120" w:line="240" w:lineRule="auto"/>
        <w:ind w:left="1418"/>
        <w:jc w:val="both"/>
        <w:rPr>
          <w:rFonts w:ascii="Times New Roman" w:hAnsi="Times New Roman" w:cs="Times New Roman"/>
          <w:bCs/>
          <w:noProof/>
          <w:lang w:val="en-GB"/>
        </w:rPr>
      </w:pPr>
      <w:r w:rsidRPr="00647572">
        <w:rPr>
          <w:rFonts w:ascii="Times New Roman" w:hAnsi="Times New Roman" w:cs="Times New Roman"/>
          <w:noProof/>
          <w:lang w:val="en-GB"/>
        </w:rPr>
        <w:t>The requirement that final beneficiaries of the Scheme shall not receive support from other Union instruments to cover the same cost.</w:t>
      </w:r>
    </w:p>
    <w:p w14:paraId="281ED089" w14:textId="77777777" w:rsidR="0039681A" w:rsidRPr="00647572" w:rsidRDefault="0039681A" w:rsidP="0039681A">
      <w:pPr>
        <w:pStyle w:val="LegalNumPar"/>
        <w:spacing w:after="120" w:line="240" w:lineRule="auto"/>
        <w:ind w:left="901" w:hanging="476"/>
        <w:jc w:val="both"/>
        <w:rPr>
          <w:rFonts w:ascii="Times New Roman" w:hAnsi="Times New Roman" w:cs="Times New Roman"/>
          <w:noProof/>
          <w:lang w:val="en-GB"/>
        </w:rPr>
      </w:pPr>
      <w:r w:rsidRPr="00647572">
        <w:rPr>
          <w:rFonts w:ascii="Times New Roman" w:hAnsi="Times New Roman"/>
          <w:noProof/>
          <w:lang w:val="en-GB"/>
        </w:rPr>
        <w:t>The amount covered by the Implementing Agreement, the fee structure for the Implementing Partner and the requirement to invest any unused proceeds of the scheme, including beyond 2026, for the same policy purposes.</w:t>
      </w:r>
    </w:p>
    <w:p w14:paraId="4132DC41" w14:textId="77777777" w:rsidR="0039681A" w:rsidRPr="00647572" w:rsidRDefault="0039681A" w:rsidP="0039681A">
      <w:pPr>
        <w:pStyle w:val="LegalNumPar"/>
        <w:spacing w:after="120" w:line="240" w:lineRule="auto"/>
        <w:ind w:left="901" w:hanging="476"/>
        <w:jc w:val="both"/>
        <w:rPr>
          <w:rFonts w:ascii="Times New Roman" w:hAnsi="Times New Roman" w:cs="Times New Roman"/>
          <w:noProof/>
          <w:lang w:val="en-GB"/>
        </w:rPr>
      </w:pPr>
      <w:r w:rsidRPr="00647572">
        <w:rPr>
          <w:rFonts w:ascii="Times New Roman" w:hAnsi="Times New Roman"/>
          <w:noProof/>
          <w:lang w:val="en-GB"/>
        </w:rPr>
        <w:t>Monitoring, audit, and control requirements, including:</w:t>
      </w:r>
    </w:p>
    <w:p w14:paraId="57388433" w14:textId="77777777" w:rsidR="0039681A" w:rsidRPr="00A36E36" w:rsidRDefault="0039681A" w:rsidP="0039681A">
      <w:pPr>
        <w:numPr>
          <w:ilvl w:val="0"/>
          <w:numId w:val="161"/>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s monitoring system to report on the investment mobilized.</w:t>
      </w:r>
    </w:p>
    <w:p w14:paraId="2E348985" w14:textId="77777777" w:rsidR="0039681A" w:rsidRPr="00A36E36" w:rsidRDefault="0039681A" w:rsidP="0039681A">
      <w:pPr>
        <w:numPr>
          <w:ilvl w:val="0"/>
          <w:numId w:val="161"/>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w:t>
      </w:r>
      <w:r w:rsidRPr="00A36E36">
        <w:rPr>
          <w:rFonts w:ascii="Times New Roman" w:hAnsi="Times New Roman" w:cs="Times New Roman" w:hint="eastAsia"/>
          <w:noProof/>
          <w:lang w:val="en-IE"/>
        </w:rPr>
        <w:t>’</w:t>
      </w:r>
      <w:r w:rsidRPr="00A36E36">
        <w:rPr>
          <w:rFonts w:ascii="Times New Roman" w:hAnsi="Times New Roman" w:cs="Times New Roman"/>
          <w:noProof/>
          <w:lang w:val="en-IE"/>
        </w:rPr>
        <w:t xml:space="preserve">s procedures that shall ensure the prevention, detection and correction of fraud, corruption, and conflicts of interests. </w:t>
      </w:r>
    </w:p>
    <w:p w14:paraId="308C89DC" w14:textId="77777777" w:rsidR="0039681A" w:rsidRPr="00A36E36" w:rsidRDefault="0039681A" w:rsidP="0039681A">
      <w:pPr>
        <w:numPr>
          <w:ilvl w:val="0"/>
          <w:numId w:val="161"/>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committing to finance an operation.</w:t>
      </w:r>
    </w:p>
    <w:p w14:paraId="1A918EE5" w14:textId="77777777" w:rsidR="0039681A" w:rsidRPr="00A36E36" w:rsidRDefault="0039681A" w:rsidP="0039681A">
      <w:pPr>
        <w:numPr>
          <w:ilvl w:val="0"/>
          <w:numId w:val="161"/>
        </w:numPr>
        <w:spacing w:after="120" w:line="240" w:lineRule="auto"/>
        <w:jc w:val="both"/>
        <w:rPr>
          <w:rFonts w:ascii="Times New Roman" w:hAnsi="Times New Roman" w:cs="Times New Roman"/>
          <w:noProof/>
          <w:lang w:val="en-IE"/>
        </w:rPr>
      </w:pPr>
      <w:r w:rsidRPr="00A36E36">
        <w:rPr>
          <w:rFonts w:ascii="Times New Roman" w:hAnsi="Times New Roman" w:cs="Times New Roman"/>
          <w:noProof/>
          <w:lang w:val="en-IE"/>
        </w:rPr>
        <w:t>The obligation of carrying out risk-based ex-post audits in accordance with an audit plan of Invitalia SpA. These audits shall verify i)</w:t>
      </w:r>
      <w:r w:rsidRPr="00A36E36">
        <w:rPr>
          <w:rFonts w:ascii="Times New Roman" w:hAnsi="Times New Roman" w:cs="Times New Roman" w:hint="eastAsia"/>
          <w:noProof/>
          <w:lang w:val="en-IE"/>
        </w:rPr>
        <w:t> </w:t>
      </w:r>
      <w:r w:rsidRPr="00A36E36">
        <w:rPr>
          <w:rFonts w:ascii="Times New Roman" w:hAnsi="Times New Roman" w:cs="Times New Roman"/>
          <w:noProof/>
          <w:lang w:val="en-IE"/>
        </w:rPr>
        <w:t>that the control systems are effective, including the detection of fraud, corruption, and conflict of interests; ii)</w:t>
      </w:r>
      <w:r w:rsidRPr="00A36E36">
        <w:rPr>
          <w:rFonts w:ascii="Times New Roman" w:hAnsi="Times New Roman" w:cs="Times New Roman" w:hint="eastAsia"/>
          <w:noProof/>
          <w:lang w:val="en-IE"/>
        </w:rPr>
        <w:t> </w:t>
      </w:r>
      <w:r w:rsidRPr="00A36E36">
        <w:rPr>
          <w:rFonts w:ascii="Times New Roman" w:hAnsi="Times New Roman" w:cs="Times New Roman"/>
          <w:noProof/>
          <w:lang w:val="en-IE"/>
        </w:rPr>
        <w:t>compliance with the DNSH principle, the State Aid rules, the climate target requirements; and iii)</w:t>
      </w:r>
      <w:r w:rsidRPr="00A36E36">
        <w:rPr>
          <w:rFonts w:ascii="Times New Roman" w:hAnsi="Times New Roman" w:cs="Times New Roman" w:hint="eastAsia"/>
          <w:noProof/>
          <w:lang w:val="en-IE"/>
        </w:rPr>
        <w:t> </w:t>
      </w:r>
      <w:r w:rsidRPr="00A36E36">
        <w:rPr>
          <w:rFonts w:ascii="Times New Roman" w:hAnsi="Times New Roman" w:cs="Times New Roman"/>
          <w:noProof/>
          <w:lang w:val="en-IE"/>
        </w:rPr>
        <w:t xml:space="preserve">that the requirement that final beneficiaries of the Scheme have not received support from other Union instruments to cover the same cost is respected. The audits shall also verify the legality of the transactions and that the conditions of the applicable Implementing Agreement are being respected. </w:t>
      </w:r>
    </w:p>
    <w:p w14:paraId="5D23B617" w14:textId="77777777" w:rsidR="0039681A" w:rsidRDefault="0039681A" w:rsidP="00351087">
      <w:pPr>
        <w:rPr>
          <w:rFonts w:ascii="Times New Roman" w:eastAsiaTheme="majorEastAsia" w:hAnsi="Times New Roman" w:cs="Times New Roman"/>
          <w:b/>
          <w:iCs/>
          <w:noProof/>
          <w:color w:val="000000" w:themeColor="text1"/>
          <w:lang w:val="en-IE"/>
        </w:rPr>
      </w:pPr>
      <w:r>
        <w:rPr>
          <w:rFonts w:ascii="Times New Roman" w:hAnsi="Times New Roman" w:cs="Times New Roman"/>
          <w:b/>
          <w:i/>
          <w:noProof/>
          <w:color w:val="000000" w:themeColor="text1"/>
          <w:lang w:val="en-IE"/>
        </w:rPr>
        <w:br w:type="page"/>
      </w:r>
    </w:p>
    <w:p w14:paraId="3E0D7476" w14:textId="77777777" w:rsidR="0039681A" w:rsidRPr="00A36E36" w:rsidRDefault="0039681A" w:rsidP="00351087">
      <w:pPr>
        <w:pStyle w:val="Heading4"/>
        <w:spacing w:before="0"/>
        <w:rPr>
          <w:rFonts w:ascii="Times New Roman" w:hAnsi="Times New Roman" w:cs="Times New Roman"/>
          <w:b/>
          <w:i w:val="0"/>
          <w:noProof/>
          <w:color w:val="000000" w:themeColor="text1"/>
          <w:lang w:val="en-IE"/>
        </w:rPr>
      </w:pPr>
      <w:r w:rsidRPr="00A36E36">
        <w:rPr>
          <w:rFonts w:ascii="Times New Roman" w:hAnsi="Times New Roman" w:cs="Times New Roman"/>
          <w:b/>
          <w:i w:val="0"/>
          <w:noProof/>
          <w:color w:val="000000" w:themeColor="text1"/>
          <w:lang w:val="en-IE"/>
        </w:rPr>
        <w:t>Investment 17. Financial instrument for energy renovations of public residential housing</w:t>
      </w:r>
    </w:p>
    <w:p w14:paraId="2539A01F"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The objective of the measure is to support renovation of public residential housing. This measure shall consist of a public investment in a Facility, the “Financial instrument to alleviate energy poverty”, in order to incentivise private investment and improve access to finance. The instrument shall target energy renovations in public residential housing achieving on average at least a 30% of primary energy demand reduction</w:t>
      </w:r>
      <w:r w:rsidRPr="00647572">
        <w:rPr>
          <w:rStyle w:val="FootnoteReference"/>
          <w:rFonts w:ascii="Times New Roman" w:hAnsi="Times New Roman" w:cs="Times New Roman"/>
          <w:noProof/>
        </w:rPr>
        <w:footnoteReference w:id="99"/>
      </w:r>
      <w:r w:rsidRPr="00A36E36">
        <w:rPr>
          <w:rFonts w:ascii="Times New Roman" w:hAnsi="Times New Roman" w:cs="Times New Roman"/>
          <w:noProof/>
          <w:lang w:val="en-IE"/>
        </w:rPr>
        <w:t xml:space="preserve">. </w:t>
      </w:r>
    </w:p>
    <w:p w14:paraId="2EC08327" w14:textId="77777777" w:rsidR="0039681A" w:rsidRPr="00A36E36" w:rsidRDefault="0039681A" w:rsidP="00351087">
      <w:pPr>
        <w:rPr>
          <w:rFonts w:ascii="Times New Roman" w:hAnsi="Times New Roman" w:cs="Times New Roman"/>
          <w:noProof/>
          <w:lang w:val="en-IE"/>
        </w:rPr>
      </w:pPr>
      <w:r w:rsidRPr="00A36E36">
        <w:rPr>
          <w:rFonts w:ascii="Times New Roman" w:hAnsi="Times New Roman" w:cs="Times New Roman"/>
          <w:noProof/>
          <w:lang w:val="en-IE"/>
        </w:rPr>
        <w:t xml:space="preserve">The Facility shall be managed by two Implementing Partners. </w:t>
      </w:r>
    </w:p>
    <w:p w14:paraId="2A744A5B" w14:textId="77777777" w:rsidR="0039681A" w:rsidRPr="00A36E36" w:rsidRDefault="0039681A" w:rsidP="0039681A">
      <w:pPr>
        <w:pStyle w:val="ListParagraph"/>
        <w:numPr>
          <w:ilvl w:val="0"/>
          <w:numId w:val="162"/>
        </w:numPr>
        <w:rPr>
          <w:rFonts w:ascii="Times New Roman" w:hAnsi="Times New Roman" w:cs="Times New Roman"/>
          <w:noProof/>
          <w:lang w:val="en-IE"/>
        </w:rPr>
      </w:pPr>
      <w:r w:rsidRPr="00A36E36">
        <w:rPr>
          <w:rFonts w:ascii="Times New Roman" w:hAnsi="Times New Roman" w:cs="Times New Roman"/>
          <w:noProof/>
          <w:lang w:val="en-IE"/>
        </w:rPr>
        <w:t>The Gestore Servizi Energetici (GSE Spa) as technical partner responsible for the grant component;</w:t>
      </w:r>
    </w:p>
    <w:p w14:paraId="4A556112" w14:textId="77777777" w:rsidR="0039681A" w:rsidRPr="00A36E36" w:rsidRDefault="0039681A" w:rsidP="0039681A">
      <w:pPr>
        <w:pStyle w:val="ListParagraph"/>
        <w:numPr>
          <w:ilvl w:val="0"/>
          <w:numId w:val="162"/>
        </w:numPr>
        <w:rPr>
          <w:rFonts w:ascii="Times New Roman" w:hAnsi="Times New Roman" w:cs="Times New Roman"/>
          <w:noProof/>
          <w:lang w:val="en-IE"/>
        </w:rPr>
      </w:pPr>
      <w:r w:rsidRPr="00A36E36">
        <w:rPr>
          <w:rFonts w:ascii="Times New Roman" w:hAnsi="Times New Roman" w:cs="Times New Roman"/>
          <w:noProof/>
          <w:lang w:val="en-IE"/>
        </w:rPr>
        <w:t>Cassa Depositi e Prestiti (CDP Spa) as financial partner and responsible for the (optional) loan component.</w:t>
      </w:r>
    </w:p>
    <w:p w14:paraId="4879CB7A" w14:textId="04A667C2" w:rsidR="0039681A" w:rsidRPr="00A36E36" w:rsidRDefault="0039681A" w:rsidP="00351087">
      <w:pPr>
        <w:shd w:val="clear" w:color="auto" w:fill="FFFFFF" w:themeFill="background1"/>
        <w:spacing w:after="120"/>
        <w:jc w:val="both"/>
        <w:rPr>
          <w:rFonts w:ascii="Times New Roman" w:hAnsi="Times New Roman" w:cs="Times New Roman"/>
          <w:noProof/>
          <w:lang w:val="en-IE"/>
        </w:rPr>
      </w:pPr>
      <w:r w:rsidRPr="503720A2">
        <w:rPr>
          <w:rFonts w:ascii="Times New Roman" w:hAnsi="Times New Roman" w:cs="Times New Roman"/>
          <w:noProof/>
          <w:lang w:val="en-IE"/>
        </w:rPr>
        <w:t xml:space="preserve">The facility shall provide financial support in the form of grants and/or loans for the energy renovation of public residential housing, achieving on average at least a 30% of primary energy demand reduction. </w:t>
      </w:r>
    </w:p>
    <w:p w14:paraId="037FDC4B" w14:textId="5399B5A7" w:rsidR="0039681A" w:rsidRPr="00A36E36" w:rsidRDefault="0039681A" w:rsidP="00351087">
      <w:pPr>
        <w:spacing w:line="257" w:lineRule="auto"/>
        <w:jc w:val="both"/>
        <w:rPr>
          <w:rFonts w:ascii="Times New Roman" w:hAnsi="Times New Roman" w:cs="Times New Roman"/>
          <w:noProof/>
          <w:lang w:val="en-IE"/>
        </w:rPr>
      </w:pPr>
      <w:r w:rsidRPr="00A36E36">
        <w:rPr>
          <w:rFonts w:ascii="Times New Roman" w:hAnsi="Times New Roman" w:cs="Times New Roman"/>
          <w:noProof/>
          <w:lang w:val="en-IE"/>
        </w:rPr>
        <w:t>The Facility shall include the following product lines to support public residential housing:</w:t>
      </w:r>
      <w:r w:rsidR="00381DB1">
        <w:rPr>
          <w:rFonts w:ascii="Times New Roman" w:hAnsi="Times New Roman" w:cs="Times New Roman"/>
          <w:noProof/>
          <w:lang w:val="en-IE"/>
        </w:rPr>
        <w:t xml:space="preserve"> </w:t>
      </w:r>
    </w:p>
    <w:p w14:paraId="5B32DBF9" w14:textId="77777777" w:rsidR="0039681A" w:rsidRPr="00A36E36" w:rsidRDefault="0039681A" w:rsidP="0039681A">
      <w:pPr>
        <w:pStyle w:val="ListParagraph"/>
        <w:numPr>
          <w:ilvl w:val="0"/>
          <w:numId w:val="163"/>
        </w:numPr>
        <w:spacing w:after="0" w:line="257" w:lineRule="auto"/>
        <w:jc w:val="both"/>
        <w:rPr>
          <w:rFonts w:ascii="Times New Roman" w:hAnsi="Times New Roman" w:cs="Times New Roman"/>
          <w:noProof/>
          <w:lang w:val="en-IE"/>
        </w:rPr>
      </w:pPr>
      <w:r w:rsidRPr="00A36E36">
        <w:rPr>
          <w:rFonts w:ascii="Times New Roman" w:eastAsiaTheme="minorEastAsia" w:hAnsi="Times New Roman" w:cs="Times New Roman"/>
          <w:noProof/>
          <w:lang w:val="en-IE" w:eastAsia="ja-JP"/>
        </w:rPr>
        <w:t>A grant component provided by the technical partner Gestore Servizi Energetici Spa covering a maximum of 65% of total costs;</w:t>
      </w:r>
    </w:p>
    <w:p w14:paraId="492DB82C" w14:textId="77777777" w:rsidR="0039681A" w:rsidRPr="00A36E36" w:rsidRDefault="0039681A" w:rsidP="0039681A">
      <w:pPr>
        <w:pStyle w:val="ListParagraph"/>
        <w:numPr>
          <w:ilvl w:val="0"/>
          <w:numId w:val="163"/>
        </w:numPr>
        <w:spacing w:after="0" w:line="257" w:lineRule="auto"/>
        <w:jc w:val="both"/>
        <w:rPr>
          <w:rFonts w:ascii="Times New Roman" w:hAnsi="Times New Roman" w:cs="Times New Roman"/>
          <w:noProof/>
          <w:lang w:val="en-IE"/>
        </w:rPr>
      </w:pPr>
      <w:r w:rsidRPr="00A36E36">
        <w:rPr>
          <w:rFonts w:ascii="Times New Roman" w:eastAsiaTheme="minorEastAsia" w:hAnsi="Times New Roman" w:cs="Times New Roman"/>
          <w:noProof/>
          <w:lang w:val="en-IE" w:eastAsia="ja-JP"/>
        </w:rPr>
        <w:t>An optional loan component covering 35% of total costs. The loan component can be provided by the financial partner Cassa Depositi e Prestiti</w:t>
      </w:r>
    </w:p>
    <w:p w14:paraId="79FF4C38" w14:textId="77777777" w:rsidR="0039681A" w:rsidRPr="00A36E36" w:rsidRDefault="0039681A" w:rsidP="00351087">
      <w:pPr>
        <w:pStyle w:val="ListParagraph"/>
        <w:spacing w:after="0" w:line="257" w:lineRule="auto"/>
        <w:rPr>
          <w:rFonts w:ascii="Times New Roman" w:hAnsi="Times New Roman" w:cs="Times New Roman"/>
          <w:noProof/>
          <w:lang w:val="en-IE"/>
        </w:rPr>
      </w:pPr>
    </w:p>
    <w:p w14:paraId="521BF12F" w14:textId="77777777" w:rsidR="0039681A" w:rsidRPr="00A36E36" w:rsidRDefault="0039681A" w:rsidP="00351087">
      <w:pPr>
        <w:spacing w:after="120"/>
        <w:jc w:val="both"/>
        <w:rPr>
          <w:rFonts w:ascii="Times New Roman" w:hAnsi="Times New Roman" w:cs="Times New Roman"/>
          <w:noProof/>
          <w:lang w:val="en-IE"/>
        </w:rPr>
      </w:pPr>
      <w:r w:rsidRPr="00A36E36">
        <w:rPr>
          <w:rFonts w:ascii="Times New Roman" w:hAnsi="Times New Roman" w:cs="Times New Roman"/>
          <w:noProof/>
          <w:lang w:val="en-IE"/>
        </w:rPr>
        <w:t>In order to implement the investment into the Facility, Italy and the Implementing Partner(s) shall sign Implementing Agreement(s) that shall include the following content:</w:t>
      </w:r>
    </w:p>
    <w:p w14:paraId="15008732" w14:textId="77777777" w:rsidR="0039681A" w:rsidRPr="00A36E36" w:rsidRDefault="0039681A" w:rsidP="0039681A">
      <w:pPr>
        <w:pStyle w:val="ListParagraph"/>
        <w:numPr>
          <w:ilvl w:val="0"/>
          <w:numId w:val="164"/>
        </w:numPr>
        <w:spacing w:after="120" w:line="240" w:lineRule="auto"/>
        <w:ind w:left="709" w:hanging="425"/>
        <w:contextualSpacing w:val="0"/>
        <w:jc w:val="both"/>
        <w:rPr>
          <w:rFonts w:ascii="Times New Roman" w:hAnsi="Times New Roman" w:cs="Times New Roman"/>
          <w:noProof/>
          <w:lang w:val="en-IE"/>
        </w:rPr>
      </w:pPr>
      <w:r w:rsidRPr="00A36E36">
        <w:rPr>
          <w:rFonts w:ascii="Times New Roman" w:hAnsi="Times New Roman" w:cs="Times New Roman"/>
          <w:noProof/>
          <w:lang w:val="en-IE"/>
        </w:rPr>
        <w:t>Description of the decision-making process of the Facility: The final investment decision of the Facility shall be taken by an investment committee or other relevant equivalent governing body and approved by a majority of votes from members who are independent from the government.</w:t>
      </w:r>
    </w:p>
    <w:p w14:paraId="504F4AF3" w14:textId="77777777" w:rsidR="0039681A" w:rsidRPr="00A36E36" w:rsidRDefault="0039681A" w:rsidP="0039681A">
      <w:pPr>
        <w:pStyle w:val="ListParagraph"/>
        <w:numPr>
          <w:ilvl w:val="0"/>
          <w:numId w:val="164"/>
        </w:numPr>
        <w:spacing w:after="120" w:line="240" w:lineRule="auto"/>
        <w:ind w:left="709" w:hanging="425"/>
        <w:contextualSpacing w:val="0"/>
        <w:jc w:val="both"/>
        <w:rPr>
          <w:rFonts w:ascii="Times New Roman" w:hAnsi="Times New Roman" w:cs="Times New Roman"/>
          <w:noProof/>
          <w:lang w:val="en-IE"/>
        </w:rPr>
      </w:pPr>
      <w:r w:rsidRPr="00A36E36">
        <w:rPr>
          <w:rFonts w:ascii="Times New Roman" w:hAnsi="Times New Roman" w:cs="Times New Roman"/>
          <w:noProof/>
          <w:lang w:val="en-IE"/>
        </w:rPr>
        <w:t>Key requirements of the associated investment policy,</w:t>
      </w:r>
      <w:r w:rsidRPr="00A36E36">
        <w:rPr>
          <w:rFonts w:ascii="Times New Roman" w:hAnsi="Times New Roman" w:cs="Times New Roman"/>
          <w:b/>
          <w:noProof/>
          <w:lang w:val="en-IE"/>
        </w:rPr>
        <w:t xml:space="preserve"> </w:t>
      </w:r>
      <w:r w:rsidRPr="00A36E36">
        <w:rPr>
          <w:rFonts w:ascii="Times New Roman" w:hAnsi="Times New Roman" w:cs="Times New Roman"/>
          <w:noProof/>
          <w:lang w:val="en-IE"/>
        </w:rPr>
        <w:t>which shall include:</w:t>
      </w:r>
    </w:p>
    <w:p w14:paraId="0CFB388D" w14:textId="77777777" w:rsidR="0039681A" w:rsidRPr="00A36E36" w:rsidRDefault="0039681A" w:rsidP="0039681A">
      <w:pPr>
        <w:pStyle w:val="ListParagraph"/>
        <w:numPr>
          <w:ilvl w:val="1"/>
          <w:numId w:val="164"/>
        </w:numPr>
        <w:spacing w:after="120" w:line="240" w:lineRule="auto"/>
        <w:ind w:left="1418"/>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description of the financial product(s) and eligible final beneficiaries.</w:t>
      </w:r>
    </w:p>
    <w:p w14:paraId="1CB53EC2" w14:textId="77777777" w:rsidR="0039681A" w:rsidRPr="00A36E36" w:rsidRDefault="0039681A" w:rsidP="0039681A">
      <w:pPr>
        <w:pStyle w:val="ListParagraph"/>
        <w:numPr>
          <w:ilvl w:val="1"/>
          <w:numId w:val="164"/>
        </w:numPr>
        <w:spacing w:after="120" w:line="240" w:lineRule="auto"/>
        <w:ind w:left="1418"/>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requirement that all investments supported are economically viable</w:t>
      </w:r>
      <w:r w:rsidRPr="00A36E36">
        <w:rPr>
          <w:rFonts w:ascii="Times New Roman" w:hAnsi="Times New Roman" w:cs="Times New Roman"/>
          <w:b/>
          <w:noProof/>
          <w:lang w:val="en-IE"/>
        </w:rPr>
        <w:t>.</w:t>
      </w:r>
    </w:p>
    <w:p w14:paraId="70356187" w14:textId="77777777" w:rsidR="0039681A" w:rsidRPr="00A36E36" w:rsidRDefault="0039681A" w:rsidP="0039681A">
      <w:pPr>
        <w:pStyle w:val="ListParagraph"/>
        <w:numPr>
          <w:ilvl w:val="1"/>
          <w:numId w:val="164"/>
        </w:numPr>
        <w:spacing w:after="120" w:line="240" w:lineRule="auto"/>
        <w:ind w:left="1418"/>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requirement to comply with the ‘Do no significant harm’ (DNSH) principle as set out in the DNSH Technical Guidance (2021/C58/01). In particular, the investment policy shall exclude the following list of activities and assets from eligibility: (i) activities and assets related to fossil fuels, including downstream use</w:t>
      </w:r>
      <w:r w:rsidRPr="00647572">
        <w:rPr>
          <w:rStyle w:val="FootnoteReference"/>
          <w:rFonts w:ascii="Times New Roman" w:hAnsi="Times New Roman" w:cs="Times New Roman"/>
          <w:noProof/>
        </w:rPr>
        <w:footnoteReference w:id="100"/>
      </w:r>
      <w:r w:rsidRPr="00A36E36">
        <w:rPr>
          <w:rFonts w:ascii="Times New Roman" w:hAnsi="Times New Roman" w:cs="Times New Roman"/>
          <w:noProof/>
          <w:lang w:val="en-IE"/>
        </w:rPr>
        <w:t>, (ii) activities and assets under the EU Emission Trading System (ETS) achieving projected greenhouse gas emissions that are not lower than the relevant benchmarks</w:t>
      </w:r>
      <w:r w:rsidRPr="00647572">
        <w:rPr>
          <w:rFonts w:ascii="Times New Roman" w:hAnsi="Times New Roman" w:cs="Times New Roman"/>
          <w:noProof/>
          <w:vertAlign w:val="superscript"/>
        </w:rPr>
        <w:footnoteReference w:id="101"/>
      </w:r>
      <w:r w:rsidRPr="00A36E36">
        <w:rPr>
          <w:rFonts w:ascii="Times New Roman" w:hAnsi="Times New Roman" w:cs="Times New Roman"/>
          <w:noProof/>
          <w:lang w:val="en-IE"/>
        </w:rPr>
        <w:t>, (iii) activities and assets related to waste landfills, incinerators</w:t>
      </w:r>
      <w:r w:rsidRPr="00647572">
        <w:rPr>
          <w:rStyle w:val="FootnoteReference"/>
          <w:rFonts w:ascii="Times New Roman" w:hAnsi="Times New Roman" w:cs="Times New Roman"/>
          <w:noProof/>
        </w:rPr>
        <w:footnoteReference w:id="102"/>
      </w:r>
      <w:r w:rsidRPr="00A36E36">
        <w:rPr>
          <w:rFonts w:ascii="Times New Roman" w:hAnsi="Times New Roman" w:cs="Times New Roman"/>
          <w:noProof/>
          <w:lang w:val="en-IE"/>
        </w:rPr>
        <w:t xml:space="preserve"> and mechanical biological treatment plants</w:t>
      </w:r>
      <w:r w:rsidRPr="00647572">
        <w:rPr>
          <w:rStyle w:val="FootnoteReference"/>
          <w:rFonts w:ascii="Times New Roman" w:hAnsi="Times New Roman" w:cs="Times New Roman"/>
          <w:noProof/>
        </w:rPr>
        <w:footnoteReference w:id="103"/>
      </w:r>
      <w:r w:rsidRPr="00A36E36">
        <w:rPr>
          <w:rFonts w:ascii="Times New Roman" w:hAnsi="Times New Roman" w:cs="Times New Roman"/>
          <w:noProof/>
          <w:lang w:val="en-IE"/>
        </w:rPr>
        <w:t xml:space="preserve">. </w:t>
      </w:r>
    </w:p>
    <w:p w14:paraId="4AEB7C11" w14:textId="77777777" w:rsidR="0039681A" w:rsidRPr="00A36E36" w:rsidRDefault="0039681A" w:rsidP="0039681A">
      <w:pPr>
        <w:pStyle w:val="ListParagraph"/>
        <w:numPr>
          <w:ilvl w:val="1"/>
          <w:numId w:val="164"/>
        </w:numPr>
        <w:spacing w:after="120" w:line="240" w:lineRule="auto"/>
        <w:ind w:left="1418"/>
        <w:jc w:val="both"/>
        <w:rPr>
          <w:rFonts w:ascii="Times New Roman" w:hAnsi="Times New Roman" w:cs="Times New Roman"/>
          <w:noProof/>
          <w:lang w:val="en-IE"/>
        </w:rPr>
      </w:pPr>
      <w:r w:rsidRPr="00A36E36">
        <w:rPr>
          <w:rFonts w:ascii="Times New Roman" w:hAnsi="Times New Roman" w:cs="Times New Roman"/>
          <w:noProof/>
          <w:lang w:val="en-IE"/>
        </w:rPr>
        <w:t xml:space="preserve">The requirement that final beneficiaries of the Facility shall not receive support from other Union instruments to cover the same cost. </w:t>
      </w:r>
      <w:r w:rsidRPr="00A36E36">
        <w:rPr>
          <w:rFonts w:ascii="Times New Roman" w:hAnsi="Times New Roman" w:cs="Times New Roman"/>
          <w:noProof/>
          <w:color w:val="000000" w:themeColor="text1"/>
          <w:lang w:val="en-IE"/>
        </w:rPr>
        <w:t xml:space="preserve">The financial support provided via the loan component of the instrument shall not cover the same cost supported by the grant component of this instrument. </w:t>
      </w:r>
    </w:p>
    <w:p w14:paraId="4703741D" w14:textId="77777777" w:rsidR="0039681A" w:rsidRPr="00A36E36" w:rsidRDefault="0039681A" w:rsidP="00351087">
      <w:pPr>
        <w:pStyle w:val="ListParagraph"/>
        <w:spacing w:after="0" w:line="240" w:lineRule="auto"/>
        <w:ind w:left="1418"/>
        <w:rPr>
          <w:rFonts w:ascii="Times New Roman" w:hAnsi="Times New Roman" w:cs="Times New Roman"/>
          <w:noProof/>
          <w:lang w:val="en-IE"/>
        </w:rPr>
      </w:pPr>
    </w:p>
    <w:p w14:paraId="6A8A5180" w14:textId="77777777" w:rsidR="0039681A" w:rsidRPr="00A36E36" w:rsidRDefault="0039681A" w:rsidP="0039681A">
      <w:pPr>
        <w:pStyle w:val="ListParagraph"/>
        <w:numPr>
          <w:ilvl w:val="0"/>
          <w:numId w:val="164"/>
        </w:numPr>
        <w:spacing w:after="0" w:line="240" w:lineRule="auto"/>
        <w:ind w:left="709"/>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amount covered by the Implementing Agreement, the fee structure for the Implementing Partner and the requirement to reinvest any reflows according to the investment policy of the Facility unless they are used to service loan repayments of the Recovery and Resilience Facility.</w:t>
      </w:r>
    </w:p>
    <w:p w14:paraId="57659AF4" w14:textId="77777777" w:rsidR="0039681A" w:rsidRPr="00A36E36" w:rsidRDefault="0039681A" w:rsidP="0039681A">
      <w:pPr>
        <w:pStyle w:val="ListParagraph"/>
        <w:numPr>
          <w:ilvl w:val="0"/>
          <w:numId w:val="164"/>
        </w:numPr>
        <w:spacing w:after="0" w:line="240" w:lineRule="auto"/>
        <w:ind w:left="709"/>
        <w:contextualSpacing w:val="0"/>
        <w:jc w:val="both"/>
        <w:rPr>
          <w:rFonts w:ascii="Times New Roman" w:hAnsi="Times New Roman" w:cs="Times New Roman"/>
          <w:noProof/>
          <w:lang w:val="en-IE"/>
        </w:rPr>
      </w:pPr>
      <w:r w:rsidRPr="00A36E36">
        <w:rPr>
          <w:rFonts w:ascii="Times New Roman" w:hAnsi="Times New Roman" w:cs="Times New Roman"/>
          <w:noProof/>
          <w:lang w:val="en-IE"/>
        </w:rPr>
        <w:t>Monitoring, audit, and control requirements, including:</w:t>
      </w:r>
    </w:p>
    <w:p w14:paraId="6FF65B5A" w14:textId="77777777" w:rsidR="0039681A" w:rsidRPr="00A36E36" w:rsidRDefault="0039681A" w:rsidP="0039681A">
      <w:pPr>
        <w:pStyle w:val="ListParagraph"/>
        <w:numPr>
          <w:ilvl w:val="1"/>
          <w:numId w:val="164"/>
        </w:numPr>
        <w:spacing w:after="0" w:line="240" w:lineRule="auto"/>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description of the implementing partner’s monitoring system to report on the investment mobilized.</w:t>
      </w:r>
    </w:p>
    <w:p w14:paraId="591B8E4B" w14:textId="77777777" w:rsidR="0039681A" w:rsidRPr="00A36E36" w:rsidRDefault="0039681A" w:rsidP="0039681A">
      <w:pPr>
        <w:pStyle w:val="ListParagraph"/>
        <w:numPr>
          <w:ilvl w:val="1"/>
          <w:numId w:val="164"/>
        </w:numPr>
        <w:spacing w:after="0" w:line="240" w:lineRule="auto"/>
        <w:contextualSpacing w:val="0"/>
        <w:jc w:val="both"/>
        <w:rPr>
          <w:rFonts w:ascii="Times New Roman" w:hAnsi="Times New Roman" w:cs="Times New Roman"/>
          <w:noProof/>
          <w:lang w:val="en-IE"/>
        </w:rPr>
      </w:pPr>
      <w:r w:rsidRPr="00A36E36">
        <w:rPr>
          <w:rFonts w:ascii="Times New Roman" w:hAnsi="Times New Roman" w:cs="Times New Roman"/>
          <w:noProof/>
          <w:lang w:val="en-IE"/>
        </w:rPr>
        <w:t xml:space="preserve">The description of the implementing partner’s procedures that shall ensure the prevention, detection and correction of fraud, corruption, and conflicts of interests. </w:t>
      </w:r>
    </w:p>
    <w:p w14:paraId="112EC42B" w14:textId="77777777" w:rsidR="0039681A" w:rsidRPr="00A36E36" w:rsidRDefault="0039681A" w:rsidP="0039681A">
      <w:pPr>
        <w:pStyle w:val="ListParagraph"/>
        <w:numPr>
          <w:ilvl w:val="1"/>
          <w:numId w:val="164"/>
        </w:numPr>
        <w:spacing w:after="0" w:line="240" w:lineRule="auto"/>
        <w:contextualSpacing w:val="0"/>
        <w:jc w:val="both"/>
        <w:rPr>
          <w:rFonts w:ascii="Times New Roman" w:hAnsi="Times New Roman" w:cs="Times New Roman"/>
          <w:noProof/>
          <w:lang w:val="en-IE"/>
        </w:rPr>
      </w:pPr>
      <w:r w:rsidRPr="00A36E36">
        <w:rPr>
          <w:rFonts w:ascii="Times New Roman" w:hAnsi="Times New Roman" w:cs="Times New Roman"/>
          <w:noProof/>
          <w:lang w:val="en-IE"/>
        </w:rPr>
        <w:t>The obligation to verify the eligibility of every operation in accordance with the requirements laid out in the Implementing Agreement before committing to finance an operation.</w:t>
      </w:r>
    </w:p>
    <w:p w14:paraId="4A284ED5" w14:textId="77777777" w:rsidR="0039681A" w:rsidRPr="00A36E36" w:rsidRDefault="0039681A" w:rsidP="0039681A">
      <w:pPr>
        <w:pStyle w:val="ListParagraph"/>
        <w:numPr>
          <w:ilvl w:val="1"/>
          <w:numId w:val="164"/>
        </w:numPr>
        <w:spacing w:after="0" w:line="240" w:lineRule="auto"/>
        <w:jc w:val="both"/>
        <w:rPr>
          <w:rFonts w:ascii="Times New Roman" w:hAnsi="Times New Roman" w:cs="Times New Roman"/>
          <w:noProof/>
          <w:lang w:val="en-IE"/>
        </w:rPr>
      </w:pPr>
      <w:r w:rsidRPr="00A36E36">
        <w:rPr>
          <w:rFonts w:ascii="Times New Roman" w:hAnsi="Times New Roman" w:cs="Times New Roman"/>
          <w:noProof/>
          <w:lang w:val="en-IE"/>
        </w:rPr>
        <w:t xml:space="preserve">The obligation of carrying out risk-based ex-post audits in accordance with an audit plan of Gestore dei Servizi Energetici (GSE), and of Cassa Depositi e Prestiti (CDP) .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are being respected. </w:t>
      </w:r>
    </w:p>
    <w:p w14:paraId="0765177A" w14:textId="77777777" w:rsidR="0039681A" w:rsidRDefault="0039681A" w:rsidP="00351087">
      <w:pPr>
        <w:rPr>
          <w:noProof/>
          <w:lang w:val="en-IE"/>
        </w:rPr>
      </w:pPr>
    </w:p>
    <w:p w14:paraId="4C424B7B" w14:textId="77777777" w:rsidR="0039681A" w:rsidRPr="00A36E36" w:rsidRDefault="0039681A" w:rsidP="00AF5341">
      <w:pPr>
        <w:ind w:left="850" w:hanging="850"/>
        <w:rPr>
          <w:rFonts w:ascii="Times New Roman" w:hAnsi="Times New Roman" w:cs="Times New Roman"/>
          <w:b/>
          <w:bCs/>
          <w:i/>
          <w:iCs/>
          <w:noProof/>
          <w:color w:val="000000" w:themeColor="text1"/>
          <w:lang w:val="en-IE"/>
        </w:rPr>
        <w:sectPr w:rsidR="0039681A" w:rsidRPr="00A36E36" w:rsidSect="0039681A">
          <w:headerReference w:type="even" r:id="rId261"/>
          <w:headerReference w:type="default" r:id="rId262"/>
          <w:footerReference w:type="default" r:id="rId263"/>
          <w:headerReference w:type="first" r:id="rId264"/>
          <w:pgSz w:w="11906" w:h="16838"/>
          <w:pgMar w:top="1134" w:right="1134" w:bottom="1134" w:left="1134" w:header="567" w:footer="567" w:gutter="0"/>
          <w:cols w:space="708"/>
          <w:docGrid w:linePitch="360"/>
        </w:sectPr>
      </w:pPr>
    </w:p>
    <w:p w14:paraId="26569550" w14:textId="77777777" w:rsidR="0039681A" w:rsidRPr="00A36E36" w:rsidRDefault="0039681A" w:rsidP="00351087">
      <w:pPr>
        <w:pStyle w:val="Heading3"/>
        <w:ind w:left="850" w:hanging="850"/>
        <w:rPr>
          <w:rFonts w:ascii="Times New Roman" w:hAnsi="Times New Roman" w:cs="Times New Roman"/>
          <w:b/>
          <w:bCs/>
          <w:noProof/>
          <w:sz w:val="24"/>
          <w:szCs w:val="24"/>
          <w:u w:val="single"/>
          <w:lang w:val="en-IE"/>
        </w:rPr>
      </w:pPr>
      <w:r w:rsidRPr="00A36E36">
        <w:rPr>
          <w:rFonts w:ascii="Times New Roman" w:hAnsi="Times New Roman" w:cs="Times New Roman"/>
          <w:b/>
          <w:bCs/>
          <w:noProof/>
          <w:sz w:val="24"/>
          <w:szCs w:val="24"/>
          <w:u w:val="single"/>
          <w:lang w:val="en-IE"/>
        </w:rPr>
        <w:t xml:space="preserve">Q.4. </w:t>
      </w:r>
      <w:r w:rsidRPr="00A36E36">
        <w:rPr>
          <w:rFonts w:ascii="Times New Roman" w:hAnsi="Times New Roman" w:cs="Times New Roman"/>
          <w:b/>
          <w:bCs/>
          <w:noProof/>
          <w:sz w:val="24"/>
          <w:szCs w:val="24"/>
          <w:u w:val="single"/>
          <w:lang w:val="en-IE"/>
        </w:rPr>
        <w:tab/>
        <w:t xml:space="preserve">Milestones, targets, indicators, and timetable for monitoring and implementation for the loan </w:t>
      </w:r>
    </w:p>
    <w:tbl>
      <w:tblPr>
        <w:tblW w:w="550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1202"/>
        <w:gridCol w:w="1579"/>
        <w:gridCol w:w="1149"/>
        <w:gridCol w:w="1435"/>
        <w:gridCol w:w="1723"/>
        <w:gridCol w:w="1293"/>
        <w:gridCol w:w="1005"/>
        <w:gridCol w:w="1293"/>
        <w:gridCol w:w="862"/>
        <w:gridCol w:w="717"/>
        <w:gridCol w:w="3303"/>
      </w:tblGrid>
      <w:tr w:rsidR="0039681A" w:rsidRPr="0070054C" w14:paraId="273D0BEE" w14:textId="77777777" w:rsidTr="00F025C3">
        <w:trPr>
          <w:trHeight w:val="765"/>
          <w:tblHeader/>
          <w:jc w:val="center"/>
        </w:trPr>
        <w:tc>
          <w:tcPr>
            <w:tcW w:w="1202" w:type="dxa"/>
            <w:vMerge w:val="restart"/>
            <w:shd w:val="clear" w:color="auto" w:fill="BDD7EE"/>
            <w:vAlign w:val="center"/>
            <w:hideMark/>
          </w:tcPr>
          <w:p w14:paraId="62AAD98E" w14:textId="77777777" w:rsidR="0039681A" w:rsidRPr="00647572" w:rsidRDefault="0039681A" w:rsidP="00F025C3">
            <w:pPr>
              <w:spacing w:after="120"/>
              <w:jc w:val="center"/>
              <w:rPr>
                <w:rFonts w:ascii="Arial Narrow" w:hAnsi="Arial Narrow"/>
                <w:b/>
                <w:bCs/>
                <w:noProof/>
                <w:sz w:val="20"/>
                <w:szCs w:val="20"/>
              </w:rPr>
            </w:pPr>
            <w:r w:rsidRPr="00647572">
              <w:rPr>
                <w:rFonts w:ascii="Arial Narrow" w:hAnsi="Arial Narrow"/>
                <w:b/>
                <w:noProof/>
                <w:sz w:val="20"/>
              </w:rPr>
              <w:t>Sequential Number</w:t>
            </w:r>
          </w:p>
        </w:tc>
        <w:tc>
          <w:tcPr>
            <w:tcW w:w="1579" w:type="dxa"/>
            <w:vMerge w:val="restart"/>
            <w:shd w:val="clear" w:color="auto" w:fill="BDD7EE"/>
            <w:vAlign w:val="center"/>
            <w:hideMark/>
          </w:tcPr>
          <w:p w14:paraId="4F68FEF7" w14:textId="77777777" w:rsidR="0039681A" w:rsidRPr="00A36E36" w:rsidRDefault="0039681A" w:rsidP="00F025C3">
            <w:pPr>
              <w:spacing w:after="120"/>
              <w:jc w:val="center"/>
              <w:rPr>
                <w:rFonts w:ascii="Arial Narrow" w:hAnsi="Arial Narrow"/>
                <w:b/>
                <w:bCs/>
                <w:noProof/>
                <w:sz w:val="20"/>
                <w:szCs w:val="20"/>
                <w:lang w:val="en-IE"/>
              </w:rPr>
            </w:pPr>
            <w:r w:rsidRPr="00A36E36">
              <w:rPr>
                <w:rFonts w:ascii="Arial Narrow" w:hAnsi="Arial Narrow"/>
                <w:b/>
                <w:noProof/>
                <w:sz w:val="20"/>
                <w:lang w:val="en-IE"/>
              </w:rPr>
              <w:t>Related Measure (Reform or Investment)</w:t>
            </w:r>
          </w:p>
        </w:tc>
        <w:tc>
          <w:tcPr>
            <w:tcW w:w="1149" w:type="dxa"/>
            <w:vMerge w:val="restart"/>
            <w:shd w:val="clear" w:color="auto" w:fill="BDD7EE"/>
            <w:vAlign w:val="center"/>
            <w:hideMark/>
          </w:tcPr>
          <w:p w14:paraId="0A0A3688" w14:textId="77777777" w:rsidR="0039681A" w:rsidRPr="00647572" w:rsidRDefault="0039681A" w:rsidP="00F025C3">
            <w:pPr>
              <w:spacing w:after="120"/>
              <w:jc w:val="center"/>
              <w:rPr>
                <w:rFonts w:ascii="Arial Narrow" w:hAnsi="Arial Narrow"/>
                <w:b/>
                <w:bCs/>
                <w:noProof/>
                <w:sz w:val="20"/>
                <w:szCs w:val="20"/>
              </w:rPr>
            </w:pPr>
            <w:r w:rsidRPr="00647572">
              <w:rPr>
                <w:rFonts w:ascii="Arial Narrow" w:hAnsi="Arial Narrow"/>
                <w:b/>
                <w:noProof/>
                <w:sz w:val="20"/>
              </w:rPr>
              <w:t>Milestone</w:t>
            </w:r>
          </w:p>
          <w:p w14:paraId="44DAA8FE" w14:textId="77777777" w:rsidR="0039681A" w:rsidRPr="00647572" w:rsidRDefault="0039681A" w:rsidP="00F025C3">
            <w:pPr>
              <w:spacing w:after="120"/>
              <w:jc w:val="center"/>
              <w:rPr>
                <w:rFonts w:ascii="Arial Narrow" w:hAnsi="Arial Narrow"/>
                <w:b/>
                <w:bCs/>
                <w:noProof/>
                <w:sz w:val="20"/>
                <w:szCs w:val="20"/>
              </w:rPr>
            </w:pPr>
            <w:r w:rsidRPr="00647572">
              <w:rPr>
                <w:rFonts w:ascii="Arial Narrow" w:hAnsi="Arial Narrow"/>
                <w:b/>
                <w:noProof/>
                <w:sz w:val="20"/>
              </w:rPr>
              <w:t>/ Target</w:t>
            </w:r>
          </w:p>
        </w:tc>
        <w:tc>
          <w:tcPr>
            <w:tcW w:w="1435" w:type="dxa"/>
            <w:vMerge w:val="restart"/>
            <w:shd w:val="clear" w:color="auto" w:fill="BDD7EE"/>
            <w:vAlign w:val="center"/>
            <w:hideMark/>
          </w:tcPr>
          <w:p w14:paraId="1391EAD9" w14:textId="77777777" w:rsidR="0039681A" w:rsidRPr="00647572" w:rsidRDefault="0039681A" w:rsidP="00F025C3">
            <w:pPr>
              <w:spacing w:after="120"/>
              <w:jc w:val="center"/>
              <w:rPr>
                <w:rFonts w:ascii="Arial Narrow" w:hAnsi="Arial Narrow"/>
                <w:b/>
                <w:bCs/>
                <w:noProof/>
                <w:sz w:val="20"/>
                <w:szCs w:val="20"/>
              </w:rPr>
            </w:pPr>
            <w:r w:rsidRPr="00647572">
              <w:rPr>
                <w:rFonts w:ascii="Arial Narrow" w:hAnsi="Arial Narrow"/>
                <w:b/>
                <w:noProof/>
                <w:sz w:val="20"/>
              </w:rPr>
              <w:t>Name</w:t>
            </w:r>
          </w:p>
        </w:tc>
        <w:tc>
          <w:tcPr>
            <w:tcW w:w="1723" w:type="dxa"/>
            <w:vMerge w:val="restart"/>
            <w:shd w:val="clear" w:color="auto" w:fill="BDD7EE"/>
            <w:vAlign w:val="center"/>
            <w:hideMark/>
          </w:tcPr>
          <w:p w14:paraId="5FEB40C0" w14:textId="77777777" w:rsidR="0039681A" w:rsidRPr="00647572" w:rsidRDefault="0039681A" w:rsidP="00F025C3">
            <w:pPr>
              <w:spacing w:after="120"/>
              <w:jc w:val="center"/>
              <w:rPr>
                <w:rFonts w:ascii="Arial Narrow" w:hAnsi="Arial Narrow"/>
                <w:b/>
                <w:bCs/>
                <w:noProof/>
                <w:sz w:val="20"/>
                <w:szCs w:val="20"/>
              </w:rPr>
            </w:pPr>
            <w:r w:rsidRPr="00647572">
              <w:rPr>
                <w:rFonts w:ascii="Arial Narrow" w:hAnsi="Arial Narrow"/>
                <w:b/>
                <w:noProof/>
                <w:sz w:val="20"/>
              </w:rPr>
              <w:t xml:space="preserve">Qualitative indicators </w:t>
            </w:r>
            <w:r w:rsidRPr="00647572">
              <w:rPr>
                <w:noProof/>
              </w:rPr>
              <w:br/>
            </w:r>
            <w:r w:rsidRPr="00647572">
              <w:rPr>
                <w:rFonts w:ascii="Arial Narrow" w:hAnsi="Arial Narrow"/>
                <w:b/>
                <w:noProof/>
                <w:sz w:val="20"/>
              </w:rPr>
              <w:t>(for milestones)</w:t>
            </w:r>
          </w:p>
        </w:tc>
        <w:tc>
          <w:tcPr>
            <w:tcW w:w="3591" w:type="dxa"/>
            <w:gridSpan w:val="3"/>
            <w:shd w:val="clear" w:color="auto" w:fill="BDD7EE"/>
            <w:vAlign w:val="center"/>
            <w:hideMark/>
          </w:tcPr>
          <w:p w14:paraId="5F1FEF3F" w14:textId="77777777" w:rsidR="0039681A" w:rsidRPr="00647572" w:rsidRDefault="0039681A" w:rsidP="00F025C3">
            <w:pPr>
              <w:spacing w:after="120"/>
              <w:jc w:val="center"/>
              <w:rPr>
                <w:rFonts w:ascii="Arial Narrow" w:hAnsi="Arial Narrow"/>
                <w:b/>
                <w:bCs/>
                <w:noProof/>
                <w:sz w:val="20"/>
                <w:szCs w:val="20"/>
              </w:rPr>
            </w:pPr>
            <w:r w:rsidRPr="00647572">
              <w:rPr>
                <w:rFonts w:ascii="Arial Narrow" w:hAnsi="Arial Narrow"/>
                <w:b/>
                <w:noProof/>
                <w:sz w:val="20"/>
              </w:rPr>
              <w:t xml:space="preserve">Quantitative indicators </w:t>
            </w:r>
            <w:r w:rsidRPr="00647572">
              <w:rPr>
                <w:noProof/>
              </w:rPr>
              <w:br/>
            </w:r>
            <w:r w:rsidRPr="00647572">
              <w:rPr>
                <w:rFonts w:ascii="Arial Narrow" w:hAnsi="Arial Narrow"/>
                <w:b/>
                <w:noProof/>
                <w:sz w:val="20"/>
              </w:rPr>
              <w:t>(for targets)</w:t>
            </w:r>
          </w:p>
        </w:tc>
        <w:tc>
          <w:tcPr>
            <w:tcW w:w="1579" w:type="dxa"/>
            <w:gridSpan w:val="2"/>
            <w:shd w:val="clear" w:color="auto" w:fill="BDD7EE"/>
            <w:vAlign w:val="center"/>
            <w:hideMark/>
          </w:tcPr>
          <w:p w14:paraId="672A3A7F" w14:textId="77777777" w:rsidR="0039681A" w:rsidRPr="00647572" w:rsidRDefault="0039681A" w:rsidP="00F025C3">
            <w:pPr>
              <w:spacing w:after="120"/>
              <w:jc w:val="center"/>
              <w:rPr>
                <w:rFonts w:ascii="Arial Narrow" w:hAnsi="Arial Narrow"/>
                <w:b/>
                <w:bCs/>
                <w:noProof/>
                <w:sz w:val="20"/>
                <w:szCs w:val="20"/>
              </w:rPr>
            </w:pPr>
            <w:r w:rsidRPr="00647572">
              <w:rPr>
                <w:rFonts w:ascii="Arial Narrow" w:hAnsi="Arial Narrow"/>
                <w:b/>
                <w:noProof/>
                <w:sz w:val="20"/>
              </w:rPr>
              <w:t>Indicative timeline for completion</w:t>
            </w:r>
          </w:p>
        </w:tc>
        <w:tc>
          <w:tcPr>
            <w:tcW w:w="3303" w:type="dxa"/>
            <w:vMerge w:val="restart"/>
            <w:shd w:val="clear" w:color="auto" w:fill="BDD7EE"/>
            <w:vAlign w:val="center"/>
            <w:hideMark/>
          </w:tcPr>
          <w:p w14:paraId="5A130894" w14:textId="77777777" w:rsidR="0039681A" w:rsidRPr="00A36E36" w:rsidRDefault="0039681A" w:rsidP="00F025C3">
            <w:pPr>
              <w:spacing w:after="120"/>
              <w:jc w:val="center"/>
              <w:rPr>
                <w:rFonts w:ascii="Arial Narrow" w:hAnsi="Arial Narrow"/>
                <w:b/>
                <w:bCs/>
                <w:noProof/>
                <w:sz w:val="20"/>
                <w:szCs w:val="20"/>
                <w:lang w:val="en-IE"/>
              </w:rPr>
            </w:pPr>
            <w:r w:rsidRPr="00A36E36">
              <w:rPr>
                <w:rFonts w:ascii="Arial Narrow" w:hAnsi="Arial Narrow"/>
                <w:b/>
                <w:noProof/>
                <w:sz w:val="20"/>
                <w:lang w:val="en-IE"/>
              </w:rPr>
              <w:t>Description of each milestone and target</w:t>
            </w:r>
          </w:p>
        </w:tc>
      </w:tr>
      <w:tr w:rsidR="0039681A" w:rsidRPr="00647572" w14:paraId="0E68DC2C" w14:textId="77777777" w:rsidTr="00F025C3">
        <w:trPr>
          <w:trHeight w:val="691"/>
          <w:tblHeader/>
          <w:jc w:val="center"/>
        </w:trPr>
        <w:tc>
          <w:tcPr>
            <w:tcW w:w="1202" w:type="dxa"/>
            <w:vMerge/>
            <w:vAlign w:val="center"/>
            <w:hideMark/>
          </w:tcPr>
          <w:p w14:paraId="6BFF6E18" w14:textId="77777777" w:rsidR="0039681A" w:rsidRPr="00A36E36" w:rsidRDefault="0039681A" w:rsidP="00F025C3">
            <w:pPr>
              <w:spacing w:after="120"/>
              <w:jc w:val="center"/>
              <w:rPr>
                <w:rFonts w:ascii="Arial Narrow" w:hAnsi="Arial Narrow"/>
                <w:b/>
                <w:bCs/>
                <w:noProof/>
                <w:sz w:val="20"/>
                <w:szCs w:val="20"/>
                <w:lang w:val="en-IE"/>
              </w:rPr>
            </w:pPr>
          </w:p>
        </w:tc>
        <w:tc>
          <w:tcPr>
            <w:tcW w:w="1579" w:type="dxa"/>
            <w:vMerge/>
            <w:vAlign w:val="center"/>
            <w:hideMark/>
          </w:tcPr>
          <w:p w14:paraId="412F773E" w14:textId="77777777" w:rsidR="0039681A" w:rsidRPr="00A36E36" w:rsidRDefault="0039681A" w:rsidP="00F025C3">
            <w:pPr>
              <w:spacing w:after="120"/>
              <w:jc w:val="center"/>
              <w:rPr>
                <w:rFonts w:ascii="Arial Narrow" w:hAnsi="Arial Narrow"/>
                <w:b/>
                <w:bCs/>
                <w:noProof/>
                <w:sz w:val="20"/>
                <w:szCs w:val="20"/>
                <w:lang w:val="en-IE"/>
              </w:rPr>
            </w:pPr>
          </w:p>
        </w:tc>
        <w:tc>
          <w:tcPr>
            <w:tcW w:w="1149" w:type="dxa"/>
            <w:vMerge/>
            <w:vAlign w:val="center"/>
            <w:hideMark/>
          </w:tcPr>
          <w:p w14:paraId="54FE6E59" w14:textId="77777777" w:rsidR="0039681A" w:rsidRPr="00A36E36" w:rsidRDefault="0039681A" w:rsidP="00F025C3">
            <w:pPr>
              <w:spacing w:after="120"/>
              <w:jc w:val="center"/>
              <w:rPr>
                <w:rFonts w:ascii="Arial Narrow" w:hAnsi="Arial Narrow"/>
                <w:b/>
                <w:bCs/>
                <w:noProof/>
                <w:sz w:val="20"/>
                <w:szCs w:val="20"/>
                <w:lang w:val="en-IE"/>
              </w:rPr>
            </w:pPr>
          </w:p>
        </w:tc>
        <w:tc>
          <w:tcPr>
            <w:tcW w:w="1435" w:type="dxa"/>
            <w:vMerge/>
            <w:vAlign w:val="center"/>
            <w:hideMark/>
          </w:tcPr>
          <w:p w14:paraId="3FDC2A98" w14:textId="77777777" w:rsidR="0039681A" w:rsidRPr="00A36E36" w:rsidRDefault="0039681A" w:rsidP="00F025C3">
            <w:pPr>
              <w:spacing w:after="120"/>
              <w:jc w:val="center"/>
              <w:rPr>
                <w:rFonts w:ascii="Arial Narrow" w:hAnsi="Arial Narrow"/>
                <w:b/>
                <w:bCs/>
                <w:noProof/>
                <w:sz w:val="20"/>
                <w:szCs w:val="20"/>
                <w:lang w:val="en-IE"/>
              </w:rPr>
            </w:pPr>
          </w:p>
        </w:tc>
        <w:tc>
          <w:tcPr>
            <w:tcW w:w="1723" w:type="dxa"/>
            <w:vMerge/>
            <w:vAlign w:val="center"/>
            <w:hideMark/>
          </w:tcPr>
          <w:p w14:paraId="7C5AD006" w14:textId="77777777" w:rsidR="0039681A" w:rsidRPr="00A36E36" w:rsidRDefault="0039681A" w:rsidP="00F025C3">
            <w:pPr>
              <w:spacing w:after="120"/>
              <w:jc w:val="center"/>
              <w:rPr>
                <w:rFonts w:ascii="Arial Narrow" w:hAnsi="Arial Narrow"/>
                <w:b/>
                <w:bCs/>
                <w:noProof/>
                <w:sz w:val="20"/>
                <w:szCs w:val="20"/>
                <w:lang w:val="en-IE"/>
              </w:rPr>
            </w:pPr>
          </w:p>
        </w:tc>
        <w:tc>
          <w:tcPr>
            <w:tcW w:w="1293" w:type="dxa"/>
            <w:shd w:val="clear" w:color="auto" w:fill="BDD7EE"/>
            <w:vAlign w:val="center"/>
            <w:hideMark/>
          </w:tcPr>
          <w:p w14:paraId="42EB68F8" w14:textId="77777777" w:rsidR="0039681A" w:rsidRPr="00647572" w:rsidRDefault="0039681A" w:rsidP="00F025C3">
            <w:pPr>
              <w:spacing w:after="120"/>
              <w:jc w:val="center"/>
              <w:rPr>
                <w:rFonts w:ascii="Arial Narrow" w:hAnsi="Arial Narrow"/>
                <w:b/>
                <w:bCs/>
                <w:noProof/>
                <w:sz w:val="20"/>
                <w:szCs w:val="20"/>
              </w:rPr>
            </w:pPr>
            <w:r w:rsidRPr="00647572">
              <w:rPr>
                <w:rFonts w:ascii="Arial Narrow" w:hAnsi="Arial Narrow"/>
                <w:b/>
                <w:noProof/>
                <w:sz w:val="20"/>
              </w:rPr>
              <w:t>Unit of measure</w:t>
            </w:r>
          </w:p>
        </w:tc>
        <w:tc>
          <w:tcPr>
            <w:tcW w:w="1005" w:type="dxa"/>
            <w:shd w:val="clear" w:color="auto" w:fill="BDD7EE"/>
            <w:vAlign w:val="center"/>
            <w:hideMark/>
          </w:tcPr>
          <w:p w14:paraId="5C26D66C" w14:textId="77777777" w:rsidR="0039681A" w:rsidRPr="00647572" w:rsidRDefault="0039681A" w:rsidP="00F025C3">
            <w:pPr>
              <w:spacing w:after="120"/>
              <w:jc w:val="center"/>
              <w:rPr>
                <w:rFonts w:ascii="Arial Narrow" w:hAnsi="Arial Narrow"/>
                <w:b/>
                <w:bCs/>
                <w:noProof/>
                <w:sz w:val="20"/>
                <w:szCs w:val="20"/>
              </w:rPr>
            </w:pPr>
            <w:r w:rsidRPr="00647572">
              <w:rPr>
                <w:rFonts w:ascii="Arial Narrow" w:hAnsi="Arial Narrow"/>
                <w:b/>
                <w:noProof/>
                <w:sz w:val="20"/>
              </w:rPr>
              <w:t>Baseline</w:t>
            </w:r>
          </w:p>
        </w:tc>
        <w:tc>
          <w:tcPr>
            <w:tcW w:w="1293" w:type="dxa"/>
            <w:shd w:val="clear" w:color="auto" w:fill="BDD7EE"/>
            <w:vAlign w:val="center"/>
            <w:hideMark/>
          </w:tcPr>
          <w:p w14:paraId="58FCCF64" w14:textId="77777777" w:rsidR="0039681A" w:rsidRPr="00647572" w:rsidRDefault="0039681A" w:rsidP="00F025C3">
            <w:pPr>
              <w:spacing w:after="120"/>
              <w:jc w:val="center"/>
              <w:rPr>
                <w:rFonts w:ascii="Arial Narrow" w:hAnsi="Arial Narrow"/>
                <w:b/>
                <w:bCs/>
                <w:noProof/>
                <w:sz w:val="20"/>
                <w:szCs w:val="20"/>
              </w:rPr>
            </w:pPr>
            <w:r w:rsidRPr="00647572">
              <w:rPr>
                <w:rFonts w:ascii="Arial Narrow" w:hAnsi="Arial Narrow"/>
                <w:b/>
                <w:noProof/>
                <w:sz w:val="20"/>
              </w:rPr>
              <w:t>Goal</w:t>
            </w:r>
          </w:p>
        </w:tc>
        <w:tc>
          <w:tcPr>
            <w:tcW w:w="862" w:type="dxa"/>
            <w:shd w:val="clear" w:color="auto" w:fill="BDD7EE"/>
            <w:vAlign w:val="center"/>
            <w:hideMark/>
          </w:tcPr>
          <w:p w14:paraId="75AD0737" w14:textId="77777777" w:rsidR="0039681A" w:rsidRPr="00647572" w:rsidRDefault="0039681A" w:rsidP="00F025C3">
            <w:pPr>
              <w:spacing w:after="120"/>
              <w:jc w:val="center"/>
              <w:rPr>
                <w:rFonts w:ascii="Arial Narrow" w:hAnsi="Arial Narrow"/>
                <w:b/>
                <w:bCs/>
                <w:noProof/>
                <w:sz w:val="20"/>
                <w:szCs w:val="20"/>
              </w:rPr>
            </w:pPr>
            <w:r w:rsidRPr="00647572">
              <w:rPr>
                <w:rFonts w:ascii="Arial Narrow" w:hAnsi="Arial Narrow"/>
                <w:b/>
                <w:noProof/>
                <w:sz w:val="20"/>
              </w:rPr>
              <w:t>Quarter</w:t>
            </w:r>
          </w:p>
        </w:tc>
        <w:tc>
          <w:tcPr>
            <w:tcW w:w="717" w:type="dxa"/>
            <w:shd w:val="clear" w:color="auto" w:fill="BDD7EE"/>
            <w:vAlign w:val="center"/>
            <w:hideMark/>
          </w:tcPr>
          <w:p w14:paraId="09FACBA9" w14:textId="77777777" w:rsidR="0039681A" w:rsidRPr="00647572" w:rsidRDefault="0039681A" w:rsidP="00F025C3">
            <w:pPr>
              <w:spacing w:after="120"/>
              <w:jc w:val="center"/>
              <w:rPr>
                <w:rFonts w:ascii="Arial Narrow" w:hAnsi="Arial Narrow"/>
                <w:b/>
                <w:bCs/>
                <w:noProof/>
                <w:sz w:val="20"/>
                <w:szCs w:val="20"/>
              </w:rPr>
            </w:pPr>
            <w:r w:rsidRPr="00647572">
              <w:rPr>
                <w:rFonts w:ascii="Arial Narrow" w:hAnsi="Arial Narrow"/>
                <w:b/>
                <w:noProof/>
                <w:sz w:val="20"/>
              </w:rPr>
              <w:t>Year</w:t>
            </w:r>
          </w:p>
        </w:tc>
        <w:tc>
          <w:tcPr>
            <w:tcW w:w="3303" w:type="dxa"/>
            <w:vMerge/>
            <w:vAlign w:val="center"/>
            <w:hideMark/>
          </w:tcPr>
          <w:p w14:paraId="7563BD7A" w14:textId="77777777" w:rsidR="0039681A" w:rsidRPr="00647572" w:rsidRDefault="0039681A" w:rsidP="00F025C3">
            <w:pPr>
              <w:spacing w:after="120"/>
              <w:jc w:val="center"/>
              <w:rPr>
                <w:rFonts w:ascii="Arial Narrow" w:hAnsi="Arial Narrow"/>
                <w:b/>
                <w:bCs/>
                <w:noProof/>
                <w:sz w:val="20"/>
                <w:szCs w:val="20"/>
              </w:rPr>
            </w:pPr>
          </w:p>
        </w:tc>
      </w:tr>
      <w:tr w:rsidR="0039681A" w:rsidRPr="0070054C" w14:paraId="01B90820" w14:textId="77777777" w:rsidTr="00F025C3">
        <w:trPr>
          <w:trHeight w:val="309"/>
          <w:jc w:val="center"/>
        </w:trPr>
        <w:tc>
          <w:tcPr>
            <w:tcW w:w="1202" w:type="dxa"/>
            <w:shd w:val="clear" w:color="auto" w:fill="C6EFCE"/>
            <w:noWrap/>
            <w:vAlign w:val="center"/>
          </w:tcPr>
          <w:p w14:paraId="67D3385B"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M7-35</w:t>
            </w:r>
          </w:p>
        </w:tc>
        <w:tc>
          <w:tcPr>
            <w:tcW w:w="1579" w:type="dxa"/>
            <w:shd w:val="clear" w:color="auto" w:fill="C6EFCE"/>
            <w:noWrap/>
            <w:vAlign w:val="center"/>
          </w:tcPr>
          <w:p w14:paraId="2D25F9FD"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Adriatic Line Phase 1 (Sulmona compressor station and Sestino-Minerbio gas pipeline)</w:t>
            </w:r>
          </w:p>
        </w:tc>
        <w:tc>
          <w:tcPr>
            <w:tcW w:w="1149" w:type="dxa"/>
            <w:shd w:val="clear" w:color="auto" w:fill="C6EFCE"/>
            <w:noWrap/>
            <w:vAlign w:val="center"/>
          </w:tcPr>
          <w:p w14:paraId="24F42D36"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35" w:type="dxa"/>
            <w:shd w:val="clear" w:color="auto" w:fill="C6EFCE"/>
            <w:noWrap/>
            <w:vAlign w:val="center"/>
          </w:tcPr>
          <w:p w14:paraId="46774357"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Adoption and update of relevant environmental impact assessments (VIncA)</w:t>
            </w:r>
          </w:p>
        </w:tc>
        <w:tc>
          <w:tcPr>
            <w:tcW w:w="1723" w:type="dxa"/>
            <w:shd w:val="clear" w:color="auto" w:fill="C6EFCE"/>
            <w:noWrap/>
            <w:vAlign w:val="center"/>
          </w:tcPr>
          <w:p w14:paraId="685F2876"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SSCOs identified and VincA revised and adopted accordingly</w:t>
            </w:r>
          </w:p>
        </w:tc>
        <w:tc>
          <w:tcPr>
            <w:tcW w:w="1293" w:type="dxa"/>
            <w:shd w:val="clear" w:color="auto" w:fill="C6EFCE"/>
            <w:noWrap/>
            <w:vAlign w:val="center"/>
          </w:tcPr>
          <w:p w14:paraId="25A01820" w14:textId="77777777" w:rsidR="0039681A" w:rsidRPr="00A36E36" w:rsidRDefault="0039681A" w:rsidP="00F025C3">
            <w:pPr>
              <w:spacing w:after="120"/>
              <w:jc w:val="center"/>
              <w:rPr>
                <w:rFonts w:ascii="Arial Narrow" w:hAnsi="Arial Narrow"/>
                <w:noProof/>
                <w:color w:val="006100"/>
                <w:sz w:val="20"/>
                <w:szCs w:val="20"/>
                <w:lang w:val="en-IE"/>
              </w:rPr>
            </w:pPr>
          </w:p>
        </w:tc>
        <w:tc>
          <w:tcPr>
            <w:tcW w:w="1005" w:type="dxa"/>
            <w:shd w:val="clear" w:color="auto" w:fill="C6EFCE"/>
            <w:noWrap/>
            <w:vAlign w:val="center"/>
          </w:tcPr>
          <w:p w14:paraId="09CA54A0" w14:textId="77777777" w:rsidR="0039681A" w:rsidRPr="00A36E36" w:rsidRDefault="0039681A" w:rsidP="00F025C3">
            <w:pPr>
              <w:spacing w:after="120"/>
              <w:jc w:val="center"/>
              <w:rPr>
                <w:rFonts w:ascii="Arial Narrow" w:hAnsi="Arial Narrow"/>
                <w:noProof/>
                <w:color w:val="006100"/>
                <w:sz w:val="20"/>
                <w:szCs w:val="20"/>
                <w:lang w:val="en-IE"/>
              </w:rPr>
            </w:pPr>
          </w:p>
        </w:tc>
        <w:tc>
          <w:tcPr>
            <w:tcW w:w="1293" w:type="dxa"/>
            <w:shd w:val="clear" w:color="auto" w:fill="C6EFCE"/>
            <w:noWrap/>
            <w:vAlign w:val="center"/>
          </w:tcPr>
          <w:p w14:paraId="321D3F2A" w14:textId="77777777" w:rsidR="0039681A" w:rsidRPr="00A36E36" w:rsidRDefault="0039681A" w:rsidP="00F025C3">
            <w:pPr>
              <w:spacing w:after="120"/>
              <w:jc w:val="center"/>
              <w:rPr>
                <w:rFonts w:ascii="Arial Narrow" w:hAnsi="Arial Narrow"/>
                <w:noProof/>
                <w:color w:val="006100"/>
                <w:sz w:val="20"/>
                <w:szCs w:val="20"/>
                <w:lang w:val="en-IE"/>
              </w:rPr>
            </w:pPr>
          </w:p>
        </w:tc>
        <w:tc>
          <w:tcPr>
            <w:tcW w:w="862" w:type="dxa"/>
            <w:shd w:val="clear" w:color="auto" w:fill="C6EFCE"/>
            <w:noWrap/>
            <w:vAlign w:val="center"/>
          </w:tcPr>
          <w:p w14:paraId="270CFB36"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Q1</w:t>
            </w:r>
          </w:p>
        </w:tc>
        <w:tc>
          <w:tcPr>
            <w:tcW w:w="717" w:type="dxa"/>
            <w:shd w:val="clear" w:color="auto" w:fill="C6EFCE"/>
            <w:noWrap/>
            <w:vAlign w:val="center"/>
          </w:tcPr>
          <w:p w14:paraId="380E0F00"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303" w:type="dxa"/>
            <w:shd w:val="clear" w:color="auto" w:fill="C6EFCE"/>
            <w:noWrap/>
            <w:vAlign w:val="center"/>
          </w:tcPr>
          <w:p w14:paraId="0E623850" w14:textId="77777777" w:rsidR="0039681A" w:rsidRPr="00647572" w:rsidRDefault="0039681A" w:rsidP="00F025C3">
            <w:pPr>
              <w:spacing w:after="120"/>
              <w:rPr>
                <w:rFonts w:ascii="Arial Narrow" w:hAnsi="Arial Narrow"/>
                <w:noProof/>
                <w:color w:val="006100"/>
                <w:sz w:val="20"/>
                <w:szCs w:val="20"/>
              </w:rPr>
            </w:pPr>
            <w:bookmarkStart w:id="31" w:name="_Hlk147330404"/>
            <w:r w:rsidRPr="00647572">
              <w:rPr>
                <w:rFonts w:ascii="Arial Narrow" w:hAnsi="Arial Narrow"/>
                <w:noProof/>
                <w:color w:val="006100"/>
                <w:sz w:val="20"/>
              </w:rPr>
              <w:t>The Italian authorities shall:</w:t>
            </w:r>
          </w:p>
          <w:p w14:paraId="69170936" w14:textId="77777777" w:rsidR="0039681A" w:rsidRPr="00A36E36" w:rsidRDefault="0039681A" w:rsidP="00F025C3">
            <w:pPr>
              <w:pStyle w:val="ListParagraph"/>
              <w:numPr>
                <w:ilvl w:val="0"/>
                <w:numId w:val="165"/>
              </w:numPr>
              <w:spacing w:after="120" w:line="240" w:lineRule="auto"/>
              <w:rPr>
                <w:rFonts w:ascii="Arial Narrow" w:hAnsi="Arial Narrow"/>
                <w:noProof/>
                <w:color w:val="006100"/>
                <w:sz w:val="20"/>
                <w:szCs w:val="20"/>
                <w:lang w:val="en-IE"/>
              </w:rPr>
            </w:pPr>
            <w:r w:rsidRPr="00A36E36">
              <w:rPr>
                <w:rFonts w:ascii="Arial Narrow" w:hAnsi="Arial Narrow"/>
                <w:noProof/>
                <w:color w:val="006100"/>
                <w:sz w:val="20"/>
                <w:lang w:val="en-IE"/>
              </w:rPr>
              <w:t>Establish the site-specific conservation objectives (SSCOs) for the Natura 2 000 sites affected by the project according to the methodology adopted by the Ministry of Environment and Energy Security in 2021 and 2023.</w:t>
            </w:r>
          </w:p>
          <w:p w14:paraId="33C946A4" w14:textId="77777777" w:rsidR="0039681A" w:rsidRPr="00A36E36" w:rsidRDefault="0039681A" w:rsidP="00F025C3">
            <w:pPr>
              <w:pStyle w:val="ListParagraph"/>
              <w:numPr>
                <w:ilvl w:val="0"/>
                <w:numId w:val="165"/>
              </w:numPr>
              <w:spacing w:after="120" w:line="240" w:lineRule="auto"/>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Verify the appropriate assessments already carried out under the Habitats Directive (VINCAs) in the light of the newly established SSCOs.</w:t>
            </w:r>
            <w:bookmarkEnd w:id="31"/>
          </w:p>
          <w:p w14:paraId="4BA7DC3E" w14:textId="77777777" w:rsidR="0039681A" w:rsidRPr="00A36E36" w:rsidRDefault="0039681A" w:rsidP="00F025C3">
            <w:pPr>
              <w:pStyle w:val="ListParagraph"/>
              <w:numPr>
                <w:ilvl w:val="0"/>
                <w:numId w:val="165"/>
              </w:numPr>
              <w:spacing w:after="120" w:line="240" w:lineRule="auto"/>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Update (if needed) of the appropriate assessments (VINCAs) already carried out under the Habitats Directive in line with the national guidelines of 28 December 2019 and ensure their integration into the overall environmental impact assessment procedure.</w:t>
            </w:r>
          </w:p>
        </w:tc>
      </w:tr>
      <w:tr w:rsidR="0039681A" w:rsidRPr="0070054C" w14:paraId="7293F172" w14:textId="77777777" w:rsidTr="00F025C3">
        <w:trPr>
          <w:trHeight w:val="309"/>
          <w:jc w:val="center"/>
        </w:trPr>
        <w:tc>
          <w:tcPr>
            <w:tcW w:w="1202" w:type="dxa"/>
            <w:shd w:val="clear" w:color="auto" w:fill="C6EFCE"/>
            <w:noWrap/>
            <w:vAlign w:val="center"/>
          </w:tcPr>
          <w:p w14:paraId="32795FAF"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M7-36</w:t>
            </w:r>
          </w:p>
        </w:tc>
        <w:tc>
          <w:tcPr>
            <w:tcW w:w="1579" w:type="dxa"/>
            <w:shd w:val="clear" w:color="auto" w:fill="C6EFCE"/>
            <w:noWrap/>
            <w:vAlign w:val="center"/>
          </w:tcPr>
          <w:p w14:paraId="75588EEB"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Adriatic Line Phase 1 (Sulmona compressor station and Sestino-Minerbio gas pipeline)</w:t>
            </w:r>
          </w:p>
        </w:tc>
        <w:tc>
          <w:tcPr>
            <w:tcW w:w="1149" w:type="dxa"/>
            <w:shd w:val="clear" w:color="auto" w:fill="C6EFCE"/>
            <w:noWrap/>
            <w:vAlign w:val="center"/>
          </w:tcPr>
          <w:p w14:paraId="616FD61D"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35" w:type="dxa"/>
            <w:shd w:val="clear" w:color="auto" w:fill="C6EFCE"/>
            <w:noWrap/>
            <w:vAlign w:val="center"/>
          </w:tcPr>
          <w:p w14:paraId="1A760369"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Award of contracts</w:t>
            </w:r>
          </w:p>
        </w:tc>
        <w:tc>
          <w:tcPr>
            <w:tcW w:w="1723" w:type="dxa"/>
            <w:shd w:val="clear" w:color="auto" w:fill="C6EFCE"/>
            <w:noWrap/>
            <w:vAlign w:val="center"/>
          </w:tcPr>
          <w:p w14:paraId="3C6D83B3"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contracts</w:t>
            </w:r>
          </w:p>
        </w:tc>
        <w:tc>
          <w:tcPr>
            <w:tcW w:w="1293" w:type="dxa"/>
            <w:shd w:val="clear" w:color="auto" w:fill="C6EFCE"/>
            <w:noWrap/>
            <w:vAlign w:val="center"/>
          </w:tcPr>
          <w:p w14:paraId="5062387A" w14:textId="77777777" w:rsidR="0039681A" w:rsidRPr="00A36E36" w:rsidRDefault="0039681A" w:rsidP="00F025C3">
            <w:pPr>
              <w:spacing w:after="120"/>
              <w:jc w:val="center"/>
              <w:rPr>
                <w:rFonts w:ascii="Arial Narrow" w:hAnsi="Arial Narrow"/>
                <w:noProof/>
                <w:color w:val="006100"/>
                <w:sz w:val="20"/>
                <w:szCs w:val="20"/>
                <w:lang w:val="en-IE"/>
              </w:rPr>
            </w:pPr>
          </w:p>
        </w:tc>
        <w:tc>
          <w:tcPr>
            <w:tcW w:w="1005" w:type="dxa"/>
            <w:shd w:val="clear" w:color="auto" w:fill="C6EFCE"/>
            <w:noWrap/>
            <w:vAlign w:val="center"/>
          </w:tcPr>
          <w:p w14:paraId="631D80FA" w14:textId="77777777" w:rsidR="0039681A" w:rsidRPr="00A36E36" w:rsidRDefault="0039681A" w:rsidP="00F025C3">
            <w:pPr>
              <w:spacing w:after="120"/>
              <w:jc w:val="center"/>
              <w:rPr>
                <w:rFonts w:ascii="Arial Narrow" w:hAnsi="Arial Narrow"/>
                <w:noProof/>
                <w:color w:val="006100"/>
                <w:sz w:val="20"/>
                <w:szCs w:val="20"/>
                <w:lang w:val="en-IE"/>
              </w:rPr>
            </w:pPr>
          </w:p>
        </w:tc>
        <w:tc>
          <w:tcPr>
            <w:tcW w:w="1293" w:type="dxa"/>
            <w:shd w:val="clear" w:color="auto" w:fill="C6EFCE"/>
            <w:noWrap/>
            <w:vAlign w:val="center"/>
          </w:tcPr>
          <w:p w14:paraId="7DE9DCCB" w14:textId="77777777" w:rsidR="0039681A" w:rsidRPr="00A36E36" w:rsidRDefault="0039681A" w:rsidP="00F025C3">
            <w:pPr>
              <w:spacing w:after="120"/>
              <w:jc w:val="center"/>
              <w:rPr>
                <w:rFonts w:ascii="Arial Narrow" w:hAnsi="Arial Narrow"/>
                <w:noProof/>
                <w:color w:val="006100"/>
                <w:sz w:val="20"/>
                <w:szCs w:val="20"/>
                <w:lang w:val="en-IE"/>
              </w:rPr>
            </w:pPr>
          </w:p>
        </w:tc>
        <w:tc>
          <w:tcPr>
            <w:tcW w:w="862" w:type="dxa"/>
            <w:shd w:val="clear" w:color="auto" w:fill="C6EFCE"/>
            <w:noWrap/>
            <w:vAlign w:val="center"/>
          </w:tcPr>
          <w:p w14:paraId="0FC8601E"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17" w:type="dxa"/>
            <w:shd w:val="clear" w:color="auto" w:fill="C6EFCE"/>
            <w:noWrap/>
            <w:vAlign w:val="center"/>
          </w:tcPr>
          <w:p w14:paraId="151C28DB"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303" w:type="dxa"/>
            <w:shd w:val="clear" w:color="auto" w:fill="C6EFCE"/>
            <w:noWrap/>
            <w:vAlign w:val="center"/>
          </w:tcPr>
          <w:p w14:paraId="745817BF" w14:textId="77777777" w:rsidR="0039681A" w:rsidRPr="00A36E36" w:rsidRDefault="0039681A" w:rsidP="00F025C3">
            <w:pPr>
              <w:pStyle w:val="ListParagraph"/>
              <w:ind w:left="0"/>
              <w:contextualSpacing w:val="0"/>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contracts for the works necessary for the construction of the Sulmona compressor station and Sestino-Minerbio gas pipeline.</w:t>
            </w:r>
          </w:p>
        </w:tc>
      </w:tr>
      <w:tr w:rsidR="0039681A" w:rsidRPr="0070054C" w14:paraId="2F81ACEA" w14:textId="77777777" w:rsidTr="00F025C3">
        <w:trPr>
          <w:trHeight w:val="309"/>
          <w:jc w:val="center"/>
        </w:trPr>
        <w:tc>
          <w:tcPr>
            <w:tcW w:w="1202" w:type="dxa"/>
            <w:shd w:val="clear" w:color="auto" w:fill="C6EFCE"/>
            <w:noWrap/>
            <w:vAlign w:val="center"/>
          </w:tcPr>
          <w:p w14:paraId="30A29462"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M7-37</w:t>
            </w:r>
          </w:p>
        </w:tc>
        <w:tc>
          <w:tcPr>
            <w:tcW w:w="1579" w:type="dxa"/>
            <w:shd w:val="clear" w:color="auto" w:fill="C6EFCE"/>
            <w:noWrap/>
            <w:vAlign w:val="center"/>
          </w:tcPr>
          <w:p w14:paraId="682331B7" w14:textId="77777777" w:rsidR="0039681A" w:rsidRPr="00A36E36" w:rsidRDefault="0039681A" w:rsidP="00F025C3">
            <w:pPr>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13: Adriatic Line Phase 1 (Sulmona compressor station and Sestino-Minerbio gas pipeline)</w:t>
            </w:r>
          </w:p>
        </w:tc>
        <w:tc>
          <w:tcPr>
            <w:tcW w:w="1149" w:type="dxa"/>
            <w:shd w:val="clear" w:color="auto" w:fill="C6EFCE"/>
            <w:noWrap/>
            <w:vAlign w:val="center"/>
          </w:tcPr>
          <w:p w14:paraId="29372993"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35" w:type="dxa"/>
            <w:shd w:val="clear" w:color="auto" w:fill="C6EFCE"/>
            <w:noWrap/>
            <w:vAlign w:val="center"/>
          </w:tcPr>
          <w:p w14:paraId="4442BC0D" w14:textId="7EE72EC7" w:rsidR="0039681A" w:rsidRPr="00AF5341" w:rsidRDefault="0039681A" w:rsidP="00F025C3">
            <w:pPr>
              <w:jc w:val="center"/>
              <w:rPr>
                <w:rFonts w:ascii="Arial Narrow" w:hAnsi="Arial Narrow"/>
                <w:noProof/>
                <w:color w:val="006100"/>
                <w:sz w:val="20"/>
                <w:szCs w:val="20"/>
                <w:lang w:val="en-IE"/>
              </w:rPr>
            </w:pPr>
            <w:r w:rsidRPr="1B2CD392">
              <w:rPr>
                <w:rFonts w:ascii="Arial Narrow" w:hAnsi="Arial Narrow"/>
                <w:noProof/>
                <w:color w:val="006100"/>
                <w:sz w:val="20"/>
                <w:szCs w:val="20"/>
                <w:lang w:val="en-US"/>
              </w:rPr>
              <w:t>Works on the Sulmona compression station and Sestino Minerbio gas pipeline carried out</w:t>
            </w:r>
          </w:p>
        </w:tc>
        <w:tc>
          <w:tcPr>
            <w:tcW w:w="1723" w:type="dxa"/>
            <w:shd w:val="clear" w:color="auto" w:fill="C6EFCE"/>
            <w:noWrap/>
            <w:vAlign w:val="center"/>
          </w:tcPr>
          <w:p w14:paraId="4F351BC8" w14:textId="749021B2" w:rsidR="0039681A" w:rsidRPr="00A36E36" w:rsidRDefault="0039681A" w:rsidP="00F025C3">
            <w:pPr>
              <w:jc w:val="center"/>
              <w:rPr>
                <w:rFonts w:ascii="Arial Narrow" w:hAnsi="Arial Narrow"/>
                <w:noProof/>
                <w:color w:val="006100"/>
                <w:sz w:val="20"/>
                <w:szCs w:val="20"/>
                <w:lang w:val="en-IE"/>
              </w:rPr>
            </w:pPr>
            <w:r w:rsidRPr="1B2CD392">
              <w:rPr>
                <w:rFonts w:ascii="Arial Narrow" w:hAnsi="Arial Narrow"/>
                <w:noProof/>
                <w:color w:val="006100"/>
                <w:sz w:val="20"/>
                <w:szCs w:val="20"/>
                <w:lang w:val="en-IE"/>
              </w:rPr>
              <w:t xml:space="preserve">Works carried out </w:t>
            </w:r>
          </w:p>
        </w:tc>
        <w:tc>
          <w:tcPr>
            <w:tcW w:w="1293" w:type="dxa"/>
            <w:shd w:val="clear" w:color="auto" w:fill="C6EFCE"/>
            <w:noWrap/>
            <w:vAlign w:val="center"/>
          </w:tcPr>
          <w:p w14:paraId="4377B86C" w14:textId="77777777" w:rsidR="0039681A" w:rsidRPr="00A36E36" w:rsidRDefault="0039681A" w:rsidP="00F025C3">
            <w:pPr>
              <w:jc w:val="center"/>
              <w:rPr>
                <w:rFonts w:ascii="Arial Narrow" w:hAnsi="Arial Narrow"/>
                <w:noProof/>
                <w:color w:val="006100"/>
                <w:sz w:val="20"/>
                <w:szCs w:val="20"/>
                <w:lang w:val="en-IE"/>
              </w:rPr>
            </w:pPr>
          </w:p>
        </w:tc>
        <w:tc>
          <w:tcPr>
            <w:tcW w:w="1005" w:type="dxa"/>
            <w:shd w:val="clear" w:color="auto" w:fill="C6EFCE"/>
            <w:noWrap/>
            <w:vAlign w:val="center"/>
          </w:tcPr>
          <w:p w14:paraId="62EAEF3C" w14:textId="77777777" w:rsidR="0039681A" w:rsidRPr="00A36E36" w:rsidRDefault="0039681A" w:rsidP="00F025C3">
            <w:pPr>
              <w:jc w:val="center"/>
              <w:rPr>
                <w:rFonts w:ascii="Arial Narrow" w:hAnsi="Arial Narrow"/>
                <w:noProof/>
                <w:color w:val="006100"/>
                <w:sz w:val="20"/>
                <w:szCs w:val="20"/>
                <w:lang w:val="en-IE"/>
              </w:rPr>
            </w:pPr>
          </w:p>
        </w:tc>
        <w:tc>
          <w:tcPr>
            <w:tcW w:w="1293" w:type="dxa"/>
            <w:shd w:val="clear" w:color="auto" w:fill="C6EFCE"/>
            <w:noWrap/>
            <w:vAlign w:val="center"/>
          </w:tcPr>
          <w:p w14:paraId="69E8AF21" w14:textId="77777777" w:rsidR="0039681A" w:rsidRPr="00A36E36" w:rsidRDefault="0039681A" w:rsidP="00F025C3">
            <w:pPr>
              <w:jc w:val="center"/>
              <w:rPr>
                <w:rFonts w:ascii="Arial Narrow" w:hAnsi="Arial Narrow"/>
                <w:noProof/>
                <w:color w:val="006100"/>
                <w:sz w:val="20"/>
                <w:szCs w:val="20"/>
                <w:lang w:val="en-IE"/>
              </w:rPr>
            </w:pPr>
          </w:p>
        </w:tc>
        <w:tc>
          <w:tcPr>
            <w:tcW w:w="862" w:type="dxa"/>
            <w:shd w:val="clear" w:color="auto" w:fill="C6EFCE"/>
            <w:noWrap/>
            <w:vAlign w:val="center"/>
          </w:tcPr>
          <w:p w14:paraId="1E937921"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17" w:type="dxa"/>
            <w:shd w:val="clear" w:color="auto" w:fill="C6EFCE"/>
            <w:noWrap/>
            <w:vAlign w:val="center"/>
          </w:tcPr>
          <w:p w14:paraId="1A9AAF4C"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303" w:type="dxa"/>
            <w:shd w:val="clear" w:color="auto" w:fill="C6EFCE"/>
            <w:noWrap/>
            <w:vAlign w:val="center"/>
          </w:tcPr>
          <w:p w14:paraId="3B43B4F3" w14:textId="5B2882C8" w:rsidR="0039681A" w:rsidRPr="00A36E36" w:rsidRDefault="0039681A" w:rsidP="00F025C3">
            <w:pPr>
              <w:rPr>
                <w:rFonts w:ascii="Arial Narrow" w:hAnsi="Arial Narrow"/>
                <w:noProof/>
                <w:color w:val="006100"/>
                <w:sz w:val="20"/>
                <w:szCs w:val="20"/>
                <w:lang w:val="en-IE"/>
              </w:rPr>
            </w:pPr>
            <w:r w:rsidRPr="3DCF003D">
              <w:rPr>
                <w:rFonts w:ascii="Arial Narrow" w:hAnsi="Arial Narrow"/>
                <w:noProof/>
                <w:color w:val="006100"/>
                <w:sz w:val="20"/>
                <w:szCs w:val="20"/>
                <w:lang w:val="en-IE"/>
              </w:rPr>
              <w:t>Works</w:t>
            </w:r>
            <w:r w:rsidRPr="6581AC11">
              <w:rPr>
                <w:rFonts w:ascii="Arial Narrow" w:hAnsi="Arial Narrow"/>
                <w:noProof/>
                <w:color w:val="006100"/>
                <w:sz w:val="20"/>
                <w:szCs w:val="20"/>
                <w:lang w:val="en-IE"/>
              </w:rPr>
              <w:t xml:space="preserve"> on the Sulmona compressor station and Sestino-Minerbio gas pipeline for an increase in the technical capacity of gas transport of 14 mcm/day have been carried out.</w:t>
            </w:r>
          </w:p>
        </w:tc>
      </w:tr>
      <w:tr w:rsidR="0039681A" w:rsidRPr="0070054C" w14:paraId="6C9B5F37" w14:textId="77777777" w:rsidTr="00F025C3">
        <w:trPr>
          <w:trHeight w:val="309"/>
          <w:jc w:val="center"/>
        </w:trPr>
        <w:tc>
          <w:tcPr>
            <w:tcW w:w="1202" w:type="dxa"/>
            <w:shd w:val="clear" w:color="auto" w:fill="C6EFCE"/>
            <w:noWrap/>
            <w:vAlign w:val="center"/>
          </w:tcPr>
          <w:p w14:paraId="1CD3504C"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M7-38</w:t>
            </w:r>
          </w:p>
        </w:tc>
        <w:tc>
          <w:tcPr>
            <w:tcW w:w="1579" w:type="dxa"/>
            <w:shd w:val="clear" w:color="auto" w:fill="C6EFCE"/>
            <w:noWrap/>
            <w:vAlign w:val="center"/>
          </w:tcPr>
          <w:p w14:paraId="71BC2B6E"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Investment 14: Cross-border gas export infrastructure</w:t>
            </w:r>
          </w:p>
        </w:tc>
        <w:tc>
          <w:tcPr>
            <w:tcW w:w="1149" w:type="dxa"/>
            <w:shd w:val="clear" w:color="auto" w:fill="C6EFCE"/>
            <w:noWrap/>
            <w:vAlign w:val="center"/>
          </w:tcPr>
          <w:p w14:paraId="5ADB0129"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35" w:type="dxa"/>
            <w:shd w:val="clear" w:color="auto" w:fill="C6EFCE"/>
            <w:noWrap/>
            <w:vAlign w:val="center"/>
          </w:tcPr>
          <w:p w14:paraId="1EC878CF"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Award of contracts</w:t>
            </w:r>
          </w:p>
        </w:tc>
        <w:tc>
          <w:tcPr>
            <w:tcW w:w="1723" w:type="dxa"/>
            <w:shd w:val="clear" w:color="auto" w:fill="C6EFCE"/>
            <w:noWrap/>
            <w:vAlign w:val="center"/>
          </w:tcPr>
          <w:p w14:paraId="0BCF5ACB" w14:textId="77777777" w:rsidR="0039681A" w:rsidRPr="00A36E36" w:rsidRDefault="0039681A" w:rsidP="00F025C3">
            <w:pPr>
              <w:jc w:val="cente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contracts</w:t>
            </w:r>
          </w:p>
        </w:tc>
        <w:tc>
          <w:tcPr>
            <w:tcW w:w="1293" w:type="dxa"/>
            <w:shd w:val="clear" w:color="auto" w:fill="C6EFCE"/>
            <w:noWrap/>
            <w:vAlign w:val="center"/>
          </w:tcPr>
          <w:p w14:paraId="2CDADD10" w14:textId="77777777" w:rsidR="0039681A" w:rsidRPr="00A36E36" w:rsidRDefault="0039681A" w:rsidP="00F025C3">
            <w:pPr>
              <w:jc w:val="center"/>
              <w:rPr>
                <w:rFonts w:ascii="Arial Narrow" w:hAnsi="Arial Narrow"/>
                <w:noProof/>
                <w:color w:val="FF0000"/>
                <w:sz w:val="20"/>
                <w:szCs w:val="20"/>
                <w:lang w:val="en-IE"/>
              </w:rPr>
            </w:pPr>
          </w:p>
        </w:tc>
        <w:tc>
          <w:tcPr>
            <w:tcW w:w="1005" w:type="dxa"/>
            <w:shd w:val="clear" w:color="auto" w:fill="C6EFCE"/>
            <w:noWrap/>
            <w:vAlign w:val="center"/>
          </w:tcPr>
          <w:p w14:paraId="635F74F2" w14:textId="77777777" w:rsidR="0039681A" w:rsidRPr="00A36E36" w:rsidRDefault="0039681A" w:rsidP="00F025C3">
            <w:pPr>
              <w:jc w:val="center"/>
              <w:rPr>
                <w:rFonts w:ascii="Arial Narrow" w:hAnsi="Arial Narrow"/>
                <w:noProof/>
                <w:color w:val="006100"/>
                <w:sz w:val="20"/>
                <w:szCs w:val="20"/>
                <w:lang w:val="en-IE"/>
              </w:rPr>
            </w:pPr>
          </w:p>
        </w:tc>
        <w:tc>
          <w:tcPr>
            <w:tcW w:w="1293" w:type="dxa"/>
            <w:shd w:val="clear" w:color="auto" w:fill="C6EFCE"/>
            <w:noWrap/>
            <w:vAlign w:val="center"/>
          </w:tcPr>
          <w:p w14:paraId="6016425A" w14:textId="77777777" w:rsidR="0039681A" w:rsidRPr="00A36E36" w:rsidRDefault="0039681A" w:rsidP="00F025C3">
            <w:pPr>
              <w:jc w:val="center"/>
              <w:rPr>
                <w:rFonts w:ascii="Arial Narrow" w:hAnsi="Arial Narrow"/>
                <w:noProof/>
                <w:color w:val="006100"/>
                <w:sz w:val="20"/>
                <w:szCs w:val="20"/>
                <w:lang w:val="en-IE"/>
              </w:rPr>
            </w:pPr>
          </w:p>
        </w:tc>
        <w:tc>
          <w:tcPr>
            <w:tcW w:w="862" w:type="dxa"/>
            <w:shd w:val="clear" w:color="auto" w:fill="C6EFCE"/>
            <w:noWrap/>
            <w:vAlign w:val="center"/>
          </w:tcPr>
          <w:p w14:paraId="50FC59C0"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17" w:type="dxa"/>
            <w:shd w:val="clear" w:color="auto" w:fill="C6EFCE"/>
            <w:noWrap/>
            <w:vAlign w:val="center"/>
          </w:tcPr>
          <w:p w14:paraId="7C0BF988"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303" w:type="dxa"/>
            <w:shd w:val="clear" w:color="auto" w:fill="C6EFCE"/>
            <w:noWrap/>
            <w:vAlign w:val="center"/>
          </w:tcPr>
          <w:p w14:paraId="7270CDFD" w14:textId="77777777" w:rsidR="0039681A" w:rsidRPr="00A36E36" w:rsidRDefault="0039681A" w:rsidP="00F025C3">
            <w:pPr>
              <w:rPr>
                <w:rFonts w:ascii="Arial Narrow" w:hAnsi="Arial Narrow"/>
                <w:noProof/>
                <w:color w:val="006100"/>
                <w:sz w:val="20"/>
                <w:szCs w:val="20"/>
                <w:lang w:val="en-IE"/>
              </w:rPr>
            </w:pPr>
            <w:r w:rsidRPr="00A36E36">
              <w:rPr>
                <w:rFonts w:ascii="Arial Narrow" w:hAnsi="Arial Narrow"/>
                <w:noProof/>
                <w:color w:val="006100"/>
                <w:sz w:val="20"/>
                <w:lang w:val="en-IE"/>
              </w:rPr>
              <w:t>Notification of the award of all the contracts for the works necessary for the completion of the Poggio Renatico compressor station</w:t>
            </w:r>
          </w:p>
        </w:tc>
      </w:tr>
      <w:tr w:rsidR="0039681A" w:rsidRPr="0070054C" w14:paraId="79130658" w14:textId="77777777" w:rsidTr="00F025C3">
        <w:trPr>
          <w:trHeight w:val="309"/>
          <w:jc w:val="center"/>
        </w:trPr>
        <w:tc>
          <w:tcPr>
            <w:tcW w:w="1202" w:type="dxa"/>
            <w:shd w:val="clear" w:color="auto" w:fill="C6EFCE"/>
            <w:noWrap/>
            <w:vAlign w:val="center"/>
          </w:tcPr>
          <w:p w14:paraId="1FA0A802"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M7-39</w:t>
            </w:r>
          </w:p>
        </w:tc>
        <w:tc>
          <w:tcPr>
            <w:tcW w:w="1579" w:type="dxa"/>
            <w:shd w:val="clear" w:color="auto" w:fill="C6EFCE"/>
            <w:noWrap/>
            <w:vAlign w:val="center"/>
          </w:tcPr>
          <w:p w14:paraId="715A2546"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Investment 14: Cross-border gas export infrastructure</w:t>
            </w:r>
          </w:p>
        </w:tc>
        <w:tc>
          <w:tcPr>
            <w:tcW w:w="1149" w:type="dxa"/>
            <w:shd w:val="clear" w:color="auto" w:fill="C6EFCE"/>
            <w:noWrap/>
            <w:vAlign w:val="center"/>
          </w:tcPr>
          <w:p w14:paraId="2A54D263"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35" w:type="dxa"/>
            <w:shd w:val="clear" w:color="auto" w:fill="C6EFCE"/>
            <w:noWrap/>
            <w:vAlign w:val="center"/>
          </w:tcPr>
          <w:p w14:paraId="1317DF6F" w14:textId="4E239B74" w:rsidR="0039681A" w:rsidRPr="00AF5341" w:rsidRDefault="0039681A" w:rsidP="00F025C3">
            <w:pPr>
              <w:jc w:val="center"/>
              <w:rPr>
                <w:rFonts w:ascii="Arial Narrow" w:hAnsi="Arial Narrow"/>
                <w:noProof/>
                <w:color w:val="006100"/>
                <w:sz w:val="20"/>
                <w:szCs w:val="20"/>
                <w:lang w:val="en-IE"/>
              </w:rPr>
            </w:pPr>
            <w:r w:rsidRPr="00AF5341">
              <w:rPr>
                <w:rFonts w:ascii="Arial Narrow" w:hAnsi="Arial Narrow"/>
                <w:noProof/>
                <w:color w:val="006100"/>
                <w:sz w:val="20"/>
                <w:szCs w:val="20"/>
                <w:lang w:val="en-IE"/>
              </w:rPr>
              <w:t>Works on the</w:t>
            </w:r>
            <w:r w:rsidRPr="34D2A6EF">
              <w:rPr>
                <w:rFonts w:ascii="Arial Narrow" w:hAnsi="Arial Narrow"/>
                <w:noProof/>
                <w:color w:val="006100"/>
                <w:sz w:val="20"/>
                <w:szCs w:val="20"/>
                <w:lang w:val="en-IE"/>
              </w:rPr>
              <w:t xml:space="preserve"> </w:t>
            </w:r>
            <w:r w:rsidRPr="05B9404F">
              <w:rPr>
                <w:rFonts w:ascii="Arial Narrow" w:hAnsi="Arial Narrow"/>
                <w:noProof/>
                <w:color w:val="006100"/>
                <w:sz w:val="20"/>
                <w:szCs w:val="20"/>
                <w:lang w:val="en-IE"/>
              </w:rPr>
              <w:t>Poggio Renatico</w:t>
            </w:r>
            <w:r w:rsidRPr="00AF5341">
              <w:rPr>
                <w:rFonts w:ascii="Arial Narrow" w:hAnsi="Arial Narrow"/>
                <w:noProof/>
                <w:color w:val="006100"/>
                <w:sz w:val="20"/>
                <w:szCs w:val="20"/>
                <w:lang w:val="en-IE"/>
              </w:rPr>
              <w:t xml:space="preserve"> compression</w:t>
            </w:r>
            <w:r>
              <w:rPr>
                <w:rFonts w:ascii="Arial Narrow" w:hAnsi="Arial Narrow"/>
                <w:noProof/>
                <w:color w:val="006100"/>
                <w:sz w:val="20"/>
                <w:szCs w:val="20"/>
                <w:lang w:val="en-IE"/>
              </w:rPr>
              <w:t xml:space="preserve"> </w:t>
            </w:r>
            <w:r w:rsidRPr="00AF5341">
              <w:rPr>
                <w:rFonts w:ascii="Arial Narrow" w:hAnsi="Arial Narrow"/>
                <w:noProof/>
                <w:color w:val="006100"/>
                <w:sz w:val="20"/>
                <w:szCs w:val="20"/>
                <w:lang w:val="en-IE"/>
              </w:rPr>
              <w:t>station carried out</w:t>
            </w:r>
          </w:p>
        </w:tc>
        <w:tc>
          <w:tcPr>
            <w:tcW w:w="1723" w:type="dxa"/>
            <w:shd w:val="clear" w:color="auto" w:fill="C6EFCE"/>
            <w:noWrap/>
            <w:vAlign w:val="center"/>
          </w:tcPr>
          <w:p w14:paraId="15E35309" w14:textId="1038344A" w:rsidR="0039681A" w:rsidRPr="00A36E36" w:rsidRDefault="0039681A" w:rsidP="00F025C3">
            <w:pPr>
              <w:jc w:val="center"/>
              <w:rPr>
                <w:rFonts w:ascii="Arial Narrow" w:hAnsi="Arial Narrow"/>
                <w:noProof/>
                <w:color w:val="006100"/>
                <w:sz w:val="20"/>
                <w:szCs w:val="20"/>
                <w:lang w:val="en-IE"/>
              </w:rPr>
            </w:pPr>
            <w:r w:rsidRPr="3DCF003D">
              <w:rPr>
                <w:rFonts w:ascii="Arial Narrow" w:hAnsi="Arial Narrow"/>
                <w:noProof/>
                <w:color w:val="006100"/>
                <w:sz w:val="20"/>
                <w:szCs w:val="20"/>
                <w:lang w:val="en-IE"/>
              </w:rPr>
              <w:t xml:space="preserve">Works </w:t>
            </w:r>
            <w:r>
              <w:rPr>
                <w:rFonts w:ascii="Arial Narrow" w:hAnsi="Arial Narrow"/>
                <w:noProof/>
                <w:color w:val="006100"/>
                <w:sz w:val="20"/>
                <w:szCs w:val="20"/>
                <w:lang w:val="en-IE"/>
              </w:rPr>
              <w:t>carried out</w:t>
            </w:r>
          </w:p>
        </w:tc>
        <w:tc>
          <w:tcPr>
            <w:tcW w:w="1293" w:type="dxa"/>
            <w:shd w:val="clear" w:color="auto" w:fill="C6EFCE"/>
            <w:noWrap/>
            <w:vAlign w:val="center"/>
          </w:tcPr>
          <w:p w14:paraId="4CF52C1A" w14:textId="77777777" w:rsidR="0039681A" w:rsidRPr="00A36E36" w:rsidRDefault="0039681A" w:rsidP="00F025C3">
            <w:pPr>
              <w:jc w:val="center"/>
              <w:rPr>
                <w:rFonts w:ascii="Arial Narrow" w:hAnsi="Arial Narrow"/>
                <w:noProof/>
                <w:color w:val="006100"/>
                <w:sz w:val="20"/>
                <w:szCs w:val="20"/>
                <w:lang w:val="en-IE"/>
              </w:rPr>
            </w:pPr>
          </w:p>
        </w:tc>
        <w:tc>
          <w:tcPr>
            <w:tcW w:w="1005" w:type="dxa"/>
            <w:shd w:val="clear" w:color="auto" w:fill="C6EFCE"/>
            <w:noWrap/>
            <w:vAlign w:val="center"/>
          </w:tcPr>
          <w:p w14:paraId="74A9C53F" w14:textId="77777777" w:rsidR="0039681A" w:rsidRPr="00A36E36" w:rsidRDefault="0039681A" w:rsidP="00F025C3">
            <w:pPr>
              <w:jc w:val="center"/>
              <w:rPr>
                <w:rFonts w:ascii="Arial Narrow" w:hAnsi="Arial Narrow"/>
                <w:noProof/>
                <w:color w:val="006100"/>
                <w:sz w:val="20"/>
                <w:szCs w:val="20"/>
                <w:lang w:val="en-IE"/>
              </w:rPr>
            </w:pPr>
          </w:p>
        </w:tc>
        <w:tc>
          <w:tcPr>
            <w:tcW w:w="1293" w:type="dxa"/>
            <w:shd w:val="clear" w:color="auto" w:fill="C6EFCE"/>
            <w:noWrap/>
            <w:vAlign w:val="center"/>
          </w:tcPr>
          <w:p w14:paraId="3000FFFE" w14:textId="77777777" w:rsidR="0039681A" w:rsidRPr="00A36E36" w:rsidRDefault="0039681A" w:rsidP="00F025C3">
            <w:pPr>
              <w:jc w:val="center"/>
              <w:rPr>
                <w:rFonts w:ascii="Arial Narrow" w:hAnsi="Arial Narrow"/>
                <w:noProof/>
                <w:color w:val="006100"/>
                <w:sz w:val="20"/>
                <w:szCs w:val="20"/>
                <w:lang w:val="en-IE"/>
              </w:rPr>
            </w:pPr>
          </w:p>
        </w:tc>
        <w:tc>
          <w:tcPr>
            <w:tcW w:w="862" w:type="dxa"/>
            <w:shd w:val="clear" w:color="auto" w:fill="C6EFCE"/>
            <w:noWrap/>
            <w:vAlign w:val="center"/>
          </w:tcPr>
          <w:p w14:paraId="316981B9"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Q2</w:t>
            </w:r>
          </w:p>
        </w:tc>
        <w:tc>
          <w:tcPr>
            <w:tcW w:w="717" w:type="dxa"/>
            <w:shd w:val="clear" w:color="auto" w:fill="C6EFCE"/>
            <w:noWrap/>
            <w:vAlign w:val="center"/>
          </w:tcPr>
          <w:p w14:paraId="37A276DE"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2026</w:t>
            </w:r>
          </w:p>
        </w:tc>
        <w:tc>
          <w:tcPr>
            <w:tcW w:w="3303" w:type="dxa"/>
            <w:shd w:val="clear" w:color="auto" w:fill="C6EFCE"/>
            <w:noWrap/>
            <w:vAlign w:val="center"/>
          </w:tcPr>
          <w:p w14:paraId="6EB6E243" w14:textId="7641F9F3" w:rsidR="0039681A" w:rsidRPr="00A36E36" w:rsidRDefault="0039681A" w:rsidP="00F025C3">
            <w:pPr>
              <w:rPr>
                <w:rFonts w:ascii="Arial Narrow" w:hAnsi="Arial Narrow"/>
                <w:noProof/>
                <w:color w:val="006100"/>
                <w:sz w:val="20"/>
                <w:szCs w:val="20"/>
                <w:lang w:val="en-IE"/>
              </w:rPr>
            </w:pPr>
            <w:r w:rsidRPr="3DCF003D">
              <w:rPr>
                <w:rFonts w:ascii="Arial Narrow" w:hAnsi="Arial Narrow"/>
                <w:noProof/>
                <w:color w:val="006100"/>
                <w:sz w:val="20"/>
                <w:szCs w:val="20"/>
                <w:lang w:val="en-IE"/>
              </w:rPr>
              <w:t>Works</w:t>
            </w:r>
            <w:r w:rsidRPr="6581AC11">
              <w:rPr>
                <w:rFonts w:ascii="Arial Narrow" w:hAnsi="Arial Narrow"/>
                <w:noProof/>
                <w:color w:val="006100"/>
                <w:sz w:val="20"/>
                <w:szCs w:val="20"/>
                <w:lang w:val="en-IE"/>
              </w:rPr>
              <w:t xml:space="preserve"> on the compression unit in the Poggio Renatico compressor station for an increase in technical capacity of gas export via the Tarvisio Exit Point by 8 bcm/y have been carried out.</w:t>
            </w:r>
          </w:p>
        </w:tc>
      </w:tr>
      <w:tr w:rsidR="0039681A" w:rsidRPr="0070054C" w14:paraId="4657D553" w14:textId="77777777" w:rsidTr="00F025C3">
        <w:trPr>
          <w:trHeight w:val="309"/>
          <w:jc w:val="center"/>
        </w:trPr>
        <w:tc>
          <w:tcPr>
            <w:tcW w:w="1202" w:type="dxa"/>
            <w:shd w:val="clear" w:color="auto" w:fill="C6EFCE"/>
            <w:noWrap/>
            <w:vAlign w:val="center"/>
          </w:tcPr>
          <w:p w14:paraId="69E74E49"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M7-40</w:t>
            </w:r>
          </w:p>
        </w:tc>
        <w:tc>
          <w:tcPr>
            <w:tcW w:w="1579" w:type="dxa"/>
            <w:shd w:val="clear" w:color="auto" w:fill="C6EFCE"/>
            <w:noWrap/>
            <w:vAlign w:val="center"/>
          </w:tcPr>
          <w:p w14:paraId="69B32B25"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Investment 15: Transizione 5.0</w:t>
            </w:r>
          </w:p>
        </w:tc>
        <w:tc>
          <w:tcPr>
            <w:tcW w:w="1149" w:type="dxa"/>
            <w:shd w:val="clear" w:color="auto" w:fill="C6EFCE"/>
            <w:noWrap/>
            <w:vAlign w:val="center"/>
          </w:tcPr>
          <w:p w14:paraId="198B2879"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35" w:type="dxa"/>
            <w:shd w:val="clear" w:color="auto" w:fill="C6EFCE"/>
            <w:noWrap/>
            <w:vAlign w:val="center"/>
          </w:tcPr>
          <w:p w14:paraId="0A9C715E" w14:textId="77777777" w:rsidR="0039681A" w:rsidRPr="00A36E36" w:rsidRDefault="0039681A" w:rsidP="00F025C3">
            <w:pPr>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legal act establishing the criteria of eligible interventions</w:t>
            </w:r>
          </w:p>
        </w:tc>
        <w:tc>
          <w:tcPr>
            <w:tcW w:w="1723" w:type="dxa"/>
            <w:shd w:val="clear" w:color="auto" w:fill="C6EFCE"/>
            <w:noWrap/>
            <w:vAlign w:val="center"/>
          </w:tcPr>
          <w:p w14:paraId="2EB5DA99" w14:textId="77777777" w:rsidR="0039681A" w:rsidRPr="00A36E36" w:rsidRDefault="0039681A" w:rsidP="00F025C3">
            <w:pPr>
              <w:jc w:val="center"/>
              <w:rPr>
                <w:rFonts w:ascii="Arial Narrow" w:hAnsi="Arial Narrow"/>
                <w:noProof/>
                <w:color w:val="FF0000"/>
                <w:sz w:val="20"/>
                <w:szCs w:val="20"/>
                <w:lang w:val="en-IE"/>
              </w:rPr>
            </w:pPr>
            <w:r w:rsidRPr="00A36E36">
              <w:rPr>
                <w:rFonts w:ascii="Arial Narrow" w:hAnsi="Arial Narrow"/>
                <w:noProof/>
                <w:color w:val="006100"/>
                <w:sz w:val="20"/>
                <w:lang w:val="en-IE"/>
              </w:rPr>
              <w:t>Provision in the law indicating the entry into force of the law</w:t>
            </w:r>
          </w:p>
        </w:tc>
        <w:tc>
          <w:tcPr>
            <w:tcW w:w="1293" w:type="dxa"/>
            <w:shd w:val="clear" w:color="auto" w:fill="C6EFCE"/>
            <w:noWrap/>
            <w:vAlign w:val="center"/>
          </w:tcPr>
          <w:p w14:paraId="118FE2F2" w14:textId="77777777" w:rsidR="0039681A" w:rsidRPr="00A36E36" w:rsidRDefault="0039681A" w:rsidP="00F025C3">
            <w:pPr>
              <w:jc w:val="center"/>
              <w:rPr>
                <w:rFonts w:ascii="Arial Narrow" w:hAnsi="Arial Narrow"/>
                <w:noProof/>
                <w:color w:val="006100"/>
                <w:sz w:val="20"/>
                <w:szCs w:val="20"/>
                <w:lang w:val="en-IE"/>
              </w:rPr>
            </w:pPr>
          </w:p>
        </w:tc>
        <w:tc>
          <w:tcPr>
            <w:tcW w:w="1005" w:type="dxa"/>
            <w:shd w:val="clear" w:color="auto" w:fill="C6EFCE"/>
            <w:noWrap/>
            <w:vAlign w:val="center"/>
          </w:tcPr>
          <w:p w14:paraId="58021CB4" w14:textId="77777777" w:rsidR="0039681A" w:rsidRPr="00A36E36" w:rsidRDefault="0039681A" w:rsidP="00F025C3">
            <w:pPr>
              <w:jc w:val="center"/>
              <w:rPr>
                <w:rFonts w:ascii="Arial Narrow" w:hAnsi="Arial Narrow"/>
                <w:noProof/>
                <w:color w:val="006100"/>
                <w:sz w:val="20"/>
                <w:szCs w:val="20"/>
                <w:lang w:val="en-IE"/>
              </w:rPr>
            </w:pPr>
          </w:p>
        </w:tc>
        <w:tc>
          <w:tcPr>
            <w:tcW w:w="1293" w:type="dxa"/>
            <w:shd w:val="clear" w:color="auto" w:fill="C6EFCE"/>
            <w:noWrap/>
            <w:vAlign w:val="center"/>
          </w:tcPr>
          <w:p w14:paraId="64140778" w14:textId="77777777" w:rsidR="0039681A" w:rsidRPr="00A36E36" w:rsidRDefault="0039681A" w:rsidP="00F025C3">
            <w:pPr>
              <w:jc w:val="center"/>
              <w:rPr>
                <w:rFonts w:ascii="Arial Narrow" w:hAnsi="Arial Narrow"/>
                <w:noProof/>
                <w:color w:val="006100"/>
                <w:sz w:val="20"/>
                <w:szCs w:val="20"/>
                <w:lang w:val="en-IE"/>
              </w:rPr>
            </w:pPr>
          </w:p>
        </w:tc>
        <w:tc>
          <w:tcPr>
            <w:tcW w:w="862" w:type="dxa"/>
            <w:shd w:val="clear" w:color="auto" w:fill="C6EFCE"/>
            <w:noWrap/>
            <w:vAlign w:val="center"/>
          </w:tcPr>
          <w:p w14:paraId="6F6F7DE1"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Q1</w:t>
            </w:r>
          </w:p>
        </w:tc>
        <w:tc>
          <w:tcPr>
            <w:tcW w:w="717" w:type="dxa"/>
            <w:shd w:val="clear" w:color="auto" w:fill="C6EFCE"/>
            <w:noWrap/>
            <w:vAlign w:val="center"/>
          </w:tcPr>
          <w:p w14:paraId="233D012C"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2024</w:t>
            </w:r>
          </w:p>
        </w:tc>
        <w:tc>
          <w:tcPr>
            <w:tcW w:w="3303" w:type="dxa"/>
            <w:shd w:val="clear" w:color="auto" w:fill="C6EFCE"/>
            <w:noWrap/>
            <w:vAlign w:val="center"/>
          </w:tcPr>
          <w:p w14:paraId="7662C621" w14:textId="77777777" w:rsidR="0039681A" w:rsidRPr="00A36E36" w:rsidRDefault="0039681A" w:rsidP="00F025C3">
            <w:pPr>
              <w:rPr>
                <w:rFonts w:ascii="Arial Narrow" w:hAnsi="Arial Narrow"/>
                <w:noProof/>
                <w:color w:val="006100"/>
                <w:sz w:val="20"/>
                <w:szCs w:val="20"/>
                <w:lang w:val="en-IE"/>
              </w:rPr>
            </w:pPr>
            <w:r w:rsidRPr="00A36E36">
              <w:rPr>
                <w:rFonts w:ascii="Arial Narrow" w:hAnsi="Arial Narrow"/>
                <w:noProof/>
                <w:color w:val="006100"/>
                <w:sz w:val="20"/>
                <w:lang w:val="en-IE"/>
              </w:rPr>
              <w:t>The legal act shall make Transition 5.0 tax credits available to potential recipients, determining the eligibility criteria, also in terms of minimum energy savings, and the maximum expenditure cap for the measure.</w:t>
            </w:r>
          </w:p>
        </w:tc>
      </w:tr>
      <w:tr w:rsidR="0039681A" w:rsidRPr="0070054C" w14:paraId="73D999F5" w14:textId="77777777" w:rsidTr="00F025C3">
        <w:trPr>
          <w:trHeight w:val="64"/>
          <w:jc w:val="center"/>
        </w:trPr>
        <w:tc>
          <w:tcPr>
            <w:tcW w:w="1202" w:type="dxa"/>
            <w:shd w:val="clear" w:color="auto" w:fill="C6EFCE"/>
            <w:noWrap/>
            <w:vAlign w:val="center"/>
          </w:tcPr>
          <w:p w14:paraId="329FBC60"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szCs w:val="20"/>
              </w:rPr>
              <w:t>M7-41</w:t>
            </w:r>
          </w:p>
        </w:tc>
        <w:tc>
          <w:tcPr>
            <w:tcW w:w="1579" w:type="dxa"/>
            <w:shd w:val="clear" w:color="auto" w:fill="C6EFCE"/>
            <w:noWrap/>
            <w:vAlign w:val="center"/>
          </w:tcPr>
          <w:p w14:paraId="350A85F1"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szCs w:val="20"/>
              </w:rPr>
              <w:t>Investment 15: Transizione 5.0</w:t>
            </w:r>
          </w:p>
        </w:tc>
        <w:tc>
          <w:tcPr>
            <w:tcW w:w="1149" w:type="dxa"/>
            <w:shd w:val="clear" w:color="auto" w:fill="C6EFCE"/>
            <w:noWrap/>
            <w:vAlign w:val="center"/>
          </w:tcPr>
          <w:p w14:paraId="6FC14AEF"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szCs w:val="20"/>
              </w:rPr>
              <w:t>Target</w:t>
            </w:r>
          </w:p>
        </w:tc>
        <w:tc>
          <w:tcPr>
            <w:tcW w:w="1435" w:type="dxa"/>
            <w:shd w:val="clear" w:color="auto" w:fill="C6EFCE"/>
            <w:noWrap/>
            <w:vAlign w:val="center"/>
          </w:tcPr>
          <w:p w14:paraId="6564B19A" w14:textId="5C1ED4EA" w:rsidR="0039681A" w:rsidRPr="00AF5341" w:rsidRDefault="0039681A" w:rsidP="00F025C3">
            <w:pPr>
              <w:jc w:val="center"/>
              <w:rPr>
                <w:rFonts w:ascii="Arial Narrow" w:hAnsi="Arial Narrow"/>
                <w:noProof/>
                <w:color w:val="006100"/>
                <w:sz w:val="20"/>
                <w:szCs w:val="20"/>
                <w:lang w:val="en-IE"/>
              </w:rPr>
            </w:pPr>
            <w:r w:rsidRPr="00AF5341">
              <w:rPr>
                <w:rFonts w:ascii="Arial Narrow" w:hAnsi="Arial Narrow"/>
                <w:noProof/>
                <w:color w:val="006100"/>
                <w:sz w:val="20"/>
                <w:szCs w:val="20"/>
                <w:lang w:val="en-IE"/>
              </w:rPr>
              <w:t>Tax credits granted to f</w:t>
            </w:r>
            <w:r w:rsidRPr="1B2CD392">
              <w:rPr>
                <w:rFonts w:ascii="Arial Narrow" w:hAnsi="Arial Narrow"/>
                <w:noProof/>
                <w:color w:val="006100"/>
                <w:sz w:val="20"/>
                <w:szCs w:val="20"/>
                <w:lang w:val="en-IE"/>
              </w:rPr>
              <w:t>irms based on documents presented in 2024-2025</w:t>
            </w:r>
          </w:p>
        </w:tc>
        <w:tc>
          <w:tcPr>
            <w:tcW w:w="1723" w:type="dxa"/>
            <w:shd w:val="clear" w:color="auto" w:fill="C6EFCE"/>
            <w:noWrap/>
            <w:vAlign w:val="center"/>
          </w:tcPr>
          <w:p w14:paraId="62FE47AC"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szCs w:val="20"/>
              </w:rPr>
              <w:t>N/A</w:t>
            </w:r>
          </w:p>
        </w:tc>
        <w:tc>
          <w:tcPr>
            <w:tcW w:w="1293" w:type="dxa"/>
            <w:shd w:val="clear" w:color="auto" w:fill="C6EFCE"/>
            <w:noWrap/>
            <w:vAlign w:val="center"/>
          </w:tcPr>
          <w:p w14:paraId="50106C72" w14:textId="77777777" w:rsidR="0039681A" w:rsidRPr="00A36E36" w:rsidRDefault="0039681A" w:rsidP="00F025C3">
            <w:pPr>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Amount of granted resources (EUR)</w:t>
            </w:r>
          </w:p>
        </w:tc>
        <w:tc>
          <w:tcPr>
            <w:tcW w:w="1005" w:type="dxa"/>
            <w:shd w:val="clear" w:color="auto" w:fill="C6EFCE"/>
            <w:noWrap/>
            <w:vAlign w:val="center"/>
          </w:tcPr>
          <w:p w14:paraId="211D3EE3"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szCs w:val="20"/>
              </w:rPr>
              <w:t>0</w:t>
            </w:r>
          </w:p>
        </w:tc>
        <w:tc>
          <w:tcPr>
            <w:tcW w:w="1293" w:type="dxa"/>
            <w:shd w:val="clear" w:color="auto" w:fill="C6EFCE"/>
            <w:noWrap/>
            <w:vAlign w:val="center"/>
          </w:tcPr>
          <w:p w14:paraId="7A024C66"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szCs w:val="20"/>
              </w:rPr>
              <w:t>2 500 000 000</w:t>
            </w:r>
          </w:p>
        </w:tc>
        <w:tc>
          <w:tcPr>
            <w:tcW w:w="862" w:type="dxa"/>
            <w:shd w:val="clear" w:color="auto" w:fill="C6EFCE"/>
            <w:noWrap/>
            <w:vAlign w:val="center"/>
          </w:tcPr>
          <w:p w14:paraId="4539DF43"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szCs w:val="20"/>
              </w:rPr>
              <w:t>Q2</w:t>
            </w:r>
          </w:p>
        </w:tc>
        <w:tc>
          <w:tcPr>
            <w:tcW w:w="717" w:type="dxa"/>
            <w:shd w:val="clear" w:color="auto" w:fill="C6EFCE"/>
            <w:noWrap/>
            <w:vAlign w:val="center"/>
          </w:tcPr>
          <w:p w14:paraId="5836F111"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szCs w:val="20"/>
              </w:rPr>
              <w:t>2026</w:t>
            </w:r>
          </w:p>
        </w:tc>
        <w:tc>
          <w:tcPr>
            <w:tcW w:w="3303" w:type="dxa"/>
            <w:shd w:val="clear" w:color="auto" w:fill="C6EFCE"/>
            <w:noWrap/>
            <w:vAlign w:val="center"/>
          </w:tcPr>
          <w:p w14:paraId="4ECB1050" w14:textId="77777777" w:rsidR="0039681A" w:rsidRPr="00A36E36" w:rsidRDefault="0039681A" w:rsidP="00F025C3">
            <w:pPr>
              <w:rPr>
                <w:rFonts w:ascii="Arial Narrow" w:hAnsi="Arial Narrow"/>
                <w:noProof/>
                <w:color w:val="006100"/>
                <w:sz w:val="20"/>
                <w:szCs w:val="20"/>
                <w:lang w:val="en-IE"/>
              </w:rPr>
            </w:pPr>
            <w:r w:rsidRPr="00A36E36">
              <w:rPr>
                <w:rFonts w:ascii="Arial Narrow" w:hAnsi="Arial Narrow"/>
                <w:noProof/>
                <w:color w:val="006100"/>
                <w:sz w:val="20"/>
                <w:szCs w:val="20"/>
                <w:lang w:val="en-IE"/>
              </w:rPr>
              <w:t>Notification of the granting of all RRF resources earmarked for this investment.</w:t>
            </w:r>
          </w:p>
          <w:p w14:paraId="5F3D9F8F" w14:textId="25DAF5BE" w:rsidR="0039681A" w:rsidRDefault="0039681A" w:rsidP="00F025C3">
            <w:pPr>
              <w:rPr>
                <w:rFonts w:ascii="Arial Narrow" w:hAnsi="Arial Narrow"/>
                <w:noProof/>
                <w:color w:val="006100"/>
                <w:sz w:val="20"/>
                <w:szCs w:val="20"/>
                <w:lang w:val="en-IE"/>
              </w:rPr>
            </w:pPr>
            <w:r w:rsidRPr="2A313B6D">
              <w:rPr>
                <w:rFonts w:ascii="Arial Narrow" w:hAnsi="Arial Narrow"/>
                <w:noProof/>
                <w:color w:val="006100"/>
                <w:sz w:val="20"/>
                <w:szCs w:val="20"/>
                <w:lang w:val="en-IE"/>
              </w:rPr>
              <w:t>At least EUR 1 000 000 000 of the investment shall contribute to the climate change objectives in accordance with Annex VI to the RRF Regulation.</w:t>
            </w:r>
          </w:p>
          <w:p w14:paraId="5A1F0A43" w14:textId="77777777" w:rsidR="0039681A" w:rsidRPr="00A36E36" w:rsidRDefault="0039681A" w:rsidP="00F025C3">
            <w:pPr>
              <w:rPr>
                <w:rFonts w:ascii="Arial Narrow" w:hAnsi="Arial Narrow"/>
                <w:noProof/>
                <w:color w:val="006100"/>
                <w:sz w:val="20"/>
                <w:szCs w:val="20"/>
                <w:lang w:val="en-IE"/>
              </w:rPr>
            </w:pPr>
            <w:r>
              <w:rPr>
                <w:rFonts w:ascii="Arial Narrow" w:hAnsi="Arial Narrow"/>
                <w:noProof/>
                <w:color w:val="006100"/>
                <w:sz w:val="20"/>
                <w:szCs w:val="20"/>
                <w:lang w:val="en-IE"/>
              </w:rPr>
              <w:t>R</w:t>
            </w:r>
            <w:r w:rsidRPr="00815BAC">
              <w:rPr>
                <w:rFonts w:ascii="Arial Narrow" w:hAnsi="Arial Narrow"/>
                <w:noProof/>
                <w:color w:val="006100"/>
                <w:sz w:val="20"/>
                <w:szCs w:val="20"/>
                <w:lang w:val="en-IE"/>
              </w:rPr>
              <w:t xml:space="preserve">eport by </w:t>
            </w:r>
            <w:r w:rsidRPr="00ED658B">
              <w:rPr>
                <w:rFonts w:ascii="Arial Narrow" w:hAnsi="Arial Narrow"/>
                <w:noProof/>
                <w:color w:val="006100"/>
                <w:sz w:val="20"/>
                <w:szCs w:val="20"/>
                <w:lang w:val="en-IE"/>
              </w:rPr>
              <w:t xml:space="preserve">GSE </w:t>
            </w:r>
            <w:r>
              <w:rPr>
                <w:rFonts w:ascii="Arial Narrow" w:hAnsi="Arial Narrow"/>
                <w:noProof/>
                <w:color w:val="006100"/>
                <w:sz w:val="20"/>
                <w:szCs w:val="20"/>
                <w:lang w:val="en-IE"/>
              </w:rPr>
              <w:t>(</w:t>
            </w:r>
            <w:r w:rsidRPr="00ED658B">
              <w:rPr>
                <w:rFonts w:ascii="Arial Narrow" w:hAnsi="Arial Narrow"/>
                <w:noProof/>
                <w:color w:val="006100"/>
                <w:sz w:val="20"/>
                <w:szCs w:val="20"/>
                <w:lang w:val="en-IE"/>
              </w:rPr>
              <w:t>Gestore Servizi Energetici</w:t>
            </w:r>
            <w:r>
              <w:rPr>
                <w:rFonts w:ascii="Arial Narrow" w:hAnsi="Arial Narrow"/>
                <w:noProof/>
                <w:color w:val="006100"/>
                <w:sz w:val="20"/>
                <w:szCs w:val="20"/>
                <w:lang w:val="en-IE"/>
              </w:rPr>
              <w:t>)</w:t>
            </w:r>
            <w:r w:rsidRPr="00ED658B">
              <w:rPr>
                <w:rFonts w:ascii="Arial Narrow" w:hAnsi="Arial Narrow"/>
                <w:noProof/>
                <w:color w:val="006100"/>
                <w:sz w:val="20"/>
                <w:szCs w:val="20"/>
                <w:lang w:val="en-IE"/>
              </w:rPr>
              <w:t xml:space="preserve"> </w:t>
            </w:r>
            <w:r w:rsidRPr="00815BAC">
              <w:rPr>
                <w:rFonts w:ascii="Arial Narrow" w:hAnsi="Arial Narrow"/>
                <w:noProof/>
                <w:color w:val="006100"/>
                <w:sz w:val="20"/>
                <w:szCs w:val="20"/>
                <w:lang w:val="en-IE"/>
              </w:rPr>
              <w:t xml:space="preserve">outilining the total energy efficiency </w:t>
            </w:r>
            <w:r>
              <w:rPr>
                <w:rFonts w:ascii="Arial Narrow" w:hAnsi="Arial Narrow"/>
                <w:noProof/>
                <w:color w:val="006100"/>
                <w:sz w:val="20"/>
                <w:szCs w:val="20"/>
                <w:lang w:val="en-IE"/>
              </w:rPr>
              <w:t>savings</w:t>
            </w:r>
            <w:r w:rsidRPr="650DFE5D">
              <w:rPr>
                <w:rFonts w:ascii="Arial Narrow" w:hAnsi="Arial Narrow"/>
                <w:noProof/>
                <w:color w:val="006100"/>
                <w:sz w:val="20"/>
                <w:szCs w:val="20"/>
                <w:lang w:val="en-IE"/>
              </w:rPr>
              <w:t xml:space="preserve"> in final energy consumptions</w:t>
            </w:r>
            <w:r>
              <w:rPr>
                <w:rFonts w:ascii="Arial Narrow" w:hAnsi="Arial Narrow"/>
                <w:noProof/>
                <w:color w:val="006100"/>
                <w:sz w:val="20"/>
                <w:szCs w:val="20"/>
                <w:lang w:val="en-IE"/>
              </w:rPr>
              <w:t xml:space="preserve"> generated</w:t>
            </w:r>
            <w:r w:rsidRPr="650DFE5D">
              <w:rPr>
                <w:rFonts w:ascii="Arial Narrow" w:hAnsi="Arial Narrow"/>
                <w:noProof/>
                <w:color w:val="006100"/>
                <w:sz w:val="20"/>
                <w:szCs w:val="20"/>
                <w:lang w:val="en-IE"/>
              </w:rPr>
              <w:t xml:space="preserve"> in the period 2024-2026</w:t>
            </w:r>
            <w:r w:rsidRPr="00815BAC">
              <w:rPr>
                <w:rFonts w:ascii="Arial Narrow" w:hAnsi="Arial Narrow"/>
                <w:noProof/>
                <w:color w:val="006100"/>
                <w:sz w:val="20"/>
                <w:szCs w:val="20"/>
                <w:lang w:val="en-IE"/>
              </w:rPr>
              <w:t>.</w:t>
            </w:r>
          </w:p>
        </w:tc>
      </w:tr>
      <w:tr w:rsidR="0039681A" w:rsidRPr="0070054C" w14:paraId="50C1A106" w14:textId="77777777" w:rsidTr="00F025C3">
        <w:trPr>
          <w:trHeight w:val="309"/>
          <w:jc w:val="center"/>
        </w:trPr>
        <w:tc>
          <w:tcPr>
            <w:tcW w:w="1202" w:type="dxa"/>
            <w:shd w:val="clear" w:color="auto" w:fill="C6EFCE"/>
            <w:noWrap/>
            <w:vAlign w:val="center"/>
          </w:tcPr>
          <w:p w14:paraId="5F562D9F"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M7-43</w:t>
            </w:r>
          </w:p>
        </w:tc>
        <w:tc>
          <w:tcPr>
            <w:tcW w:w="1579" w:type="dxa"/>
            <w:shd w:val="clear" w:color="auto" w:fill="C6EFCE"/>
            <w:noWrap/>
            <w:vAlign w:val="center"/>
          </w:tcPr>
          <w:p w14:paraId="08210508"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 Support to SMEs for self-production from renewable energy sources</w:t>
            </w:r>
          </w:p>
        </w:tc>
        <w:tc>
          <w:tcPr>
            <w:tcW w:w="1149" w:type="dxa"/>
            <w:shd w:val="clear" w:color="auto" w:fill="C6EFCE"/>
            <w:noWrap/>
            <w:vAlign w:val="center"/>
          </w:tcPr>
          <w:p w14:paraId="75CAB654"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35" w:type="dxa"/>
            <w:shd w:val="clear" w:color="auto" w:fill="C6EFCE"/>
            <w:noWrap/>
            <w:vAlign w:val="center"/>
          </w:tcPr>
          <w:p w14:paraId="7CC1BE15"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Implementing Agreement</w:t>
            </w:r>
          </w:p>
        </w:tc>
        <w:tc>
          <w:tcPr>
            <w:tcW w:w="1723" w:type="dxa"/>
            <w:shd w:val="clear" w:color="auto" w:fill="C6EFCE"/>
            <w:noWrap/>
            <w:vAlign w:val="center"/>
          </w:tcPr>
          <w:p w14:paraId="2FA6185A"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Implementing Agreement</w:t>
            </w:r>
          </w:p>
        </w:tc>
        <w:tc>
          <w:tcPr>
            <w:tcW w:w="1293" w:type="dxa"/>
            <w:shd w:val="clear" w:color="auto" w:fill="C6EFCE"/>
            <w:noWrap/>
            <w:vAlign w:val="center"/>
          </w:tcPr>
          <w:p w14:paraId="1200FDC1" w14:textId="77777777" w:rsidR="0039681A" w:rsidRPr="00A36E36" w:rsidRDefault="0039681A" w:rsidP="00F025C3">
            <w:pPr>
              <w:spacing w:after="120"/>
              <w:jc w:val="center"/>
              <w:rPr>
                <w:rFonts w:ascii="Arial Narrow" w:hAnsi="Arial Narrow"/>
                <w:noProof/>
                <w:color w:val="006100"/>
                <w:sz w:val="20"/>
                <w:szCs w:val="20"/>
                <w:lang w:val="en-IE"/>
              </w:rPr>
            </w:pPr>
          </w:p>
        </w:tc>
        <w:tc>
          <w:tcPr>
            <w:tcW w:w="1005" w:type="dxa"/>
            <w:shd w:val="clear" w:color="auto" w:fill="C6EFCE"/>
            <w:noWrap/>
            <w:vAlign w:val="center"/>
          </w:tcPr>
          <w:p w14:paraId="4B138C69" w14:textId="77777777" w:rsidR="0039681A" w:rsidRPr="00A36E36" w:rsidRDefault="0039681A" w:rsidP="00F025C3">
            <w:pPr>
              <w:spacing w:after="120"/>
              <w:jc w:val="center"/>
              <w:rPr>
                <w:rFonts w:ascii="Arial Narrow" w:hAnsi="Arial Narrow"/>
                <w:noProof/>
                <w:color w:val="006100"/>
                <w:sz w:val="20"/>
                <w:szCs w:val="20"/>
                <w:lang w:val="en-IE"/>
              </w:rPr>
            </w:pPr>
          </w:p>
        </w:tc>
        <w:tc>
          <w:tcPr>
            <w:tcW w:w="1293" w:type="dxa"/>
            <w:shd w:val="clear" w:color="auto" w:fill="C6EFCE"/>
            <w:noWrap/>
            <w:vAlign w:val="center"/>
          </w:tcPr>
          <w:p w14:paraId="47FE73EE" w14:textId="77777777" w:rsidR="0039681A" w:rsidRPr="00A36E36" w:rsidRDefault="0039681A" w:rsidP="00F025C3">
            <w:pPr>
              <w:spacing w:after="120"/>
              <w:jc w:val="center"/>
              <w:rPr>
                <w:rFonts w:ascii="Arial Narrow" w:hAnsi="Arial Narrow"/>
                <w:noProof/>
                <w:color w:val="006100"/>
                <w:sz w:val="20"/>
                <w:szCs w:val="20"/>
                <w:lang w:val="en-IE"/>
              </w:rPr>
            </w:pPr>
          </w:p>
        </w:tc>
        <w:tc>
          <w:tcPr>
            <w:tcW w:w="862" w:type="dxa"/>
            <w:shd w:val="clear" w:color="auto" w:fill="C6EFCE"/>
            <w:noWrap/>
            <w:vAlign w:val="center"/>
          </w:tcPr>
          <w:p w14:paraId="07B25EDC"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17" w:type="dxa"/>
            <w:shd w:val="clear" w:color="auto" w:fill="C6EFCE"/>
            <w:noWrap/>
            <w:vAlign w:val="center"/>
          </w:tcPr>
          <w:p w14:paraId="60EDD8E4"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303" w:type="dxa"/>
            <w:shd w:val="clear" w:color="auto" w:fill="C6EFCE"/>
            <w:noWrap/>
            <w:vAlign w:val="center"/>
          </w:tcPr>
          <w:p w14:paraId="1FA67ACC" w14:textId="77777777" w:rsidR="0039681A" w:rsidRPr="00A36E36" w:rsidRDefault="0039681A" w:rsidP="00F025C3">
            <w:pPr>
              <w:spacing w:after="120"/>
              <w:rPr>
                <w:rFonts w:ascii="Arial Narrow" w:hAnsi="Arial Narrow"/>
                <w:noProof/>
                <w:color w:val="006100"/>
                <w:sz w:val="20"/>
                <w:szCs w:val="20"/>
                <w:lang w:val="en-IE"/>
              </w:rPr>
            </w:pPr>
            <w:r w:rsidRPr="00A36E36">
              <w:rPr>
                <w:rFonts w:ascii="Arial Narrow" w:hAnsi="Arial Narrow"/>
                <w:noProof/>
                <w:color w:val="006100"/>
                <w:sz w:val="20"/>
                <w:lang w:val="en-IE"/>
              </w:rPr>
              <w:t>Entry into force of the Implementing Agreement.</w:t>
            </w:r>
          </w:p>
        </w:tc>
      </w:tr>
      <w:tr w:rsidR="0039681A" w:rsidRPr="0070054C" w14:paraId="11C6CD39" w14:textId="77777777" w:rsidTr="00F025C3">
        <w:trPr>
          <w:trHeight w:val="309"/>
          <w:jc w:val="center"/>
        </w:trPr>
        <w:tc>
          <w:tcPr>
            <w:tcW w:w="1202" w:type="dxa"/>
            <w:shd w:val="clear" w:color="auto" w:fill="C6EFCE"/>
            <w:noWrap/>
            <w:vAlign w:val="center"/>
          </w:tcPr>
          <w:p w14:paraId="2F4B56DF" w14:textId="77777777" w:rsidR="0039681A" w:rsidRPr="00647572" w:rsidRDefault="0039681A" w:rsidP="00F025C3">
            <w:pPr>
              <w:spacing w:after="120"/>
              <w:jc w:val="center"/>
              <w:rPr>
                <w:rFonts w:ascii="Arial Narrow" w:hAnsi="Arial Narrow"/>
                <w:noProof/>
                <w:color w:val="000000" w:themeColor="text1"/>
                <w:sz w:val="20"/>
                <w:szCs w:val="20"/>
              </w:rPr>
            </w:pPr>
            <w:r w:rsidRPr="00647572">
              <w:rPr>
                <w:rFonts w:ascii="Arial Narrow" w:hAnsi="Arial Narrow"/>
                <w:noProof/>
                <w:color w:val="006100"/>
                <w:sz w:val="20"/>
              </w:rPr>
              <w:t>M7-44</w:t>
            </w:r>
          </w:p>
        </w:tc>
        <w:tc>
          <w:tcPr>
            <w:tcW w:w="1579" w:type="dxa"/>
            <w:shd w:val="clear" w:color="auto" w:fill="C6EFCE"/>
            <w:noWrap/>
            <w:vAlign w:val="center"/>
          </w:tcPr>
          <w:p w14:paraId="78506DDE"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 Support to SMEs for self-production from renewable energy sources</w:t>
            </w:r>
          </w:p>
        </w:tc>
        <w:tc>
          <w:tcPr>
            <w:tcW w:w="1149" w:type="dxa"/>
            <w:shd w:val="clear" w:color="auto" w:fill="C6EFCE"/>
            <w:noWrap/>
            <w:vAlign w:val="center"/>
          </w:tcPr>
          <w:p w14:paraId="4093DB14"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Milestone</w:t>
            </w:r>
          </w:p>
        </w:tc>
        <w:tc>
          <w:tcPr>
            <w:tcW w:w="1435" w:type="dxa"/>
            <w:shd w:val="clear" w:color="auto" w:fill="C6EFCE"/>
            <w:noWrap/>
            <w:vAlign w:val="center"/>
          </w:tcPr>
          <w:p w14:paraId="03486ACE"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The Ministry of Enterprises and Made in Italy has completed the transfer of funds to Invitalia</w:t>
            </w:r>
          </w:p>
        </w:tc>
        <w:tc>
          <w:tcPr>
            <w:tcW w:w="1723" w:type="dxa"/>
            <w:shd w:val="clear" w:color="auto" w:fill="C6EFCE"/>
            <w:noWrap/>
            <w:vAlign w:val="center"/>
          </w:tcPr>
          <w:p w14:paraId="0C3620D4"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Certificate of transfer</w:t>
            </w:r>
          </w:p>
        </w:tc>
        <w:tc>
          <w:tcPr>
            <w:tcW w:w="1293" w:type="dxa"/>
            <w:shd w:val="clear" w:color="auto" w:fill="C6EFCE"/>
            <w:noWrap/>
            <w:vAlign w:val="center"/>
          </w:tcPr>
          <w:p w14:paraId="13961D24" w14:textId="77777777" w:rsidR="0039681A" w:rsidRPr="00647572" w:rsidRDefault="0039681A" w:rsidP="00F025C3">
            <w:pPr>
              <w:spacing w:after="120"/>
              <w:jc w:val="center"/>
              <w:rPr>
                <w:rFonts w:ascii="Arial Narrow" w:hAnsi="Arial Narrow"/>
                <w:noProof/>
                <w:color w:val="006100"/>
                <w:sz w:val="20"/>
                <w:szCs w:val="20"/>
              </w:rPr>
            </w:pPr>
          </w:p>
        </w:tc>
        <w:tc>
          <w:tcPr>
            <w:tcW w:w="1005" w:type="dxa"/>
            <w:shd w:val="clear" w:color="auto" w:fill="C6EFCE"/>
            <w:noWrap/>
            <w:vAlign w:val="center"/>
          </w:tcPr>
          <w:p w14:paraId="00E8BA6D" w14:textId="77777777" w:rsidR="0039681A" w:rsidRPr="00647572" w:rsidRDefault="0039681A" w:rsidP="00F025C3">
            <w:pPr>
              <w:spacing w:after="120"/>
              <w:jc w:val="center"/>
              <w:rPr>
                <w:rFonts w:ascii="Arial Narrow" w:hAnsi="Arial Narrow"/>
                <w:noProof/>
                <w:color w:val="006100"/>
                <w:sz w:val="20"/>
                <w:szCs w:val="20"/>
              </w:rPr>
            </w:pPr>
          </w:p>
        </w:tc>
        <w:tc>
          <w:tcPr>
            <w:tcW w:w="1293" w:type="dxa"/>
            <w:shd w:val="clear" w:color="auto" w:fill="C6EFCE"/>
            <w:noWrap/>
            <w:vAlign w:val="center"/>
          </w:tcPr>
          <w:p w14:paraId="7B448F58" w14:textId="77777777" w:rsidR="0039681A" w:rsidRPr="00647572" w:rsidRDefault="0039681A" w:rsidP="00F025C3">
            <w:pPr>
              <w:spacing w:after="120"/>
              <w:jc w:val="center"/>
              <w:rPr>
                <w:rFonts w:ascii="Arial Narrow" w:hAnsi="Arial Narrow"/>
                <w:noProof/>
                <w:color w:val="006100"/>
                <w:sz w:val="20"/>
                <w:szCs w:val="20"/>
              </w:rPr>
            </w:pPr>
          </w:p>
        </w:tc>
        <w:tc>
          <w:tcPr>
            <w:tcW w:w="862" w:type="dxa"/>
            <w:shd w:val="clear" w:color="auto" w:fill="C6EFCE"/>
            <w:noWrap/>
            <w:vAlign w:val="center"/>
          </w:tcPr>
          <w:p w14:paraId="103C1DD1"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Q4</w:t>
            </w:r>
          </w:p>
        </w:tc>
        <w:tc>
          <w:tcPr>
            <w:tcW w:w="717" w:type="dxa"/>
            <w:shd w:val="clear" w:color="auto" w:fill="C6EFCE"/>
            <w:noWrap/>
            <w:vAlign w:val="center"/>
          </w:tcPr>
          <w:p w14:paraId="6D50A57A"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2024</w:t>
            </w:r>
          </w:p>
        </w:tc>
        <w:tc>
          <w:tcPr>
            <w:tcW w:w="3303" w:type="dxa"/>
            <w:shd w:val="clear" w:color="auto" w:fill="C6EFCE"/>
            <w:noWrap/>
            <w:vAlign w:val="center"/>
          </w:tcPr>
          <w:p w14:paraId="49E92F42" w14:textId="63FBF26B" w:rsidR="0039681A" w:rsidRPr="00A36E36" w:rsidRDefault="0039681A" w:rsidP="00F025C3">
            <w:pPr>
              <w:spacing w:after="120"/>
              <w:rPr>
                <w:rFonts w:ascii="Arial Narrow" w:hAnsi="Arial Narrow"/>
                <w:noProof/>
                <w:color w:val="006100"/>
                <w:sz w:val="20"/>
                <w:szCs w:val="20"/>
                <w:lang w:val="en-IE"/>
              </w:rPr>
            </w:pPr>
            <w:r w:rsidRPr="00A36E36">
              <w:rPr>
                <w:rFonts w:ascii="Arial Narrow" w:hAnsi="Arial Narrow"/>
                <w:noProof/>
                <w:color w:val="006100"/>
                <w:sz w:val="20"/>
                <w:szCs w:val="20"/>
                <w:lang w:val="en-IE"/>
              </w:rPr>
              <w:t>Italy shall transfer EUR</w:t>
            </w:r>
            <w:r w:rsidR="00F025C3">
              <w:rPr>
                <w:rFonts w:ascii="Arial Narrow" w:hAnsi="Arial Narrow"/>
                <w:noProof/>
                <w:color w:val="006100"/>
                <w:sz w:val="20"/>
                <w:szCs w:val="20"/>
                <w:lang w:val="en-IE"/>
              </w:rPr>
              <w:t> </w:t>
            </w:r>
            <w:r w:rsidRPr="00A36E36">
              <w:rPr>
                <w:rFonts w:ascii="Arial Narrow" w:hAnsi="Arial Narrow"/>
                <w:noProof/>
                <w:color w:val="006100"/>
                <w:sz w:val="20"/>
                <w:szCs w:val="20"/>
                <w:lang w:val="en-IE"/>
              </w:rPr>
              <w:t>1</w:t>
            </w:r>
            <w:r w:rsidR="003D50DA">
              <w:rPr>
                <w:rFonts w:ascii="Arial Narrow" w:hAnsi="Arial Narrow"/>
                <w:noProof/>
                <w:color w:val="006100"/>
                <w:sz w:val="20"/>
                <w:szCs w:val="20"/>
                <w:lang w:val="en-IE"/>
              </w:rPr>
              <w:t>86</w:t>
            </w:r>
            <w:r w:rsidR="00F025C3">
              <w:rPr>
                <w:rFonts w:ascii="Arial Narrow" w:hAnsi="Arial Narrow"/>
                <w:noProof/>
                <w:color w:val="006100"/>
                <w:sz w:val="20"/>
                <w:szCs w:val="20"/>
                <w:lang w:val="en-IE"/>
              </w:rPr>
              <w:t> </w:t>
            </w:r>
            <w:r w:rsidR="003D50DA">
              <w:rPr>
                <w:rFonts w:ascii="Arial Narrow" w:hAnsi="Arial Narrow"/>
                <w:noProof/>
                <w:color w:val="006100"/>
                <w:sz w:val="20"/>
                <w:szCs w:val="20"/>
                <w:lang w:val="en-IE"/>
              </w:rPr>
              <w:t>651</w:t>
            </w:r>
            <w:r w:rsidR="00F025C3">
              <w:rPr>
                <w:rFonts w:ascii="Arial Narrow" w:hAnsi="Arial Narrow"/>
                <w:noProof/>
                <w:color w:val="006100"/>
                <w:sz w:val="20"/>
                <w:szCs w:val="20"/>
                <w:lang w:val="en-IE"/>
              </w:rPr>
              <w:t> </w:t>
            </w:r>
            <w:r w:rsidR="003D50DA">
              <w:rPr>
                <w:rFonts w:ascii="Arial Narrow" w:hAnsi="Arial Narrow"/>
                <w:noProof/>
                <w:color w:val="006100"/>
                <w:sz w:val="20"/>
                <w:szCs w:val="20"/>
                <w:lang w:val="en-IE"/>
              </w:rPr>
              <w:t>988,92</w:t>
            </w:r>
            <w:r w:rsidRPr="00A36E36">
              <w:rPr>
                <w:rFonts w:ascii="Arial Narrow" w:hAnsi="Arial Narrow"/>
                <w:noProof/>
                <w:color w:val="006100"/>
                <w:sz w:val="20"/>
                <w:szCs w:val="20"/>
                <w:lang w:val="en-IE"/>
              </w:rPr>
              <w:t xml:space="preserve"> to Invitalia for the Facility.</w:t>
            </w:r>
          </w:p>
        </w:tc>
      </w:tr>
      <w:tr w:rsidR="0039681A" w:rsidRPr="0070054C" w14:paraId="5CFE46FE" w14:textId="77777777" w:rsidTr="00F025C3">
        <w:trPr>
          <w:trHeight w:val="309"/>
          <w:jc w:val="center"/>
        </w:trPr>
        <w:tc>
          <w:tcPr>
            <w:tcW w:w="1202" w:type="dxa"/>
            <w:shd w:val="clear" w:color="auto" w:fill="C6EFCE"/>
            <w:noWrap/>
            <w:vAlign w:val="center"/>
          </w:tcPr>
          <w:p w14:paraId="12BBB9CF" w14:textId="77777777" w:rsidR="0039681A" w:rsidRPr="00647572" w:rsidRDefault="0039681A" w:rsidP="00F025C3">
            <w:pPr>
              <w:spacing w:after="120"/>
              <w:jc w:val="center"/>
              <w:rPr>
                <w:rFonts w:ascii="Arial Narrow" w:hAnsi="Arial Narrow"/>
                <w:noProof/>
                <w:color w:val="006100"/>
                <w:sz w:val="20"/>
                <w:szCs w:val="20"/>
              </w:rPr>
            </w:pPr>
            <w:r w:rsidRPr="7BD10B78">
              <w:rPr>
                <w:rFonts w:ascii="Arial Narrow" w:hAnsi="Arial Narrow"/>
                <w:noProof/>
                <w:color w:val="006100"/>
                <w:sz w:val="20"/>
                <w:szCs w:val="20"/>
              </w:rPr>
              <w:t>M7-45</w:t>
            </w:r>
          </w:p>
        </w:tc>
        <w:tc>
          <w:tcPr>
            <w:tcW w:w="1579" w:type="dxa"/>
            <w:shd w:val="clear" w:color="auto" w:fill="C6EFCE"/>
            <w:noWrap/>
            <w:vAlign w:val="center"/>
          </w:tcPr>
          <w:p w14:paraId="46D3F338"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lang w:val="en-IE"/>
              </w:rPr>
              <w:t>Investment 16: Support to SMEs for self-production from renewable energy sources</w:t>
            </w:r>
          </w:p>
        </w:tc>
        <w:tc>
          <w:tcPr>
            <w:tcW w:w="1149" w:type="dxa"/>
            <w:shd w:val="clear" w:color="auto" w:fill="C6EFCE"/>
            <w:noWrap/>
            <w:vAlign w:val="center"/>
          </w:tcPr>
          <w:p w14:paraId="4C268DF3"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Target</w:t>
            </w:r>
          </w:p>
        </w:tc>
        <w:tc>
          <w:tcPr>
            <w:tcW w:w="1435" w:type="dxa"/>
            <w:shd w:val="clear" w:color="auto" w:fill="C6EFCE"/>
            <w:noWrap/>
            <w:vAlign w:val="center"/>
          </w:tcPr>
          <w:p w14:paraId="7E207E9D" w14:textId="43455832" w:rsidR="0039681A" w:rsidRPr="00A36E36" w:rsidRDefault="0039681A" w:rsidP="00F025C3">
            <w:pPr>
              <w:spacing w:after="120"/>
              <w:jc w:val="center"/>
              <w:rPr>
                <w:rFonts w:ascii="Arial Narrow" w:hAnsi="Arial Narrow"/>
                <w:noProof/>
                <w:color w:val="006100"/>
                <w:sz w:val="20"/>
                <w:szCs w:val="20"/>
                <w:lang w:val="en-IE"/>
              </w:rPr>
            </w:pPr>
            <w:r w:rsidRPr="7BD10B78">
              <w:rPr>
                <w:rFonts w:ascii="Arial Narrow" w:hAnsi="Arial Narrow"/>
                <w:noProof/>
                <w:color w:val="006100"/>
                <w:sz w:val="20"/>
                <w:szCs w:val="20"/>
                <w:lang w:val="en-IE"/>
              </w:rPr>
              <w:t>Legal agreements with final beneficiaries</w:t>
            </w:r>
          </w:p>
        </w:tc>
        <w:tc>
          <w:tcPr>
            <w:tcW w:w="1723" w:type="dxa"/>
            <w:shd w:val="clear" w:color="auto" w:fill="C6EFCE"/>
            <w:noWrap/>
            <w:vAlign w:val="center"/>
          </w:tcPr>
          <w:p w14:paraId="3FA636FC"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N/A</w:t>
            </w:r>
          </w:p>
        </w:tc>
        <w:tc>
          <w:tcPr>
            <w:tcW w:w="1293" w:type="dxa"/>
            <w:shd w:val="clear" w:color="auto" w:fill="C6EFCE"/>
            <w:noWrap/>
            <w:vAlign w:val="center"/>
          </w:tcPr>
          <w:p w14:paraId="66983564" w14:textId="77777777" w:rsidR="0039681A" w:rsidRPr="00647572" w:rsidRDefault="0039681A" w:rsidP="00F025C3">
            <w:pPr>
              <w:jc w:val="center"/>
              <w:rPr>
                <w:rFonts w:ascii="Arial Narrow" w:hAnsi="Arial Narrow"/>
                <w:noProof/>
                <w:color w:val="006100"/>
                <w:sz w:val="20"/>
                <w:szCs w:val="20"/>
              </w:rPr>
            </w:pPr>
            <w:r w:rsidRPr="00647572">
              <w:rPr>
                <w:rFonts w:ascii="Arial Narrow" w:hAnsi="Arial Narrow"/>
                <w:noProof/>
                <w:color w:val="006100"/>
                <w:sz w:val="20"/>
              </w:rPr>
              <w:t>Percentage(%)</w:t>
            </w:r>
          </w:p>
        </w:tc>
        <w:tc>
          <w:tcPr>
            <w:tcW w:w="1005" w:type="dxa"/>
            <w:shd w:val="clear" w:color="auto" w:fill="C6EFCE"/>
            <w:noWrap/>
            <w:vAlign w:val="center"/>
          </w:tcPr>
          <w:p w14:paraId="784520FB"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0</w:t>
            </w:r>
          </w:p>
        </w:tc>
        <w:tc>
          <w:tcPr>
            <w:tcW w:w="1293" w:type="dxa"/>
            <w:shd w:val="clear" w:color="auto" w:fill="C6EFCE"/>
            <w:noWrap/>
            <w:vAlign w:val="center"/>
          </w:tcPr>
          <w:p w14:paraId="0F0F2D5B"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100%</w:t>
            </w:r>
          </w:p>
        </w:tc>
        <w:tc>
          <w:tcPr>
            <w:tcW w:w="862" w:type="dxa"/>
            <w:shd w:val="clear" w:color="auto" w:fill="C6EFCE"/>
            <w:noWrap/>
            <w:vAlign w:val="center"/>
          </w:tcPr>
          <w:p w14:paraId="544BAC63"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17" w:type="dxa"/>
            <w:shd w:val="clear" w:color="auto" w:fill="C6EFCE"/>
            <w:noWrap/>
            <w:vAlign w:val="center"/>
          </w:tcPr>
          <w:p w14:paraId="762131DF"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2026</w:t>
            </w:r>
          </w:p>
        </w:tc>
        <w:tc>
          <w:tcPr>
            <w:tcW w:w="3303" w:type="dxa"/>
            <w:shd w:val="clear" w:color="auto" w:fill="C6EFCE"/>
            <w:noWrap/>
            <w:vAlign w:val="center"/>
          </w:tcPr>
          <w:p w14:paraId="2C3088D6" w14:textId="1F9802CF" w:rsidR="0039681A" w:rsidRPr="00A36E36" w:rsidRDefault="0039681A" w:rsidP="00F025C3">
            <w:pPr>
              <w:spacing w:after="120"/>
              <w:rPr>
                <w:rFonts w:ascii="Arial Narrow" w:eastAsia="Arial Narrow" w:hAnsi="Arial Narrow" w:cs="Arial Narrow"/>
                <w:noProof/>
                <w:color w:val="006100"/>
                <w:sz w:val="20"/>
                <w:szCs w:val="20"/>
                <w:lang w:val="en-IE"/>
              </w:rPr>
            </w:pPr>
            <w:r w:rsidRPr="7BD10B78">
              <w:rPr>
                <w:rFonts w:ascii="Arial Narrow" w:hAnsi="Arial Narrow"/>
                <w:noProof/>
                <w:color w:val="006100"/>
                <w:sz w:val="20"/>
                <w:szCs w:val="20"/>
                <w:lang w:val="en-IE"/>
              </w:rPr>
              <w:t xml:space="preserve">Invitalia S.p.A. shall have entered into legal agreements with final beneficiaries for an amount necessary to use 100% of the RRF investment into the Scheme (taking into account management fees). </w:t>
            </w:r>
          </w:p>
        </w:tc>
      </w:tr>
      <w:tr w:rsidR="0039681A" w:rsidRPr="0070054C" w14:paraId="52FEF7CD" w14:textId="77777777" w:rsidTr="00F025C3">
        <w:trPr>
          <w:trHeight w:val="309"/>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F66288"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M7-46</w:t>
            </w:r>
          </w:p>
        </w:tc>
        <w:tc>
          <w:tcPr>
            <w:tcW w:w="157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2EB03C"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Investment 17: Financial instrument for energy renovations of public residential housing </w:t>
            </w:r>
          </w:p>
        </w:tc>
        <w:tc>
          <w:tcPr>
            <w:tcW w:w="11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2BA373"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4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2A285A" w14:textId="77777777" w:rsidR="0039681A" w:rsidRPr="00A36E36" w:rsidRDefault="0039681A" w:rsidP="00F025C3">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Definition of the target of the terms of reference</w:t>
            </w:r>
          </w:p>
        </w:tc>
        <w:tc>
          <w:tcPr>
            <w:tcW w:w="172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5AD9AA" w14:textId="77777777" w:rsidR="0039681A" w:rsidRPr="00A36E36" w:rsidRDefault="0039681A" w:rsidP="00F025C3">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the act with the definition of the terms of reference of the financial instrument</w:t>
            </w: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D27D9" w14:textId="77777777" w:rsidR="0039681A" w:rsidRPr="00A36E36" w:rsidRDefault="0039681A" w:rsidP="00F025C3">
            <w:pPr>
              <w:spacing w:after="120"/>
              <w:jc w:val="center"/>
              <w:rPr>
                <w:rFonts w:ascii="Arial Narrow" w:hAnsi="Arial Narrow"/>
                <w:noProof/>
                <w:color w:val="006100"/>
                <w:sz w:val="20"/>
                <w:lang w:val="en-IE"/>
              </w:rPr>
            </w:pPr>
          </w:p>
        </w:tc>
        <w:tc>
          <w:tcPr>
            <w:tcW w:w="10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CE888C" w14:textId="77777777" w:rsidR="0039681A" w:rsidRPr="00A36E36" w:rsidRDefault="0039681A" w:rsidP="00F025C3">
            <w:pPr>
              <w:spacing w:after="120"/>
              <w:jc w:val="center"/>
              <w:rPr>
                <w:rFonts w:ascii="Arial Narrow" w:hAnsi="Arial Narrow"/>
                <w:noProof/>
                <w:color w:val="006100"/>
                <w:sz w:val="20"/>
                <w:lang w:val="en-IE"/>
              </w:rPr>
            </w:pP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593F19" w14:textId="77777777" w:rsidR="0039681A" w:rsidRPr="00A36E36" w:rsidRDefault="0039681A" w:rsidP="00F025C3">
            <w:pPr>
              <w:spacing w:after="120"/>
              <w:jc w:val="center"/>
              <w:rPr>
                <w:rFonts w:ascii="Arial Narrow" w:hAnsi="Arial Narrow"/>
                <w:noProof/>
                <w:color w:val="006100"/>
                <w:sz w:val="20"/>
                <w:lang w:val="en-IE"/>
              </w:rPr>
            </w:pP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D66C91"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Q3</w:t>
            </w:r>
          </w:p>
        </w:tc>
        <w:tc>
          <w:tcPr>
            <w:tcW w:w="7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0F98EB"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2024</w:t>
            </w:r>
          </w:p>
        </w:tc>
        <w:tc>
          <w:tcPr>
            <w:tcW w:w="3303" w:type="dxa"/>
            <w:tcBorders>
              <w:top w:val="single" w:sz="4" w:space="0" w:color="auto"/>
              <w:left w:val="single" w:sz="4" w:space="0" w:color="auto"/>
              <w:bottom w:val="single" w:sz="4" w:space="0" w:color="auto"/>
              <w:right w:val="single" w:sz="4" w:space="0" w:color="auto"/>
            </w:tcBorders>
            <w:shd w:val="clear" w:color="auto" w:fill="C6EFCE"/>
            <w:noWrap/>
          </w:tcPr>
          <w:p w14:paraId="0995CDA5" w14:textId="538FCD63" w:rsidR="0039681A" w:rsidRPr="00A36E36" w:rsidRDefault="0039681A" w:rsidP="00F025C3">
            <w:pPr>
              <w:spacing w:after="120"/>
              <w:rPr>
                <w:rFonts w:ascii="Arial Narrow" w:hAnsi="Arial Narrow"/>
                <w:noProof/>
                <w:color w:val="006100"/>
                <w:sz w:val="20"/>
                <w:lang w:val="en-IE"/>
              </w:rPr>
            </w:pPr>
            <w:r w:rsidRPr="00A36E36">
              <w:rPr>
                <w:rFonts w:ascii="Arial Narrow" w:hAnsi="Arial Narrow"/>
                <w:noProof/>
                <w:color w:val="006100"/>
                <w:sz w:val="20"/>
                <w:lang w:val="en-IE"/>
              </w:rPr>
              <w:t xml:space="preserve">Define the terms of reference of the financial instrument, which shall target energy renovations in </w:t>
            </w:r>
            <w:r w:rsidRPr="00A36E36">
              <w:rPr>
                <w:rFonts w:ascii="Arial Narrow" w:hAnsi="Arial Narrow"/>
                <w:noProof/>
                <w:color w:val="006100"/>
                <w:sz w:val="20"/>
                <w:szCs w:val="20"/>
                <w:lang w:val="en-IE"/>
              </w:rPr>
              <w:t>public residential housing.</w:t>
            </w:r>
          </w:p>
        </w:tc>
      </w:tr>
      <w:tr w:rsidR="0039681A" w:rsidRPr="0070054C" w14:paraId="55D8E7B3" w14:textId="77777777" w:rsidTr="00F025C3">
        <w:trPr>
          <w:trHeight w:val="309"/>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754A8B"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M7-47</w:t>
            </w:r>
          </w:p>
        </w:tc>
        <w:tc>
          <w:tcPr>
            <w:tcW w:w="157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B96C86"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Investment 17: Financial instrument for energy renovations of public residential housing </w:t>
            </w:r>
          </w:p>
        </w:tc>
        <w:tc>
          <w:tcPr>
            <w:tcW w:w="11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8502BC"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4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6A6A8"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Implementing Agreement</w:t>
            </w:r>
          </w:p>
        </w:tc>
        <w:tc>
          <w:tcPr>
            <w:tcW w:w="172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F47C5B" w14:textId="77777777" w:rsidR="0039681A" w:rsidRPr="00A36E36" w:rsidRDefault="0039681A" w:rsidP="00F025C3">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39CAD" w14:textId="77777777" w:rsidR="0039681A" w:rsidRPr="00A36E36" w:rsidRDefault="0039681A" w:rsidP="00F025C3">
            <w:pPr>
              <w:spacing w:after="120"/>
              <w:jc w:val="center"/>
              <w:rPr>
                <w:rFonts w:ascii="Arial Narrow" w:hAnsi="Arial Narrow"/>
                <w:noProof/>
                <w:color w:val="006100"/>
                <w:sz w:val="20"/>
                <w:lang w:val="en-IE"/>
              </w:rPr>
            </w:pPr>
          </w:p>
        </w:tc>
        <w:tc>
          <w:tcPr>
            <w:tcW w:w="10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AE8F16" w14:textId="77777777" w:rsidR="0039681A" w:rsidRPr="00A36E36" w:rsidRDefault="0039681A" w:rsidP="00F025C3">
            <w:pPr>
              <w:spacing w:after="120"/>
              <w:jc w:val="center"/>
              <w:rPr>
                <w:rFonts w:ascii="Arial Narrow" w:hAnsi="Arial Narrow"/>
                <w:noProof/>
                <w:color w:val="006100"/>
                <w:sz w:val="20"/>
                <w:lang w:val="en-IE"/>
              </w:rPr>
            </w:pP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40A99" w14:textId="77777777" w:rsidR="0039681A" w:rsidRPr="00A36E36" w:rsidRDefault="0039681A" w:rsidP="00F025C3">
            <w:pPr>
              <w:spacing w:after="120"/>
              <w:jc w:val="center"/>
              <w:rPr>
                <w:rFonts w:ascii="Arial Narrow" w:hAnsi="Arial Narrow"/>
                <w:noProof/>
                <w:color w:val="006100"/>
                <w:sz w:val="20"/>
                <w:lang w:val="en-IE"/>
              </w:rPr>
            </w:pP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074DA0"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Q2</w:t>
            </w:r>
          </w:p>
        </w:tc>
        <w:tc>
          <w:tcPr>
            <w:tcW w:w="7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39B5E3"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2025</w:t>
            </w:r>
          </w:p>
        </w:tc>
        <w:tc>
          <w:tcPr>
            <w:tcW w:w="3303" w:type="dxa"/>
            <w:tcBorders>
              <w:top w:val="single" w:sz="4" w:space="0" w:color="auto"/>
              <w:left w:val="single" w:sz="4" w:space="0" w:color="auto"/>
              <w:bottom w:val="single" w:sz="4" w:space="0" w:color="auto"/>
              <w:right w:val="single" w:sz="4" w:space="0" w:color="auto"/>
            </w:tcBorders>
            <w:shd w:val="clear" w:color="auto" w:fill="C6EFCE"/>
            <w:noWrap/>
          </w:tcPr>
          <w:p w14:paraId="0D03993D" w14:textId="77777777" w:rsidR="0039681A" w:rsidRPr="00A36E36" w:rsidRDefault="0039681A" w:rsidP="00F025C3">
            <w:pPr>
              <w:spacing w:after="120"/>
              <w:jc w:val="both"/>
              <w:rPr>
                <w:rFonts w:ascii="Arial Narrow" w:hAnsi="Arial Narrow"/>
                <w:noProof/>
                <w:color w:val="006100"/>
                <w:sz w:val="20"/>
                <w:lang w:val="en-IE"/>
              </w:rPr>
            </w:pPr>
            <w:r w:rsidRPr="00A36E36">
              <w:rPr>
                <w:rFonts w:ascii="Arial Narrow" w:hAnsi="Arial Narrow"/>
                <w:noProof/>
                <w:color w:val="006100"/>
                <w:sz w:val="20"/>
                <w:lang w:val="en-IE"/>
              </w:rPr>
              <w:t>Entry into force of the Implementing Agreement</w:t>
            </w:r>
            <w:r w:rsidRPr="00A36E36">
              <w:rPr>
                <w:rFonts w:ascii="Arial Narrow" w:hAnsi="Arial Narrow"/>
                <w:noProof/>
                <w:color w:val="006100"/>
                <w:sz w:val="20"/>
                <w:szCs w:val="20"/>
                <w:lang w:val="en-IE"/>
              </w:rPr>
              <w:t>(s)</w:t>
            </w:r>
            <w:r w:rsidRPr="00A36E36">
              <w:rPr>
                <w:rFonts w:ascii="Arial Narrow" w:hAnsi="Arial Narrow"/>
                <w:noProof/>
                <w:color w:val="006100"/>
                <w:sz w:val="20"/>
                <w:lang w:val="en-IE"/>
              </w:rPr>
              <w:t xml:space="preserve"> in line with the requirements specified in the description of the measure.</w:t>
            </w:r>
          </w:p>
          <w:p w14:paraId="5E1A6F7B" w14:textId="77777777" w:rsidR="0039681A" w:rsidRPr="00A36E36" w:rsidRDefault="0039681A" w:rsidP="007A506B">
            <w:pPr>
              <w:spacing w:after="120"/>
              <w:jc w:val="both"/>
              <w:rPr>
                <w:rFonts w:ascii="Arial Narrow" w:hAnsi="Arial Narrow"/>
                <w:noProof/>
                <w:color w:val="006100"/>
                <w:sz w:val="20"/>
                <w:szCs w:val="20"/>
                <w:lang w:val="en-IE"/>
              </w:rPr>
            </w:pPr>
            <w:r w:rsidRPr="00A36E36">
              <w:rPr>
                <w:rFonts w:ascii="Arial Narrow" w:hAnsi="Arial Narrow"/>
                <w:noProof/>
                <w:color w:val="006100"/>
                <w:sz w:val="20"/>
                <w:lang w:val="en-IE"/>
              </w:rPr>
              <w:t>In particular the Implementing Agreement</w:t>
            </w:r>
            <w:r w:rsidRPr="00A36E36">
              <w:rPr>
                <w:rFonts w:ascii="Arial Narrow" w:hAnsi="Arial Narrow"/>
                <w:noProof/>
                <w:color w:val="006100"/>
                <w:sz w:val="20"/>
                <w:szCs w:val="20"/>
                <w:lang w:val="en-IE"/>
              </w:rPr>
              <w:t>(s)</w:t>
            </w:r>
            <w:r w:rsidRPr="00A36E36">
              <w:rPr>
                <w:rFonts w:ascii="Arial Narrow" w:hAnsi="Arial Narrow"/>
                <w:noProof/>
                <w:color w:val="006100"/>
                <w:sz w:val="20"/>
                <w:lang w:val="en-IE"/>
              </w:rPr>
              <w:t xml:space="preserve"> shall include eligibility criteria concerning the minimum energy efficiency improvement that the instrument shall achieve (on average at least 30% of primary energy demand reduction).</w:t>
            </w:r>
          </w:p>
          <w:p w14:paraId="3733B5F9" w14:textId="77777777" w:rsidR="0039681A" w:rsidRPr="00A36E36" w:rsidRDefault="0039681A" w:rsidP="00F025C3">
            <w:pPr>
              <w:spacing w:after="120" w:line="257" w:lineRule="auto"/>
              <w:jc w:val="both"/>
              <w:rPr>
                <w:rFonts w:ascii="Arial Narrow" w:hAnsi="Arial Narrow"/>
                <w:noProof/>
                <w:color w:val="006100"/>
                <w:sz w:val="20"/>
                <w:szCs w:val="20"/>
                <w:lang w:val="en-IE"/>
              </w:rPr>
            </w:pPr>
            <w:r w:rsidRPr="00A36E36">
              <w:rPr>
                <w:rFonts w:ascii="Arial Narrow" w:hAnsi="Arial Narrow"/>
                <w:noProof/>
                <w:color w:val="006100"/>
                <w:sz w:val="20"/>
                <w:lang w:val="en-IE"/>
              </w:rPr>
              <w:t>The selection criteria shall also prioritize interventions with highest returns in term of energy efficiency.</w:t>
            </w:r>
            <w:r w:rsidRPr="00A36E36">
              <w:rPr>
                <w:rFonts w:ascii="Arial Narrow" w:eastAsia="Arial Narrow" w:hAnsi="Arial Narrow" w:cs="Arial Narrow"/>
                <w:noProof/>
                <w:sz w:val="20"/>
                <w:szCs w:val="20"/>
                <w:lang w:val="en-IE"/>
              </w:rPr>
              <w:t xml:space="preserve"> </w:t>
            </w:r>
          </w:p>
        </w:tc>
      </w:tr>
      <w:tr w:rsidR="0039681A" w:rsidRPr="0070054C" w14:paraId="2FC0CB52" w14:textId="77777777" w:rsidTr="00F025C3">
        <w:trPr>
          <w:trHeight w:val="309"/>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3D9A7C" w14:textId="77777777" w:rsidR="0039681A" w:rsidRPr="00647572" w:rsidRDefault="0039681A" w:rsidP="00F025C3">
            <w:pPr>
              <w:spacing w:after="120"/>
              <w:jc w:val="center"/>
              <w:rPr>
                <w:rFonts w:ascii="Arial Narrow" w:hAnsi="Arial Narrow"/>
                <w:noProof/>
                <w:color w:val="006100"/>
                <w:sz w:val="20"/>
                <w:szCs w:val="20"/>
              </w:rPr>
            </w:pPr>
            <w:r w:rsidRPr="00A36E36">
              <w:rPr>
                <w:rFonts w:ascii="Arial Narrow" w:hAnsi="Arial Narrow"/>
                <w:noProof/>
                <w:color w:val="006100"/>
                <w:sz w:val="20"/>
                <w:szCs w:val="20"/>
                <w:lang w:val="en-IE"/>
              </w:rPr>
              <w:t xml:space="preserve"> </w:t>
            </w:r>
            <w:r w:rsidRPr="00647572">
              <w:rPr>
                <w:rFonts w:ascii="Arial Narrow" w:hAnsi="Arial Narrow"/>
                <w:noProof/>
                <w:color w:val="006100"/>
                <w:sz w:val="20"/>
                <w:szCs w:val="20"/>
              </w:rPr>
              <w:t>M7-48</w:t>
            </w:r>
          </w:p>
        </w:tc>
        <w:tc>
          <w:tcPr>
            <w:tcW w:w="157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5C8CCB"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Investment 17: Financial instrument for energy renovations of public residential housing</w:t>
            </w:r>
          </w:p>
        </w:tc>
        <w:tc>
          <w:tcPr>
            <w:tcW w:w="11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922A6D"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Milestone</w:t>
            </w:r>
          </w:p>
        </w:tc>
        <w:tc>
          <w:tcPr>
            <w:tcW w:w="14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7279E7" w14:textId="77777777" w:rsidR="0039681A" w:rsidRPr="00A36E36" w:rsidRDefault="0039681A" w:rsidP="00F025C3">
            <w:pPr>
              <w:spacing w:after="120"/>
              <w:jc w:val="center"/>
              <w:rPr>
                <w:rFonts w:ascii="Arial Narrow" w:hAnsi="Arial Narrow"/>
                <w:noProof/>
                <w:color w:val="006100"/>
                <w:sz w:val="20"/>
                <w:lang w:val="en-IE"/>
              </w:rPr>
            </w:pPr>
            <w:r w:rsidRPr="00A36E36">
              <w:rPr>
                <w:rFonts w:ascii="Arial Narrow" w:hAnsi="Arial Narrow"/>
                <w:noProof/>
                <w:color w:val="006100"/>
                <w:sz w:val="20"/>
                <w:lang w:val="en-IE"/>
              </w:rPr>
              <w:t>Ministry has completed the investment</w:t>
            </w:r>
          </w:p>
        </w:tc>
        <w:tc>
          <w:tcPr>
            <w:tcW w:w="172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BB78BF"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Certificate of transfer</w:t>
            </w: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140B89" w14:textId="77777777" w:rsidR="0039681A" w:rsidRPr="00647572" w:rsidRDefault="0039681A" w:rsidP="00F025C3">
            <w:pPr>
              <w:spacing w:after="120"/>
              <w:jc w:val="center"/>
              <w:rPr>
                <w:rFonts w:ascii="Arial Narrow" w:hAnsi="Arial Narrow"/>
                <w:noProof/>
                <w:color w:val="006100"/>
                <w:sz w:val="20"/>
              </w:rPr>
            </w:pPr>
          </w:p>
        </w:tc>
        <w:tc>
          <w:tcPr>
            <w:tcW w:w="10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B0B3993" w14:textId="77777777" w:rsidR="0039681A" w:rsidRPr="00647572" w:rsidRDefault="0039681A" w:rsidP="00F025C3">
            <w:pPr>
              <w:spacing w:after="120"/>
              <w:jc w:val="center"/>
              <w:rPr>
                <w:rFonts w:ascii="Arial Narrow" w:eastAsia="Arial Narrow" w:hAnsi="Arial Narrow" w:cs="Arial Narrow"/>
                <w:noProof/>
                <w:sz w:val="20"/>
                <w:szCs w:val="20"/>
              </w:rPr>
            </w:pPr>
            <w:r w:rsidRPr="00647572">
              <w:rPr>
                <w:rFonts w:ascii="Arial Narrow" w:hAnsi="Arial Narrow"/>
                <w:noProof/>
                <w:color w:val="006100"/>
                <w:sz w:val="20"/>
              </w:rPr>
              <w:t>N/A</w:t>
            </w: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AC75BA" w14:textId="77777777" w:rsidR="0039681A" w:rsidRPr="00647572" w:rsidRDefault="0039681A" w:rsidP="00F025C3">
            <w:pPr>
              <w:spacing w:after="120"/>
              <w:jc w:val="center"/>
              <w:rPr>
                <w:rFonts w:ascii="Arial Narrow" w:eastAsia="Arial Narrow" w:hAnsi="Arial Narrow" w:cs="Arial Narrow"/>
                <w:noProof/>
                <w:sz w:val="20"/>
                <w:szCs w:val="20"/>
              </w:rPr>
            </w:pPr>
            <w:r w:rsidRPr="00647572">
              <w:rPr>
                <w:rFonts w:ascii="Arial Narrow" w:hAnsi="Arial Narrow"/>
                <w:noProof/>
                <w:color w:val="006100"/>
                <w:sz w:val="20"/>
              </w:rPr>
              <w:t xml:space="preserve"> N/A</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D1253"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Q2</w:t>
            </w:r>
          </w:p>
        </w:tc>
        <w:tc>
          <w:tcPr>
            <w:tcW w:w="7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24C501"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2025</w:t>
            </w:r>
          </w:p>
        </w:tc>
        <w:tc>
          <w:tcPr>
            <w:tcW w:w="3303" w:type="dxa"/>
            <w:tcBorders>
              <w:top w:val="single" w:sz="4" w:space="0" w:color="auto"/>
              <w:left w:val="single" w:sz="4" w:space="0" w:color="auto"/>
              <w:bottom w:val="single" w:sz="4" w:space="0" w:color="auto"/>
              <w:right w:val="single" w:sz="4" w:space="0" w:color="auto"/>
            </w:tcBorders>
            <w:shd w:val="clear" w:color="auto" w:fill="C6EFCE"/>
            <w:noWrap/>
          </w:tcPr>
          <w:p w14:paraId="4CA6A2CF" w14:textId="77777777" w:rsidR="0039681A" w:rsidRPr="00A36E36" w:rsidRDefault="0039681A" w:rsidP="00F025C3">
            <w:pPr>
              <w:spacing w:after="0"/>
              <w:jc w:val="both"/>
              <w:rPr>
                <w:rFonts w:ascii="Arial Narrow" w:hAnsi="Arial Narrow"/>
                <w:noProof/>
                <w:color w:val="006100"/>
                <w:sz w:val="20"/>
                <w:szCs w:val="20"/>
                <w:lang w:val="en-IE"/>
              </w:rPr>
            </w:pPr>
            <w:r w:rsidRPr="00A36E36">
              <w:rPr>
                <w:rFonts w:ascii="Arial Narrow" w:eastAsia="Arial Narrow" w:hAnsi="Arial Narrow" w:cs="Arial Narrow"/>
                <w:noProof/>
                <w:color w:val="006100"/>
                <w:sz w:val="20"/>
                <w:szCs w:val="20"/>
                <w:lang w:val="en-IE"/>
              </w:rPr>
              <w:t>Italy shall transfer EUR 1</w:t>
            </w:r>
            <w:r w:rsidRPr="00A36E36">
              <w:rPr>
                <w:rFonts w:ascii="Arial" w:eastAsia="Arial" w:hAnsi="Arial" w:cs="Arial"/>
                <w:noProof/>
                <w:color w:val="006100"/>
                <w:sz w:val="20"/>
                <w:szCs w:val="20"/>
                <w:lang w:val="en-IE"/>
              </w:rPr>
              <w:t> </w:t>
            </w:r>
            <w:r w:rsidRPr="00A36E36">
              <w:rPr>
                <w:rFonts w:ascii="Arial Narrow" w:eastAsia="Arial Narrow" w:hAnsi="Arial Narrow" w:cs="Arial Narrow"/>
                <w:noProof/>
                <w:color w:val="006100"/>
                <w:sz w:val="20"/>
                <w:szCs w:val="20"/>
                <w:lang w:val="en-IE"/>
              </w:rPr>
              <w:t>381</w:t>
            </w:r>
            <w:r w:rsidRPr="00A36E36">
              <w:rPr>
                <w:rFonts w:ascii="Arial" w:eastAsia="Arial" w:hAnsi="Arial" w:cs="Arial"/>
                <w:noProof/>
                <w:color w:val="006100"/>
                <w:sz w:val="20"/>
                <w:szCs w:val="20"/>
                <w:lang w:val="en-IE"/>
              </w:rPr>
              <w:t> </w:t>
            </w:r>
            <w:r w:rsidRPr="00A36E36">
              <w:rPr>
                <w:rFonts w:ascii="Arial Narrow" w:eastAsia="Arial Narrow" w:hAnsi="Arial Narrow" w:cs="Arial Narrow"/>
                <w:noProof/>
                <w:color w:val="006100"/>
                <w:sz w:val="20"/>
                <w:szCs w:val="20"/>
                <w:lang w:val="en-IE"/>
              </w:rPr>
              <w:t>000</w:t>
            </w:r>
            <w:r w:rsidRPr="00A36E36">
              <w:rPr>
                <w:rFonts w:ascii="Arial" w:eastAsia="Arial" w:hAnsi="Arial" w:cs="Arial"/>
                <w:noProof/>
                <w:color w:val="006100"/>
                <w:sz w:val="20"/>
                <w:szCs w:val="20"/>
                <w:lang w:val="en-IE"/>
              </w:rPr>
              <w:t> </w:t>
            </w:r>
            <w:r w:rsidRPr="00A36E36">
              <w:rPr>
                <w:rFonts w:ascii="Arial Narrow" w:eastAsia="Arial Narrow" w:hAnsi="Arial Narrow" w:cs="Arial Narrow"/>
                <w:noProof/>
                <w:color w:val="006100"/>
                <w:sz w:val="20"/>
                <w:szCs w:val="20"/>
                <w:lang w:val="en-IE"/>
              </w:rPr>
              <w:t>000 to the Implementing Partner(s) for the Facility.</w:t>
            </w:r>
          </w:p>
        </w:tc>
      </w:tr>
      <w:tr w:rsidR="0039681A" w:rsidRPr="0070054C" w14:paraId="742CDF1C" w14:textId="77777777" w:rsidTr="00F025C3">
        <w:trPr>
          <w:trHeight w:val="309"/>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44E6C1" w14:textId="77777777" w:rsidR="0039681A" w:rsidRPr="00647572" w:rsidRDefault="0039681A" w:rsidP="00F025C3">
            <w:pPr>
              <w:spacing w:after="120"/>
              <w:jc w:val="center"/>
              <w:rPr>
                <w:rFonts w:ascii="Arial Narrow" w:hAnsi="Arial Narrow"/>
                <w:noProof/>
                <w:color w:val="006100"/>
                <w:sz w:val="20"/>
                <w:szCs w:val="20"/>
              </w:rPr>
            </w:pPr>
            <w:r w:rsidRPr="00647572">
              <w:rPr>
                <w:rFonts w:ascii="Arial Narrow" w:hAnsi="Arial Narrow"/>
                <w:noProof/>
                <w:color w:val="006100"/>
                <w:sz w:val="20"/>
              </w:rPr>
              <w:t>M7-49</w:t>
            </w:r>
          </w:p>
        </w:tc>
        <w:tc>
          <w:tcPr>
            <w:tcW w:w="157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55250B" w14:textId="77777777" w:rsidR="0039681A" w:rsidRPr="00A36E36" w:rsidRDefault="0039681A" w:rsidP="00F025C3">
            <w:pPr>
              <w:spacing w:after="120"/>
              <w:jc w:val="center"/>
              <w:rPr>
                <w:rFonts w:ascii="Arial Narrow" w:hAnsi="Arial Narrow"/>
                <w:noProof/>
                <w:color w:val="006100"/>
                <w:sz w:val="20"/>
                <w:szCs w:val="20"/>
                <w:lang w:val="en-IE"/>
              </w:rPr>
            </w:pPr>
            <w:r w:rsidRPr="00A36E36">
              <w:rPr>
                <w:rFonts w:ascii="Arial Narrow" w:hAnsi="Arial Narrow"/>
                <w:noProof/>
                <w:color w:val="006100"/>
                <w:sz w:val="20"/>
                <w:szCs w:val="20"/>
                <w:lang w:val="en-IE"/>
              </w:rPr>
              <w:t xml:space="preserve">Investment 17: Financial instrument for energy renovations of public residential housing </w:t>
            </w:r>
          </w:p>
        </w:tc>
        <w:tc>
          <w:tcPr>
            <w:tcW w:w="11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7B1A44"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Target</w:t>
            </w:r>
          </w:p>
        </w:tc>
        <w:tc>
          <w:tcPr>
            <w:tcW w:w="143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EABABE6" w14:textId="77777777" w:rsidR="0039681A" w:rsidRPr="00A36E36" w:rsidRDefault="0039681A" w:rsidP="00F025C3">
            <w:pPr>
              <w:spacing w:after="120"/>
              <w:jc w:val="center"/>
              <w:rPr>
                <w:rFonts w:ascii="Arial Narrow" w:hAnsi="Arial Narrow"/>
                <w:noProof/>
                <w:color w:val="006100"/>
                <w:sz w:val="20"/>
                <w:szCs w:val="20"/>
                <w:lang w:val="en-IE"/>
              </w:rPr>
            </w:pPr>
            <w:r w:rsidRPr="7BD10B78">
              <w:rPr>
                <w:rFonts w:ascii="Arial Narrow" w:hAnsi="Arial Narrow"/>
                <w:noProof/>
                <w:color w:val="006100"/>
                <w:sz w:val="20"/>
                <w:szCs w:val="20"/>
                <w:lang w:val="en-IE"/>
              </w:rPr>
              <w:t>Legal agreements signed with final beneficiaries</w:t>
            </w:r>
          </w:p>
        </w:tc>
        <w:tc>
          <w:tcPr>
            <w:tcW w:w="172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EE6082" w14:textId="77777777" w:rsidR="0039681A" w:rsidRPr="00A36E36" w:rsidRDefault="0039681A" w:rsidP="00F025C3">
            <w:pPr>
              <w:spacing w:after="120"/>
              <w:jc w:val="center"/>
              <w:rPr>
                <w:rFonts w:ascii="Arial Narrow" w:hAnsi="Arial Narrow"/>
                <w:noProof/>
                <w:color w:val="006100"/>
                <w:sz w:val="20"/>
                <w:lang w:val="en-IE"/>
              </w:rPr>
            </w:pP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F93FC8"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Percentage (%)</w:t>
            </w:r>
          </w:p>
        </w:tc>
        <w:tc>
          <w:tcPr>
            <w:tcW w:w="100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10AC81"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0%</w:t>
            </w:r>
          </w:p>
        </w:tc>
        <w:tc>
          <w:tcPr>
            <w:tcW w:w="129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B6AA54"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100%</w:t>
            </w:r>
          </w:p>
        </w:tc>
        <w:tc>
          <w:tcPr>
            <w:tcW w:w="86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B12DB5"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Q2</w:t>
            </w:r>
          </w:p>
        </w:tc>
        <w:tc>
          <w:tcPr>
            <w:tcW w:w="7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3366C0" w14:textId="77777777" w:rsidR="0039681A" w:rsidRPr="00647572" w:rsidRDefault="0039681A" w:rsidP="00F025C3">
            <w:pPr>
              <w:spacing w:after="120"/>
              <w:jc w:val="center"/>
              <w:rPr>
                <w:rFonts w:ascii="Arial Narrow" w:hAnsi="Arial Narrow"/>
                <w:noProof/>
                <w:color w:val="006100"/>
                <w:sz w:val="20"/>
              </w:rPr>
            </w:pPr>
            <w:r w:rsidRPr="00647572">
              <w:rPr>
                <w:rFonts w:ascii="Arial Narrow" w:hAnsi="Arial Narrow"/>
                <w:noProof/>
                <w:color w:val="006100"/>
                <w:sz w:val="20"/>
              </w:rPr>
              <w:t>2026</w:t>
            </w:r>
          </w:p>
        </w:tc>
        <w:tc>
          <w:tcPr>
            <w:tcW w:w="3303" w:type="dxa"/>
            <w:tcBorders>
              <w:top w:val="single" w:sz="4" w:space="0" w:color="auto"/>
              <w:left w:val="single" w:sz="4" w:space="0" w:color="auto"/>
              <w:bottom w:val="single" w:sz="4" w:space="0" w:color="auto"/>
              <w:right w:val="single" w:sz="4" w:space="0" w:color="auto"/>
            </w:tcBorders>
            <w:shd w:val="clear" w:color="auto" w:fill="C6EFCE"/>
            <w:noWrap/>
          </w:tcPr>
          <w:p w14:paraId="0909B1E8" w14:textId="394C6DCC" w:rsidR="00D72865" w:rsidRPr="00D72865" w:rsidRDefault="00D72865" w:rsidP="00F025C3">
            <w:pPr>
              <w:spacing w:after="120"/>
              <w:jc w:val="both"/>
              <w:rPr>
                <w:rFonts w:ascii="Arial Narrow" w:hAnsi="Arial Narrow"/>
                <w:noProof/>
                <w:color w:val="006100"/>
                <w:sz w:val="20"/>
                <w:lang w:val="en-IE"/>
              </w:rPr>
            </w:pPr>
            <w:r w:rsidRPr="00D72865">
              <w:rPr>
                <w:rFonts w:ascii="Arial Narrow" w:hAnsi="Arial Narrow"/>
                <w:noProof/>
                <w:color w:val="006100"/>
                <w:sz w:val="20"/>
                <w:lang w:val="en-IE"/>
              </w:rPr>
              <w:t>Italy shall transfer</w:t>
            </w:r>
            <w:r>
              <w:rPr>
                <w:rFonts w:ascii="Arial Narrow" w:hAnsi="Arial Narrow"/>
                <w:noProof/>
                <w:color w:val="006100"/>
                <w:sz w:val="20"/>
                <w:lang w:val="en-IE"/>
              </w:rPr>
              <w:t xml:space="preserve"> additional</w:t>
            </w:r>
            <w:r w:rsidRPr="00D72865">
              <w:rPr>
                <w:rFonts w:ascii="Arial Narrow" w:hAnsi="Arial Narrow"/>
                <w:noProof/>
                <w:color w:val="006100"/>
                <w:sz w:val="20"/>
                <w:lang w:val="en-IE"/>
              </w:rPr>
              <w:t xml:space="preserve"> EUR</w:t>
            </w:r>
            <w:r w:rsidR="000647DD" w:rsidRPr="00D72865">
              <w:rPr>
                <w:rFonts w:ascii="Arial Narrow" w:hAnsi="Arial Narrow"/>
                <w:noProof/>
                <w:color w:val="006100"/>
                <w:sz w:val="20"/>
                <w:lang w:val="en-IE"/>
              </w:rPr>
              <w:t> </w:t>
            </w:r>
            <w:r w:rsidRPr="00D72865">
              <w:rPr>
                <w:rFonts w:ascii="Arial Narrow" w:hAnsi="Arial Narrow"/>
                <w:noProof/>
                <w:color w:val="006100"/>
                <w:sz w:val="20"/>
                <w:lang w:val="en-IE"/>
              </w:rPr>
              <w:t>2</w:t>
            </w:r>
            <w:r>
              <w:rPr>
                <w:rFonts w:ascii="Arial Narrow" w:hAnsi="Arial Narrow"/>
                <w:noProof/>
                <w:color w:val="006100"/>
                <w:sz w:val="20"/>
                <w:lang w:val="en-IE"/>
              </w:rPr>
              <w:t>00</w:t>
            </w:r>
            <w:r w:rsidRPr="00D72865">
              <w:rPr>
                <w:rFonts w:ascii="Arial Narrow" w:hAnsi="Arial Narrow"/>
                <w:noProof/>
                <w:color w:val="006100"/>
                <w:sz w:val="20"/>
                <w:lang w:val="en-IE"/>
              </w:rPr>
              <w:t xml:space="preserve"> 000 000 to </w:t>
            </w:r>
            <w:r>
              <w:rPr>
                <w:rFonts w:ascii="Arial Narrow" w:hAnsi="Arial Narrow"/>
                <w:noProof/>
                <w:color w:val="006100"/>
                <w:sz w:val="20"/>
                <w:lang w:val="en-IE"/>
              </w:rPr>
              <w:t>the Implementing Partner</w:t>
            </w:r>
            <w:r w:rsidR="00D072DA">
              <w:rPr>
                <w:rFonts w:ascii="Arial Narrow" w:hAnsi="Arial Narrow"/>
                <w:noProof/>
                <w:color w:val="006100"/>
                <w:sz w:val="20"/>
                <w:lang w:val="en-IE"/>
              </w:rPr>
              <w:t>(s)</w:t>
            </w:r>
            <w:r w:rsidRPr="00D72865">
              <w:rPr>
                <w:rFonts w:ascii="Arial Narrow" w:hAnsi="Arial Narrow"/>
                <w:noProof/>
                <w:color w:val="006100"/>
                <w:sz w:val="20"/>
                <w:lang w:val="en-IE"/>
              </w:rPr>
              <w:t xml:space="preserve"> for the Facility.</w:t>
            </w:r>
          </w:p>
          <w:p w14:paraId="7B7FE2CD" w14:textId="28458FF0" w:rsidR="00D72865" w:rsidRPr="00A36E36" w:rsidRDefault="0039681A" w:rsidP="000647DD">
            <w:pPr>
              <w:spacing w:after="120"/>
              <w:jc w:val="both"/>
              <w:rPr>
                <w:rFonts w:ascii="Arial Narrow" w:hAnsi="Arial Narrow"/>
                <w:noProof/>
                <w:color w:val="006100"/>
                <w:sz w:val="20"/>
                <w:lang w:val="en-IE"/>
              </w:rPr>
            </w:pPr>
            <w:r w:rsidRPr="503720A2">
              <w:rPr>
                <w:rFonts w:ascii="Arial Narrow" w:hAnsi="Arial Narrow"/>
                <w:noProof/>
                <w:color w:val="006100"/>
                <w:sz w:val="20"/>
                <w:szCs w:val="20"/>
                <w:lang w:val="en-IE"/>
              </w:rPr>
              <w:t>The Implementing Partner(s) shall have entered into legal financing agreements with final beneficiaries for an amount necessary to use 100% of the RRF investment into the Facility (taking into account management fees).</w:t>
            </w:r>
          </w:p>
        </w:tc>
      </w:tr>
    </w:tbl>
    <w:p w14:paraId="78783320" w14:textId="77777777" w:rsidR="0039681A" w:rsidRDefault="0039681A" w:rsidP="00351087">
      <w:pPr>
        <w:rPr>
          <w:noProof/>
          <w:lang w:val="en-IE"/>
        </w:rPr>
      </w:pPr>
    </w:p>
    <w:p w14:paraId="4FA8A6AF" w14:textId="77777777" w:rsidR="007A506B" w:rsidRDefault="007A506B">
      <w:pPr>
        <w:rPr>
          <w:noProof/>
          <w:lang w:val="en-IE"/>
        </w:rPr>
        <w:sectPr w:rsidR="007A506B" w:rsidSect="00F025C3">
          <w:headerReference w:type="default" r:id="rId265"/>
          <w:footerReference w:type="default" r:id="rId266"/>
          <w:pgSz w:w="16838" w:h="11906" w:orient="landscape"/>
          <w:pgMar w:top="1440" w:right="1440" w:bottom="1440" w:left="1440" w:header="708" w:footer="708" w:gutter="0"/>
          <w:cols w:space="708"/>
          <w:docGrid w:linePitch="360"/>
        </w:sectPr>
      </w:pPr>
    </w:p>
    <w:p w14:paraId="65812BC3" w14:textId="77777777" w:rsidR="0039681A" w:rsidRPr="005361CE" w:rsidRDefault="0039681A" w:rsidP="0039681A">
      <w:pPr>
        <w:pStyle w:val="ListParagraph"/>
        <w:keepNext/>
        <w:numPr>
          <w:ilvl w:val="0"/>
          <w:numId w:val="169"/>
        </w:numPr>
        <w:spacing w:before="360" w:after="120" w:line="240" w:lineRule="auto"/>
        <w:jc w:val="both"/>
        <w:outlineLvl w:val="0"/>
        <w:rPr>
          <w:rFonts w:ascii="Times New Roman" w:eastAsia="Yu Gothic Light" w:hAnsi="Times New Roman" w:cs="Times New Roman"/>
          <w:b/>
          <w:bCs/>
          <w:smallCaps/>
          <w:noProof/>
          <w:szCs w:val="28"/>
          <w:lang w:val="en-IE"/>
        </w:rPr>
      </w:pPr>
      <w:r w:rsidRPr="005361CE">
        <w:rPr>
          <w:rFonts w:ascii="Times New Roman" w:hAnsi="Times New Roman" w:cs="Times New Roman"/>
          <w:b/>
          <w:bCs/>
          <w:smallCaps/>
          <w:noProof/>
          <w:lang w:val="en-IE"/>
        </w:rPr>
        <w:t xml:space="preserve">Estimated total cost of the recovery and resilience plan </w:t>
      </w:r>
    </w:p>
    <w:p w14:paraId="2778CE01" w14:textId="77777777" w:rsidR="0039681A" w:rsidRPr="00A36E36" w:rsidRDefault="0039681A" w:rsidP="00351087">
      <w:pPr>
        <w:spacing w:before="120" w:after="120" w:line="240" w:lineRule="auto"/>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The estimated total cost of the recovery and resilience plan of Italy is EUR 194</w:t>
      </w:r>
      <w:r>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435</w:t>
      </w:r>
      <w:r>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381</w:t>
      </w:r>
      <w:r>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164.</w:t>
      </w:r>
    </w:p>
    <w:p w14:paraId="6083C0FF" w14:textId="77777777" w:rsidR="0039681A" w:rsidRPr="00A36E36" w:rsidRDefault="0039681A" w:rsidP="00351087">
      <w:pPr>
        <w:spacing w:before="120" w:after="120" w:line="240" w:lineRule="auto"/>
        <w:jc w:val="both"/>
        <w:rPr>
          <w:rFonts w:ascii="Times New Roman" w:eastAsia="Times New Roman" w:hAnsi="Times New Roman" w:cs="Times New Roman"/>
          <w:noProof/>
          <w:lang w:val="en-IE" w:eastAsia="en-GB"/>
        </w:rPr>
      </w:pPr>
    </w:p>
    <w:p w14:paraId="398FDF2A" w14:textId="2857A6C2" w:rsidR="0039681A" w:rsidRPr="00A36E36" w:rsidRDefault="0039681A" w:rsidP="00351087">
      <w:pPr>
        <w:spacing w:before="120" w:after="120" w:line="240" w:lineRule="auto"/>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The estimated total cost of the REPowerEU chapter is EUR 7</w:t>
      </w:r>
      <w:r>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212</w:t>
      </w:r>
      <w:r>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200</w:t>
      </w:r>
      <w:r>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000. In particular, the estimated total costs of the measures referred to in Article 21c(3), point (a) of Regulation (EU)2023/435 is EUR 420</w:t>
      </w:r>
      <w:r>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000</w:t>
      </w:r>
      <w:r>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000</w:t>
      </w:r>
      <w:r w:rsidRPr="00A36E36">
        <w:rPr>
          <w:rFonts w:ascii="Times New Roman" w:eastAsia="Times New Roman" w:hAnsi="Times New Roman" w:cs="Times New Roman"/>
          <w:b/>
          <w:bCs/>
          <w:noProof/>
          <w:lang w:val="en-IE" w:eastAsia="en-GB"/>
        </w:rPr>
        <w:t xml:space="preserve"> </w:t>
      </w:r>
      <w:r w:rsidRPr="00A36E36">
        <w:rPr>
          <w:rFonts w:ascii="Times New Roman" w:eastAsia="Times New Roman" w:hAnsi="Times New Roman" w:cs="Times New Roman"/>
          <w:noProof/>
          <w:lang w:val="en-IE" w:eastAsia="en-GB"/>
        </w:rPr>
        <w:t>whilst the costs of the other measures in the REPowerEU chapter is EUR 6</w:t>
      </w:r>
      <w:r>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792</w:t>
      </w:r>
      <w:r>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200</w:t>
      </w:r>
      <w:r>
        <w:rPr>
          <w:rFonts w:ascii="Times New Roman" w:eastAsia="Times New Roman" w:hAnsi="Times New Roman" w:cs="Times New Roman"/>
          <w:noProof/>
          <w:lang w:val="en-IE" w:eastAsia="en-GB"/>
        </w:rPr>
        <w:t> </w:t>
      </w:r>
      <w:r w:rsidRPr="00A36E36">
        <w:rPr>
          <w:rFonts w:ascii="Times New Roman" w:eastAsia="Times New Roman" w:hAnsi="Times New Roman" w:cs="Times New Roman"/>
          <w:noProof/>
          <w:lang w:val="en-IE" w:eastAsia="en-GB"/>
        </w:rPr>
        <w:t>000.</w:t>
      </w:r>
    </w:p>
    <w:p w14:paraId="5F7110A5" w14:textId="77777777" w:rsidR="0039681A" w:rsidRPr="00A36E36" w:rsidRDefault="0039681A" w:rsidP="00351087">
      <w:pPr>
        <w:spacing w:before="120" w:after="120" w:line="240" w:lineRule="auto"/>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sz w:val="23"/>
          <w:szCs w:val="23"/>
          <w:lang w:val="en-IE" w:eastAsia="en-GB"/>
        </w:rPr>
        <w:t xml:space="preserve"> </w:t>
      </w:r>
    </w:p>
    <w:p w14:paraId="0F98613C" w14:textId="77777777" w:rsidR="0039681A" w:rsidRPr="00647572" w:rsidRDefault="0039681A" w:rsidP="00351087">
      <w:pPr>
        <w:pStyle w:val="Heading2"/>
        <w:rPr>
          <w:rFonts w:ascii="Times New Roman" w:hAnsi="Times New Roman" w:cs="Times New Roman"/>
          <w:b/>
          <w:bCs/>
          <w:noProof/>
          <w:color w:val="auto"/>
          <w:sz w:val="24"/>
          <w:szCs w:val="24"/>
          <w:lang w:eastAsia="en-GB"/>
        </w:rPr>
      </w:pPr>
      <w:r w:rsidRPr="00647572">
        <w:rPr>
          <w:rFonts w:ascii="Times New Roman" w:hAnsi="Times New Roman" w:cs="Times New Roman"/>
          <w:b/>
          <w:bCs/>
          <w:noProof/>
          <w:color w:val="auto"/>
          <w:sz w:val="24"/>
          <w:szCs w:val="24"/>
          <w:lang w:eastAsia="en-GB"/>
        </w:rPr>
        <w:t>SECTION 2: FINANCIAL SUPPORT</w:t>
      </w:r>
    </w:p>
    <w:p w14:paraId="63D705B9" w14:textId="77777777" w:rsidR="0039681A" w:rsidRPr="00647572" w:rsidRDefault="0039681A" w:rsidP="0039681A">
      <w:pPr>
        <w:pStyle w:val="Heading3"/>
        <w:numPr>
          <w:ilvl w:val="0"/>
          <w:numId w:val="166"/>
        </w:numPr>
        <w:tabs>
          <w:tab w:val="clear" w:pos="850"/>
          <w:tab w:val="num" w:pos="720"/>
        </w:tabs>
        <w:ind w:left="720" w:hanging="360"/>
        <w:rPr>
          <w:rFonts w:ascii="Times New Roman" w:hAnsi="Times New Roman" w:cs="Times New Roman"/>
          <w:b/>
          <w:bCs/>
          <w:noProof/>
          <w:color w:val="auto"/>
          <w:sz w:val="24"/>
          <w:szCs w:val="24"/>
          <w:lang w:eastAsia="en-GB"/>
        </w:rPr>
      </w:pPr>
      <w:r w:rsidRPr="00647572">
        <w:rPr>
          <w:rFonts w:ascii="Times New Roman" w:hAnsi="Times New Roman" w:cs="Times New Roman"/>
          <w:b/>
          <w:bCs/>
          <w:noProof/>
          <w:color w:val="auto"/>
          <w:sz w:val="24"/>
          <w:szCs w:val="24"/>
          <w:lang w:eastAsia="en-GB"/>
        </w:rPr>
        <w:t>Financial contribution</w:t>
      </w:r>
    </w:p>
    <w:p w14:paraId="4B037C9F" w14:textId="77777777" w:rsidR="0039681A" w:rsidRPr="00A36E36" w:rsidRDefault="0039681A" w:rsidP="00351087">
      <w:pPr>
        <w:spacing w:before="120" w:after="120" w:line="240" w:lineRule="auto"/>
        <w:ind w:left="850"/>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The instalments referred to in Article 2(2) shall be organised in the following manner:</w:t>
      </w:r>
    </w:p>
    <w:p w14:paraId="5FD0C79C" w14:textId="77777777" w:rsidR="0039681A" w:rsidRPr="005D46BA" w:rsidRDefault="0039681A" w:rsidP="00351087">
      <w:pPr>
        <w:spacing w:before="120" w:after="120" w:line="240" w:lineRule="auto"/>
        <w:ind w:left="850"/>
        <w:jc w:val="both"/>
        <w:rPr>
          <w:rFonts w:ascii="Times New Roman" w:eastAsia="Times New Roman" w:hAnsi="Times New Roman" w:cs="Times New Roman"/>
          <w:noProof/>
          <w:sz w:val="2"/>
          <w:szCs w:val="2"/>
          <w:lang w:val="en-IE" w:eastAsia="en-GB"/>
        </w:rPr>
      </w:pPr>
    </w:p>
    <w:p w14:paraId="6786A26E" w14:textId="77777777" w:rsidR="0039681A" w:rsidRPr="00647572" w:rsidRDefault="0039681A" w:rsidP="0039681A">
      <w:pPr>
        <w:pStyle w:val="Heading4"/>
        <w:numPr>
          <w:ilvl w:val="1"/>
          <w:numId w:val="16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First Instalment (non-repayable support):</w:t>
      </w:r>
    </w:p>
    <w:tbl>
      <w:tblPr>
        <w:tblW w:w="9595" w:type="dxa"/>
        <w:tblInd w:w="120" w:type="dxa"/>
        <w:tblLayout w:type="fixed"/>
        <w:tblLook w:val="04A0" w:firstRow="1" w:lastRow="0" w:firstColumn="1" w:lastColumn="0" w:noHBand="0" w:noVBand="1"/>
      </w:tblPr>
      <w:tblGrid>
        <w:gridCol w:w="1275"/>
        <w:gridCol w:w="2250"/>
        <w:gridCol w:w="1245"/>
        <w:gridCol w:w="4589"/>
        <w:gridCol w:w="236"/>
      </w:tblGrid>
      <w:tr w:rsidR="0039681A" w:rsidRPr="00647572" w14:paraId="6AC93DA8" w14:textId="77777777">
        <w:trPr>
          <w:trHeight w:val="900"/>
          <w:tblHeader/>
        </w:trPr>
        <w:tc>
          <w:tcPr>
            <w:tcW w:w="127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3312525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225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0EDC186"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4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C261D6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4589"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D43C01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c>
          <w:tcPr>
            <w:tcW w:w="236" w:type="dxa"/>
            <w:tcBorders>
              <w:top w:val="nil"/>
              <w:left w:val="single" w:sz="4" w:space="0" w:color="auto"/>
              <w:bottom w:val="nil"/>
              <w:right w:val="nil"/>
            </w:tcBorders>
            <w:vAlign w:val="center"/>
          </w:tcPr>
          <w:p w14:paraId="2B2CA52B"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647572" w14:paraId="4A7580FA" w14:textId="77777777">
        <w:trPr>
          <w:trHeight w:val="510"/>
        </w:trPr>
        <w:tc>
          <w:tcPr>
            <w:tcW w:w="1275" w:type="dxa"/>
            <w:vMerge/>
            <w:tcBorders>
              <w:top w:val="single" w:sz="4" w:space="0" w:color="auto"/>
              <w:left w:val="single" w:sz="4" w:space="0" w:color="auto"/>
              <w:bottom w:val="single" w:sz="4" w:space="0" w:color="auto"/>
              <w:right w:val="single" w:sz="4" w:space="0" w:color="auto"/>
            </w:tcBorders>
            <w:vAlign w:val="center"/>
          </w:tcPr>
          <w:p w14:paraId="454F4A78"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2250" w:type="dxa"/>
            <w:vMerge/>
            <w:tcBorders>
              <w:top w:val="single" w:sz="4" w:space="0" w:color="auto"/>
              <w:left w:val="single" w:sz="4" w:space="0" w:color="auto"/>
              <w:bottom w:val="single" w:sz="4" w:space="0" w:color="auto"/>
              <w:right w:val="single" w:sz="4" w:space="0" w:color="auto"/>
            </w:tcBorders>
            <w:vAlign w:val="center"/>
          </w:tcPr>
          <w:p w14:paraId="0DE8C1ED"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245" w:type="dxa"/>
            <w:vMerge/>
            <w:tcBorders>
              <w:top w:val="single" w:sz="4" w:space="0" w:color="auto"/>
              <w:left w:val="single" w:sz="4" w:space="0" w:color="auto"/>
              <w:bottom w:val="single" w:sz="4" w:space="0" w:color="auto"/>
              <w:right w:val="single" w:sz="4" w:space="0" w:color="auto"/>
            </w:tcBorders>
            <w:vAlign w:val="center"/>
          </w:tcPr>
          <w:p w14:paraId="35645CE4"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4589" w:type="dxa"/>
            <w:vMerge/>
            <w:tcBorders>
              <w:top w:val="single" w:sz="4" w:space="0" w:color="auto"/>
              <w:left w:val="single" w:sz="4" w:space="0" w:color="auto"/>
              <w:bottom w:val="single" w:sz="4" w:space="0" w:color="auto"/>
              <w:right w:val="single" w:sz="4" w:space="0" w:color="auto"/>
            </w:tcBorders>
            <w:vAlign w:val="center"/>
          </w:tcPr>
          <w:p w14:paraId="664C6EB8"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236" w:type="dxa"/>
            <w:tcBorders>
              <w:top w:val="nil"/>
              <w:left w:val="single" w:sz="4" w:space="0" w:color="auto"/>
              <w:bottom w:val="nil"/>
              <w:right w:val="nil"/>
            </w:tcBorders>
            <w:vAlign w:val="center"/>
          </w:tcPr>
          <w:p w14:paraId="1D406528"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2A31913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E1E1A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9B37B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B50BB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9074E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primary legislation on the governance of the Italian recovery and resilience plan</w:t>
            </w:r>
          </w:p>
        </w:tc>
        <w:tc>
          <w:tcPr>
            <w:tcW w:w="236" w:type="dxa"/>
            <w:tcBorders>
              <w:top w:val="nil"/>
              <w:left w:val="single" w:sz="4" w:space="0" w:color="auto"/>
              <w:bottom w:val="nil"/>
              <w:right w:val="nil"/>
            </w:tcBorders>
            <w:vAlign w:val="center"/>
          </w:tcPr>
          <w:p w14:paraId="6DE2A06E"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9F014B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9D1BE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43A7B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84C4B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7B2F5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primary legislation on simplification of administrative procedures for the implementation of the Italian recovery and resilience plan.</w:t>
            </w:r>
          </w:p>
        </w:tc>
        <w:tc>
          <w:tcPr>
            <w:tcW w:w="236" w:type="dxa"/>
            <w:tcBorders>
              <w:top w:val="nil"/>
              <w:left w:val="single" w:sz="4" w:space="0" w:color="auto"/>
              <w:bottom w:val="nil"/>
              <w:right w:val="nil"/>
            </w:tcBorders>
            <w:vAlign w:val="center"/>
          </w:tcPr>
          <w:p w14:paraId="66D30EEA"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2A2B565F"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57143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B0094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1.9: Provide technical assistance and strengthen capacity building for the implementation of the Italian recovery and resilience plan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60CD9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BB3FA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peirimary legislation to provide technical assistance and strengthen capacity building for the implementation of the Italian recovery and resilience plan</w:t>
            </w:r>
          </w:p>
        </w:tc>
        <w:tc>
          <w:tcPr>
            <w:tcW w:w="236" w:type="dxa"/>
            <w:tcBorders>
              <w:top w:val="nil"/>
              <w:left w:val="single" w:sz="4" w:space="0" w:color="auto"/>
              <w:bottom w:val="nil"/>
              <w:right w:val="nil"/>
            </w:tcBorders>
            <w:vAlign w:val="center"/>
          </w:tcPr>
          <w:p w14:paraId="2F855C1B"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79BE2B2F"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9D36D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M1C1-69</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4D455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69409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E0C17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Decree on simplification of the public procurement system</w:t>
            </w:r>
          </w:p>
        </w:tc>
        <w:tc>
          <w:tcPr>
            <w:tcW w:w="236" w:type="dxa"/>
            <w:tcBorders>
              <w:top w:val="nil"/>
              <w:left w:val="single" w:sz="4" w:space="0" w:color="auto"/>
              <w:bottom w:val="nil"/>
              <w:right w:val="nil"/>
            </w:tcBorders>
            <w:vAlign w:val="center"/>
          </w:tcPr>
          <w:p w14:paraId="2D6AEACB"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0DF516A9"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8BA82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BFBB28"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Reform 1.1: ICT Procurement</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7BF48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61AB5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law decrees for reform 1.1 ‘ICT Procurement’</w:t>
            </w:r>
          </w:p>
        </w:tc>
        <w:tc>
          <w:tcPr>
            <w:tcW w:w="236" w:type="dxa"/>
            <w:tcBorders>
              <w:top w:val="nil"/>
              <w:left w:val="single" w:sz="4" w:space="0" w:color="auto"/>
              <w:bottom w:val="nil"/>
              <w:right w:val="nil"/>
            </w:tcBorders>
            <w:vAlign w:val="center"/>
          </w:tcPr>
          <w:p w14:paraId="60F76546"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36E204A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72F7E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9D670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1.3: Cloud First and Interoperability</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8773E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7558E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law decrees for reform 1.3 ‘Cloud First and Interoperability’</w:t>
            </w:r>
          </w:p>
        </w:tc>
        <w:tc>
          <w:tcPr>
            <w:tcW w:w="236" w:type="dxa"/>
            <w:tcBorders>
              <w:top w:val="nil"/>
              <w:left w:val="single" w:sz="4" w:space="0" w:color="auto"/>
              <w:bottom w:val="nil"/>
              <w:right w:val="nil"/>
            </w:tcBorders>
            <w:vAlign w:val="center"/>
          </w:tcPr>
          <w:p w14:paraId="2BDF76EC"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708C47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D8D74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M1C1-29</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C8890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the civil justice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3CB1A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77EF7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enabling legislation for the civil Justice reform</w:t>
            </w:r>
          </w:p>
        </w:tc>
        <w:tc>
          <w:tcPr>
            <w:tcW w:w="236" w:type="dxa"/>
            <w:tcBorders>
              <w:top w:val="nil"/>
              <w:left w:val="single" w:sz="4" w:space="0" w:color="auto"/>
              <w:bottom w:val="nil"/>
              <w:right w:val="nil"/>
            </w:tcBorders>
            <w:vAlign w:val="center"/>
          </w:tcPr>
          <w:p w14:paraId="472A90FB"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12C2B27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66474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M1C1-30</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C82E4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1.5: Reform of criminal justice</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A527D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F59A0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enabling legislation for criminal justice reform</w:t>
            </w:r>
          </w:p>
        </w:tc>
        <w:tc>
          <w:tcPr>
            <w:tcW w:w="236" w:type="dxa"/>
            <w:tcBorders>
              <w:top w:val="nil"/>
              <w:left w:val="single" w:sz="4" w:space="0" w:color="auto"/>
              <w:bottom w:val="nil"/>
              <w:right w:val="nil"/>
            </w:tcBorders>
            <w:vAlign w:val="center"/>
          </w:tcPr>
          <w:p w14:paraId="4123BAD1"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689D7910"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44CD6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88CA4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1.6: Reform of insolvency framework</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C4C1C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4C0EF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enabling legislation for insolvency reform framework</w:t>
            </w:r>
          </w:p>
        </w:tc>
        <w:tc>
          <w:tcPr>
            <w:tcW w:w="236" w:type="dxa"/>
            <w:tcBorders>
              <w:top w:val="nil"/>
              <w:left w:val="single" w:sz="4" w:space="0" w:color="auto"/>
              <w:bottom w:val="nil"/>
              <w:right w:val="nil"/>
            </w:tcBorders>
            <w:vAlign w:val="center"/>
          </w:tcPr>
          <w:p w14:paraId="49E81C96"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20CB914F"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3A3B1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F9F13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civil, criminal and administrative courts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A7C19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1BAAC4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special legislation governing National Recovery and Resilience Plan recruitment</w:t>
            </w:r>
          </w:p>
        </w:tc>
        <w:tc>
          <w:tcPr>
            <w:tcW w:w="236" w:type="dxa"/>
            <w:tcBorders>
              <w:top w:val="nil"/>
              <w:left w:val="single" w:sz="4" w:space="0" w:color="auto"/>
              <w:bottom w:val="nil"/>
              <w:right w:val="nil"/>
            </w:tcBorders>
            <w:vAlign w:val="center"/>
          </w:tcPr>
          <w:p w14:paraId="4170D5EC"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11344F70"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923D9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M1C1-54</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52BFE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1.9: Provide technical assistance and strengthen capacity building for the implementation of the Italian recovery and resilience plan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98AAC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DD68E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Completed recruitment of experts for the implementation of the Italian recovery and resilience plan</w:t>
            </w:r>
          </w:p>
        </w:tc>
        <w:tc>
          <w:tcPr>
            <w:tcW w:w="236" w:type="dxa"/>
            <w:tcBorders>
              <w:top w:val="nil"/>
              <w:left w:val="single" w:sz="4" w:space="0" w:color="auto"/>
              <w:bottom w:val="nil"/>
              <w:right w:val="nil"/>
            </w:tcBorders>
            <w:vAlign w:val="center"/>
          </w:tcPr>
          <w:p w14:paraId="560ECF52"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062F3F4B"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D83C9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M1C1-55</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98B8C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F5A14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390BB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Extending the methodology applied to the Italian recovery and resilience plan to national budget to increase absorption of investment</w:t>
            </w:r>
          </w:p>
        </w:tc>
        <w:tc>
          <w:tcPr>
            <w:tcW w:w="236" w:type="dxa"/>
            <w:tcBorders>
              <w:top w:val="nil"/>
              <w:left w:val="single" w:sz="4" w:space="0" w:color="auto"/>
              <w:bottom w:val="nil"/>
              <w:right w:val="nil"/>
            </w:tcBorders>
            <w:vAlign w:val="center"/>
          </w:tcPr>
          <w:p w14:paraId="56834D09"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69913EAB"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9BDEB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M1C1-68</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BCBED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F32C0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EDF40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Repository system for Audit and Controls: information for monitoring implementation of RRF</w:t>
            </w:r>
          </w:p>
        </w:tc>
        <w:tc>
          <w:tcPr>
            <w:tcW w:w="236" w:type="dxa"/>
            <w:tcBorders>
              <w:top w:val="nil"/>
              <w:left w:val="single" w:sz="4" w:space="0" w:color="auto"/>
              <w:bottom w:val="nil"/>
              <w:right w:val="nil"/>
            </w:tcBorders>
            <w:vAlign w:val="center"/>
          </w:tcPr>
          <w:p w14:paraId="38B742FA"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10818A0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1E1BC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1BC21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F0987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15A6A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all necessary legislation, regulations and implementing acts (including secondary legislation) for the public procurement system</w:t>
            </w:r>
          </w:p>
        </w:tc>
        <w:tc>
          <w:tcPr>
            <w:tcW w:w="236" w:type="dxa"/>
            <w:tcBorders>
              <w:top w:val="nil"/>
              <w:left w:val="single" w:sz="4" w:space="0" w:color="auto"/>
              <w:bottom w:val="nil"/>
              <w:right w:val="nil"/>
            </w:tcBorders>
            <w:vAlign w:val="center"/>
          </w:tcPr>
          <w:p w14:paraId="33A65E6F"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03F64C9E"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99609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M1C1-100</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1AB10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07552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59B42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legislative provisions improving the effectiveness of the spending review - Reinforcement of Finance Ministry</w:t>
            </w:r>
          </w:p>
        </w:tc>
        <w:tc>
          <w:tcPr>
            <w:tcW w:w="236" w:type="dxa"/>
            <w:tcBorders>
              <w:top w:val="nil"/>
              <w:left w:val="single" w:sz="4" w:space="0" w:color="auto"/>
              <w:bottom w:val="nil"/>
              <w:right w:val="nil"/>
            </w:tcBorders>
            <w:vAlign w:val="center"/>
          </w:tcPr>
          <w:p w14:paraId="2A61C604"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5EF96A43"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E5EF9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2625F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1.12: Reform of the tax administration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8A421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16B81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a review of possible actions to reduce tax evasion</w:t>
            </w:r>
          </w:p>
        </w:tc>
        <w:tc>
          <w:tcPr>
            <w:tcW w:w="236" w:type="dxa"/>
            <w:tcBorders>
              <w:top w:val="nil"/>
              <w:left w:val="single" w:sz="4" w:space="0" w:color="auto"/>
              <w:bottom w:val="nil"/>
              <w:right w:val="nil"/>
            </w:tcBorders>
            <w:vAlign w:val="center"/>
          </w:tcPr>
          <w:p w14:paraId="15A11042"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9BA1CAE"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6E69F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E3EDD1"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 Transition 4.0</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27308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7DC7C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legal acts to make Transition 4.0 tax credits available to potential beneficiaries and establishment of the Scientific Committee</w:t>
            </w:r>
          </w:p>
        </w:tc>
        <w:tc>
          <w:tcPr>
            <w:tcW w:w="236" w:type="dxa"/>
            <w:tcBorders>
              <w:top w:val="nil"/>
              <w:left w:val="single" w:sz="4" w:space="0" w:color="auto"/>
              <w:bottom w:val="nil"/>
              <w:right w:val="nil"/>
            </w:tcBorders>
            <w:vAlign w:val="center"/>
          </w:tcPr>
          <w:p w14:paraId="1066904A"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6C0009E8"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EB291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M1C3-8</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93FDB7"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 4.1 Digital Tourism Hub</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7955A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D8EC5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contracts for the development of the Digital Tourism Portal</w:t>
            </w:r>
          </w:p>
        </w:tc>
        <w:tc>
          <w:tcPr>
            <w:tcW w:w="236" w:type="dxa"/>
            <w:tcBorders>
              <w:top w:val="nil"/>
              <w:left w:val="single" w:sz="4" w:space="0" w:color="auto"/>
              <w:bottom w:val="nil"/>
              <w:right w:val="nil"/>
            </w:tcBorders>
            <w:vAlign w:val="center"/>
          </w:tcPr>
          <w:p w14:paraId="54EEE625"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245EF8ED"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88FBC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M2C2-7</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2FA36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 New legislation to promote renewable gas production and consumption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9BD93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E9F5E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Legislative Decree to promote the use of renewable gas for the use of biomethane in the transport, industrial and residential sectors and an Implementing Decree setting out the conditions and criteria in relation to its use and the new incentive system.</w:t>
            </w:r>
          </w:p>
        </w:tc>
        <w:tc>
          <w:tcPr>
            <w:tcW w:w="236" w:type="dxa"/>
            <w:tcBorders>
              <w:top w:val="nil"/>
              <w:left w:val="single" w:sz="4" w:space="0" w:color="auto"/>
              <w:bottom w:val="nil"/>
              <w:right w:val="nil"/>
            </w:tcBorders>
            <w:vAlign w:val="center"/>
          </w:tcPr>
          <w:p w14:paraId="5B8BFC68"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043AC53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80591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M2C2-37</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E69BA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5: Smarter procedures for project evaluation in the local public transport systems sector with fixed installations and in the rapid mass transport sector</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EE166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DE6B3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Decree Law</w:t>
            </w:r>
          </w:p>
        </w:tc>
        <w:tc>
          <w:tcPr>
            <w:tcW w:w="236" w:type="dxa"/>
            <w:tcBorders>
              <w:top w:val="nil"/>
              <w:left w:val="single" w:sz="4" w:space="0" w:color="auto"/>
              <w:bottom w:val="nil"/>
              <w:right w:val="nil"/>
            </w:tcBorders>
            <w:vAlign w:val="center"/>
          </w:tcPr>
          <w:p w14:paraId="00C44293"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2F2512A3"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AC913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4BE632"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5.3: Electric buses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CAE66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F4E56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Ministerial Decree which identifies the amount of available resources for reaching the purpose of intervention (busses supply chain)</w:t>
            </w:r>
          </w:p>
        </w:tc>
        <w:tc>
          <w:tcPr>
            <w:tcW w:w="236" w:type="dxa"/>
            <w:tcBorders>
              <w:top w:val="nil"/>
              <w:left w:val="single" w:sz="4" w:space="0" w:color="auto"/>
              <w:bottom w:val="nil"/>
              <w:right w:val="nil"/>
            </w:tcBorders>
            <w:vAlign w:val="center"/>
          </w:tcPr>
          <w:p w14:paraId="1210F21E"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2ADA196A"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48B15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C8EE76" w14:textId="04EABE7B"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Strengthening of the Ecobonus</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 xml:space="preserve">for energy efficiency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710F1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5DBB1A" w14:textId="7F8AEF81"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extension of the Superbonus</w:t>
            </w:r>
            <w:r w:rsidR="00381DB1">
              <w:rPr>
                <w:rFonts w:ascii="Times New Roman" w:eastAsia="Times New Roman" w:hAnsi="Times New Roman" w:cs="Times New Roman"/>
                <w:noProof/>
                <w:color w:val="006100"/>
                <w:sz w:val="20"/>
                <w:szCs w:val="20"/>
                <w:lang w:val="en-IE" w:eastAsia="en-GB"/>
              </w:rPr>
              <w:t xml:space="preserve"> </w:t>
            </w:r>
          </w:p>
        </w:tc>
        <w:tc>
          <w:tcPr>
            <w:tcW w:w="236" w:type="dxa"/>
            <w:tcBorders>
              <w:top w:val="nil"/>
              <w:left w:val="single" w:sz="4" w:space="0" w:color="auto"/>
              <w:bottom w:val="nil"/>
              <w:right w:val="nil"/>
            </w:tcBorders>
            <w:vAlign w:val="center"/>
          </w:tcPr>
          <w:p w14:paraId="28DFC01E"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5924C41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0DBB2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D23B4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4.2 “Measures to ensure full managerial capacities for Integrated water services”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39311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1E1E5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of the legal framework for a better management and a sustainable use of water</w:t>
            </w:r>
          </w:p>
        </w:tc>
        <w:tc>
          <w:tcPr>
            <w:tcW w:w="236" w:type="dxa"/>
            <w:tcBorders>
              <w:top w:val="nil"/>
              <w:left w:val="single" w:sz="4" w:space="0" w:color="auto"/>
              <w:bottom w:val="nil"/>
              <w:right w:val="nil"/>
            </w:tcBorders>
            <w:vAlign w:val="center"/>
          </w:tcPr>
          <w:p w14:paraId="0C7E0224"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0CA01A4E"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839C3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M3C2-3</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E0CDF7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2.1- Implementation of a Single Customs Window (“Sportello Unico Doganale”)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E5D13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98F86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Decree on the Single Customs Desk (Sportello Unico Doganale) </w:t>
            </w:r>
          </w:p>
        </w:tc>
        <w:tc>
          <w:tcPr>
            <w:tcW w:w="236" w:type="dxa"/>
            <w:tcBorders>
              <w:top w:val="nil"/>
              <w:left w:val="single" w:sz="4" w:space="0" w:color="auto"/>
              <w:bottom w:val="nil"/>
              <w:right w:val="nil"/>
            </w:tcBorders>
            <w:vAlign w:val="center"/>
          </w:tcPr>
          <w:p w14:paraId="047EB987"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580BDDA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1DE6E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2FC0C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1.5: University degree groups reform; Reform 1.6: Enabling university degrees reform; Reform 4.1: Ph.D. Programmes Reform</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024C6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3A16A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reforms of the tertiary education system to improve educational outcomes (primary legislation) on: a) enabling university degrees; b) university degree groups; c) reform of PhD programs</w:t>
            </w:r>
          </w:p>
        </w:tc>
        <w:tc>
          <w:tcPr>
            <w:tcW w:w="236" w:type="dxa"/>
            <w:tcBorders>
              <w:top w:val="nil"/>
              <w:left w:val="single" w:sz="4" w:space="0" w:color="auto"/>
              <w:bottom w:val="nil"/>
              <w:right w:val="nil"/>
            </w:tcBorders>
            <w:vAlign w:val="center"/>
          </w:tcPr>
          <w:p w14:paraId="2483316D"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DF92FC7"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42BB8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206FC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Scholarships for University access</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6BE67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74B17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ministerial decrees for reform on scholarships to enhance access to tertiary education</w:t>
            </w:r>
          </w:p>
        </w:tc>
        <w:tc>
          <w:tcPr>
            <w:tcW w:w="236" w:type="dxa"/>
            <w:tcBorders>
              <w:top w:val="nil"/>
              <w:left w:val="single" w:sz="4" w:space="0" w:color="auto"/>
              <w:bottom w:val="nil"/>
              <w:right w:val="nil"/>
            </w:tcBorders>
            <w:vAlign w:val="center"/>
          </w:tcPr>
          <w:p w14:paraId="75C97E24"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096AEDB"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AAB32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A761B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ALMPs and Vocational Training</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5C8A3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2F269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Inter-Ministerial Decree establishing a National programme for the Guaranteed Employability of Workers (GOL) and an Inter-Ministerial Decree establishing a National Plan for New Skills</w:t>
            </w:r>
          </w:p>
        </w:tc>
        <w:tc>
          <w:tcPr>
            <w:tcW w:w="236" w:type="dxa"/>
            <w:tcBorders>
              <w:top w:val="nil"/>
              <w:left w:val="single" w:sz="4" w:space="0" w:color="auto"/>
              <w:bottom w:val="nil"/>
              <w:right w:val="nil"/>
            </w:tcBorders>
            <w:vAlign w:val="center"/>
          </w:tcPr>
          <w:p w14:paraId="16E74033"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4DF56DC"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BEE89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EDCB5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Framework law for disability</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9D899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B525CC" w14:textId="36E72DF6"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Framework Law</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to strengthen the autonomy of people with disabilities.</w:t>
            </w:r>
          </w:p>
        </w:tc>
        <w:tc>
          <w:tcPr>
            <w:tcW w:w="236" w:type="dxa"/>
            <w:tcBorders>
              <w:top w:val="nil"/>
              <w:left w:val="single" w:sz="4" w:space="0" w:color="auto"/>
              <w:bottom w:val="nil"/>
              <w:right w:val="nil"/>
            </w:tcBorders>
            <w:vAlign w:val="center"/>
          </w:tcPr>
          <w:p w14:paraId="7077F42D"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3CB862D4"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14212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M5C2-5</w:t>
            </w: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485F8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1 - Supporting vulnerable people and preventing institutionalization</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84DA9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C3917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operational Plan</w:t>
            </w:r>
          </w:p>
        </w:tc>
        <w:tc>
          <w:tcPr>
            <w:tcW w:w="236" w:type="dxa"/>
            <w:tcBorders>
              <w:top w:val="nil"/>
              <w:left w:val="single" w:sz="4" w:space="0" w:color="auto"/>
              <w:bottom w:val="nil"/>
              <w:right w:val="nil"/>
            </w:tcBorders>
            <w:vAlign w:val="center"/>
          </w:tcPr>
          <w:p w14:paraId="5DAFCF81"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647572" w14:paraId="55648D70" w14:textId="77777777">
        <w:trPr>
          <w:trHeight w:val="300"/>
        </w:trPr>
        <w:tc>
          <w:tcPr>
            <w:tcW w:w="127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B42620"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225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275B9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4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F0772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Instalment Amount</w:t>
            </w:r>
          </w:p>
        </w:tc>
        <w:tc>
          <w:tcPr>
            <w:tcW w:w="458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181D30" w14:textId="3637E7E1"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494</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252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874</w:t>
            </w:r>
            <w:r w:rsidR="00381DB1">
              <w:rPr>
                <w:rFonts w:ascii="Times New Roman" w:eastAsia="Times New Roman" w:hAnsi="Times New Roman" w:cs="Times New Roman"/>
                <w:noProof/>
                <w:color w:val="006100"/>
                <w:sz w:val="20"/>
                <w:szCs w:val="20"/>
                <w:lang w:eastAsia="en-GB"/>
              </w:rPr>
              <w:t xml:space="preserve"> </w:t>
            </w:r>
          </w:p>
        </w:tc>
        <w:tc>
          <w:tcPr>
            <w:tcW w:w="236" w:type="dxa"/>
            <w:tcBorders>
              <w:top w:val="nil"/>
              <w:left w:val="single" w:sz="4" w:space="0" w:color="auto"/>
              <w:bottom w:val="nil"/>
              <w:right w:val="nil"/>
            </w:tcBorders>
            <w:vAlign w:val="center"/>
          </w:tcPr>
          <w:p w14:paraId="56249B3E" w14:textId="77777777" w:rsidR="0039681A" w:rsidRPr="00647572" w:rsidRDefault="0039681A">
            <w:pPr>
              <w:spacing w:after="0" w:line="240" w:lineRule="auto"/>
              <w:rPr>
                <w:rFonts w:ascii="Times New Roman" w:eastAsia="Times New Roman" w:hAnsi="Times New Roman" w:cs="Times New Roman"/>
                <w:noProof/>
                <w:lang w:eastAsia="en-GB"/>
              </w:rPr>
            </w:pPr>
          </w:p>
        </w:tc>
      </w:tr>
    </w:tbl>
    <w:p w14:paraId="0D92DB74" w14:textId="77777777" w:rsidR="0039681A" w:rsidRPr="005D46BA" w:rsidRDefault="0039681A" w:rsidP="00351087">
      <w:pPr>
        <w:spacing w:before="120" w:after="120" w:line="240" w:lineRule="auto"/>
        <w:ind w:left="850"/>
        <w:jc w:val="both"/>
        <w:rPr>
          <w:rFonts w:ascii="Times New Roman" w:eastAsia="Times New Roman" w:hAnsi="Times New Roman" w:cs="Times New Roman"/>
          <w:noProof/>
          <w:sz w:val="2"/>
          <w:szCs w:val="2"/>
          <w:lang w:eastAsia="en-GB"/>
        </w:rPr>
      </w:pPr>
      <w:r w:rsidRPr="00647572">
        <w:rPr>
          <w:rFonts w:ascii="Times New Roman" w:eastAsia="Times New Roman" w:hAnsi="Times New Roman" w:cs="Times New Roman"/>
          <w:noProof/>
          <w:lang w:eastAsia="en-GB"/>
        </w:rPr>
        <w:t xml:space="preserve"> </w:t>
      </w:r>
    </w:p>
    <w:p w14:paraId="55F9BBD8" w14:textId="77777777" w:rsidR="0039681A" w:rsidRPr="00E6020A" w:rsidRDefault="0039681A" w:rsidP="0039681A">
      <w:pPr>
        <w:pStyle w:val="Heading4"/>
        <w:numPr>
          <w:ilvl w:val="1"/>
          <w:numId w:val="167"/>
        </w:numPr>
        <w:tabs>
          <w:tab w:val="num" w:pos="1440"/>
        </w:tabs>
        <w:ind w:left="1440" w:hanging="360"/>
        <w:rPr>
          <w:rFonts w:ascii="Times New Roman" w:hAnsi="Times New Roman" w:cs="Times New Roman"/>
          <w:i w:val="0"/>
          <w:iCs w:val="0"/>
          <w:noProof/>
          <w:color w:val="auto"/>
          <w:lang w:val="fr-FR" w:eastAsia="en-GB"/>
        </w:rPr>
      </w:pPr>
      <w:r w:rsidRPr="00E6020A">
        <w:rPr>
          <w:rFonts w:ascii="Times New Roman" w:hAnsi="Times New Roman" w:cs="Times New Roman"/>
          <w:i w:val="0"/>
          <w:iCs w:val="0"/>
          <w:noProof/>
          <w:color w:val="auto"/>
          <w:lang w:val="fr-FR" w:eastAsia="en-GB"/>
        </w:rPr>
        <w:t>Second Instalment (non-repayable support):</w:t>
      </w:r>
    </w:p>
    <w:tbl>
      <w:tblPr>
        <w:tblW w:w="9593" w:type="dxa"/>
        <w:tblInd w:w="120" w:type="dxa"/>
        <w:tblLayout w:type="fixed"/>
        <w:tblLook w:val="04A0" w:firstRow="1" w:lastRow="0" w:firstColumn="1" w:lastColumn="0" w:noHBand="0" w:noVBand="1"/>
      </w:tblPr>
      <w:tblGrid>
        <w:gridCol w:w="1288"/>
        <w:gridCol w:w="2268"/>
        <w:gridCol w:w="1276"/>
        <w:gridCol w:w="4525"/>
        <w:gridCol w:w="236"/>
      </w:tblGrid>
      <w:tr w:rsidR="0039681A" w:rsidRPr="00647572" w14:paraId="602B2B8E" w14:textId="77777777">
        <w:trPr>
          <w:trHeight w:val="900"/>
          <w:tblHeader/>
        </w:trPr>
        <w:tc>
          <w:tcPr>
            <w:tcW w:w="128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8A82AFA" w14:textId="77777777" w:rsidR="0039681A" w:rsidRPr="00647572" w:rsidRDefault="0039681A">
            <w:pPr>
              <w:spacing w:after="0" w:line="240" w:lineRule="auto"/>
              <w:jc w:val="center"/>
              <w:rPr>
                <w:rFonts w:ascii="Times New Roman" w:eastAsia="Times New Roman" w:hAnsi="Times New Roman" w:cs="Times New Roman"/>
                <w:b/>
                <w:bCs/>
                <w:noProof/>
                <w:color w:val="000000"/>
                <w:sz w:val="20"/>
                <w:szCs w:val="20"/>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1685AD09"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14C018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452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BE4121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c>
          <w:tcPr>
            <w:tcW w:w="236" w:type="dxa"/>
            <w:tcBorders>
              <w:top w:val="nil"/>
              <w:left w:val="single" w:sz="4" w:space="0" w:color="auto"/>
              <w:bottom w:val="nil"/>
              <w:right w:val="nil"/>
            </w:tcBorders>
            <w:vAlign w:val="center"/>
          </w:tcPr>
          <w:p w14:paraId="77966846"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647572" w14:paraId="7EBC09CB" w14:textId="77777777">
        <w:trPr>
          <w:trHeight w:val="510"/>
        </w:trPr>
        <w:tc>
          <w:tcPr>
            <w:tcW w:w="1288" w:type="dxa"/>
            <w:vMerge/>
            <w:tcBorders>
              <w:top w:val="single" w:sz="4" w:space="0" w:color="auto"/>
              <w:left w:val="single" w:sz="4" w:space="0" w:color="auto"/>
              <w:bottom w:val="single" w:sz="4" w:space="0" w:color="auto"/>
              <w:right w:val="single" w:sz="4" w:space="0" w:color="auto"/>
            </w:tcBorders>
            <w:vAlign w:val="center"/>
          </w:tcPr>
          <w:p w14:paraId="7332D69A"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2268" w:type="dxa"/>
            <w:vMerge/>
            <w:tcBorders>
              <w:top w:val="single" w:sz="4" w:space="0" w:color="auto"/>
              <w:left w:val="single" w:sz="4" w:space="0" w:color="auto"/>
              <w:bottom w:val="single" w:sz="4" w:space="0" w:color="auto"/>
              <w:right w:val="single" w:sz="4" w:space="0" w:color="auto"/>
            </w:tcBorders>
            <w:vAlign w:val="center"/>
          </w:tcPr>
          <w:p w14:paraId="005FC0FE"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747B8B3D"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4525" w:type="dxa"/>
            <w:vMerge/>
            <w:tcBorders>
              <w:top w:val="single" w:sz="4" w:space="0" w:color="auto"/>
              <w:left w:val="single" w:sz="4" w:space="0" w:color="auto"/>
              <w:bottom w:val="single" w:sz="4" w:space="0" w:color="auto"/>
              <w:right w:val="single" w:sz="4" w:space="0" w:color="auto"/>
            </w:tcBorders>
            <w:vAlign w:val="center"/>
          </w:tcPr>
          <w:p w14:paraId="4299A17E"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236" w:type="dxa"/>
            <w:tcBorders>
              <w:top w:val="nil"/>
              <w:left w:val="single" w:sz="4" w:space="0" w:color="auto"/>
              <w:bottom w:val="nil"/>
              <w:right w:val="nil"/>
            </w:tcBorders>
            <w:vAlign w:val="center"/>
          </w:tcPr>
          <w:p w14:paraId="1AD52A14"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4EB2E55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D0AA5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M2C4-5</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24376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Digitization of national parks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6E5C2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2D2608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administrative simplification and development of digital services to visitors to national parks and marine protected areas</w:t>
            </w:r>
          </w:p>
        </w:tc>
        <w:tc>
          <w:tcPr>
            <w:tcW w:w="236" w:type="dxa"/>
            <w:tcBorders>
              <w:top w:val="nil"/>
              <w:left w:val="single" w:sz="4" w:space="0" w:color="auto"/>
              <w:bottom w:val="nil"/>
              <w:right w:val="nil"/>
            </w:tcBorders>
            <w:vAlign w:val="center"/>
          </w:tcPr>
          <w:p w14:paraId="4BCE918E"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5C707027"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1595B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M5C2-9</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1CAC0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 Housing First and Post Stations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FF49C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BE1F9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operational Plan regarding projects on Housing First and Post Stations, defining the requirements of projects that can be presented by local entities, and launch of call for proposal</w:t>
            </w:r>
          </w:p>
        </w:tc>
        <w:tc>
          <w:tcPr>
            <w:tcW w:w="236" w:type="dxa"/>
            <w:tcBorders>
              <w:top w:val="nil"/>
              <w:left w:val="single" w:sz="4" w:space="0" w:color="auto"/>
              <w:bottom w:val="nil"/>
              <w:right w:val="nil"/>
            </w:tcBorders>
            <w:vAlign w:val="center"/>
          </w:tcPr>
          <w:p w14:paraId="0DCF154A"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66044E1D"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8B71D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9A3D1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administrative courts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27416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03D06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Start of the recruitment procedures for administrative courts</w:t>
            </w:r>
          </w:p>
        </w:tc>
        <w:tc>
          <w:tcPr>
            <w:tcW w:w="236" w:type="dxa"/>
            <w:tcBorders>
              <w:top w:val="nil"/>
              <w:left w:val="single" w:sz="4" w:space="0" w:color="auto"/>
              <w:bottom w:val="nil"/>
              <w:right w:val="nil"/>
            </w:tcBorders>
            <w:vAlign w:val="center"/>
          </w:tcPr>
          <w:p w14:paraId="6E5FA330"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8757661"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359B1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M1C1-56</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8C3C3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EEE8E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6A383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enabling legislation for the reform of public employment</w:t>
            </w:r>
          </w:p>
        </w:tc>
        <w:tc>
          <w:tcPr>
            <w:tcW w:w="236" w:type="dxa"/>
            <w:tcBorders>
              <w:top w:val="nil"/>
              <w:left w:val="single" w:sz="4" w:space="0" w:color="auto"/>
              <w:bottom w:val="nil"/>
              <w:right w:val="nil"/>
            </w:tcBorders>
            <w:vAlign w:val="center"/>
          </w:tcPr>
          <w:p w14:paraId="38FC7731"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94D7857"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4B507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M1C1-70</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59B36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45352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155A8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revision of the Code of Public procurement (D.Lgs. n. 50/2016)</w:t>
            </w:r>
          </w:p>
        </w:tc>
        <w:tc>
          <w:tcPr>
            <w:tcW w:w="236" w:type="dxa"/>
            <w:tcBorders>
              <w:top w:val="nil"/>
              <w:left w:val="single" w:sz="4" w:space="0" w:color="auto"/>
              <w:bottom w:val="nil"/>
              <w:right w:val="nil"/>
            </w:tcBorders>
            <w:vAlign w:val="center"/>
          </w:tcPr>
          <w:p w14:paraId="6D3FF2AB"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3ADA1830"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0E82F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C2092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E6007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AC091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primary and secondary legislation and regulatory provisions and completion of administrative processes for encouraging tax compliance and improving audits and controls</w:t>
            </w:r>
          </w:p>
        </w:tc>
        <w:tc>
          <w:tcPr>
            <w:tcW w:w="236" w:type="dxa"/>
            <w:tcBorders>
              <w:top w:val="nil"/>
              <w:left w:val="single" w:sz="4" w:space="0" w:color="auto"/>
              <w:bottom w:val="nil"/>
              <w:right w:val="nil"/>
            </w:tcBorders>
            <w:vAlign w:val="center"/>
          </w:tcPr>
          <w:p w14:paraId="69E615AA"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60D5C48D"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DEC5D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58081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3A5AE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BE2AE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savings targets for spending reviews for the years 2023-2025</w:t>
            </w:r>
          </w:p>
        </w:tc>
        <w:tc>
          <w:tcPr>
            <w:tcW w:w="236" w:type="dxa"/>
            <w:tcBorders>
              <w:top w:val="nil"/>
              <w:left w:val="single" w:sz="4" w:space="0" w:color="auto"/>
              <w:bottom w:val="nil"/>
              <w:right w:val="nil"/>
            </w:tcBorders>
            <w:vAlign w:val="center"/>
          </w:tcPr>
          <w:p w14:paraId="577FE735"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9C22E66"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E24F6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0E129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 Improve energy efficiency in cinema, theatres and museums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ED013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53FE8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Ministry of Culture decree for the allocation of resources: to improve energy efficiency in places of culture </w:t>
            </w:r>
          </w:p>
        </w:tc>
        <w:tc>
          <w:tcPr>
            <w:tcW w:w="236" w:type="dxa"/>
            <w:tcBorders>
              <w:top w:val="nil"/>
              <w:left w:val="single" w:sz="4" w:space="0" w:color="auto"/>
              <w:bottom w:val="nil"/>
              <w:right w:val="nil"/>
            </w:tcBorders>
            <w:vAlign w:val="center"/>
          </w:tcPr>
          <w:p w14:paraId="66579A2A"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04BE09B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7AE38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77C88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1.1 - National Strategy for Circular Economy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53A62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19DCD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Ministerial Decree for the adoption of the National Strategy for Circular Economy</w:t>
            </w:r>
          </w:p>
        </w:tc>
        <w:tc>
          <w:tcPr>
            <w:tcW w:w="236" w:type="dxa"/>
            <w:tcBorders>
              <w:top w:val="nil"/>
              <w:left w:val="single" w:sz="4" w:space="0" w:color="auto"/>
              <w:bottom w:val="nil"/>
              <w:right w:val="nil"/>
            </w:tcBorders>
            <w:vAlign w:val="center"/>
          </w:tcPr>
          <w:p w14:paraId="2F3AFB0E"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EE77680"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87DC8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M2C1-2</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248E4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1.3 - Technical support for Local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72DBB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64A00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Approval of agreement for the development of the Building capacity action plan to support local public authorities</w:t>
            </w:r>
          </w:p>
        </w:tc>
        <w:tc>
          <w:tcPr>
            <w:tcW w:w="236" w:type="dxa"/>
            <w:tcBorders>
              <w:top w:val="nil"/>
              <w:left w:val="single" w:sz="4" w:space="0" w:color="auto"/>
              <w:bottom w:val="nil"/>
              <w:right w:val="nil"/>
            </w:tcBorders>
            <w:vAlign w:val="center"/>
          </w:tcPr>
          <w:p w14:paraId="455AFEA2"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3BEB401F"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B9EAB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6D21C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3.3: Culture and awareness on environmental topics and challenges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B59FD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C1DF0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Launch of web platform and contracts with authors</w:t>
            </w:r>
          </w:p>
        </w:tc>
        <w:tc>
          <w:tcPr>
            <w:tcW w:w="236" w:type="dxa"/>
            <w:tcBorders>
              <w:top w:val="nil"/>
              <w:left w:val="single" w:sz="4" w:space="0" w:color="auto"/>
              <w:bottom w:val="nil"/>
              <w:right w:val="nil"/>
            </w:tcBorders>
            <w:vAlign w:val="center"/>
          </w:tcPr>
          <w:p w14:paraId="42972821"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832677E"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07BFB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M2C2-18</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52191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3.5 Hydrogen Research and Development</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99196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70C8B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R&amp;D contracts to research projects on hydrogen</w:t>
            </w:r>
          </w:p>
        </w:tc>
        <w:tc>
          <w:tcPr>
            <w:tcW w:w="236" w:type="dxa"/>
            <w:tcBorders>
              <w:top w:val="nil"/>
              <w:left w:val="single" w:sz="4" w:space="0" w:color="auto"/>
              <w:bottom w:val="nil"/>
              <w:right w:val="nil"/>
            </w:tcBorders>
            <w:vAlign w:val="center"/>
          </w:tcPr>
          <w:p w14:paraId="14D19AF5"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EFCA0CC"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B9395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D9C66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4 Measures to promote hydrogen competitiveness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9C2FC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E2F76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fiscal incentives</w:t>
            </w:r>
          </w:p>
        </w:tc>
        <w:tc>
          <w:tcPr>
            <w:tcW w:w="236" w:type="dxa"/>
            <w:tcBorders>
              <w:top w:val="nil"/>
              <w:left w:val="single" w:sz="4" w:space="0" w:color="auto"/>
              <w:bottom w:val="nil"/>
              <w:right w:val="nil"/>
            </w:tcBorders>
            <w:vAlign w:val="center"/>
          </w:tcPr>
          <w:p w14:paraId="593B3211"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4BBF5B1B"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B19E2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M2C2-38</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0D3B86"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5.1: Renewables and batteries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B1591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B3F09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Ministerial Decree</w:t>
            </w:r>
          </w:p>
        </w:tc>
        <w:tc>
          <w:tcPr>
            <w:tcW w:w="236" w:type="dxa"/>
            <w:tcBorders>
              <w:top w:val="nil"/>
              <w:left w:val="single" w:sz="4" w:space="0" w:color="auto"/>
              <w:bottom w:val="nil"/>
              <w:right w:val="nil"/>
            </w:tcBorders>
            <w:vAlign w:val="center"/>
          </w:tcPr>
          <w:p w14:paraId="3722C3D4"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3C1E8391"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16F26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M2C2-42</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5E19D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5.4: Equity injection into the Green Transition Fund (“GTF”)</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12C87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2A24CC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Signature of the financial Agreement</w:t>
            </w:r>
          </w:p>
        </w:tc>
        <w:tc>
          <w:tcPr>
            <w:tcW w:w="236" w:type="dxa"/>
            <w:tcBorders>
              <w:top w:val="nil"/>
              <w:left w:val="single" w:sz="4" w:space="0" w:color="auto"/>
              <w:bottom w:val="nil"/>
              <w:right w:val="nil"/>
            </w:tcBorders>
            <w:vAlign w:val="center"/>
          </w:tcPr>
          <w:p w14:paraId="57679726"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26802A2F"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AA27B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C19F3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 Simplification and acceleration of procedures for energy efficiency interventions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06132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1A1AB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Simplification and acceleration of procedures for energy efficiency interventions</w:t>
            </w:r>
          </w:p>
        </w:tc>
        <w:tc>
          <w:tcPr>
            <w:tcW w:w="236" w:type="dxa"/>
            <w:tcBorders>
              <w:top w:val="nil"/>
              <w:left w:val="single" w:sz="4" w:space="0" w:color="auto"/>
              <w:bottom w:val="nil"/>
              <w:right w:val="nil"/>
            </w:tcBorders>
            <w:vAlign w:val="center"/>
          </w:tcPr>
          <w:p w14:paraId="1A7F738A"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111582B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DF17A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9A4B1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2.1. Simplification and acceleration of the procedures for implementing interventions against hydrogeological instability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3E7AE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FDE4C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simplification of the legal framework for a better management of hydrological risks</w:t>
            </w:r>
          </w:p>
        </w:tc>
        <w:tc>
          <w:tcPr>
            <w:tcW w:w="236" w:type="dxa"/>
            <w:tcBorders>
              <w:top w:val="nil"/>
              <w:left w:val="single" w:sz="4" w:space="0" w:color="auto"/>
              <w:bottom w:val="nil"/>
              <w:right w:val="nil"/>
            </w:tcBorders>
            <w:vAlign w:val="center"/>
          </w:tcPr>
          <w:p w14:paraId="463F9A76"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206C8D98"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44D59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C2C84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4.2 “Measures to ensure full managerial capacities for Integrated water services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8A8ED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5965F6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new legal framework of irrigation purposes</w:t>
            </w:r>
          </w:p>
        </w:tc>
        <w:tc>
          <w:tcPr>
            <w:tcW w:w="236" w:type="dxa"/>
            <w:tcBorders>
              <w:top w:val="nil"/>
              <w:left w:val="single" w:sz="4" w:space="0" w:color="auto"/>
              <w:bottom w:val="nil"/>
              <w:right w:val="nil"/>
            </w:tcBorders>
            <w:vAlign w:val="center"/>
          </w:tcPr>
          <w:p w14:paraId="14D73DDA"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0C6B543F"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80B8F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M4C1-3</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43BC49"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Reform 2.1: Teachers’ recruitment</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9B01F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A7BC4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reform on teaching profession.</w:t>
            </w:r>
          </w:p>
        </w:tc>
        <w:tc>
          <w:tcPr>
            <w:tcW w:w="236" w:type="dxa"/>
            <w:tcBorders>
              <w:top w:val="nil"/>
              <w:left w:val="single" w:sz="4" w:space="0" w:color="auto"/>
              <w:bottom w:val="nil"/>
              <w:right w:val="nil"/>
            </w:tcBorders>
            <w:vAlign w:val="center"/>
          </w:tcPr>
          <w:p w14:paraId="4FEE84D9"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31899E4A"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8BBF7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3C219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School 4.0: innovative schools, wiring, new classrooms and workshops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E2CD3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8E7ABD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School 4.0 Plan to foster the digital transition of the Italian school system is adopted</w:t>
            </w:r>
          </w:p>
        </w:tc>
        <w:tc>
          <w:tcPr>
            <w:tcW w:w="236" w:type="dxa"/>
            <w:tcBorders>
              <w:top w:val="nil"/>
              <w:left w:val="single" w:sz="4" w:space="0" w:color="auto"/>
              <w:bottom w:val="nil"/>
              <w:right w:val="nil"/>
            </w:tcBorders>
            <w:vAlign w:val="center"/>
          </w:tcPr>
          <w:p w14:paraId="7AB94B45"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70054C" w14:paraId="5CAC9B52"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8A390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M4C2-4</w:t>
            </w: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BB7C1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 Implementation of R&amp;D support measures to foster simplification and mobility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946C6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1064E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Ministerial Decrees on R&amp;D simplification and mobility linked to the ordinary financing fund.</w:t>
            </w:r>
          </w:p>
        </w:tc>
        <w:tc>
          <w:tcPr>
            <w:tcW w:w="236" w:type="dxa"/>
            <w:tcBorders>
              <w:top w:val="nil"/>
              <w:left w:val="single" w:sz="4" w:space="0" w:color="auto"/>
              <w:bottom w:val="nil"/>
              <w:right w:val="nil"/>
            </w:tcBorders>
            <w:vAlign w:val="center"/>
          </w:tcPr>
          <w:p w14:paraId="3BFC649C" w14:textId="77777777" w:rsidR="0039681A" w:rsidRPr="00A36E36" w:rsidRDefault="0039681A">
            <w:pPr>
              <w:spacing w:after="0" w:line="240" w:lineRule="auto"/>
              <w:rPr>
                <w:rFonts w:ascii="Times New Roman" w:eastAsia="Times New Roman" w:hAnsi="Times New Roman" w:cs="Times New Roman"/>
                <w:noProof/>
                <w:lang w:val="en-IE" w:eastAsia="en-GB"/>
              </w:rPr>
            </w:pPr>
          </w:p>
        </w:tc>
      </w:tr>
      <w:tr w:rsidR="0039681A" w:rsidRPr="00647572" w14:paraId="1162BD87" w14:textId="77777777">
        <w:trPr>
          <w:trHeight w:val="300"/>
        </w:trPr>
        <w:tc>
          <w:tcPr>
            <w:tcW w:w="128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CF9325"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4CE40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2D4EED5"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452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DB38BE" w14:textId="2EB65195"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494</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252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874</w:t>
            </w:r>
            <w:r w:rsidR="00381DB1">
              <w:rPr>
                <w:rFonts w:ascii="Times New Roman" w:eastAsia="Times New Roman" w:hAnsi="Times New Roman" w:cs="Times New Roman"/>
                <w:noProof/>
                <w:color w:val="006100"/>
                <w:sz w:val="20"/>
                <w:szCs w:val="20"/>
                <w:lang w:eastAsia="en-GB"/>
              </w:rPr>
              <w:t xml:space="preserve"> </w:t>
            </w:r>
          </w:p>
        </w:tc>
        <w:tc>
          <w:tcPr>
            <w:tcW w:w="236" w:type="dxa"/>
            <w:tcBorders>
              <w:top w:val="nil"/>
              <w:left w:val="single" w:sz="4" w:space="0" w:color="auto"/>
              <w:bottom w:val="nil"/>
              <w:right w:val="nil"/>
            </w:tcBorders>
            <w:vAlign w:val="center"/>
          </w:tcPr>
          <w:p w14:paraId="5E1CC948" w14:textId="77777777" w:rsidR="0039681A" w:rsidRPr="00647572" w:rsidRDefault="0039681A">
            <w:pPr>
              <w:spacing w:after="0" w:line="240" w:lineRule="auto"/>
              <w:rPr>
                <w:rFonts w:ascii="Times New Roman" w:eastAsia="Times New Roman" w:hAnsi="Times New Roman" w:cs="Times New Roman"/>
                <w:noProof/>
                <w:lang w:eastAsia="en-GB"/>
              </w:rPr>
            </w:pPr>
          </w:p>
        </w:tc>
      </w:tr>
    </w:tbl>
    <w:p w14:paraId="140DACE0" w14:textId="77777777" w:rsidR="0039681A" w:rsidRPr="005D46BA" w:rsidRDefault="0039681A" w:rsidP="00351087">
      <w:pPr>
        <w:spacing w:after="0" w:line="257" w:lineRule="auto"/>
        <w:rPr>
          <w:rFonts w:ascii="Times New Roman" w:eastAsia="Times New Roman" w:hAnsi="Times New Roman" w:cs="Times New Roman"/>
          <w:noProof/>
          <w:sz w:val="2"/>
          <w:szCs w:val="2"/>
          <w:lang w:eastAsia="en-GB"/>
        </w:rPr>
      </w:pPr>
      <w:r w:rsidRPr="00647572">
        <w:rPr>
          <w:rFonts w:ascii="Times New Roman" w:eastAsia="Times New Roman" w:hAnsi="Times New Roman" w:cs="Times New Roman"/>
          <w:noProof/>
          <w:lang w:eastAsia="en-GB"/>
        </w:rPr>
        <w:t xml:space="preserve"> </w:t>
      </w:r>
    </w:p>
    <w:p w14:paraId="6BADD621" w14:textId="77777777" w:rsidR="0039681A" w:rsidRPr="00647572" w:rsidRDefault="0039681A" w:rsidP="0039681A">
      <w:pPr>
        <w:pStyle w:val="Heading4"/>
        <w:numPr>
          <w:ilvl w:val="1"/>
          <w:numId w:val="16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Third Instalment (non-repayable support):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5"/>
        <w:gridCol w:w="3541"/>
        <w:gridCol w:w="1260"/>
        <w:gridCol w:w="3162"/>
      </w:tblGrid>
      <w:tr w:rsidR="0039681A" w:rsidRPr="00647572" w14:paraId="6D0E70A8" w14:textId="77777777">
        <w:trPr>
          <w:trHeight w:val="900"/>
          <w:tblHeader/>
        </w:trPr>
        <w:tc>
          <w:tcPr>
            <w:tcW w:w="1395" w:type="dxa"/>
            <w:vMerge w:val="restart"/>
            <w:shd w:val="clear" w:color="auto" w:fill="BDD7EE"/>
            <w:tcMar>
              <w:left w:w="108" w:type="dxa"/>
              <w:right w:w="108" w:type="dxa"/>
            </w:tcMar>
            <w:vAlign w:val="center"/>
          </w:tcPr>
          <w:p w14:paraId="06FC982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1" w:type="dxa"/>
            <w:vMerge w:val="restart"/>
            <w:shd w:val="clear" w:color="auto" w:fill="BDD7EE"/>
            <w:tcMar>
              <w:left w:w="108" w:type="dxa"/>
              <w:right w:w="108" w:type="dxa"/>
            </w:tcMar>
            <w:vAlign w:val="center"/>
          </w:tcPr>
          <w:p w14:paraId="23656323"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60" w:type="dxa"/>
            <w:vMerge w:val="restart"/>
            <w:shd w:val="clear" w:color="auto" w:fill="BDD7EE"/>
            <w:tcMar>
              <w:left w:w="108" w:type="dxa"/>
              <w:right w:w="108" w:type="dxa"/>
            </w:tcMar>
            <w:vAlign w:val="center"/>
          </w:tcPr>
          <w:p w14:paraId="0399093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62" w:type="dxa"/>
            <w:vMerge w:val="restart"/>
            <w:shd w:val="clear" w:color="auto" w:fill="BDD7EE"/>
            <w:tcMar>
              <w:left w:w="108" w:type="dxa"/>
              <w:right w:w="108" w:type="dxa"/>
            </w:tcMar>
            <w:vAlign w:val="center"/>
          </w:tcPr>
          <w:p w14:paraId="2102374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7D68EB88" w14:textId="77777777">
        <w:trPr>
          <w:trHeight w:val="510"/>
        </w:trPr>
        <w:tc>
          <w:tcPr>
            <w:tcW w:w="1395" w:type="dxa"/>
            <w:vMerge/>
            <w:vAlign w:val="center"/>
          </w:tcPr>
          <w:p w14:paraId="5E04D823"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541" w:type="dxa"/>
            <w:vMerge/>
            <w:vAlign w:val="center"/>
          </w:tcPr>
          <w:p w14:paraId="7AE4A156"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260" w:type="dxa"/>
            <w:vMerge/>
            <w:vAlign w:val="center"/>
          </w:tcPr>
          <w:p w14:paraId="300E4C4A"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162" w:type="dxa"/>
            <w:vMerge/>
            <w:vAlign w:val="center"/>
          </w:tcPr>
          <w:p w14:paraId="2F918A07"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4FDE60F4" w14:textId="77777777">
        <w:trPr>
          <w:trHeight w:val="300"/>
        </w:trPr>
        <w:tc>
          <w:tcPr>
            <w:tcW w:w="1395" w:type="dxa"/>
            <w:shd w:val="clear" w:color="auto" w:fill="C6EFCE"/>
            <w:tcMar>
              <w:left w:w="108" w:type="dxa"/>
              <w:right w:w="108" w:type="dxa"/>
            </w:tcMar>
            <w:vAlign w:val="center"/>
          </w:tcPr>
          <w:p w14:paraId="3D20BB1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w:t>
            </w:r>
          </w:p>
        </w:tc>
        <w:tc>
          <w:tcPr>
            <w:tcW w:w="3541" w:type="dxa"/>
            <w:shd w:val="clear" w:color="auto" w:fill="C6EFCE"/>
            <w:tcMar>
              <w:left w:w="108" w:type="dxa"/>
              <w:right w:w="108" w:type="dxa"/>
            </w:tcMar>
            <w:vAlign w:val="center"/>
          </w:tcPr>
          <w:p w14:paraId="2BB53BF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4.2 “Measures to ensure full managerial capacities for Integrated water services”</w:t>
            </w:r>
          </w:p>
        </w:tc>
        <w:tc>
          <w:tcPr>
            <w:tcW w:w="1260" w:type="dxa"/>
            <w:shd w:val="clear" w:color="auto" w:fill="C6EFCE"/>
            <w:tcMar>
              <w:left w:w="108" w:type="dxa"/>
              <w:right w:w="108" w:type="dxa"/>
            </w:tcMar>
            <w:vAlign w:val="center"/>
          </w:tcPr>
          <w:p w14:paraId="62CB375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2916198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reform to ensure full managerial capacities for Integrated water services </w:t>
            </w:r>
          </w:p>
        </w:tc>
      </w:tr>
      <w:tr w:rsidR="0039681A" w:rsidRPr="0070054C" w14:paraId="2C00CB77" w14:textId="77777777">
        <w:trPr>
          <w:trHeight w:val="300"/>
        </w:trPr>
        <w:tc>
          <w:tcPr>
            <w:tcW w:w="1395" w:type="dxa"/>
            <w:shd w:val="clear" w:color="auto" w:fill="C6EFCE"/>
            <w:tcMar>
              <w:left w:w="108" w:type="dxa"/>
              <w:right w:w="108" w:type="dxa"/>
            </w:tcMar>
            <w:vAlign w:val="center"/>
          </w:tcPr>
          <w:p w14:paraId="213A55B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w:t>
            </w:r>
          </w:p>
        </w:tc>
        <w:tc>
          <w:tcPr>
            <w:tcW w:w="3541" w:type="dxa"/>
            <w:shd w:val="clear" w:color="auto" w:fill="C6EFCE"/>
            <w:tcMar>
              <w:left w:w="108" w:type="dxa"/>
              <w:right w:w="108" w:type="dxa"/>
            </w:tcMar>
            <w:vAlign w:val="center"/>
          </w:tcPr>
          <w:p w14:paraId="55F74EF5"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1.1: Digital infrastructure</w:t>
            </w:r>
          </w:p>
        </w:tc>
        <w:tc>
          <w:tcPr>
            <w:tcW w:w="1260" w:type="dxa"/>
            <w:shd w:val="clear" w:color="auto" w:fill="C6EFCE"/>
            <w:tcMar>
              <w:left w:w="108" w:type="dxa"/>
              <w:right w:w="108" w:type="dxa"/>
            </w:tcMar>
            <w:vAlign w:val="center"/>
          </w:tcPr>
          <w:p w14:paraId="0B9CE20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1C98C66C" w14:textId="77777777" w:rsidR="0039681A" w:rsidRPr="00E6020A" w:rsidRDefault="0039681A">
            <w:pPr>
              <w:spacing w:after="0" w:line="240" w:lineRule="auto"/>
              <w:rPr>
                <w:rFonts w:ascii="Times New Roman" w:eastAsia="Times New Roman" w:hAnsi="Times New Roman" w:cs="Times New Roman"/>
                <w:noProof/>
                <w:lang w:val="it-IT" w:eastAsia="en-GB"/>
              </w:rPr>
            </w:pPr>
            <w:r w:rsidRPr="00E6020A">
              <w:rPr>
                <w:rFonts w:ascii="Times New Roman" w:eastAsia="Times New Roman" w:hAnsi="Times New Roman" w:cs="Times New Roman"/>
                <w:noProof/>
                <w:color w:val="006100"/>
                <w:sz w:val="20"/>
                <w:szCs w:val="20"/>
                <w:lang w:val="it-IT" w:eastAsia="en-GB"/>
              </w:rPr>
              <w:t>Completion of the Polo Strategico Nazionale (PSN)</w:t>
            </w:r>
          </w:p>
        </w:tc>
      </w:tr>
      <w:tr w:rsidR="0039681A" w:rsidRPr="0070054C" w14:paraId="79208A1E" w14:textId="77777777">
        <w:trPr>
          <w:trHeight w:val="300"/>
        </w:trPr>
        <w:tc>
          <w:tcPr>
            <w:tcW w:w="1395" w:type="dxa"/>
            <w:shd w:val="clear" w:color="auto" w:fill="C6EFCE"/>
            <w:tcMar>
              <w:left w:w="108" w:type="dxa"/>
              <w:right w:w="108" w:type="dxa"/>
            </w:tcMar>
            <w:vAlign w:val="center"/>
          </w:tcPr>
          <w:p w14:paraId="358A70D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w:t>
            </w:r>
          </w:p>
        </w:tc>
        <w:tc>
          <w:tcPr>
            <w:tcW w:w="3541" w:type="dxa"/>
            <w:shd w:val="clear" w:color="auto" w:fill="C6EFCE"/>
            <w:tcMar>
              <w:left w:w="108" w:type="dxa"/>
              <w:right w:w="108" w:type="dxa"/>
            </w:tcMar>
            <w:vAlign w:val="center"/>
          </w:tcPr>
          <w:p w14:paraId="1B17D56E"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1.3.1: National Digital Data Platform</w:t>
            </w:r>
          </w:p>
        </w:tc>
        <w:tc>
          <w:tcPr>
            <w:tcW w:w="1260" w:type="dxa"/>
            <w:shd w:val="clear" w:color="auto" w:fill="C6EFCE"/>
            <w:tcMar>
              <w:left w:w="108" w:type="dxa"/>
              <w:right w:w="108" w:type="dxa"/>
            </w:tcMar>
            <w:vAlign w:val="center"/>
          </w:tcPr>
          <w:p w14:paraId="7C6390F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12BD097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National Digital Data Platform operational</w:t>
            </w:r>
          </w:p>
        </w:tc>
      </w:tr>
      <w:tr w:rsidR="0039681A" w:rsidRPr="0070054C" w14:paraId="33C7FDDA" w14:textId="77777777">
        <w:trPr>
          <w:trHeight w:val="300"/>
        </w:trPr>
        <w:tc>
          <w:tcPr>
            <w:tcW w:w="1395" w:type="dxa"/>
            <w:shd w:val="clear" w:color="auto" w:fill="C6EFCE"/>
            <w:tcMar>
              <w:left w:w="108" w:type="dxa"/>
              <w:right w:w="108" w:type="dxa"/>
            </w:tcMar>
            <w:vAlign w:val="center"/>
          </w:tcPr>
          <w:p w14:paraId="705F9F1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w:t>
            </w:r>
          </w:p>
        </w:tc>
        <w:tc>
          <w:tcPr>
            <w:tcW w:w="3541" w:type="dxa"/>
            <w:shd w:val="clear" w:color="auto" w:fill="C6EFCE"/>
            <w:tcMar>
              <w:left w:w="108" w:type="dxa"/>
              <w:right w:w="108" w:type="dxa"/>
            </w:tcMar>
            <w:vAlign w:val="center"/>
          </w:tcPr>
          <w:p w14:paraId="1F66979C"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60" w:type="dxa"/>
            <w:shd w:val="clear" w:color="auto" w:fill="C6EFCE"/>
            <w:tcMar>
              <w:left w:w="108" w:type="dxa"/>
              <w:right w:w="108" w:type="dxa"/>
            </w:tcMar>
            <w:vAlign w:val="center"/>
          </w:tcPr>
          <w:p w14:paraId="3DD3115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654C1B8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Creation of the new National Cyber Security Agency</w:t>
            </w:r>
          </w:p>
        </w:tc>
      </w:tr>
      <w:tr w:rsidR="0039681A" w:rsidRPr="0070054C" w14:paraId="60F68A75" w14:textId="77777777">
        <w:trPr>
          <w:trHeight w:val="300"/>
        </w:trPr>
        <w:tc>
          <w:tcPr>
            <w:tcW w:w="1395" w:type="dxa"/>
            <w:shd w:val="clear" w:color="auto" w:fill="C6EFCE"/>
            <w:tcMar>
              <w:left w:w="108" w:type="dxa"/>
              <w:right w:w="108" w:type="dxa"/>
            </w:tcMar>
            <w:vAlign w:val="center"/>
          </w:tcPr>
          <w:p w14:paraId="1A6273C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w:t>
            </w:r>
          </w:p>
        </w:tc>
        <w:tc>
          <w:tcPr>
            <w:tcW w:w="3541" w:type="dxa"/>
            <w:shd w:val="clear" w:color="auto" w:fill="C6EFCE"/>
            <w:tcMar>
              <w:left w:w="108" w:type="dxa"/>
              <w:right w:w="108" w:type="dxa"/>
            </w:tcMar>
            <w:vAlign w:val="center"/>
          </w:tcPr>
          <w:p w14:paraId="4E0176FC"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60" w:type="dxa"/>
            <w:shd w:val="clear" w:color="auto" w:fill="C6EFCE"/>
            <w:tcMar>
              <w:left w:w="108" w:type="dxa"/>
              <w:right w:w="108" w:type="dxa"/>
            </w:tcMar>
            <w:vAlign w:val="center"/>
          </w:tcPr>
          <w:p w14:paraId="293E708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5B6F896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Initial deployment of the national cybersecurity services</w:t>
            </w:r>
          </w:p>
        </w:tc>
      </w:tr>
      <w:tr w:rsidR="0039681A" w:rsidRPr="0070054C" w14:paraId="694FBB9B" w14:textId="77777777">
        <w:trPr>
          <w:trHeight w:val="300"/>
        </w:trPr>
        <w:tc>
          <w:tcPr>
            <w:tcW w:w="1395" w:type="dxa"/>
            <w:shd w:val="clear" w:color="auto" w:fill="C6EFCE"/>
            <w:tcMar>
              <w:left w:w="108" w:type="dxa"/>
              <w:right w:w="108" w:type="dxa"/>
            </w:tcMar>
            <w:vAlign w:val="center"/>
          </w:tcPr>
          <w:p w14:paraId="6D2A8F2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w:t>
            </w:r>
          </w:p>
        </w:tc>
        <w:tc>
          <w:tcPr>
            <w:tcW w:w="3541" w:type="dxa"/>
            <w:shd w:val="clear" w:color="auto" w:fill="C6EFCE"/>
            <w:tcMar>
              <w:left w:w="108" w:type="dxa"/>
              <w:right w:w="108" w:type="dxa"/>
            </w:tcMar>
            <w:vAlign w:val="center"/>
          </w:tcPr>
          <w:p w14:paraId="14C1E305"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60" w:type="dxa"/>
            <w:shd w:val="clear" w:color="auto" w:fill="C6EFCE"/>
            <w:tcMar>
              <w:left w:w="108" w:type="dxa"/>
              <w:right w:w="108" w:type="dxa"/>
            </w:tcMar>
            <w:vAlign w:val="center"/>
          </w:tcPr>
          <w:p w14:paraId="6D2EFE5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3EE16E4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Startup of the network of cybersecurity screening and certification laboratories</w:t>
            </w:r>
          </w:p>
        </w:tc>
      </w:tr>
      <w:tr w:rsidR="0039681A" w:rsidRPr="0070054C" w14:paraId="16CC17C4" w14:textId="77777777">
        <w:trPr>
          <w:trHeight w:val="300"/>
        </w:trPr>
        <w:tc>
          <w:tcPr>
            <w:tcW w:w="1395" w:type="dxa"/>
            <w:shd w:val="clear" w:color="auto" w:fill="C6EFCE"/>
            <w:tcMar>
              <w:left w:w="108" w:type="dxa"/>
              <w:right w:w="108" w:type="dxa"/>
            </w:tcMar>
            <w:vAlign w:val="center"/>
          </w:tcPr>
          <w:p w14:paraId="32DD1D2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w:t>
            </w:r>
          </w:p>
        </w:tc>
        <w:tc>
          <w:tcPr>
            <w:tcW w:w="3541" w:type="dxa"/>
            <w:shd w:val="clear" w:color="auto" w:fill="C6EFCE"/>
            <w:tcMar>
              <w:left w:w="108" w:type="dxa"/>
              <w:right w:w="108" w:type="dxa"/>
            </w:tcMar>
            <w:vAlign w:val="center"/>
          </w:tcPr>
          <w:p w14:paraId="67B40D99"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60" w:type="dxa"/>
            <w:shd w:val="clear" w:color="auto" w:fill="C6EFCE"/>
            <w:tcMar>
              <w:left w:w="108" w:type="dxa"/>
              <w:right w:w="108" w:type="dxa"/>
            </w:tcMar>
            <w:vAlign w:val="center"/>
          </w:tcPr>
          <w:p w14:paraId="017A9BC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57B6B1B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Activation of a Central Audit Unit for PSNC &amp; NIS security measures</w:t>
            </w:r>
          </w:p>
        </w:tc>
      </w:tr>
      <w:tr w:rsidR="0039681A" w:rsidRPr="0070054C" w14:paraId="44184EA8" w14:textId="77777777">
        <w:trPr>
          <w:trHeight w:val="300"/>
        </w:trPr>
        <w:tc>
          <w:tcPr>
            <w:tcW w:w="1395" w:type="dxa"/>
            <w:shd w:val="clear" w:color="auto" w:fill="C6EFCE"/>
            <w:tcMar>
              <w:left w:w="108" w:type="dxa"/>
              <w:right w:w="108" w:type="dxa"/>
            </w:tcMar>
            <w:vAlign w:val="center"/>
          </w:tcPr>
          <w:p w14:paraId="2EB8832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M1C1-9</w:t>
            </w:r>
          </w:p>
        </w:tc>
        <w:tc>
          <w:tcPr>
            <w:tcW w:w="3541" w:type="dxa"/>
            <w:shd w:val="clear" w:color="auto" w:fill="C6EFCE"/>
            <w:tcMar>
              <w:left w:w="108" w:type="dxa"/>
              <w:right w:w="108" w:type="dxa"/>
            </w:tcMar>
            <w:vAlign w:val="center"/>
          </w:tcPr>
          <w:p w14:paraId="778D78C3"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60" w:type="dxa"/>
            <w:shd w:val="clear" w:color="auto" w:fill="C6EFCE"/>
            <w:tcMar>
              <w:left w:w="108" w:type="dxa"/>
              <w:right w:w="108" w:type="dxa"/>
            </w:tcMar>
            <w:vAlign w:val="center"/>
          </w:tcPr>
          <w:p w14:paraId="095ED71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166F3A3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Support to the upgrade of security structures T1</w:t>
            </w:r>
          </w:p>
        </w:tc>
      </w:tr>
      <w:tr w:rsidR="0039681A" w:rsidRPr="0070054C" w14:paraId="69AF6F3A" w14:textId="77777777">
        <w:trPr>
          <w:trHeight w:val="300"/>
        </w:trPr>
        <w:tc>
          <w:tcPr>
            <w:tcW w:w="1395" w:type="dxa"/>
            <w:shd w:val="clear" w:color="auto" w:fill="C6EFCE"/>
            <w:tcMar>
              <w:left w:w="108" w:type="dxa"/>
              <w:right w:w="108" w:type="dxa"/>
            </w:tcMar>
            <w:vAlign w:val="center"/>
          </w:tcPr>
          <w:p w14:paraId="738E493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w:t>
            </w:r>
          </w:p>
        </w:tc>
        <w:tc>
          <w:tcPr>
            <w:tcW w:w="3541" w:type="dxa"/>
            <w:shd w:val="clear" w:color="auto" w:fill="C6EFCE"/>
            <w:tcMar>
              <w:left w:w="108" w:type="dxa"/>
              <w:right w:w="108" w:type="dxa"/>
            </w:tcMar>
            <w:vAlign w:val="center"/>
          </w:tcPr>
          <w:p w14:paraId="349C8A91"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1.2: Transformation support</w:t>
            </w:r>
          </w:p>
        </w:tc>
        <w:tc>
          <w:tcPr>
            <w:tcW w:w="1260" w:type="dxa"/>
            <w:shd w:val="clear" w:color="auto" w:fill="C6EFCE"/>
            <w:tcMar>
              <w:left w:w="108" w:type="dxa"/>
              <w:right w:w="108" w:type="dxa"/>
            </w:tcMar>
            <w:vAlign w:val="center"/>
          </w:tcPr>
          <w:p w14:paraId="747CBB9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70362ED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setup of Transformation Team and NewCo</w:t>
            </w:r>
          </w:p>
        </w:tc>
      </w:tr>
      <w:tr w:rsidR="0039681A" w:rsidRPr="0070054C" w14:paraId="52180E0F" w14:textId="77777777">
        <w:trPr>
          <w:trHeight w:val="300"/>
        </w:trPr>
        <w:tc>
          <w:tcPr>
            <w:tcW w:w="1395" w:type="dxa"/>
            <w:shd w:val="clear" w:color="auto" w:fill="C6EFCE"/>
            <w:tcMar>
              <w:left w:w="108" w:type="dxa"/>
              <w:right w:w="108" w:type="dxa"/>
            </w:tcMar>
            <w:vAlign w:val="center"/>
          </w:tcPr>
          <w:p w14:paraId="0A4AF9C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M1C1-34</w:t>
            </w:r>
          </w:p>
        </w:tc>
        <w:tc>
          <w:tcPr>
            <w:tcW w:w="3541" w:type="dxa"/>
            <w:shd w:val="clear" w:color="auto" w:fill="C6EFCE"/>
            <w:tcMar>
              <w:left w:w="108" w:type="dxa"/>
              <w:right w:w="108" w:type="dxa"/>
            </w:tcMar>
            <w:vAlign w:val="center"/>
          </w:tcPr>
          <w:p w14:paraId="795D553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the office of trial for civil and criminal Courts</w:t>
            </w:r>
          </w:p>
        </w:tc>
        <w:tc>
          <w:tcPr>
            <w:tcW w:w="1260" w:type="dxa"/>
            <w:shd w:val="clear" w:color="auto" w:fill="C6EFCE"/>
            <w:tcMar>
              <w:left w:w="108" w:type="dxa"/>
              <w:right w:w="108" w:type="dxa"/>
            </w:tcMar>
            <w:vAlign w:val="center"/>
          </w:tcPr>
          <w:p w14:paraId="0C9AAD2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24F124A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Start of the recruitment procedures for civil and criminal courts</w:t>
            </w:r>
          </w:p>
        </w:tc>
      </w:tr>
      <w:tr w:rsidR="0039681A" w:rsidRPr="0070054C" w14:paraId="7438BC3B" w14:textId="77777777">
        <w:trPr>
          <w:trHeight w:val="300"/>
        </w:trPr>
        <w:tc>
          <w:tcPr>
            <w:tcW w:w="1395" w:type="dxa"/>
            <w:shd w:val="clear" w:color="auto" w:fill="C6EFCE"/>
            <w:tcMar>
              <w:left w:w="108" w:type="dxa"/>
              <w:right w:w="108" w:type="dxa"/>
            </w:tcMar>
            <w:vAlign w:val="center"/>
          </w:tcPr>
          <w:p w14:paraId="7FE024C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M1C1-35</w:t>
            </w:r>
          </w:p>
        </w:tc>
        <w:tc>
          <w:tcPr>
            <w:tcW w:w="3541" w:type="dxa"/>
            <w:shd w:val="clear" w:color="auto" w:fill="C6EFCE"/>
            <w:tcMar>
              <w:left w:w="108" w:type="dxa"/>
              <w:right w:w="108" w:type="dxa"/>
            </w:tcMar>
            <w:vAlign w:val="center"/>
          </w:tcPr>
          <w:p w14:paraId="54F08DA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1.7: Reform of tax courts</w:t>
            </w:r>
          </w:p>
        </w:tc>
        <w:tc>
          <w:tcPr>
            <w:tcW w:w="1260" w:type="dxa"/>
            <w:shd w:val="clear" w:color="auto" w:fill="C6EFCE"/>
            <w:tcMar>
              <w:left w:w="108" w:type="dxa"/>
              <w:right w:w="108" w:type="dxa"/>
            </w:tcMar>
            <w:vAlign w:val="center"/>
          </w:tcPr>
          <w:p w14:paraId="2B77676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1EC7DB6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Comprehensive reform of tax courts of first and second instance</w:t>
            </w:r>
          </w:p>
        </w:tc>
      </w:tr>
      <w:tr w:rsidR="0039681A" w:rsidRPr="0070054C" w14:paraId="2E42E319" w14:textId="77777777">
        <w:trPr>
          <w:trHeight w:val="300"/>
        </w:trPr>
        <w:tc>
          <w:tcPr>
            <w:tcW w:w="1395" w:type="dxa"/>
            <w:shd w:val="clear" w:color="auto" w:fill="C6EFCE"/>
            <w:tcMar>
              <w:left w:w="108" w:type="dxa"/>
              <w:right w:w="108" w:type="dxa"/>
            </w:tcMar>
            <w:vAlign w:val="center"/>
          </w:tcPr>
          <w:p w14:paraId="3F9A1E0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M1C1-36</w:t>
            </w:r>
          </w:p>
        </w:tc>
        <w:tc>
          <w:tcPr>
            <w:tcW w:w="3541" w:type="dxa"/>
            <w:shd w:val="clear" w:color="auto" w:fill="C6EFCE"/>
            <w:tcMar>
              <w:left w:w="108" w:type="dxa"/>
              <w:right w:w="108" w:type="dxa"/>
            </w:tcMar>
            <w:vAlign w:val="center"/>
          </w:tcPr>
          <w:p w14:paraId="167E5F9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Reforms 1.4, 1.5 and 1.6: Reform of civil and criminal justice and insolvency reform</w:t>
            </w:r>
          </w:p>
        </w:tc>
        <w:tc>
          <w:tcPr>
            <w:tcW w:w="1260" w:type="dxa"/>
            <w:shd w:val="clear" w:color="auto" w:fill="C6EFCE"/>
            <w:tcMar>
              <w:left w:w="108" w:type="dxa"/>
              <w:right w:w="108" w:type="dxa"/>
            </w:tcMar>
            <w:vAlign w:val="center"/>
          </w:tcPr>
          <w:p w14:paraId="0925D90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0C04C69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delegated acts for the civil and criminal justice reforms and of the insolvency reform</w:t>
            </w:r>
          </w:p>
        </w:tc>
      </w:tr>
      <w:tr w:rsidR="0039681A" w:rsidRPr="0070054C" w14:paraId="4D697B7B" w14:textId="77777777">
        <w:trPr>
          <w:trHeight w:val="300"/>
        </w:trPr>
        <w:tc>
          <w:tcPr>
            <w:tcW w:w="1395" w:type="dxa"/>
            <w:shd w:val="clear" w:color="auto" w:fill="C6EFCE"/>
            <w:tcMar>
              <w:left w:w="108" w:type="dxa"/>
              <w:right w:w="108" w:type="dxa"/>
            </w:tcMar>
            <w:vAlign w:val="center"/>
          </w:tcPr>
          <w:p w14:paraId="570F0CE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M1C1-57</w:t>
            </w:r>
          </w:p>
        </w:tc>
        <w:tc>
          <w:tcPr>
            <w:tcW w:w="3541" w:type="dxa"/>
            <w:shd w:val="clear" w:color="auto" w:fill="C6EFCE"/>
            <w:tcMar>
              <w:left w:w="108" w:type="dxa"/>
              <w:right w:w="108" w:type="dxa"/>
            </w:tcMar>
            <w:vAlign w:val="center"/>
          </w:tcPr>
          <w:p w14:paraId="776FA79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60" w:type="dxa"/>
            <w:shd w:val="clear" w:color="auto" w:fill="C6EFCE"/>
            <w:tcMar>
              <w:left w:w="108" w:type="dxa"/>
              <w:right w:w="108" w:type="dxa"/>
            </w:tcMar>
            <w:vAlign w:val="center"/>
          </w:tcPr>
          <w:p w14:paraId="117CBD8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7980632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administrative procedures for the simplification reform aimed at implementing the RRF</w:t>
            </w:r>
          </w:p>
        </w:tc>
      </w:tr>
      <w:tr w:rsidR="0039681A" w:rsidRPr="0070054C" w14:paraId="2ECE080D" w14:textId="77777777">
        <w:trPr>
          <w:trHeight w:val="300"/>
        </w:trPr>
        <w:tc>
          <w:tcPr>
            <w:tcW w:w="1395" w:type="dxa"/>
            <w:shd w:val="clear" w:color="auto" w:fill="C6EFCE"/>
            <w:tcMar>
              <w:left w:w="108" w:type="dxa"/>
              <w:right w:w="108" w:type="dxa"/>
            </w:tcMar>
            <w:vAlign w:val="center"/>
          </w:tcPr>
          <w:p w14:paraId="62B2F81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M1C1-102</w:t>
            </w:r>
          </w:p>
        </w:tc>
        <w:tc>
          <w:tcPr>
            <w:tcW w:w="3541" w:type="dxa"/>
            <w:shd w:val="clear" w:color="auto" w:fill="C6EFCE"/>
            <w:tcMar>
              <w:left w:w="108" w:type="dxa"/>
              <w:right w:w="108" w:type="dxa"/>
            </w:tcMar>
            <w:vAlign w:val="center"/>
          </w:tcPr>
          <w:p w14:paraId="06E5A05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260" w:type="dxa"/>
            <w:shd w:val="clear" w:color="auto" w:fill="C6EFCE"/>
            <w:tcMar>
              <w:left w:w="108" w:type="dxa"/>
              <w:right w:w="108" w:type="dxa"/>
            </w:tcMar>
            <w:vAlign w:val="center"/>
          </w:tcPr>
          <w:p w14:paraId="3244223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7AE142D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a report on the effectiveness of practices used by selected public administrations for formulating and implementing saving plans</w:t>
            </w:r>
          </w:p>
        </w:tc>
      </w:tr>
      <w:tr w:rsidR="0039681A" w:rsidRPr="0070054C" w14:paraId="653CDC26" w14:textId="77777777">
        <w:trPr>
          <w:trHeight w:val="300"/>
        </w:trPr>
        <w:tc>
          <w:tcPr>
            <w:tcW w:w="1395" w:type="dxa"/>
            <w:shd w:val="clear" w:color="auto" w:fill="C6EFCE"/>
            <w:tcMar>
              <w:left w:w="108" w:type="dxa"/>
              <w:right w:w="108" w:type="dxa"/>
            </w:tcMar>
            <w:vAlign w:val="center"/>
          </w:tcPr>
          <w:p w14:paraId="31179B6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M1C1-105</w:t>
            </w:r>
          </w:p>
        </w:tc>
        <w:tc>
          <w:tcPr>
            <w:tcW w:w="3541" w:type="dxa"/>
            <w:shd w:val="clear" w:color="auto" w:fill="C6EFCE"/>
            <w:tcMar>
              <w:left w:w="108" w:type="dxa"/>
              <w:right w:w="108" w:type="dxa"/>
            </w:tcMar>
            <w:vAlign w:val="center"/>
          </w:tcPr>
          <w:p w14:paraId="71B0F56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60" w:type="dxa"/>
            <w:shd w:val="clear" w:color="auto" w:fill="C6EFCE"/>
            <w:tcMar>
              <w:left w:w="108" w:type="dxa"/>
              <w:right w:w="108" w:type="dxa"/>
            </w:tcMar>
            <w:vAlign w:val="center"/>
          </w:tcPr>
          <w:p w14:paraId="2CC4A6A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0F3AFE5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Higher number of "compliance letters"</w:t>
            </w:r>
          </w:p>
        </w:tc>
      </w:tr>
      <w:tr w:rsidR="0039681A" w:rsidRPr="0070054C" w14:paraId="3F3C3330" w14:textId="77777777">
        <w:trPr>
          <w:trHeight w:val="300"/>
        </w:trPr>
        <w:tc>
          <w:tcPr>
            <w:tcW w:w="1395" w:type="dxa"/>
            <w:shd w:val="clear" w:color="auto" w:fill="C6EFCE"/>
            <w:tcMar>
              <w:left w:w="108" w:type="dxa"/>
              <w:right w:w="108" w:type="dxa"/>
            </w:tcMar>
            <w:vAlign w:val="center"/>
          </w:tcPr>
          <w:p w14:paraId="6AD677A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M1C1-106</w:t>
            </w:r>
          </w:p>
        </w:tc>
        <w:tc>
          <w:tcPr>
            <w:tcW w:w="3541" w:type="dxa"/>
            <w:shd w:val="clear" w:color="auto" w:fill="C6EFCE"/>
            <w:tcMar>
              <w:left w:w="108" w:type="dxa"/>
              <w:right w:w="108" w:type="dxa"/>
            </w:tcMar>
            <w:vAlign w:val="center"/>
          </w:tcPr>
          <w:p w14:paraId="40B8C69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60" w:type="dxa"/>
            <w:shd w:val="clear" w:color="auto" w:fill="C6EFCE"/>
            <w:tcMar>
              <w:left w:w="108" w:type="dxa"/>
              <w:right w:w="108" w:type="dxa"/>
            </w:tcMar>
            <w:vAlign w:val="center"/>
          </w:tcPr>
          <w:p w14:paraId="0BA84E9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52DB399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Reducing the number of false positive "compliance letters”</w:t>
            </w:r>
          </w:p>
        </w:tc>
      </w:tr>
      <w:tr w:rsidR="0039681A" w:rsidRPr="0070054C" w14:paraId="62D71216" w14:textId="77777777">
        <w:trPr>
          <w:trHeight w:val="300"/>
        </w:trPr>
        <w:tc>
          <w:tcPr>
            <w:tcW w:w="1395" w:type="dxa"/>
            <w:shd w:val="clear" w:color="auto" w:fill="C6EFCE"/>
            <w:tcMar>
              <w:left w:w="108" w:type="dxa"/>
              <w:right w:w="108" w:type="dxa"/>
            </w:tcMar>
            <w:vAlign w:val="center"/>
          </w:tcPr>
          <w:p w14:paraId="0384852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M1C1-107</w:t>
            </w:r>
          </w:p>
        </w:tc>
        <w:tc>
          <w:tcPr>
            <w:tcW w:w="3541" w:type="dxa"/>
            <w:shd w:val="clear" w:color="auto" w:fill="C6EFCE"/>
            <w:tcMar>
              <w:left w:w="108" w:type="dxa"/>
              <w:right w:w="108" w:type="dxa"/>
            </w:tcMar>
            <w:vAlign w:val="center"/>
          </w:tcPr>
          <w:p w14:paraId="0DF5761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60" w:type="dxa"/>
            <w:shd w:val="clear" w:color="auto" w:fill="C6EFCE"/>
            <w:tcMar>
              <w:left w:w="108" w:type="dxa"/>
              <w:right w:w="108" w:type="dxa"/>
            </w:tcMar>
            <w:vAlign w:val="center"/>
          </w:tcPr>
          <w:p w14:paraId="1CC06EC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1D65BB8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Increase in the tax revenue generated by "compliance letters"</w:t>
            </w:r>
          </w:p>
        </w:tc>
      </w:tr>
      <w:tr w:rsidR="0039681A" w:rsidRPr="0070054C" w14:paraId="434CF5EE" w14:textId="77777777">
        <w:trPr>
          <w:trHeight w:val="300"/>
        </w:trPr>
        <w:tc>
          <w:tcPr>
            <w:tcW w:w="1395" w:type="dxa"/>
            <w:shd w:val="clear" w:color="auto" w:fill="C6EFCE"/>
            <w:tcMar>
              <w:left w:w="108" w:type="dxa"/>
              <w:right w:w="108" w:type="dxa"/>
            </w:tcMar>
            <w:vAlign w:val="center"/>
          </w:tcPr>
          <w:p w14:paraId="6FDDC81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M1C2-6</w:t>
            </w:r>
          </w:p>
        </w:tc>
        <w:tc>
          <w:tcPr>
            <w:tcW w:w="3541" w:type="dxa"/>
            <w:shd w:val="clear" w:color="auto" w:fill="C6EFCE"/>
            <w:tcMar>
              <w:left w:w="108" w:type="dxa"/>
              <w:right w:w="108" w:type="dxa"/>
            </w:tcMar>
            <w:vAlign w:val="center"/>
          </w:tcPr>
          <w:p w14:paraId="2A52A627"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60" w:type="dxa"/>
            <w:shd w:val="clear" w:color="auto" w:fill="C6EFCE"/>
            <w:tcMar>
              <w:left w:w="108" w:type="dxa"/>
              <w:right w:w="108" w:type="dxa"/>
            </w:tcMar>
            <w:vAlign w:val="center"/>
          </w:tcPr>
          <w:p w14:paraId="3FBCE0D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4C0A543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Annual Competition Law 2021</w:t>
            </w:r>
          </w:p>
        </w:tc>
      </w:tr>
      <w:tr w:rsidR="0039681A" w:rsidRPr="0070054C" w14:paraId="2F3F3573" w14:textId="77777777">
        <w:trPr>
          <w:trHeight w:val="300"/>
        </w:trPr>
        <w:tc>
          <w:tcPr>
            <w:tcW w:w="1395" w:type="dxa"/>
            <w:shd w:val="clear" w:color="auto" w:fill="C6EFCE"/>
            <w:tcMar>
              <w:left w:w="108" w:type="dxa"/>
              <w:right w:w="108" w:type="dxa"/>
            </w:tcMar>
            <w:vAlign w:val="center"/>
          </w:tcPr>
          <w:p w14:paraId="7A83774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M1C2-7</w:t>
            </w:r>
          </w:p>
        </w:tc>
        <w:tc>
          <w:tcPr>
            <w:tcW w:w="3541" w:type="dxa"/>
            <w:shd w:val="clear" w:color="auto" w:fill="C6EFCE"/>
            <w:tcMar>
              <w:left w:w="108" w:type="dxa"/>
              <w:right w:w="108" w:type="dxa"/>
            </w:tcMar>
            <w:vAlign w:val="center"/>
          </w:tcPr>
          <w:p w14:paraId="208424D5"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60" w:type="dxa"/>
            <w:shd w:val="clear" w:color="auto" w:fill="C6EFCE"/>
            <w:tcMar>
              <w:left w:w="108" w:type="dxa"/>
              <w:right w:w="108" w:type="dxa"/>
            </w:tcMar>
            <w:vAlign w:val="center"/>
          </w:tcPr>
          <w:p w14:paraId="0885B5D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0C9E481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all energy-related implementing measures and secondary legislation (if necessary)</w:t>
            </w:r>
          </w:p>
        </w:tc>
      </w:tr>
      <w:tr w:rsidR="0039681A" w:rsidRPr="0070054C" w14:paraId="0A0C7360" w14:textId="77777777">
        <w:trPr>
          <w:trHeight w:val="300"/>
        </w:trPr>
        <w:tc>
          <w:tcPr>
            <w:tcW w:w="1395" w:type="dxa"/>
            <w:shd w:val="clear" w:color="auto" w:fill="C6EFCE"/>
            <w:tcMar>
              <w:left w:w="108" w:type="dxa"/>
              <w:right w:w="108" w:type="dxa"/>
            </w:tcMar>
            <w:vAlign w:val="center"/>
          </w:tcPr>
          <w:p w14:paraId="26F259F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M1C2-8</w:t>
            </w:r>
          </w:p>
        </w:tc>
        <w:tc>
          <w:tcPr>
            <w:tcW w:w="3541" w:type="dxa"/>
            <w:shd w:val="clear" w:color="auto" w:fill="C6EFCE"/>
            <w:tcMar>
              <w:left w:w="108" w:type="dxa"/>
              <w:right w:w="108" w:type="dxa"/>
            </w:tcMar>
            <w:vAlign w:val="center"/>
          </w:tcPr>
          <w:p w14:paraId="3A731740"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60" w:type="dxa"/>
            <w:shd w:val="clear" w:color="auto" w:fill="C6EFCE"/>
            <w:tcMar>
              <w:left w:w="108" w:type="dxa"/>
              <w:right w:w="108" w:type="dxa"/>
            </w:tcMar>
            <w:vAlign w:val="center"/>
          </w:tcPr>
          <w:p w14:paraId="6C4FD20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4D3875C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all implementing measures (included secondary legislation, if necessary) for the effective implementation and application of the measures stemming from the 2021 Annual Competition Law</w:t>
            </w:r>
          </w:p>
        </w:tc>
      </w:tr>
      <w:tr w:rsidR="0039681A" w:rsidRPr="0070054C" w14:paraId="0933A421" w14:textId="77777777">
        <w:trPr>
          <w:trHeight w:val="300"/>
        </w:trPr>
        <w:tc>
          <w:tcPr>
            <w:tcW w:w="1395" w:type="dxa"/>
            <w:shd w:val="clear" w:color="auto" w:fill="C6EFCE"/>
            <w:tcMar>
              <w:left w:w="108" w:type="dxa"/>
              <w:right w:w="108" w:type="dxa"/>
            </w:tcMar>
            <w:vAlign w:val="center"/>
          </w:tcPr>
          <w:p w14:paraId="1AB2CFF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M1C3-6</w:t>
            </w:r>
          </w:p>
        </w:tc>
        <w:tc>
          <w:tcPr>
            <w:tcW w:w="3541" w:type="dxa"/>
            <w:shd w:val="clear" w:color="auto" w:fill="C6EFCE"/>
            <w:tcMar>
              <w:left w:w="108" w:type="dxa"/>
              <w:right w:w="108" w:type="dxa"/>
            </w:tcMar>
            <w:vAlign w:val="center"/>
          </w:tcPr>
          <w:p w14:paraId="58E00E84"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 3.1 Minimum Environmental Criteria for Cultural events</w:t>
            </w:r>
          </w:p>
        </w:tc>
        <w:tc>
          <w:tcPr>
            <w:tcW w:w="1260" w:type="dxa"/>
            <w:shd w:val="clear" w:color="auto" w:fill="C6EFCE"/>
            <w:tcMar>
              <w:left w:w="108" w:type="dxa"/>
              <w:right w:w="108" w:type="dxa"/>
            </w:tcMar>
            <w:vAlign w:val="center"/>
          </w:tcPr>
          <w:p w14:paraId="2699C01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736BCA0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a decree defining social and environmental criteria in public procurement tenders concerning cultural events publicly financed</w:t>
            </w:r>
          </w:p>
        </w:tc>
      </w:tr>
      <w:tr w:rsidR="0039681A" w:rsidRPr="0070054C" w14:paraId="688FE085" w14:textId="77777777">
        <w:trPr>
          <w:trHeight w:val="300"/>
        </w:trPr>
        <w:tc>
          <w:tcPr>
            <w:tcW w:w="1395" w:type="dxa"/>
            <w:shd w:val="clear" w:color="auto" w:fill="C6EFCE"/>
            <w:tcMar>
              <w:left w:w="108" w:type="dxa"/>
              <w:right w:w="108" w:type="dxa"/>
            </w:tcMar>
            <w:vAlign w:val="center"/>
          </w:tcPr>
          <w:p w14:paraId="1D2C311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M2C1-3</w:t>
            </w:r>
          </w:p>
        </w:tc>
        <w:tc>
          <w:tcPr>
            <w:tcW w:w="3541" w:type="dxa"/>
            <w:shd w:val="clear" w:color="auto" w:fill="C6EFCE"/>
            <w:tcMar>
              <w:left w:w="108" w:type="dxa"/>
              <w:right w:w="108" w:type="dxa"/>
            </w:tcMar>
            <w:vAlign w:val="center"/>
          </w:tcPr>
          <w:p w14:paraId="43636A6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 Logistics plan for the agri-food, fishing and aquaculture, forestry, floriculture and plant nursery sectors</w:t>
            </w:r>
          </w:p>
        </w:tc>
        <w:tc>
          <w:tcPr>
            <w:tcW w:w="1260" w:type="dxa"/>
            <w:shd w:val="clear" w:color="auto" w:fill="C6EFCE"/>
            <w:tcMar>
              <w:left w:w="108" w:type="dxa"/>
              <w:right w:w="108" w:type="dxa"/>
            </w:tcMar>
            <w:vAlign w:val="center"/>
          </w:tcPr>
          <w:p w14:paraId="57F5328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74A13C3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Publication of final ranking under the Logistic incentive scheme</w:t>
            </w:r>
          </w:p>
        </w:tc>
      </w:tr>
      <w:tr w:rsidR="0039681A" w:rsidRPr="0070054C" w14:paraId="723641AF" w14:textId="77777777">
        <w:trPr>
          <w:trHeight w:val="300"/>
        </w:trPr>
        <w:tc>
          <w:tcPr>
            <w:tcW w:w="1395" w:type="dxa"/>
            <w:shd w:val="clear" w:color="auto" w:fill="C6EFCE"/>
            <w:tcMar>
              <w:left w:w="108" w:type="dxa"/>
              <w:right w:w="108" w:type="dxa"/>
            </w:tcMar>
            <w:vAlign w:val="center"/>
          </w:tcPr>
          <w:p w14:paraId="72A546B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M2C1-4</w:t>
            </w:r>
          </w:p>
        </w:tc>
        <w:tc>
          <w:tcPr>
            <w:tcW w:w="3541" w:type="dxa"/>
            <w:shd w:val="clear" w:color="auto" w:fill="C6EFCE"/>
            <w:tcMar>
              <w:left w:w="108" w:type="dxa"/>
              <w:right w:w="108" w:type="dxa"/>
            </w:tcMar>
            <w:vAlign w:val="center"/>
          </w:tcPr>
          <w:p w14:paraId="49972370"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2.2: Agri-solar Park</w:t>
            </w:r>
          </w:p>
        </w:tc>
        <w:tc>
          <w:tcPr>
            <w:tcW w:w="1260" w:type="dxa"/>
            <w:shd w:val="clear" w:color="auto" w:fill="C6EFCE"/>
            <w:tcMar>
              <w:left w:w="108" w:type="dxa"/>
              <w:right w:w="108" w:type="dxa"/>
            </w:tcMar>
            <w:vAlign w:val="center"/>
          </w:tcPr>
          <w:p w14:paraId="46375FD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5563D6D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Allocation of resources to the beneficiaries as % of the total financial resources assigned to the investment</w:t>
            </w:r>
          </w:p>
        </w:tc>
      </w:tr>
      <w:tr w:rsidR="0039681A" w:rsidRPr="0070054C" w14:paraId="34C00306" w14:textId="77777777">
        <w:trPr>
          <w:trHeight w:val="300"/>
        </w:trPr>
        <w:tc>
          <w:tcPr>
            <w:tcW w:w="1395" w:type="dxa"/>
            <w:shd w:val="clear" w:color="auto" w:fill="C6EFCE"/>
            <w:tcMar>
              <w:left w:w="108" w:type="dxa"/>
              <w:right w:w="108" w:type="dxa"/>
            </w:tcMar>
            <w:vAlign w:val="center"/>
          </w:tcPr>
          <w:p w14:paraId="2682C44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M2C2-8</w:t>
            </w:r>
          </w:p>
        </w:tc>
        <w:tc>
          <w:tcPr>
            <w:tcW w:w="3541" w:type="dxa"/>
            <w:shd w:val="clear" w:color="auto" w:fill="C6EFCE"/>
            <w:tcMar>
              <w:left w:w="108" w:type="dxa"/>
              <w:right w:w="108" w:type="dxa"/>
            </w:tcMar>
            <w:vAlign w:val="center"/>
          </w:tcPr>
          <w:p w14:paraId="01B061EA"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2.1 Strengthening smart grids</w:t>
            </w:r>
          </w:p>
        </w:tc>
        <w:tc>
          <w:tcPr>
            <w:tcW w:w="1260" w:type="dxa"/>
            <w:shd w:val="clear" w:color="auto" w:fill="C6EFCE"/>
            <w:tcMar>
              <w:left w:w="108" w:type="dxa"/>
              <w:right w:w="108" w:type="dxa"/>
            </w:tcMar>
            <w:vAlign w:val="center"/>
          </w:tcPr>
          <w:p w14:paraId="66A8EF2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79EA836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to increase the network capacity</w:t>
            </w:r>
          </w:p>
        </w:tc>
      </w:tr>
      <w:tr w:rsidR="0039681A" w:rsidRPr="0070054C" w14:paraId="0A852611" w14:textId="77777777">
        <w:trPr>
          <w:trHeight w:val="300"/>
        </w:trPr>
        <w:tc>
          <w:tcPr>
            <w:tcW w:w="1395" w:type="dxa"/>
            <w:shd w:val="clear" w:color="auto" w:fill="C6EFCE"/>
            <w:tcMar>
              <w:left w:w="108" w:type="dxa"/>
              <w:right w:w="108" w:type="dxa"/>
            </w:tcMar>
            <w:vAlign w:val="center"/>
          </w:tcPr>
          <w:p w14:paraId="4540D9B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M2C2-12</w:t>
            </w:r>
          </w:p>
        </w:tc>
        <w:tc>
          <w:tcPr>
            <w:tcW w:w="3541" w:type="dxa"/>
            <w:shd w:val="clear" w:color="auto" w:fill="C6EFCE"/>
            <w:tcMar>
              <w:left w:w="108" w:type="dxa"/>
              <w:right w:w="108" w:type="dxa"/>
            </w:tcMar>
            <w:vAlign w:val="center"/>
          </w:tcPr>
          <w:p w14:paraId="63ED27D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2.2 Interventions to increase the resilience of power grid</w:t>
            </w:r>
          </w:p>
        </w:tc>
        <w:tc>
          <w:tcPr>
            <w:tcW w:w="1260" w:type="dxa"/>
            <w:shd w:val="clear" w:color="auto" w:fill="C6EFCE"/>
            <w:tcMar>
              <w:left w:w="108" w:type="dxa"/>
              <w:right w:w="108" w:type="dxa"/>
            </w:tcMar>
            <w:vAlign w:val="center"/>
          </w:tcPr>
          <w:p w14:paraId="1C1DF4D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44479DF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projects to increase the resilience of the electricity system network</w:t>
            </w:r>
          </w:p>
        </w:tc>
      </w:tr>
      <w:tr w:rsidR="0039681A" w:rsidRPr="0070054C" w14:paraId="27520B3C" w14:textId="77777777">
        <w:trPr>
          <w:trHeight w:val="300"/>
        </w:trPr>
        <w:tc>
          <w:tcPr>
            <w:tcW w:w="1395" w:type="dxa"/>
            <w:shd w:val="clear" w:color="auto" w:fill="C6EFCE"/>
            <w:tcMar>
              <w:left w:w="108" w:type="dxa"/>
              <w:right w:w="108" w:type="dxa"/>
            </w:tcMar>
            <w:vAlign w:val="center"/>
          </w:tcPr>
          <w:p w14:paraId="3112194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M3C2-1</w:t>
            </w:r>
          </w:p>
        </w:tc>
        <w:tc>
          <w:tcPr>
            <w:tcW w:w="3541" w:type="dxa"/>
            <w:shd w:val="clear" w:color="auto" w:fill="C6EFCE"/>
            <w:tcMar>
              <w:left w:w="108" w:type="dxa"/>
              <w:right w:w="108" w:type="dxa"/>
            </w:tcMar>
            <w:vAlign w:val="center"/>
          </w:tcPr>
          <w:p w14:paraId="1E601D4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1.1- Simplification of procedures for the strategic planning process </w:t>
            </w:r>
          </w:p>
        </w:tc>
        <w:tc>
          <w:tcPr>
            <w:tcW w:w="1260" w:type="dxa"/>
            <w:shd w:val="clear" w:color="auto" w:fill="C6EFCE"/>
            <w:tcMar>
              <w:left w:w="108" w:type="dxa"/>
              <w:right w:w="108" w:type="dxa"/>
            </w:tcMar>
            <w:vAlign w:val="center"/>
          </w:tcPr>
          <w:p w14:paraId="6850AD0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7A0B874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legislative modifications related to the simplification of the procedures for the strategic planning process</w:t>
            </w:r>
          </w:p>
        </w:tc>
      </w:tr>
      <w:tr w:rsidR="0039681A" w:rsidRPr="0070054C" w14:paraId="21CDA3A6" w14:textId="77777777">
        <w:trPr>
          <w:trHeight w:val="300"/>
        </w:trPr>
        <w:tc>
          <w:tcPr>
            <w:tcW w:w="1395" w:type="dxa"/>
            <w:shd w:val="clear" w:color="auto" w:fill="C6EFCE"/>
            <w:tcMar>
              <w:left w:w="108" w:type="dxa"/>
              <w:right w:w="108" w:type="dxa"/>
            </w:tcMar>
            <w:vAlign w:val="center"/>
          </w:tcPr>
          <w:p w14:paraId="1185BF4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M3C2-2</w:t>
            </w:r>
          </w:p>
        </w:tc>
        <w:tc>
          <w:tcPr>
            <w:tcW w:w="3541" w:type="dxa"/>
            <w:shd w:val="clear" w:color="auto" w:fill="C6EFCE"/>
            <w:tcMar>
              <w:left w:w="108" w:type="dxa"/>
              <w:right w:w="108" w:type="dxa"/>
            </w:tcMar>
            <w:vAlign w:val="center"/>
          </w:tcPr>
          <w:p w14:paraId="5307253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1.2- Competitive award of concessions in Italian ports</w:t>
            </w:r>
          </w:p>
        </w:tc>
        <w:tc>
          <w:tcPr>
            <w:tcW w:w="1260" w:type="dxa"/>
            <w:shd w:val="clear" w:color="auto" w:fill="C6EFCE"/>
            <w:tcMar>
              <w:left w:w="108" w:type="dxa"/>
              <w:right w:w="108" w:type="dxa"/>
            </w:tcMar>
            <w:vAlign w:val="center"/>
          </w:tcPr>
          <w:p w14:paraId="542C5BF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44D1058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Regulation on port concessions</w:t>
            </w:r>
          </w:p>
        </w:tc>
      </w:tr>
      <w:tr w:rsidR="0039681A" w:rsidRPr="0070054C" w14:paraId="7E48B5EF" w14:textId="77777777">
        <w:trPr>
          <w:trHeight w:val="300"/>
        </w:trPr>
        <w:tc>
          <w:tcPr>
            <w:tcW w:w="1395" w:type="dxa"/>
            <w:shd w:val="clear" w:color="auto" w:fill="C6EFCE"/>
            <w:tcMar>
              <w:left w:w="108" w:type="dxa"/>
              <w:right w:w="108" w:type="dxa"/>
            </w:tcMar>
            <w:vAlign w:val="center"/>
          </w:tcPr>
          <w:p w14:paraId="690BD31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M3C2-4</w:t>
            </w:r>
          </w:p>
        </w:tc>
        <w:tc>
          <w:tcPr>
            <w:tcW w:w="3541" w:type="dxa"/>
            <w:shd w:val="clear" w:color="auto" w:fill="C6EFCE"/>
            <w:tcMar>
              <w:left w:w="108" w:type="dxa"/>
              <w:right w:w="108" w:type="dxa"/>
            </w:tcMar>
            <w:vAlign w:val="center"/>
          </w:tcPr>
          <w:p w14:paraId="05AE3DFA" w14:textId="63720698"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1.3-</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Simplification of authorisation procedures for cold ironing plants</w:t>
            </w:r>
          </w:p>
        </w:tc>
        <w:tc>
          <w:tcPr>
            <w:tcW w:w="1260" w:type="dxa"/>
            <w:shd w:val="clear" w:color="auto" w:fill="C6EFCE"/>
            <w:tcMar>
              <w:left w:w="108" w:type="dxa"/>
              <w:right w:w="108" w:type="dxa"/>
            </w:tcMar>
            <w:vAlign w:val="center"/>
          </w:tcPr>
          <w:p w14:paraId="088C55C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0AC33804" w14:textId="118233CA"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simplification of authorisation procedures for</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cold ironing plants</w:t>
            </w:r>
          </w:p>
        </w:tc>
      </w:tr>
      <w:tr w:rsidR="0039681A" w:rsidRPr="0070054C" w14:paraId="5D79114E" w14:textId="77777777">
        <w:trPr>
          <w:trHeight w:val="300"/>
        </w:trPr>
        <w:tc>
          <w:tcPr>
            <w:tcW w:w="1395" w:type="dxa"/>
            <w:shd w:val="clear" w:color="auto" w:fill="C6EFCE"/>
            <w:tcMar>
              <w:left w:w="108" w:type="dxa"/>
              <w:right w:w="108" w:type="dxa"/>
            </w:tcMar>
            <w:vAlign w:val="center"/>
          </w:tcPr>
          <w:p w14:paraId="467892C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M4C1-5</w:t>
            </w:r>
          </w:p>
        </w:tc>
        <w:tc>
          <w:tcPr>
            <w:tcW w:w="3541" w:type="dxa"/>
            <w:shd w:val="clear" w:color="auto" w:fill="C6EFCE"/>
            <w:tcMar>
              <w:left w:w="108" w:type="dxa"/>
              <w:right w:w="108" w:type="dxa"/>
            </w:tcMar>
            <w:vAlign w:val="center"/>
          </w:tcPr>
          <w:p w14:paraId="1AA3A70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1.3: Reorganisation of the school system; Reform 1.2: Reform of the tertiary vocational training system (ITS); Reform 1.1: Reform of Technical and Professional Institutes; Reform 1.4: Reform of the “Orientation” system</w:t>
            </w:r>
          </w:p>
        </w:tc>
        <w:tc>
          <w:tcPr>
            <w:tcW w:w="1260" w:type="dxa"/>
            <w:shd w:val="clear" w:color="auto" w:fill="C6EFCE"/>
            <w:tcMar>
              <w:left w:w="108" w:type="dxa"/>
              <w:right w:w="108" w:type="dxa"/>
            </w:tcMar>
            <w:vAlign w:val="center"/>
          </w:tcPr>
          <w:p w14:paraId="134A622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Milestones</w:t>
            </w:r>
          </w:p>
        </w:tc>
        <w:tc>
          <w:tcPr>
            <w:tcW w:w="3162" w:type="dxa"/>
            <w:shd w:val="clear" w:color="auto" w:fill="C6EFCE"/>
            <w:tcMar>
              <w:left w:w="108" w:type="dxa"/>
              <w:right w:w="108" w:type="dxa"/>
            </w:tcMar>
            <w:vAlign w:val="center"/>
          </w:tcPr>
          <w:p w14:paraId="27A419A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reforms of the primary and secondary education system to improve educational outcomes</w:t>
            </w:r>
          </w:p>
        </w:tc>
      </w:tr>
      <w:tr w:rsidR="0039681A" w:rsidRPr="0070054C" w14:paraId="0731ACA6" w14:textId="77777777">
        <w:trPr>
          <w:trHeight w:val="300"/>
        </w:trPr>
        <w:tc>
          <w:tcPr>
            <w:tcW w:w="1395" w:type="dxa"/>
            <w:shd w:val="clear" w:color="auto" w:fill="C6EFCE"/>
            <w:tcMar>
              <w:left w:w="108" w:type="dxa"/>
              <w:right w:w="108" w:type="dxa"/>
            </w:tcMar>
            <w:vAlign w:val="center"/>
          </w:tcPr>
          <w:p w14:paraId="0899BDE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M4C1-6</w:t>
            </w:r>
          </w:p>
        </w:tc>
        <w:tc>
          <w:tcPr>
            <w:tcW w:w="3541" w:type="dxa"/>
            <w:shd w:val="clear" w:color="auto" w:fill="C6EFCE"/>
            <w:tcMar>
              <w:left w:w="108" w:type="dxa"/>
              <w:right w:w="108" w:type="dxa"/>
            </w:tcMar>
            <w:vAlign w:val="center"/>
          </w:tcPr>
          <w:p w14:paraId="0D17BF6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2.2: Tertiary advanced school and continuous training for school managers, teachers, administrative and technical staff</w:t>
            </w:r>
          </w:p>
        </w:tc>
        <w:tc>
          <w:tcPr>
            <w:tcW w:w="1260" w:type="dxa"/>
            <w:shd w:val="clear" w:color="auto" w:fill="C6EFCE"/>
            <w:tcMar>
              <w:left w:w="108" w:type="dxa"/>
              <w:right w:w="108" w:type="dxa"/>
            </w:tcMar>
            <w:vAlign w:val="center"/>
          </w:tcPr>
          <w:p w14:paraId="6315D25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573429B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legislation aimed at building a quality training system for school.</w:t>
            </w:r>
          </w:p>
        </w:tc>
      </w:tr>
      <w:tr w:rsidR="0039681A" w:rsidRPr="0070054C" w14:paraId="06E46070" w14:textId="77777777">
        <w:trPr>
          <w:trHeight w:val="300"/>
        </w:trPr>
        <w:tc>
          <w:tcPr>
            <w:tcW w:w="1395" w:type="dxa"/>
            <w:shd w:val="clear" w:color="auto" w:fill="C6EFCE"/>
            <w:tcMar>
              <w:left w:w="108" w:type="dxa"/>
              <w:right w:w="108" w:type="dxa"/>
            </w:tcMar>
            <w:vAlign w:val="center"/>
          </w:tcPr>
          <w:p w14:paraId="17B91B3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w:t>
            </w:r>
          </w:p>
        </w:tc>
        <w:tc>
          <w:tcPr>
            <w:tcW w:w="3541" w:type="dxa"/>
            <w:shd w:val="clear" w:color="auto" w:fill="C6EFCE"/>
            <w:tcMar>
              <w:left w:w="108" w:type="dxa"/>
              <w:right w:w="108" w:type="dxa"/>
            </w:tcMar>
            <w:vAlign w:val="center"/>
          </w:tcPr>
          <w:p w14:paraId="3357098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Funding projects presented by young researchers</w:t>
            </w:r>
          </w:p>
        </w:tc>
        <w:tc>
          <w:tcPr>
            <w:tcW w:w="1260" w:type="dxa"/>
            <w:shd w:val="clear" w:color="auto" w:fill="C6EFCE"/>
            <w:tcMar>
              <w:left w:w="108" w:type="dxa"/>
              <w:right w:w="108" w:type="dxa"/>
            </w:tcMar>
            <w:vAlign w:val="center"/>
          </w:tcPr>
          <w:p w14:paraId="2D15E22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3B92B98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students awarded of a research grant</w:t>
            </w:r>
          </w:p>
        </w:tc>
      </w:tr>
      <w:tr w:rsidR="0039681A" w:rsidRPr="0070054C" w14:paraId="2241765E" w14:textId="77777777">
        <w:trPr>
          <w:trHeight w:val="300"/>
        </w:trPr>
        <w:tc>
          <w:tcPr>
            <w:tcW w:w="1395" w:type="dxa"/>
            <w:shd w:val="clear" w:color="auto" w:fill="C6EFCE"/>
            <w:tcMar>
              <w:left w:w="108" w:type="dxa"/>
              <w:right w:w="108" w:type="dxa"/>
            </w:tcMar>
            <w:vAlign w:val="center"/>
          </w:tcPr>
          <w:p w14:paraId="02546DD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M5C1-2</w:t>
            </w:r>
          </w:p>
        </w:tc>
        <w:tc>
          <w:tcPr>
            <w:tcW w:w="3541" w:type="dxa"/>
            <w:shd w:val="clear" w:color="auto" w:fill="C6EFCE"/>
            <w:tcMar>
              <w:left w:w="108" w:type="dxa"/>
              <w:right w:w="108" w:type="dxa"/>
            </w:tcMar>
            <w:vAlign w:val="center"/>
          </w:tcPr>
          <w:p w14:paraId="7C06EA6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 ALMPs and Vocational Training</w:t>
            </w:r>
          </w:p>
        </w:tc>
        <w:tc>
          <w:tcPr>
            <w:tcW w:w="1260" w:type="dxa"/>
            <w:shd w:val="clear" w:color="auto" w:fill="C6EFCE"/>
            <w:tcMar>
              <w:left w:w="108" w:type="dxa"/>
              <w:right w:w="108" w:type="dxa"/>
            </w:tcMar>
            <w:vAlign w:val="center"/>
          </w:tcPr>
          <w:p w14:paraId="305B8A0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42CBDF47" w14:textId="032B5E91"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at the Regional level of all plans for the Public Employment Services (PES)</w:t>
            </w:r>
            <w:r w:rsidR="00381DB1">
              <w:rPr>
                <w:rFonts w:ascii="Times New Roman" w:eastAsia="Times New Roman" w:hAnsi="Times New Roman" w:cs="Times New Roman"/>
                <w:noProof/>
                <w:color w:val="006100"/>
                <w:sz w:val="20"/>
                <w:szCs w:val="20"/>
                <w:lang w:val="en-IE" w:eastAsia="en-GB"/>
              </w:rPr>
              <w:t xml:space="preserve"> </w:t>
            </w:r>
          </w:p>
        </w:tc>
      </w:tr>
      <w:tr w:rsidR="0039681A" w:rsidRPr="0070054C" w14:paraId="7FD934CC" w14:textId="77777777">
        <w:trPr>
          <w:trHeight w:val="300"/>
        </w:trPr>
        <w:tc>
          <w:tcPr>
            <w:tcW w:w="1395" w:type="dxa"/>
            <w:shd w:val="clear" w:color="auto" w:fill="C6EFCE"/>
            <w:tcMar>
              <w:left w:w="108" w:type="dxa"/>
              <w:right w:w="108" w:type="dxa"/>
            </w:tcMar>
            <w:vAlign w:val="center"/>
          </w:tcPr>
          <w:p w14:paraId="4466CA3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M5C1-6</w:t>
            </w:r>
          </w:p>
        </w:tc>
        <w:tc>
          <w:tcPr>
            <w:tcW w:w="3541" w:type="dxa"/>
            <w:shd w:val="clear" w:color="auto" w:fill="C6EFCE"/>
            <w:tcMar>
              <w:left w:w="108" w:type="dxa"/>
              <w:right w:w="108" w:type="dxa"/>
            </w:tcMar>
            <w:vAlign w:val="center"/>
          </w:tcPr>
          <w:p w14:paraId="36697B0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1 - Strengthening Public Employment Services (PES) </w:t>
            </w:r>
          </w:p>
        </w:tc>
        <w:tc>
          <w:tcPr>
            <w:tcW w:w="1260" w:type="dxa"/>
            <w:shd w:val="clear" w:color="auto" w:fill="C6EFCE"/>
            <w:tcMar>
              <w:left w:w="108" w:type="dxa"/>
              <w:right w:w="108" w:type="dxa"/>
            </w:tcMar>
            <w:vAlign w:val="center"/>
          </w:tcPr>
          <w:p w14:paraId="07A262F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7BBC3F6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 Employment Services (PES) are implementing the activities envisaged in the Strengthening Plan over the three years period 2021-2023</w:t>
            </w:r>
          </w:p>
        </w:tc>
      </w:tr>
      <w:tr w:rsidR="0039681A" w:rsidRPr="0070054C" w14:paraId="543D5916" w14:textId="77777777">
        <w:trPr>
          <w:trHeight w:val="300"/>
        </w:trPr>
        <w:tc>
          <w:tcPr>
            <w:tcW w:w="1395" w:type="dxa"/>
            <w:shd w:val="clear" w:color="auto" w:fill="C6EFCE"/>
            <w:tcMar>
              <w:left w:w="108" w:type="dxa"/>
              <w:right w:w="108" w:type="dxa"/>
            </w:tcMar>
            <w:vAlign w:val="center"/>
          </w:tcPr>
          <w:p w14:paraId="4ACB62F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M5C1-8</w:t>
            </w:r>
          </w:p>
        </w:tc>
        <w:tc>
          <w:tcPr>
            <w:tcW w:w="3541" w:type="dxa"/>
            <w:shd w:val="clear" w:color="auto" w:fill="C6EFCE"/>
            <w:tcMar>
              <w:left w:w="108" w:type="dxa"/>
              <w:right w:w="108" w:type="dxa"/>
            </w:tcMar>
            <w:vAlign w:val="center"/>
          </w:tcPr>
          <w:p w14:paraId="77A10E2C"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 Undeclared Work</w:t>
            </w:r>
          </w:p>
        </w:tc>
        <w:tc>
          <w:tcPr>
            <w:tcW w:w="1260" w:type="dxa"/>
            <w:shd w:val="clear" w:color="auto" w:fill="C6EFCE"/>
            <w:tcMar>
              <w:left w:w="108" w:type="dxa"/>
              <w:right w:w="108" w:type="dxa"/>
            </w:tcMar>
            <w:vAlign w:val="center"/>
          </w:tcPr>
          <w:p w14:paraId="78A9A9C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1FE2A0B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National Plan and implementation Road Map to fight undeclared work across all economic sectors.</w:t>
            </w:r>
          </w:p>
        </w:tc>
      </w:tr>
      <w:tr w:rsidR="0039681A" w:rsidRPr="0070054C" w14:paraId="6065AFC9" w14:textId="77777777">
        <w:trPr>
          <w:trHeight w:val="300"/>
        </w:trPr>
        <w:tc>
          <w:tcPr>
            <w:tcW w:w="1395" w:type="dxa"/>
            <w:shd w:val="clear" w:color="auto" w:fill="C6EFCE"/>
            <w:tcMar>
              <w:left w:w="108" w:type="dxa"/>
              <w:right w:w="108" w:type="dxa"/>
            </w:tcMar>
            <w:vAlign w:val="center"/>
          </w:tcPr>
          <w:p w14:paraId="508F867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M5C1-12</w:t>
            </w:r>
          </w:p>
        </w:tc>
        <w:tc>
          <w:tcPr>
            <w:tcW w:w="3541" w:type="dxa"/>
            <w:shd w:val="clear" w:color="auto" w:fill="C6EFCE"/>
            <w:tcMar>
              <w:left w:w="108" w:type="dxa"/>
              <w:right w:w="108" w:type="dxa"/>
            </w:tcMar>
            <w:vAlign w:val="center"/>
          </w:tcPr>
          <w:p w14:paraId="2D259B0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 Gender equality certification system</w:t>
            </w:r>
          </w:p>
        </w:tc>
        <w:tc>
          <w:tcPr>
            <w:tcW w:w="1260" w:type="dxa"/>
            <w:shd w:val="clear" w:color="auto" w:fill="C6EFCE"/>
            <w:tcMar>
              <w:left w:w="108" w:type="dxa"/>
              <w:right w:w="108" w:type="dxa"/>
            </w:tcMar>
            <w:vAlign w:val="center"/>
          </w:tcPr>
          <w:p w14:paraId="16B85C2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39B4993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gender equality certification system and accompanying incentive mechanisms for companies </w:t>
            </w:r>
          </w:p>
        </w:tc>
      </w:tr>
      <w:tr w:rsidR="0039681A" w:rsidRPr="0070054C" w14:paraId="3F17945E" w14:textId="77777777">
        <w:trPr>
          <w:trHeight w:val="300"/>
        </w:trPr>
        <w:tc>
          <w:tcPr>
            <w:tcW w:w="1395" w:type="dxa"/>
            <w:shd w:val="clear" w:color="auto" w:fill="C6EFCE"/>
            <w:tcMar>
              <w:left w:w="108" w:type="dxa"/>
              <w:right w:w="108" w:type="dxa"/>
            </w:tcMar>
            <w:vAlign w:val="center"/>
          </w:tcPr>
          <w:p w14:paraId="38159AB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M5C2-7</w:t>
            </w:r>
          </w:p>
        </w:tc>
        <w:tc>
          <w:tcPr>
            <w:tcW w:w="3541" w:type="dxa"/>
            <w:shd w:val="clear" w:color="auto" w:fill="C6EFCE"/>
            <w:tcMar>
              <w:left w:w="108" w:type="dxa"/>
              <w:right w:w="108" w:type="dxa"/>
            </w:tcMar>
            <w:vAlign w:val="center"/>
          </w:tcPr>
          <w:p w14:paraId="2FDC6EF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 Autonomy patterns for people with disabilities</w:t>
            </w:r>
          </w:p>
        </w:tc>
        <w:tc>
          <w:tcPr>
            <w:tcW w:w="1260" w:type="dxa"/>
            <w:shd w:val="clear" w:color="auto" w:fill="C6EFCE"/>
            <w:tcMar>
              <w:left w:w="108" w:type="dxa"/>
              <w:right w:w="108" w:type="dxa"/>
            </w:tcMar>
            <w:vAlign w:val="center"/>
          </w:tcPr>
          <w:p w14:paraId="369AAEF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62" w:type="dxa"/>
            <w:shd w:val="clear" w:color="auto" w:fill="C6EFCE"/>
            <w:tcMar>
              <w:left w:w="108" w:type="dxa"/>
              <w:right w:w="108" w:type="dxa"/>
            </w:tcMar>
            <w:vAlign w:val="center"/>
          </w:tcPr>
          <w:p w14:paraId="6736DF0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Social districts have delivered at least one project in relation to the renovation of home spaces and/or provision of ICT devices to disabled people, accompanied by training on digital skills</w:t>
            </w:r>
          </w:p>
        </w:tc>
      </w:tr>
      <w:tr w:rsidR="0039681A" w:rsidRPr="0070054C" w14:paraId="7B22653A" w14:textId="77777777">
        <w:trPr>
          <w:trHeight w:val="300"/>
        </w:trPr>
        <w:tc>
          <w:tcPr>
            <w:tcW w:w="1395" w:type="dxa"/>
            <w:shd w:val="clear" w:color="auto" w:fill="C6EFCE"/>
            <w:tcMar>
              <w:left w:w="108" w:type="dxa"/>
              <w:right w:w="108" w:type="dxa"/>
            </w:tcMar>
            <w:vAlign w:val="center"/>
          </w:tcPr>
          <w:p w14:paraId="06A3BF2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M5C3-1</w:t>
            </w:r>
          </w:p>
        </w:tc>
        <w:tc>
          <w:tcPr>
            <w:tcW w:w="3541" w:type="dxa"/>
            <w:shd w:val="clear" w:color="auto" w:fill="C6EFCE"/>
            <w:tcMar>
              <w:left w:w="108" w:type="dxa"/>
              <w:right w:w="108" w:type="dxa"/>
            </w:tcMar>
            <w:vAlign w:val="center"/>
          </w:tcPr>
          <w:p w14:paraId="52E90F5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1.1.1: Inner Areas-Enhancement of community social services and infrastructures</w:t>
            </w:r>
          </w:p>
        </w:tc>
        <w:tc>
          <w:tcPr>
            <w:tcW w:w="1260" w:type="dxa"/>
            <w:shd w:val="clear" w:color="auto" w:fill="C6EFCE"/>
            <w:tcMar>
              <w:left w:w="108" w:type="dxa"/>
              <w:right w:w="108" w:type="dxa"/>
            </w:tcMar>
            <w:vAlign w:val="center"/>
          </w:tcPr>
          <w:p w14:paraId="51FD493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7CEF15C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tender for the interventions to improve social services and infrastructures in Inner Areas and for the support to pharmacies in municipalities of less than 3</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 inhabitants</w:t>
            </w:r>
          </w:p>
        </w:tc>
      </w:tr>
      <w:tr w:rsidR="0039681A" w:rsidRPr="0070054C" w14:paraId="7E0B2C23" w14:textId="77777777">
        <w:trPr>
          <w:trHeight w:val="300"/>
        </w:trPr>
        <w:tc>
          <w:tcPr>
            <w:tcW w:w="1395" w:type="dxa"/>
            <w:shd w:val="clear" w:color="auto" w:fill="C6EFCE"/>
            <w:tcMar>
              <w:left w:w="108" w:type="dxa"/>
              <w:right w:w="108" w:type="dxa"/>
            </w:tcMar>
            <w:vAlign w:val="center"/>
          </w:tcPr>
          <w:p w14:paraId="7192534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w:t>
            </w:r>
          </w:p>
        </w:tc>
        <w:tc>
          <w:tcPr>
            <w:tcW w:w="3541" w:type="dxa"/>
            <w:shd w:val="clear" w:color="auto" w:fill="C6EFCE"/>
            <w:tcMar>
              <w:left w:w="108" w:type="dxa"/>
              <w:right w:w="108" w:type="dxa"/>
            </w:tcMar>
            <w:vAlign w:val="center"/>
          </w:tcPr>
          <w:p w14:paraId="1592030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Revise and update the current legal framework of the Scientific Institutes for Hospitalisation and Care (IRCCS) and research policies of the Ministry of Health to strengthen the link between research, innovation and healthcare</w:t>
            </w:r>
          </w:p>
        </w:tc>
        <w:tc>
          <w:tcPr>
            <w:tcW w:w="1260" w:type="dxa"/>
            <w:shd w:val="clear" w:color="auto" w:fill="C6EFCE"/>
            <w:tcMar>
              <w:left w:w="108" w:type="dxa"/>
              <w:right w:w="108" w:type="dxa"/>
            </w:tcMar>
            <w:vAlign w:val="center"/>
          </w:tcPr>
          <w:p w14:paraId="1D8B89A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62" w:type="dxa"/>
            <w:shd w:val="clear" w:color="auto" w:fill="C6EFCE"/>
            <w:tcMar>
              <w:left w:w="108" w:type="dxa"/>
              <w:right w:w="108" w:type="dxa"/>
            </w:tcMar>
            <w:vAlign w:val="center"/>
          </w:tcPr>
          <w:p w14:paraId="0D2C782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legislative decree envisaging the reorganisation of the regulations governing the Scientific institutes for hospitalisation and care (IRCSS)</w:t>
            </w:r>
          </w:p>
        </w:tc>
      </w:tr>
      <w:tr w:rsidR="0039681A" w:rsidRPr="00647572" w14:paraId="7028B47E" w14:textId="77777777">
        <w:trPr>
          <w:trHeight w:val="300"/>
        </w:trPr>
        <w:tc>
          <w:tcPr>
            <w:tcW w:w="1395" w:type="dxa"/>
            <w:shd w:val="clear" w:color="auto" w:fill="C6EFCE"/>
            <w:tcMar>
              <w:left w:w="108" w:type="dxa"/>
              <w:right w:w="108" w:type="dxa"/>
            </w:tcMar>
            <w:vAlign w:val="center"/>
          </w:tcPr>
          <w:p w14:paraId="0DA93A19"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3541" w:type="dxa"/>
            <w:shd w:val="clear" w:color="auto" w:fill="C6EFCE"/>
            <w:tcMar>
              <w:left w:w="108" w:type="dxa"/>
              <w:right w:w="108" w:type="dxa"/>
            </w:tcMar>
            <w:vAlign w:val="center"/>
          </w:tcPr>
          <w:p w14:paraId="30267C7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60" w:type="dxa"/>
            <w:shd w:val="clear" w:color="auto" w:fill="C6EFCE"/>
            <w:tcMar>
              <w:left w:w="108" w:type="dxa"/>
              <w:right w:w="108" w:type="dxa"/>
            </w:tcMar>
            <w:vAlign w:val="center"/>
          </w:tcPr>
          <w:p w14:paraId="4F81C196"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162" w:type="dxa"/>
            <w:shd w:val="clear" w:color="auto" w:fill="C6EFCE"/>
            <w:tcMar>
              <w:left w:w="108" w:type="dxa"/>
              <w:right w:w="108" w:type="dxa"/>
            </w:tcMar>
            <w:vAlign w:val="center"/>
          </w:tcPr>
          <w:p w14:paraId="3FEC87F6"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494</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252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874</w:t>
            </w:r>
          </w:p>
        </w:tc>
      </w:tr>
    </w:tbl>
    <w:p w14:paraId="64A13497" w14:textId="77777777" w:rsidR="0039681A" w:rsidRPr="005D46BA" w:rsidRDefault="0039681A" w:rsidP="00351087">
      <w:pPr>
        <w:spacing w:after="0"/>
        <w:ind w:left="850"/>
        <w:contextualSpacing/>
        <w:jc w:val="both"/>
        <w:rPr>
          <w:rFonts w:ascii="Times New Roman" w:eastAsia="Times New Roman" w:hAnsi="Times New Roman" w:cs="Times New Roman"/>
          <w:noProof/>
          <w:sz w:val="2"/>
          <w:szCs w:val="2"/>
          <w:lang w:eastAsia="en-GB"/>
        </w:rPr>
      </w:pPr>
    </w:p>
    <w:p w14:paraId="176B7793" w14:textId="77777777" w:rsidR="0039681A" w:rsidRPr="00647572" w:rsidRDefault="0039681A" w:rsidP="0039681A">
      <w:pPr>
        <w:pStyle w:val="Heading4"/>
        <w:numPr>
          <w:ilvl w:val="1"/>
          <w:numId w:val="16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Fourth Instalment (non-repayable support):</w:t>
      </w:r>
    </w:p>
    <w:tbl>
      <w:tblPr>
        <w:tblW w:w="935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276"/>
        <w:gridCol w:w="3103"/>
      </w:tblGrid>
      <w:tr w:rsidR="0039681A" w:rsidRPr="00647572" w14:paraId="58E81CBB" w14:textId="77777777">
        <w:trPr>
          <w:trHeight w:val="900"/>
          <w:tblHeader/>
        </w:trPr>
        <w:tc>
          <w:tcPr>
            <w:tcW w:w="1435" w:type="dxa"/>
            <w:vMerge w:val="restart"/>
            <w:shd w:val="clear" w:color="auto" w:fill="BDD7EE"/>
            <w:tcMar>
              <w:left w:w="108" w:type="dxa"/>
              <w:right w:w="108" w:type="dxa"/>
            </w:tcMar>
            <w:vAlign w:val="center"/>
          </w:tcPr>
          <w:p w14:paraId="10D6F967" w14:textId="77777777" w:rsidR="0039681A" w:rsidRPr="00647572" w:rsidRDefault="0039681A">
            <w:pPr>
              <w:spacing w:after="0" w:line="240" w:lineRule="auto"/>
              <w:jc w:val="center"/>
              <w:rPr>
                <w:rFonts w:ascii="Times New Roman" w:eastAsia="Times New Roman" w:hAnsi="Times New Roman" w:cs="Times New Roman"/>
                <w:b/>
                <w:bCs/>
                <w:noProof/>
                <w:color w:val="000000"/>
                <w:sz w:val="20"/>
                <w:szCs w:val="20"/>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vMerge w:val="restart"/>
            <w:shd w:val="clear" w:color="auto" w:fill="BDD7EE"/>
            <w:tcMar>
              <w:left w:w="108" w:type="dxa"/>
              <w:right w:w="108" w:type="dxa"/>
            </w:tcMar>
            <w:vAlign w:val="center"/>
          </w:tcPr>
          <w:p w14:paraId="222AA455"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76" w:type="dxa"/>
            <w:vMerge w:val="restart"/>
            <w:shd w:val="clear" w:color="auto" w:fill="BDD7EE"/>
            <w:tcMar>
              <w:left w:w="108" w:type="dxa"/>
              <w:right w:w="108" w:type="dxa"/>
            </w:tcMar>
            <w:vAlign w:val="center"/>
          </w:tcPr>
          <w:p w14:paraId="58EF286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03" w:type="dxa"/>
            <w:vMerge w:val="restart"/>
            <w:shd w:val="clear" w:color="auto" w:fill="BDD7EE"/>
            <w:tcMar>
              <w:left w:w="108" w:type="dxa"/>
              <w:right w:w="108" w:type="dxa"/>
            </w:tcMar>
            <w:vAlign w:val="center"/>
          </w:tcPr>
          <w:p w14:paraId="69ED8A8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30D785E2" w14:textId="77777777">
        <w:trPr>
          <w:trHeight w:val="510"/>
        </w:trPr>
        <w:tc>
          <w:tcPr>
            <w:tcW w:w="1435" w:type="dxa"/>
            <w:vMerge/>
            <w:vAlign w:val="center"/>
          </w:tcPr>
          <w:p w14:paraId="5BA31AE8"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543" w:type="dxa"/>
            <w:vMerge/>
            <w:vAlign w:val="center"/>
          </w:tcPr>
          <w:p w14:paraId="1B4C227B"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276" w:type="dxa"/>
            <w:vMerge/>
            <w:vAlign w:val="center"/>
          </w:tcPr>
          <w:p w14:paraId="52D3873F"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103" w:type="dxa"/>
            <w:vMerge/>
            <w:vAlign w:val="center"/>
          </w:tcPr>
          <w:p w14:paraId="17F86F6E"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647572" w14:paraId="7329FC63" w14:textId="77777777">
        <w:trPr>
          <w:trHeight w:val="300"/>
        </w:trPr>
        <w:tc>
          <w:tcPr>
            <w:tcW w:w="1435" w:type="dxa"/>
            <w:shd w:val="clear" w:color="auto" w:fill="C6EFCE"/>
            <w:tcMar>
              <w:left w:w="108" w:type="dxa"/>
              <w:right w:w="108" w:type="dxa"/>
            </w:tcMar>
            <w:vAlign w:val="center"/>
          </w:tcPr>
          <w:p w14:paraId="57380E6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w:t>
            </w:r>
          </w:p>
        </w:tc>
        <w:tc>
          <w:tcPr>
            <w:tcW w:w="3543" w:type="dxa"/>
            <w:shd w:val="clear" w:color="auto" w:fill="C6EFCE"/>
            <w:tcMar>
              <w:left w:w="108" w:type="dxa"/>
              <w:right w:w="108" w:type="dxa"/>
            </w:tcMar>
            <w:vAlign w:val="center"/>
          </w:tcPr>
          <w:p w14:paraId="1C8DADC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1.6.6: Digitization of the Finance Police</w:t>
            </w:r>
          </w:p>
        </w:tc>
        <w:tc>
          <w:tcPr>
            <w:tcW w:w="1276" w:type="dxa"/>
            <w:shd w:val="clear" w:color="auto" w:fill="C6EFCE"/>
            <w:tcMar>
              <w:left w:w="108" w:type="dxa"/>
              <w:right w:w="108" w:type="dxa"/>
            </w:tcMar>
            <w:vAlign w:val="center"/>
          </w:tcPr>
          <w:p w14:paraId="0250B11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shd w:val="clear" w:color="auto" w:fill="C6EFCE"/>
            <w:tcMar>
              <w:left w:w="108" w:type="dxa"/>
              <w:right w:w="108" w:type="dxa"/>
            </w:tcMar>
            <w:vAlign w:val="center"/>
          </w:tcPr>
          <w:p w14:paraId="6CA78F1B"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Finance Police - Purchase of professional data science services T1</w:t>
            </w:r>
          </w:p>
        </w:tc>
      </w:tr>
      <w:tr w:rsidR="0039681A" w:rsidRPr="0070054C" w14:paraId="006186FD" w14:textId="77777777">
        <w:trPr>
          <w:trHeight w:val="300"/>
        </w:trPr>
        <w:tc>
          <w:tcPr>
            <w:tcW w:w="1435" w:type="dxa"/>
            <w:shd w:val="clear" w:color="auto" w:fill="C6EFCE"/>
            <w:tcMar>
              <w:left w:w="108" w:type="dxa"/>
              <w:right w:w="108" w:type="dxa"/>
            </w:tcMar>
            <w:vAlign w:val="center"/>
          </w:tcPr>
          <w:p w14:paraId="2CC4635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M1C1-72</w:t>
            </w:r>
          </w:p>
        </w:tc>
        <w:tc>
          <w:tcPr>
            <w:tcW w:w="3543" w:type="dxa"/>
            <w:shd w:val="clear" w:color="auto" w:fill="C6EFCE"/>
            <w:tcMar>
              <w:left w:w="108" w:type="dxa"/>
              <w:right w:w="108" w:type="dxa"/>
            </w:tcMar>
            <w:vAlign w:val="center"/>
          </w:tcPr>
          <w:p w14:paraId="0524DB4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6" w:type="dxa"/>
            <w:shd w:val="clear" w:color="auto" w:fill="C6EFCE"/>
            <w:tcMar>
              <w:left w:w="108" w:type="dxa"/>
              <w:right w:w="108" w:type="dxa"/>
            </w:tcMar>
            <w:vAlign w:val="center"/>
          </w:tcPr>
          <w:p w14:paraId="71FDDDC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33312B9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Measures to reduce late payments from the public administration to businesses are approved</w:t>
            </w:r>
          </w:p>
        </w:tc>
      </w:tr>
      <w:tr w:rsidR="0039681A" w:rsidRPr="0070054C" w14:paraId="62B426FD" w14:textId="77777777">
        <w:trPr>
          <w:trHeight w:val="300"/>
        </w:trPr>
        <w:tc>
          <w:tcPr>
            <w:tcW w:w="1435" w:type="dxa"/>
            <w:shd w:val="clear" w:color="auto" w:fill="C6EFCE"/>
            <w:tcMar>
              <w:left w:w="108" w:type="dxa"/>
              <w:right w:w="108" w:type="dxa"/>
            </w:tcMar>
            <w:vAlign w:val="center"/>
          </w:tcPr>
          <w:p w14:paraId="3884508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M1C1-73</w:t>
            </w:r>
          </w:p>
        </w:tc>
        <w:tc>
          <w:tcPr>
            <w:tcW w:w="3543" w:type="dxa"/>
            <w:shd w:val="clear" w:color="auto" w:fill="C6EFCE"/>
            <w:tcMar>
              <w:left w:w="108" w:type="dxa"/>
              <w:right w:w="108" w:type="dxa"/>
            </w:tcMar>
            <w:vAlign w:val="center"/>
          </w:tcPr>
          <w:p w14:paraId="47133DB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48336D7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77FA91B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reform of the Public Procurement Code</w:t>
            </w:r>
          </w:p>
        </w:tc>
      </w:tr>
      <w:tr w:rsidR="0039681A" w:rsidRPr="0070054C" w14:paraId="1BFABA0F" w14:textId="77777777">
        <w:trPr>
          <w:trHeight w:val="300"/>
        </w:trPr>
        <w:tc>
          <w:tcPr>
            <w:tcW w:w="1435" w:type="dxa"/>
            <w:shd w:val="clear" w:color="auto" w:fill="C6EFCE"/>
            <w:tcMar>
              <w:left w:w="108" w:type="dxa"/>
              <w:right w:w="108" w:type="dxa"/>
            </w:tcMar>
            <w:vAlign w:val="center"/>
          </w:tcPr>
          <w:p w14:paraId="3448A32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M2C2-14</w:t>
            </w:r>
          </w:p>
        </w:tc>
        <w:tc>
          <w:tcPr>
            <w:tcW w:w="3543" w:type="dxa"/>
            <w:shd w:val="clear" w:color="auto" w:fill="C6EFCE"/>
            <w:tcMar>
              <w:left w:w="108" w:type="dxa"/>
              <w:right w:w="108" w:type="dxa"/>
            </w:tcMar>
            <w:vAlign w:val="center"/>
          </w:tcPr>
          <w:p w14:paraId="61A7266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3.3 Hydrogen testing for road transport</w:t>
            </w:r>
          </w:p>
        </w:tc>
        <w:tc>
          <w:tcPr>
            <w:tcW w:w="1276" w:type="dxa"/>
            <w:shd w:val="clear" w:color="auto" w:fill="C6EFCE"/>
            <w:tcMar>
              <w:left w:w="108" w:type="dxa"/>
              <w:right w:w="108" w:type="dxa"/>
            </w:tcMar>
            <w:vAlign w:val="center"/>
          </w:tcPr>
          <w:p w14:paraId="6479B34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2BDEC36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development of re-charging stations based on hydrogen</w:t>
            </w:r>
          </w:p>
        </w:tc>
      </w:tr>
      <w:tr w:rsidR="0039681A" w:rsidRPr="0070054C" w14:paraId="0CCF431E" w14:textId="77777777">
        <w:trPr>
          <w:trHeight w:val="300"/>
        </w:trPr>
        <w:tc>
          <w:tcPr>
            <w:tcW w:w="1435" w:type="dxa"/>
            <w:shd w:val="clear" w:color="auto" w:fill="C6EFCE"/>
            <w:tcMar>
              <w:left w:w="108" w:type="dxa"/>
              <w:right w:w="108" w:type="dxa"/>
            </w:tcMar>
            <w:vAlign w:val="center"/>
          </w:tcPr>
          <w:p w14:paraId="7CC0860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M2C2-16</w:t>
            </w:r>
          </w:p>
        </w:tc>
        <w:tc>
          <w:tcPr>
            <w:tcW w:w="3543" w:type="dxa"/>
            <w:shd w:val="clear" w:color="auto" w:fill="C6EFCE"/>
            <w:tcMar>
              <w:left w:w="108" w:type="dxa"/>
              <w:right w:w="108" w:type="dxa"/>
            </w:tcMar>
            <w:vAlign w:val="center"/>
          </w:tcPr>
          <w:p w14:paraId="00E367D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Hydrogen testing for railway mobility</w:t>
            </w:r>
          </w:p>
        </w:tc>
        <w:tc>
          <w:tcPr>
            <w:tcW w:w="1276" w:type="dxa"/>
            <w:shd w:val="clear" w:color="auto" w:fill="C6EFCE"/>
            <w:tcMar>
              <w:left w:w="108" w:type="dxa"/>
              <w:right w:w="108" w:type="dxa"/>
            </w:tcMar>
            <w:vAlign w:val="center"/>
          </w:tcPr>
          <w:p w14:paraId="2F13186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0A9B8F2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Allocation of resources for hydrogen testing for railway mobility</w:t>
            </w:r>
          </w:p>
        </w:tc>
      </w:tr>
      <w:tr w:rsidR="0039681A" w:rsidRPr="0070054C" w14:paraId="623CBAA1" w14:textId="77777777">
        <w:trPr>
          <w:trHeight w:val="300"/>
        </w:trPr>
        <w:tc>
          <w:tcPr>
            <w:tcW w:w="1435" w:type="dxa"/>
            <w:shd w:val="clear" w:color="auto" w:fill="C6EFCE"/>
            <w:tcMar>
              <w:left w:w="108" w:type="dxa"/>
              <w:right w:w="108" w:type="dxa"/>
            </w:tcMar>
            <w:vAlign w:val="center"/>
          </w:tcPr>
          <w:p w14:paraId="064E885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M2C2-20</w:t>
            </w:r>
          </w:p>
        </w:tc>
        <w:tc>
          <w:tcPr>
            <w:tcW w:w="3543" w:type="dxa"/>
            <w:shd w:val="clear" w:color="auto" w:fill="C6EFCE"/>
            <w:tcMar>
              <w:left w:w="108" w:type="dxa"/>
              <w:right w:w="108" w:type="dxa"/>
            </w:tcMar>
            <w:vAlign w:val="center"/>
          </w:tcPr>
          <w:p w14:paraId="0DD22B4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3 Administrative simplification and reduction of regulatory barriers to hydrogen deployment</w:t>
            </w:r>
          </w:p>
        </w:tc>
        <w:tc>
          <w:tcPr>
            <w:tcW w:w="1276" w:type="dxa"/>
            <w:shd w:val="clear" w:color="auto" w:fill="C6EFCE"/>
            <w:tcMar>
              <w:left w:w="108" w:type="dxa"/>
              <w:right w:w="108" w:type="dxa"/>
            </w:tcMar>
            <w:vAlign w:val="center"/>
          </w:tcPr>
          <w:p w14:paraId="52D3B3B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1EA2AFB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necessary legislative actions</w:t>
            </w:r>
          </w:p>
        </w:tc>
      </w:tr>
      <w:tr w:rsidR="0039681A" w:rsidRPr="0070054C" w14:paraId="33444196" w14:textId="77777777">
        <w:trPr>
          <w:trHeight w:val="300"/>
        </w:trPr>
        <w:tc>
          <w:tcPr>
            <w:tcW w:w="1435" w:type="dxa"/>
            <w:shd w:val="clear" w:color="auto" w:fill="C6EFCE"/>
            <w:tcMar>
              <w:left w:w="108" w:type="dxa"/>
              <w:right w:w="108" w:type="dxa"/>
            </w:tcMar>
            <w:vAlign w:val="center"/>
          </w:tcPr>
          <w:p w14:paraId="4ED08B9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M5C2-3</w:t>
            </w:r>
          </w:p>
        </w:tc>
        <w:tc>
          <w:tcPr>
            <w:tcW w:w="3543" w:type="dxa"/>
            <w:shd w:val="clear" w:color="auto" w:fill="C6EFCE"/>
            <w:tcMar>
              <w:left w:w="108" w:type="dxa"/>
              <w:right w:w="108" w:type="dxa"/>
            </w:tcMar>
            <w:vAlign w:val="center"/>
          </w:tcPr>
          <w:p w14:paraId="3187857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2 - Reform for non-self-sufficient elderly persons</w:t>
            </w:r>
          </w:p>
        </w:tc>
        <w:tc>
          <w:tcPr>
            <w:tcW w:w="1276" w:type="dxa"/>
            <w:shd w:val="clear" w:color="auto" w:fill="C6EFCE"/>
            <w:tcMar>
              <w:left w:w="108" w:type="dxa"/>
              <w:right w:w="108" w:type="dxa"/>
            </w:tcMar>
            <w:vAlign w:val="center"/>
          </w:tcPr>
          <w:p w14:paraId="37189BE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4622773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Framework Law which strengthens the actions in favour of non self-sufficiency elderly people</w:t>
            </w:r>
          </w:p>
        </w:tc>
      </w:tr>
      <w:tr w:rsidR="0039681A" w:rsidRPr="0070054C" w14:paraId="114ABCF1" w14:textId="77777777">
        <w:trPr>
          <w:trHeight w:val="300"/>
        </w:trPr>
        <w:tc>
          <w:tcPr>
            <w:tcW w:w="1435" w:type="dxa"/>
            <w:shd w:val="clear" w:color="auto" w:fill="C6EFCE"/>
            <w:tcMar>
              <w:left w:w="108" w:type="dxa"/>
              <w:right w:w="108" w:type="dxa"/>
            </w:tcMar>
            <w:vAlign w:val="center"/>
          </w:tcPr>
          <w:p w14:paraId="5C94F1B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M1C1-37</w:t>
            </w:r>
          </w:p>
        </w:tc>
        <w:tc>
          <w:tcPr>
            <w:tcW w:w="3543" w:type="dxa"/>
            <w:shd w:val="clear" w:color="auto" w:fill="C6EFCE"/>
            <w:tcMar>
              <w:left w:w="108" w:type="dxa"/>
              <w:right w:w="108" w:type="dxa"/>
            </w:tcMar>
            <w:vAlign w:val="center"/>
          </w:tcPr>
          <w:p w14:paraId="59097AE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Reforms 1.4 and 1.5: Reform of civil and criminal justice</w:t>
            </w:r>
          </w:p>
        </w:tc>
        <w:tc>
          <w:tcPr>
            <w:tcW w:w="1276" w:type="dxa"/>
            <w:shd w:val="clear" w:color="auto" w:fill="C6EFCE"/>
            <w:tcMar>
              <w:left w:w="108" w:type="dxa"/>
              <w:right w:w="108" w:type="dxa"/>
            </w:tcMar>
            <w:vAlign w:val="center"/>
          </w:tcPr>
          <w:p w14:paraId="5BBCDB1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772CEB4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civil and criminal justice reform</w:t>
            </w:r>
          </w:p>
        </w:tc>
      </w:tr>
      <w:tr w:rsidR="0039681A" w:rsidRPr="0070054C" w14:paraId="2D617557" w14:textId="77777777">
        <w:trPr>
          <w:trHeight w:val="300"/>
        </w:trPr>
        <w:tc>
          <w:tcPr>
            <w:tcW w:w="1435" w:type="dxa"/>
            <w:shd w:val="clear" w:color="auto" w:fill="C6EFCE"/>
            <w:tcMar>
              <w:left w:w="108" w:type="dxa"/>
              <w:right w:w="108" w:type="dxa"/>
            </w:tcMar>
            <w:vAlign w:val="center"/>
          </w:tcPr>
          <w:p w14:paraId="7B3F1B3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M1C1-58</w:t>
            </w:r>
          </w:p>
        </w:tc>
        <w:tc>
          <w:tcPr>
            <w:tcW w:w="3543" w:type="dxa"/>
            <w:shd w:val="clear" w:color="auto" w:fill="C6EFCE"/>
            <w:tcMar>
              <w:left w:w="108" w:type="dxa"/>
              <w:right w:w="108" w:type="dxa"/>
            </w:tcMar>
            <w:vAlign w:val="center"/>
          </w:tcPr>
          <w:p w14:paraId="3F046A5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76" w:type="dxa"/>
            <w:shd w:val="clear" w:color="auto" w:fill="C6EFCE"/>
            <w:tcMar>
              <w:left w:w="108" w:type="dxa"/>
              <w:right w:w="108" w:type="dxa"/>
            </w:tcMar>
            <w:vAlign w:val="center"/>
          </w:tcPr>
          <w:p w14:paraId="276F952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7EB97F9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legal acts for the reform of public employment</w:t>
            </w:r>
          </w:p>
        </w:tc>
      </w:tr>
      <w:tr w:rsidR="0039681A" w:rsidRPr="0070054C" w14:paraId="28DDAEE7" w14:textId="77777777">
        <w:trPr>
          <w:trHeight w:val="300"/>
        </w:trPr>
        <w:tc>
          <w:tcPr>
            <w:tcW w:w="1435" w:type="dxa"/>
            <w:shd w:val="clear" w:color="auto" w:fill="C6EFCE"/>
            <w:tcMar>
              <w:left w:w="108" w:type="dxa"/>
              <w:right w:w="108" w:type="dxa"/>
            </w:tcMar>
            <w:vAlign w:val="center"/>
          </w:tcPr>
          <w:p w14:paraId="0EDF533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M1C1-74</w:t>
            </w:r>
          </w:p>
        </w:tc>
        <w:tc>
          <w:tcPr>
            <w:tcW w:w="3543" w:type="dxa"/>
            <w:shd w:val="clear" w:color="auto" w:fill="C6EFCE"/>
            <w:tcMar>
              <w:left w:w="108" w:type="dxa"/>
              <w:right w:w="108" w:type="dxa"/>
            </w:tcMar>
            <w:vAlign w:val="center"/>
          </w:tcPr>
          <w:p w14:paraId="288818D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082D718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5269333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all necessary implementing measures and secondary legislation for the reform on simplification of the public procurement code</w:t>
            </w:r>
          </w:p>
        </w:tc>
      </w:tr>
      <w:tr w:rsidR="0039681A" w:rsidRPr="0070054C" w14:paraId="65C25AFE" w14:textId="77777777">
        <w:trPr>
          <w:trHeight w:val="300"/>
        </w:trPr>
        <w:tc>
          <w:tcPr>
            <w:tcW w:w="1435" w:type="dxa"/>
            <w:shd w:val="clear" w:color="auto" w:fill="C6EFCE"/>
            <w:tcMar>
              <w:left w:w="108" w:type="dxa"/>
              <w:right w:w="108" w:type="dxa"/>
            </w:tcMar>
            <w:vAlign w:val="center"/>
          </w:tcPr>
          <w:p w14:paraId="5B8B8E1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M1C1-109</w:t>
            </w:r>
          </w:p>
        </w:tc>
        <w:tc>
          <w:tcPr>
            <w:tcW w:w="3543" w:type="dxa"/>
            <w:shd w:val="clear" w:color="auto" w:fill="C6EFCE"/>
            <w:tcMar>
              <w:left w:w="108" w:type="dxa"/>
              <w:right w:w="108" w:type="dxa"/>
            </w:tcMar>
            <w:vAlign w:val="center"/>
          </w:tcPr>
          <w:p w14:paraId="13D5D3D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76" w:type="dxa"/>
            <w:shd w:val="clear" w:color="auto" w:fill="C6EFCE"/>
            <w:tcMar>
              <w:left w:w="108" w:type="dxa"/>
              <w:right w:w="108" w:type="dxa"/>
            </w:tcMar>
            <w:vAlign w:val="center"/>
          </w:tcPr>
          <w:p w14:paraId="0D2D3C7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shd w:val="clear" w:color="auto" w:fill="C6EFCE"/>
            <w:tcMar>
              <w:left w:w="108" w:type="dxa"/>
              <w:right w:w="108" w:type="dxa"/>
            </w:tcMar>
            <w:vAlign w:val="center"/>
          </w:tcPr>
          <w:p w14:paraId="1B74AA9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Sending first pre-populated VAT tax returns</w:t>
            </w:r>
          </w:p>
        </w:tc>
      </w:tr>
      <w:tr w:rsidR="0039681A" w:rsidRPr="0070054C" w14:paraId="67B15315" w14:textId="77777777">
        <w:trPr>
          <w:trHeight w:val="300"/>
        </w:trPr>
        <w:tc>
          <w:tcPr>
            <w:tcW w:w="1435" w:type="dxa"/>
            <w:shd w:val="clear" w:color="auto" w:fill="C6EFCE"/>
            <w:tcMar>
              <w:left w:w="108" w:type="dxa"/>
              <w:right w:w="108" w:type="dxa"/>
            </w:tcMar>
            <w:vAlign w:val="center"/>
          </w:tcPr>
          <w:p w14:paraId="6C29BC2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M2C2-27</w:t>
            </w:r>
          </w:p>
        </w:tc>
        <w:tc>
          <w:tcPr>
            <w:tcW w:w="3543" w:type="dxa"/>
            <w:shd w:val="clear" w:color="auto" w:fill="C6EFCE"/>
            <w:tcMar>
              <w:left w:w="108" w:type="dxa"/>
              <w:right w:w="108" w:type="dxa"/>
            </w:tcMar>
            <w:vAlign w:val="center"/>
          </w:tcPr>
          <w:p w14:paraId="18251ED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Installation of charging infrastructures</w:t>
            </w:r>
          </w:p>
        </w:tc>
        <w:tc>
          <w:tcPr>
            <w:tcW w:w="1276" w:type="dxa"/>
            <w:shd w:val="clear" w:color="auto" w:fill="C6EFCE"/>
            <w:tcMar>
              <w:left w:w="108" w:type="dxa"/>
              <w:right w:w="108" w:type="dxa"/>
            </w:tcMar>
            <w:vAlign w:val="center"/>
          </w:tcPr>
          <w:p w14:paraId="631D91F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0076C6B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installation of charging infrastructures M1</w:t>
            </w:r>
          </w:p>
        </w:tc>
      </w:tr>
      <w:tr w:rsidR="0039681A" w:rsidRPr="0070054C" w14:paraId="7554EB2E" w14:textId="77777777">
        <w:trPr>
          <w:trHeight w:val="300"/>
        </w:trPr>
        <w:tc>
          <w:tcPr>
            <w:tcW w:w="1435" w:type="dxa"/>
            <w:shd w:val="clear" w:color="auto" w:fill="C6EFCE"/>
            <w:tcMar>
              <w:left w:w="108" w:type="dxa"/>
              <w:right w:w="108" w:type="dxa"/>
            </w:tcMar>
            <w:vAlign w:val="center"/>
          </w:tcPr>
          <w:p w14:paraId="18CD443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M2C2-33</w:t>
            </w:r>
          </w:p>
        </w:tc>
        <w:tc>
          <w:tcPr>
            <w:tcW w:w="3543" w:type="dxa"/>
            <w:shd w:val="clear" w:color="auto" w:fill="C6EFCE"/>
            <w:tcMar>
              <w:left w:w="108" w:type="dxa"/>
              <w:right w:w="108" w:type="dxa"/>
            </w:tcMar>
            <w:vAlign w:val="center"/>
          </w:tcPr>
          <w:p w14:paraId="15BED364" w14:textId="36FAF6AA"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4.4.2:</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Strengthening of the regional public transport railway fleet with zero emission trains and universal service</w:t>
            </w:r>
          </w:p>
        </w:tc>
        <w:tc>
          <w:tcPr>
            <w:tcW w:w="1276" w:type="dxa"/>
            <w:shd w:val="clear" w:color="auto" w:fill="C6EFCE"/>
            <w:tcMar>
              <w:left w:w="108" w:type="dxa"/>
              <w:right w:w="108" w:type="dxa"/>
            </w:tcMar>
            <w:vAlign w:val="center"/>
          </w:tcPr>
          <w:p w14:paraId="54C05BE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729265B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strengthening of regional public transport railway fleet with zero emission trains and universal service</w:t>
            </w:r>
          </w:p>
        </w:tc>
      </w:tr>
      <w:tr w:rsidR="0039681A" w:rsidRPr="00647572" w14:paraId="0797F4A7" w14:textId="77777777">
        <w:trPr>
          <w:trHeight w:val="300"/>
        </w:trPr>
        <w:tc>
          <w:tcPr>
            <w:tcW w:w="1435" w:type="dxa"/>
            <w:shd w:val="clear" w:color="auto" w:fill="C6EFCE"/>
            <w:tcMar>
              <w:left w:w="108" w:type="dxa"/>
              <w:right w:w="108" w:type="dxa"/>
            </w:tcMar>
            <w:vAlign w:val="center"/>
          </w:tcPr>
          <w:p w14:paraId="55CF2B7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M2C3-2</w:t>
            </w:r>
          </w:p>
        </w:tc>
        <w:tc>
          <w:tcPr>
            <w:tcW w:w="3543" w:type="dxa"/>
            <w:shd w:val="clear" w:color="auto" w:fill="C6EFCE"/>
            <w:tcMar>
              <w:left w:w="108" w:type="dxa"/>
              <w:right w:w="108" w:type="dxa"/>
            </w:tcMar>
            <w:vAlign w:val="center"/>
          </w:tcPr>
          <w:p w14:paraId="07C423E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2.1- Strengthening of the Ecobonus for energy efficiency </w:t>
            </w:r>
          </w:p>
        </w:tc>
        <w:tc>
          <w:tcPr>
            <w:tcW w:w="1276" w:type="dxa"/>
            <w:shd w:val="clear" w:color="auto" w:fill="C6EFCE"/>
            <w:tcMar>
              <w:left w:w="108" w:type="dxa"/>
              <w:right w:w="108" w:type="dxa"/>
            </w:tcMar>
            <w:vAlign w:val="center"/>
          </w:tcPr>
          <w:p w14:paraId="0AA2A91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shd w:val="clear" w:color="auto" w:fill="C6EFCE"/>
            <w:tcMar>
              <w:left w:w="108" w:type="dxa"/>
              <w:right w:w="108" w:type="dxa"/>
            </w:tcMar>
            <w:vAlign w:val="center"/>
          </w:tcPr>
          <w:p w14:paraId="1D3EA6F6"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Building renovation Superbonus T1</w:t>
            </w:r>
          </w:p>
        </w:tc>
      </w:tr>
      <w:tr w:rsidR="0039681A" w:rsidRPr="0070054C" w14:paraId="07A9F0C0" w14:textId="77777777">
        <w:trPr>
          <w:trHeight w:val="300"/>
        </w:trPr>
        <w:tc>
          <w:tcPr>
            <w:tcW w:w="1435" w:type="dxa"/>
            <w:shd w:val="clear" w:color="auto" w:fill="C6EFCE"/>
            <w:tcMar>
              <w:left w:w="108" w:type="dxa"/>
              <w:right w:w="108" w:type="dxa"/>
            </w:tcMar>
            <w:vAlign w:val="center"/>
          </w:tcPr>
          <w:p w14:paraId="6B91508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M4C1-9</w:t>
            </w:r>
          </w:p>
        </w:tc>
        <w:tc>
          <w:tcPr>
            <w:tcW w:w="3543" w:type="dxa"/>
            <w:shd w:val="clear" w:color="auto" w:fill="C6EFCE"/>
            <w:tcMar>
              <w:left w:w="108" w:type="dxa"/>
              <w:right w:w="108" w:type="dxa"/>
            </w:tcMar>
            <w:vAlign w:val="center"/>
          </w:tcPr>
          <w:p w14:paraId="40CA5AA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Plan for nurseries and preschools and early childhood education and care services</w:t>
            </w:r>
          </w:p>
        </w:tc>
        <w:tc>
          <w:tcPr>
            <w:tcW w:w="1276" w:type="dxa"/>
            <w:shd w:val="clear" w:color="auto" w:fill="C6EFCE"/>
            <w:tcMar>
              <w:left w:w="108" w:type="dxa"/>
              <w:right w:w="108" w:type="dxa"/>
            </w:tcMar>
            <w:vAlign w:val="center"/>
          </w:tcPr>
          <w:p w14:paraId="2E0480D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shd w:val="clear" w:color="auto" w:fill="C6EFCE"/>
            <w:tcMar>
              <w:left w:w="108" w:type="dxa"/>
              <w:right w:w="108" w:type="dxa"/>
            </w:tcMar>
            <w:vAlign w:val="center"/>
          </w:tcPr>
          <w:p w14:paraId="7DCEF56A" w14:textId="25C473E0"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contracts for building, renovating and ensuring the safety of nurseries,</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preschools and early childhood education and care services</w:t>
            </w:r>
          </w:p>
        </w:tc>
      </w:tr>
      <w:tr w:rsidR="0039681A" w:rsidRPr="0070054C" w14:paraId="70B3BD95" w14:textId="77777777">
        <w:trPr>
          <w:trHeight w:val="300"/>
        </w:trPr>
        <w:tc>
          <w:tcPr>
            <w:tcW w:w="1435" w:type="dxa"/>
            <w:shd w:val="clear" w:color="auto" w:fill="C6EFCE"/>
            <w:tcMar>
              <w:left w:w="108" w:type="dxa"/>
              <w:right w:w="108" w:type="dxa"/>
            </w:tcMar>
            <w:vAlign w:val="center"/>
          </w:tcPr>
          <w:p w14:paraId="1D85B85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M5C3-8</w:t>
            </w:r>
          </w:p>
        </w:tc>
        <w:tc>
          <w:tcPr>
            <w:tcW w:w="3543" w:type="dxa"/>
            <w:shd w:val="clear" w:color="auto" w:fill="C6EFCE"/>
            <w:tcMar>
              <w:left w:w="108" w:type="dxa"/>
              <w:right w:w="108" w:type="dxa"/>
            </w:tcMar>
            <w:vAlign w:val="center"/>
          </w:tcPr>
          <w:p w14:paraId="2DFE8D9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Structured socio-educational interventions to combat educational poverty in the South supporting the Third Sector</w:t>
            </w:r>
          </w:p>
        </w:tc>
        <w:tc>
          <w:tcPr>
            <w:tcW w:w="1276" w:type="dxa"/>
            <w:shd w:val="clear" w:color="auto" w:fill="C6EFCE"/>
            <w:tcMar>
              <w:left w:w="108" w:type="dxa"/>
              <w:right w:w="108" w:type="dxa"/>
            </w:tcMar>
            <w:vAlign w:val="center"/>
          </w:tcPr>
          <w:p w14:paraId="198BCB5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shd w:val="clear" w:color="auto" w:fill="C6EFCE"/>
            <w:tcMar>
              <w:left w:w="108" w:type="dxa"/>
              <w:right w:w="108" w:type="dxa"/>
            </w:tcMar>
            <w:vAlign w:val="center"/>
          </w:tcPr>
          <w:p w14:paraId="230422B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Educational support to minors (first batch)</w:t>
            </w:r>
          </w:p>
        </w:tc>
      </w:tr>
      <w:tr w:rsidR="0039681A" w:rsidRPr="00647572" w14:paraId="5B49BE07" w14:textId="77777777">
        <w:trPr>
          <w:trHeight w:val="300"/>
        </w:trPr>
        <w:tc>
          <w:tcPr>
            <w:tcW w:w="1435" w:type="dxa"/>
            <w:shd w:val="clear" w:color="auto" w:fill="C6EFCE"/>
            <w:tcMar>
              <w:left w:w="108" w:type="dxa"/>
              <w:right w:w="108" w:type="dxa"/>
            </w:tcMar>
            <w:vAlign w:val="center"/>
          </w:tcPr>
          <w:p w14:paraId="3A7D02CD"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3543" w:type="dxa"/>
            <w:shd w:val="clear" w:color="auto" w:fill="C6EFCE"/>
            <w:tcMar>
              <w:left w:w="108" w:type="dxa"/>
              <w:right w:w="108" w:type="dxa"/>
            </w:tcMar>
            <w:vAlign w:val="center"/>
          </w:tcPr>
          <w:p w14:paraId="68E14E1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76" w:type="dxa"/>
            <w:shd w:val="clear" w:color="auto" w:fill="C6EFCE"/>
            <w:tcMar>
              <w:left w:w="108" w:type="dxa"/>
              <w:right w:w="108" w:type="dxa"/>
            </w:tcMar>
            <w:vAlign w:val="center"/>
          </w:tcPr>
          <w:p w14:paraId="267E67A2"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103" w:type="dxa"/>
            <w:shd w:val="clear" w:color="auto" w:fill="C6EFCE"/>
            <w:tcMar>
              <w:left w:w="108" w:type="dxa"/>
              <w:right w:w="108" w:type="dxa"/>
            </w:tcMar>
            <w:vAlign w:val="center"/>
          </w:tcPr>
          <w:p w14:paraId="5A5A7510"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315</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646</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882</w:t>
            </w:r>
          </w:p>
        </w:tc>
      </w:tr>
    </w:tbl>
    <w:p w14:paraId="370BFCDE" w14:textId="77777777" w:rsidR="0039681A" w:rsidRPr="0039681A" w:rsidRDefault="0039681A" w:rsidP="00351087">
      <w:pPr>
        <w:rPr>
          <w:rFonts w:ascii="Times New Roman" w:eastAsiaTheme="majorEastAsia" w:hAnsi="Times New Roman" w:cs="Times New Roman"/>
          <w:noProof/>
          <w:highlight w:val="lightGray"/>
          <w:lang w:eastAsia="en-GB"/>
        </w:rPr>
      </w:pPr>
    </w:p>
    <w:p w14:paraId="61F0A0D2" w14:textId="77777777" w:rsidR="0039681A" w:rsidRPr="00647572" w:rsidRDefault="0039681A" w:rsidP="0039681A">
      <w:pPr>
        <w:pStyle w:val="Heading4"/>
        <w:numPr>
          <w:ilvl w:val="1"/>
          <w:numId w:val="16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Fifth Instalment (non-repayable support):</w:t>
      </w:r>
    </w:p>
    <w:tbl>
      <w:tblPr>
        <w:tblW w:w="936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0"/>
        <w:gridCol w:w="3543"/>
        <w:gridCol w:w="1276"/>
        <w:gridCol w:w="3112"/>
      </w:tblGrid>
      <w:tr w:rsidR="0039681A" w:rsidRPr="00647572" w14:paraId="68CEBFBD" w14:textId="77777777">
        <w:trPr>
          <w:trHeight w:val="1425"/>
          <w:tblHeader/>
        </w:trPr>
        <w:tc>
          <w:tcPr>
            <w:tcW w:w="1430" w:type="dxa"/>
            <w:shd w:val="clear" w:color="auto" w:fill="BDD7EE"/>
            <w:tcMar>
              <w:left w:w="108" w:type="dxa"/>
              <w:right w:w="108" w:type="dxa"/>
            </w:tcMar>
            <w:vAlign w:val="center"/>
          </w:tcPr>
          <w:p w14:paraId="67567FC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shd w:val="clear" w:color="auto" w:fill="BDD7EE"/>
            <w:tcMar>
              <w:left w:w="108" w:type="dxa"/>
              <w:right w:w="108" w:type="dxa"/>
            </w:tcMar>
            <w:vAlign w:val="center"/>
          </w:tcPr>
          <w:p w14:paraId="7C70561F"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76" w:type="dxa"/>
            <w:shd w:val="clear" w:color="auto" w:fill="BDD7EE"/>
            <w:tcMar>
              <w:left w:w="108" w:type="dxa"/>
              <w:right w:w="108" w:type="dxa"/>
            </w:tcMar>
            <w:vAlign w:val="center"/>
          </w:tcPr>
          <w:p w14:paraId="7CA4CDE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12" w:type="dxa"/>
            <w:shd w:val="clear" w:color="auto" w:fill="BDD7EE"/>
            <w:tcMar>
              <w:left w:w="108" w:type="dxa"/>
              <w:right w:w="108" w:type="dxa"/>
            </w:tcMar>
            <w:vAlign w:val="center"/>
          </w:tcPr>
          <w:p w14:paraId="597B433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70054C" w14:paraId="12010861" w14:textId="77777777">
        <w:trPr>
          <w:trHeight w:val="300"/>
        </w:trPr>
        <w:tc>
          <w:tcPr>
            <w:tcW w:w="1430" w:type="dxa"/>
            <w:shd w:val="clear" w:color="auto" w:fill="C6EFCE"/>
            <w:tcMar>
              <w:left w:w="108" w:type="dxa"/>
              <w:right w:w="108" w:type="dxa"/>
            </w:tcMar>
            <w:vAlign w:val="center"/>
          </w:tcPr>
          <w:p w14:paraId="5E9EB44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M1C2-4</w:t>
            </w:r>
          </w:p>
        </w:tc>
        <w:tc>
          <w:tcPr>
            <w:tcW w:w="3543" w:type="dxa"/>
            <w:shd w:val="clear" w:color="auto" w:fill="C6EFCE"/>
            <w:tcMar>
              <w:left w:w="108" w:type="dxa"/>
              <w:right w:w="108" w:type="dxa"/>
            </w:tcMar>
            <w:vAlign w:val="center"/>
          </w:tcPr>
          <w:p w14:paraId="097753A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Reform of the Industrial Property System</w:t>
            </w:r>
          </w:p>
        </w:tc>
        <w:tc>
          <w:tcPr>
            <w:tcW w:w="1276" w:type="dxa"/>
            <w:shd w:val="clear" w:color="auto" w:fill="C6EFCE"/>
            <w:tcMar>
              <w:left w:w="108" w:type="dxa"/>
              <w:right w:w="108" w:type="dxa"/>
            </w:tcMar>
            <w:vAlign w:val="center"/>
          </w:tcPr>
          <w:p w14:paraId="41D1D0B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293FDCA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Legislative Decree aimed at reforming the Italian industrial property code and the relevant implementing acts</w:t>
            </w:r>
          </w:p>
        </w:tc>
      </w:tr>
      <w:tr w:rsidR="0039681A" w:rsidRPr="0070054C" w14:paraId="17CF939B" w14:textId="77777777">
        <w:trPr>
          <w:trHeight w:val="300"/>
        </w:trPr>
        <w:tc>
          <w:tcPr>
            <w:tcW w:w="1430" w:type="dxa"/>
            <w:shd w:val="clear" w:color="auto" w:fill="C6EFCE"/>
            <w:tcMar>
              <w:left w:w="108" w:type="dxa"/>
              <w:right w:w="108" w:type="dxa"/>
            </w:tcMar>
            <w:vAlign w:val="center"/>
          </w:tcPr>
          <w:p w14:paraId="4CAB219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M1C3-4</w:t>
            </w:r>
          </w:p>
        </w:tc>
        <w:tc>
          <w:tcPr>
            <w:tcW w:w="3543" w:type="dxa"/>
            <w:shd w:val="clear" w:color="auto" w:fill="C6EFCE"/>
            <w:tcMar>
              <w:left w:w="108" w:type="dxa"/>
              <w:right w:w="108" w:type="dxa"/>
            </w:tcMar>
            <w:vAlign w:val="center"/>
          </w:tcPr>
          <w:p w14:paraId="5C33979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- 1.3 Improve energy efficiency in cinema, theatres and museums</w:t>
            </w:r>
          </w:p>
        </w:tc>
        <w:tc>
          <w:tcPr>
            <w:tcW w:w="1276" w:type="dxa"/>
            <w:shd w:val="clear" w:color="auto" w:fill="C6EFCE"/>
            <w:tcMar>
              <w:left w:w="108" w:type="dxa"/>
              <w:right w:w="108" w:type="dxa"/>
            </w:tcMar>
            <w:vAlign w:val="center"/>
          </w:tcPr>
          <w:p w14:paraId="424B1C2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5683C2A8" w14:textId="49608B3A"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on State museums and cultural sites, theatrical halls and</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cinemas concluded (first batch)</w:t>
            </w:r>
          </w:p>
        </w:tc>
      </w:tr>
      <w:tr w:rsidR="0039681A" w:rsidRPr="00647572" w14:paraId="358F1DCE" w14:textId="77777777">
        <w:trPr>
          <w:trHeight w:val="300"/>
        </w:trPr>
        <w:tc>
          <w:tcPr>
            <w:tcW w:w="1430" w:type="dxa"/>
            <w:shd w:val="clear" w:color="auto" w:fill="C6EFCE"/>
            <w:tcMar>
              <w:left w:w="108" w:type="dxa"/>
              <w:right w:w="108" w:type="dxa"/>
            </w:tcMar>
            <w:vAlign w:val="center"/>
          </w:tcPr>
          <w:p w14:paraId="115E5C5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w:t>
            </w:r>
          </w:p>
        </w:tc>
        <w:tc>
          <w:tcPr>
            <w:tcW w:w="3543" w:type="dxa"/>
            <w:shd w:val="clear" w:color="auto" w:fill="C6EFCE"/>
            <w:tcMar>
              <w:left w:w="108" w:type="dxa"/>
              <w:right w:w="108" w:type="dxa"/>
            </w:tcMar>
            <w:vAlign w:val="center"/>
          </w:tcPr>
          <w:p w14:paraId="6C09C7A1"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1.3.2:</w:t>
            </w:r>
            <w:r>
              <w:rPr>
                <w:rFonts w:ascii="Times New Roman" w:eastAsia="Times New Roman" w:hAnsi="Times New Roman" w:cs="Times New Roman"/>
                <w:noProof/>
                <w:color w:val="006100"/>
                <w:sz w:val="20"/>
                <w:szCs w:val="20"/>
                <w:lang w:eastAsia="en-GB"/>
              </w:rPr>
              <w:t xml:space="preserve"> </w:t>
            </w:r>
            <w:r w:rsidRPr="00647572">
              <w:rPr>
                <w:rFonts w:ascii="Times New Roman" w:eastAsia="Times New Roman" w:hAnsi="Times New Roman" w:cs="Times New Roman"/>
                <w:noProof/>
                <w:color w:val="006100"/>
                <w:sz w:val="20"/>
                <w:szCs w:val="20"/>
                <w:lang w:eastAsia="en-GB"/>
              </w:rPr>
              <w:t>Single Digital Gateway</w:t>
            </w:r>
          </w:p>
        </w:tc>
        <w:tc>
          <w:tcPr>
            <w:tcW w:w="1276" w:type="dxa"/>
            <w:shd w:val="clear" w:color="auto" w:fill="C6EFCE"/>
            <w:tcMar>
              <w:left w:w="108" w:type="dxa"/>
              <w:right w:w="108" w:type="dxa"/>
            </w:tcMar>
            <w:vAlign w:val="center"/>
          </w:tcPr>
          <w:p w14:paraId="4E3C4AA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7A089027"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Single Digital Gateway</w:t>
            </w:r>
          </w:p>
        </w:tc>
      </w:tr>
      <w:tr w:rsidR="0039681A" w:rsidRPr="0070054C" w14:paraId="510AEDE2" w14:textId="77777777">
        <w:trPr>
          <w:trHeight w:val="300"/>
        </w:trPr>
        <w:tc>
          <w:tcPr>
            <w:tcW w:w="1430" w:type="dxa"/>
            <w:shd w:val="clear" w:color="auto" w:fill="C6EFCE"/>
            <w:tcMar>
              <w:left w:w="108" w:type="dxa"/>
              <w:right w:w="108" w:type="dxa"/>
            </w:tcMar>
            <w:vAlign w:val="center"/>
          </w:tcPr>
          <w:p w14:paraId="4E77489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w:t>
            </w:r>
          </w:p>
        </w:tc>
        <w:tc>
          <w:tcPr>
            <w:tcW w:w="3543" w:type="dxa"/>
            <w:shd w:val="clear" w:color="auto" w:fill="C6EFCE"/>
            <w:tcMar>
              <w:left w:w="108" w:type="dxa"/>
              <w:right w:w="108" w:type="dxa"/>
            </w:tcMar>
            <w:vAlign w:val="center"/>
          </w:tcPr>
          <w:p w14:paraId="5127CF9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1.4.6: Mobility as a Service for Italy</w:t>
            </w:r>
          </w:p>
        </w:tc>
        <w:tc>
          <w:tcPr>
            <w:tcW w:w="1276" w:type="dxa"/>
            <w:shd w:val="clear" w:color="auto" w:fill="C6EFCE"/>
            <w:tcMar>
              <w:left w:w="108" w:type="dxa"/>
              <w:right w:w="108" w:type="dxa"/>
            </w:tcMar>
            <w:vAlign w:val="center"/>
          </w:tcPr>
          <w:p w14:paraId="7F54E4A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76D47EA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Mobility as a Service solutions M1</w:t>
            </w:r>
          </w:p>
        </w:tc>
      </w:tr>
      <w:tr w:rsidR="0039681A" w:rsidRPr="0070054C" w14:paraId="50285120" w14:textId="77777777">
        <w:trPr>
          <w:trHeight w:val="300"/>
        </w:trPr>
        <w:tc>
          <w:tcPr>
            <w:tcW w:w="1430" w:type="dxa"/>
            <w:shd w:val="clear" w:color="auto" w:fill="C6EFCE"/>
            <w:tcMar>
              <w:left w:w="108" w:type="dxa"/>
              <w:right w:w="108" w:type="dxa"/>
            </w:tcMar>
            <w:vAlign w:val="center"/>
          </w:tcPr>
          <w:p w14:paraId="2B54D9A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M1C1-38</w:t>
            </w:r>
          </w:p>
        </w:tc>
        <w:tc>
          <w:tcPr>
            <w:tcW w:w="3543" w:type="dxa"/>
            <w:shd w:val="clear" w:color="auto" w:fill="C6EFCE"/>
            <w:tcMar>
              <w:left w:w="108" w:type="dxa"/>
              <w:right w:w="108" w:type="dxa"/>
            </w:tcMar>
            <w:vAlign w:val="center"/>
          </w:tcPr>
          <w:p w14:paraId="712DF038"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1.8: Digitalisation of Justice</w:t>
            </w:r>
          </w:p>
        </w:tc>
        <w:tc>
          <w:tcPr>
            <w:tcW w:w="1276" w:type="dxa"/>
            <w:shd w:val="clear" w:color="auto" w:fill="C6EFCE"/>
            <w:tcMar>
              <w:left w:w="108" w:type="dxa"/>
              <w:right w:w="108" w:type="dxa"/>
            </w:tcMar>
            <w:vAlign w:val="center"/>
          </w:tcPr>
          <w:p w14:paraId="0A65826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7348EFE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Digitalisation of the justice system</w:t>
            </w:r>
          </w:p>
        </w:tc>
      </w:tr>
      <w:tr w:rsidR="0039681A" w:rsidRPr="0070054C" w14:paraId="455FD9A7" w14:textId="77777777">
        <w:trPr>
          <w:trHeight w:val="300"/>
        </w:trPr>
        <w:tc>
          <w:tcPr>
            <w:tcW w:w="1430" w:type="dxa"/>
            <w:shd w:val="clear" w:color="auto" w:fill="C6EFCE"/>
            <w:tcMar>
              <w:left w:w="108" w:type="dxa"/>
              <w:right w:w="108" w:type="dxa"/>
            </w:tcMar>
            <w:vAlign w:val="center"/>
          </w:tcPr>
          <w:p w14:paraId="35BD1B2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M1C1-59</w:t>
            </w:r>
          </w:p>
        </w:tc>
        <w:tc>
          <w:tcPr>
            <w:tcW w:w="3543" w:type="dxa"/>
            <w:shd w:val="clear" w:color="auto" w:fill="C6EFCE"/>
            <w:tcMar>
              <w:left w:w="108" w:type="dxa"/>
              <w:right w:w="108" w:type="dxa"/>
            </w:tcMar>
            <w:vAlign w:val="center"/>
          </w:tcPr>
          <w:p w14:paraId="32C7A1E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76" w:type="dxa"/>
            <w:shd w:val="clear" w:color="auto" w:fill="C6EFCE"/>
            <w:tcMar>
              <w:left w:w="108" w:type="dxa"/>
              <w:right w:w="108" w:type="dxa"/>
            </w:tcMar>
            <w:vAlign w:val="center"/>
          </w:tcPr>
          <w:p w14:paraId="2F9AE2A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63F4E77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strategic human resource management in the Public Administration</w:t>
            </w:r>
          </w:p>
        </w:tc>
      </w:tr>
      <w:tr w:rsidR="0039681A" w:rsidRPr="0070054C" w14:paraId="115CA7EF" w14:textId="77777777">
        <w:trPr>
          <w:trHeight w:val="300"/>
        </w:trPr>
        <w:tc>
          <w:tcPr>
            <w:tcW w:w="1430" w:type="dxa"/>
            <w:shd w:val="clear" w:color="auto" w:fill="C6EFCE"/>
            <w:tcMar>
              <w:left w:w="108" w:type="dxa"/>
              <w:right w:w="108" w:type="dxa"/>
            </w:tcMar>
            <w:vAlign w:val="center"/>
          </w:tcPr>
          <w:p w14:paraId="092DC25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M1C1-73quater</w:t>
            </w:r>
          </w:p>
        </w:tc>
        <w:tc>
          <w:tcPr>
            <w:tcW w:w="3543" w:type="dxa"/>
            <w:shd w:val="clear" w:color="auto" w:fill="C6EFCE"/>
            <w:tcMar>
              <w:left w:w="108" w:type="dxa"/>
              <w:right w:w="108" w:type="dxa"/>
            </w:tcMar>
            <w:vAlign w:val="center"/>
          </w:tcPr>
          <w:p w14:paraId="3B8497C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68BFC53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1FFEE9D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guidelines on below-EU threshold procurement</w:t>
            </w:r>
          </w:p>
        </w:tc>
      </w:tr>
      <w:tr w:rsidR="0039681A" w:rsidRPr="0070054C" w14:paraId="211CBA9A" w14:textId="77777777">
        <w:trPr>
          <w:trHeight w:val="300"/>
        </w:trPr>
        <w:tc>
          <w:tcPr>
            <w:tcW w:w="1430" w:type="dxa"/>
            <w:shd w:val="clear" w:color="auto" w:fill="C6EFCE"/>
            <w:tcMar>
              <w:left w:w="108" w:type="dxa"/>
              <w:right w:w="108" w:type="dxa"/>
            </w:tcMar>
            <w:vAlign w:val="center"/>
          </w:tcPr>
          <w:p w14:paraId="2AA3275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M1C1-75</w:t>
            </w:r>
          </w:p>
        </w:tc>
        <w:tc>
          <w:tcPr>
            <w:tcW w:w="3543" w:type="dxa"/>
            <w:shd w:val="clear" w:color="auto" w:fill="C6EFCE"/>
            <w:tcMar>
              <w:left w:w="108" w:type="dxa"/>
              <w:right w:w="108" w:type="dxa"/>
            </w:tcMar>
            <w:vAlign w:val="center"/>
          </w:tcPr>
          <w:p w14:paraId="5029BC5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6C2BB0E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632F1A9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Full operation of the National eProcurement System</w:t>
            </w:r>
          </w:p>
        </w:tc>
      </w:tr>
      <w:tr w:rsidR="0039681A" w:rsidRPr="0070054C" w14:paraId="42BB00B1" w14:textId="77777777">
        <w:trPr>
          <w:trHeight w:val="300"/>
        </w:trPr>
        <w:tc>
          <w:tcPr>
            <w:tcW w:w="1430" w:type="dxa"/>
            <w:shd w:val="clear" w:color="auto" w:fill="C6EFCE"/>
            <w:tcMar>
              <w:left w:w="108" w:type="dxa"/>
              <w:right w:w="108" w:type="dxa"/>
            </w:tcMar>
            <w:vAlign w:val="center"/>
          </w:tcPr>
          <w:p w14:paraId="662F56F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M1C1-84</w:t>
            </w:r>
          </w:p>
        </w:tc>
        <w:tc>
          <w:tcPr>
            <w:tcW w:w="3543" w:type="dxa"/>
            <w:shd w:val="clear" w:color="auto" w:fill="C6EFCE"/>
            <w:tcMar>
              <w:left w:w="108" w:type="dxa"/>
              <w:right w:w="108" w:type="dxa"/>
            </w:tcMar>
            <w:vAlign w:val="center"/>
          </w:tcPr>
          <w:p w14:paraId="41277A2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2286D84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2A24040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time between the publication and the contract award</w:t>
            </w:r>
          </w:p>
        </w:tc>
      </w:tr>
      <w:tr w:rsidR="0039681A" w:rsidRPr="0070054C" w14:paraId="05A3C2BA" w14:textId="77777777">
        <w:trPr>
          <w:trHeight w:val="300"/>
        </w:trPr>
        <w:tc>
          <w:tcPr>
            <w:tcW w:w="1430" w:type="dxa"/>
            <w:shd w:val="clear" w:color="auto" w:fill="C6EFCE"/>
            <w:tcMar>
              <w:left w:w="108" w:type="dxa"/>
              <w:right w:w="108" w:type="dxa"/>
            </w:tcMar>
            <w:vAlign w:val="center"/>
          </w:tcPr>
          <w:p w14:paraId="1B166E1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M1C1-86</w:t>
            </w:r>
          </w:p>
        </w:tc>
        <w:tc>
          <w:tcPr>
            <w:tcW w:w="3543" w:type="dxa"/>
            <w:shd w:val="clear" w:color="auto" w:fill="C6EFCE"/>
            <w:tcMar>
              <w:left w:w="108" w:type="dxa"/>
              <w:right w:w="108" w:type="dxa"/>
            </w:tcMar>
            <w:vAlign w:val="center"/>
          </w:tcPr>
          <w:p w14:paraId="4689BEB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2D658CC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2BD7820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Civil servants trained through the Public Buyers Professionalization Strategy</w:t>
            </w:r>
          </w:p>
        </w:tc>
      </w:tr>
      <w:tr w:rsidR="0039681A" w:rsidRPr="0070054C" w14:paraId="6DA5A092" w14:textId="77777777">
        <w:trPr>
          <w:trHeight w:val="300"/>
        </w:trPr>
        <w:tc>
          <w:tcPr>
            <w:tcW w:w="1430" w:type="dxa"/>
            <w:shd w:val="clear" w:color="auto" w:fill="C6EFCE"/>
            <w:tcMar>
              <w:left w:w="108" w:type="dxa"/>
              <w:right w:w="108" w:type="dxa"/>
            </w:tcMar>
            <w:vAlign w:val="center"/>
          </w:tcPr>
          <w:p w14:paraId="767202E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M1C1-87</w:t>
            </w:r>
          </w:p>
        </w:tc>
        <w:tc>
          <w:tcPr>
            <w:tcW w:w="3543" w:type="dxa"/>
            <w:shd w:val="clear" w:color="auto" w:fill="C6EFCE"/>
            <w:tcMar>
              <w:left w:w="108" w:type="dxa"/>
              <w:right w:w="108" w:type="dxa"/>
            </w:tcMar>
            <w:vAlign w:val="center"/>
          </w:tcPr>
          <w:p w14:paraId="0EE7487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shd w:val="clear" w:color="auto" w:fill="C6EFCE"/>
            <w:tcMar>
              <w:left w:w="108" w:type="dxa"/>
              <w:right w:w="108" w:type="dxa"/>
            </w:tcMar>
            <w:vAlign w:val="center"/>
          </w:tcPr>
          <w:p w14:paraId="59D4D02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5441715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Contracting authorities using dynamic purchasing systems</w:t>
            </w:r>
          </w:p>
        </w:tc>
      </w:tr>
      <w:tr w:rsidR="0039681A" w:rsidRPr="0070054C" w14:paraId="2238AC48" w14:textId="77777777">
        <w:trPr>
          <w:trHeight w:val="300"/>
        </w:trPr>
        <w:tc>
          <w:tcPr>
            <w:tcW w:w="1430" w:type="dxa"/>
            <w:shd w:val="clear" w:color="auto" w:fill="C6EFCE"/>
            <w:tcMar>
              <w:left w:w="108" w:type="dxa"/>
              <w:right w:w="108" w:type="dxa"/>
            </w:tcMar>
            <w:vAlign w:val="center"/>
          </w:tcPr>
          <w:p w14:paraId="060DE0F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M1C1-110</w:t>
            </w:r>
          </w:p>
        </w:tc>
        <w:tc>
          <w:tcPr>
            <w:tcW w:w="3543" w:type="dxa"/>
            <w:shd w:val="clear" w:color="auto" w:fill="C6EFCE"/>
            <w:tcMar>
              <w:left w:w="108" w:type="dxa"/>
              <w:right w:w="108" w:type="dxa"/>
            </w:tcMar>
            <w:vAlign w:val="center"/>
          </w:tcPr>
          <w:p w14:paraId="5D7B90E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276" w:type="dxa"/>
            <w:shd w:val="clear" w:color="auto" w:fill="C6EFCE"/>
            <w:tcMar>
              <w:left w:w="108" w:type="dxa"/>
              <w:right w:w="108" w:type="dxa"/>
            </w:tcMar>
            <w:vAlign w:val="center"/>
          </w:tcPr>
          <w:p w14:paraId="687405A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460AAA6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Re-classification of the general State budget, with reference to the environmental expenditure and to the expenditure that promotes gender equality</w:t>
            </w:r>
          </w:p>
        </w:tc>
      </w:tr>
      <w:tr w:rsidR="0039681A" w:rsidRPr="0070054C" w14:paraId="3B5E32B3" w14:textId="77777777">
        <w:trPr>
          <w:trHeight w:val="300"/>
        </w:trPr>
        <w:tc>
          <w:tcPr>
            <w:tcW w:w="1430" w:type="dxa"/>
            <w:shd w:val="clear" w:color="auto" w:fill="C6EFCE"/>
            <w:tcMar>
              <w:left w:w="108" w:type="dxa"/>
              <w:right w:w="108" w:type="dxa"/>
            </w:tcMar>
            <w:vAlign w:val="center"/>
          </w:tcPr>
          <w:p w14:paraId="7335FEB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M1C2-9</w:t>
            </w:r>
          </w:p>
        </w:tc>
        <w:tc>
          <w:tcPr>
            <w:tcW w:w="3543" w:type="dxa"/>
            <w:shd w:val="clear" w:color="auto" w:fill="C6EFCE"/>
            <w:tcMar>
              <w:left w:w="108" w:type="dxa"/>
              <w:right w:w="108" w:type="dxa"/>
            </w:tcMar>
            <w:vAlign w:val="center"/>
          </w:tcPr>
          <w:p w14:paraId="797A04BA"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76" w:type="dxa"/>
            <w:shd w:val="clear" w:color="auto" w:fill="C6EFCE"/>
            <w:tcMar>
              <w:left w:w="108" w:type="dxa"/>
              <w:right w:w="108" w:type="dxa"/>
            </w:tcMar>
            <w:vAlign w:val="center"/>
          </w:tcPr>
          <w:p w14:paraId="591447C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7A12B95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Annual Competition Law 2022</w:t>
            </w:r>
          </w:p>
        </w:tc>
      </w:tr>
      <w:tr w:rsidR="0039681A" w:rsidRPr="0070054C" w14:paraId="25FF81D9" w14:textId="77777777">
        <w:trPr>
          <w:trHeight w:val="300"/>
        </w:trPr>
        <w:tc>
          <w:tcPr>
            <w:tcW w:w="1430" w:type="dxa"/>
            <w:shd w:val="clear" w:color="auto" w:fill="C6EFCE"/>
            <w:tcMar>
              <w:left w:w="108" w:type="dxa"/>
              <w:right w:w="108" w:type="dxa"/>
            </w:tcMar>
            <w:vAlign w:val="center"/>
          </w:tcPr>
          <w:p w14:paraId="27CBD81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M1C2-10</w:t>
            </w:r>
          </w:p>
        </w:tc>
        <w:tc>
          <w:tcPr>
            <w:tcW w:w="3543" w:type="dxa"/>
            <w:shd w:val="clear" w:color="auto" w:fill="C6EFCE"/>
            <w:tcMar>
              <w:left w:w="108" w:type="dxa"/>
              <w:right w:w="108" w:type="dxa"/>
            </w:tcMar>
            <w:vAlign w:val="center"/>
          </w:tcPr>
          <w:p w14:paraId="522CD240"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76" w:type="dxa"/>
            <w:shd w:val="clear" w:color="auto" w:fill="C6EFCE"/>
            <w:tcMar>
              <w:left w:w="108" w:type="dxa"/>
              <w:right w:w="108" w:type="dxa"/>
            </w:tcMar>
            <w:vAlign w:val="center"/>
          </w:tcPr>
          <w:p w14:paraId="1C8AC56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12C4E12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all implementing measures (included secondary legislation, if necessary) for the effective implementation and application of the measures stemming from the 2022 Annual Competition Law</w:t>
            </w:r>
          </w:p>
        </w:tc>
      </w:tr>
      <w:tr w:rsidR="0039681A" w:rsidRPr="0070054C" w14:paraId="3200D6AF" w14:textId="77777777">
        <w:trPr>
          <w:trHeight w:val="300"/>
        </w:trPr>
        <w:tc>
          <w:tcPr>
            <w:tcW w:w="1430" w:type="dxa"/>
            <w:shd w:val="clear" w:color="auto" w:fill="C6EFCE"/>
            <w:tcMar>
              <w:left w:w="108" w:type="dxa"/>
              <w:right w:w="108" w:type="dxa"/>
            </w:tcMar>
            <w:vAlign w:val="center"/>
          </w:tcPr>
          <w:p w14:paraId="5625170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M1C3-7</w:t>
            </w:r>
          </w:p>
        </w:tc>
        <w:tc>
          <w:tcPr>
            <w:tcW w:w="3543" w:type="dxa"/>
            <w:shd w:val="clear" w:color="auto" w:fill="C6EFCE"/>
            <w:tcMar>
              <w:left w:w="108" w:type="dxa"/>
              <w:right w:w="108" w:type="dxa"/>
            </w:tcMar>
            <w:vAlign w:val="center"/>
          </w:tcPr>
          <w:p w14:paraId="67F1666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3.3 Capacity building for culture operators to manage the digital and green transition.</w:t>
            </w:r>
          </w:p>
        </w:tc>
        <w:tc>
          <w:tcPr>
            <w:tcW w:w="1276" w:type="dxa"/>
            <w:shd w:val="clear" w:color="auto" w:fill="C6EFCE"/>
            <w:tcMar>
              <w:left w:w="108" w:type="dxa"/>
              <w:right w:w="108" w:type="dxa"/>
            </w:tcMar>
            <w:vAlign w:val="center"/>
          </w:tcPr>
          <w:p w14:paraId="32F21E6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0D8492CF" w14:textId="1F14EB2C"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with the implementing organisation/beneficiaries for all</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interventions to manage the digital and green transition of cultural operators</w:t>
            </w:r>
          </w:p>
        </w:tc>
      </w:tr>
      <w:tr w:rsidR="0039681A" w:rsidRPr="0070054C" w14:paraId="7845032E" w14:textId="77777777">
        <w:trPr>
          <w:trHeight w:val="300"/>
        </w:trPr>
        <w:tc>
          <w:tcPr>
            <w:tcW w:w="1430" w:type="dxa"/>
            <w:shd w:val="clear" w:color="auto" w:fill="C6EFCE"/>
            <w:tcMar>
              <w:left w:w="108" w:type="dxa"/>
              <w:right w:w="108" w:type="dxa"/>
            </w:tcMar>
            <w:vAlign w:val="center"/>
          </w:tcPr>
          <w:p w14:paraId="6538B5F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M2C1-5</w:t>
            </w:r>
          </w:p>
        </w:tc>
        <w:tc>
          <w:tcPr>
            <w:tcW w:w="3543" w:type="dxa"/>
            <w:shd w:val="clear" w:color="auto" w:fill="C6EFCE"/>
            <w:tcMar>
              <w:left w:w="108" w:type="dxa"/>
              <w:right w:w="108" w:type="dxa"/>
            </w:tcMar>
            <w:vAlign w:val="center"/>
          </w:tcPr>
          <w:p w14:paraId="4BAA9083"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2.2: Agri-solar Park</w:t>
            </w:r>
          </w:p>
        </w:tc>
        <w:tc>
          <w:tcPr>
            <w:tcW w:w="1276" w:type="dxa"/>
            <w:shd w:val="clear" w:color="auto" w:fill="C6EFCE"/>
            <w:tcMar>
              <w:left w:w="108" w:type="dxa"/>
              <w:right w:w="108" w:type="dxa"/>
            </w:tcMar>
            <w:vAlign w:val="center"/>
          </w:tcPr>
          <w:p w14:paraId="6976D71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0F27787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Allocation of resources to the beneficiaries as % of the total financial resources assigned to the investment</w:t>
            </w:r>
          </w:p>
        </w:tc>
      </w:tr>
      <w:tr w:rsidR="0039681A" w:rsidRPr="00647572" w14:paraId="3C032F6F" w14:textId="77777777">
        <w:trPr>
          <w:trHeight w:val="300"/>
        </w:trPr>
        <w:tc>
          <w:tcPr>
            <w:tcW w:w="1430" w:type="dxa"/>
            <w:shd w:val="clear" w:color="auto" w:fill="C6EFCE"/>
            <w:tcMar>
              <w:left w:w="108" w:type="dxa"/>
              <w:right w:w="108" w:type="dxa"/>
            </w:tcMar>
            <w:vAlign w:val="center"/>
          </w:tcPr>
          <w:p w14:paraId="0A98046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M2C2-22</w:t>
            </w:r>
          </w:p>
        </w:tc>
        <w:tc>
          <w:tcPr>
            <w:tcW w:w="3543" w:type="dxa"/>
            <w:shd w:val="clear" w:color="auto" w:fill="C6EFCE"/>
            <w:tcMar>
              <w:left w:w="108" w:type="dxa"/>
              <w:right w:w="108" w:type="dxa"/>
            </w:tcMar>
            <w:vAlign w:val="center"/>
          </w:tcPr>
          <w:p w14:paraId="04ECE31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4.1 Investment in soft mobility (National Plan of Cycle Path)</w:t>
            </w:r>
          </w:p>
        </w:tc>
        <w:tc>
          <w:tcPr>
            <w:tcW w:w="1276" w:type="dxa"/>
            <w:shd w:val="clear" w:color="auto" w:fill="C6EFCE"/>
            <w:tcMar>
              <w:left w:w="108" w:type="dxa"/>
              <w:right w:w="108" w:type="dxa"/>
            </w:tcMar>
            <w:vAlign w:val="center"/>
          </w:tcPr>
          <w:p w14:paraId="0ECFD74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56815E15"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Cycling lanes T1</w:t>
            </w:r>
          </w:p>
        </w:tc>
      </w:tr>
      <w:tr w:rsidR="0039681A" w:rsidRPr="0070054C" w14:paraId="487A87A8" w14:textId="77777777">
        <w:trPr>
          <w:trHeight w:val="300"/>
        </w:trPr>
        <w:tc>
          <w:tcPr>
            <w:tcW w:w="1430" w:type="dxa"/>
            <w:shd w:val="clear" w:color="auto" w:fill="C6EFCE"/>
            <w:tcMar>
              <w:left w:w="108" w:type="dxa"/>
              <w:right w:w="108" w:type="dxa"/>
            </w:tcMar>
            <w:vAlign w:val="center"/>
          </w:tcPr>
          <w:p w14:paraId="613F8D1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M4C1-10</w:t>
            </w:r>
          </w:p>
        </w:tc>
        <w:tc>
          <w:tcPr>
            <w:tcW w:w="3543" w:type="dxa"/>
            <w:shd w:val="clear" w:color="auto" w:fill="C6EFCE"/>
            <w:tcMar>
              <w:left w:w="108" w:type="dxa"/>
              <w:right w:w="108" w:type="dxa"/>
            </w:tcMar>
            <w:vAlign w:val="center"/>
          </w:tcPr>
          <w:p w14:paraId="5E13938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2.1: Teachers’ recruitment; Reform 1.3: Reorganisation of the school system; Reform 1.2: Reform of the tertiary vocational training system (ITS); Reform 1.4: Reform of the “Orientation” system; Reform 1.5: University degree groups reform; Reform 1.6: Enabling university degrees reform</w:t>
            </w:r>
          </w:p>
        </w:tc>
        <w:tc>
          <w:tcPr>
            <w:tcW w:w="1276" w:type="dxa"/>
            <w:shd w:val="clear" w:color="auto" w:fill="C6EFCE"/>
            <w:tcMar>
              <w:left w:w="108" w:type="dxa"/>
              <w:right w:w="108" w:type="dxa"/>
            </w:tcMar>
            <w:vAlign w:val="center"/>
          </w:tcPr>
          <w:p w14:paraId="301061E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12" w:type="dxa"/>
            <w:shd w:val="clear" w:color="auto" w:fill="C6EFCE"/>
            <w:tcMar>
              <w:left w:w="108" w:type="dxa"/>
              <w:right w:w="108" w:type="dxa"/>
            </w:tcMar>
            <w:vAlign w:val="center"/>
          </w:tcPr>
          <w:p w14:paraId="7F8911B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regulations for the effective implementation and application of all the measures concerning the reforms of primary, secondary and tertiary education, where needed</w:t>
            </w:r>
          </w:p>
        </w:tc>
      </w:tr>
      <w:tr w:rsidR="0039681A" w:rsidRPr="00647572" w14:paraId="620CA63D" w14:textId="77777777">
        <w:trPr>
          <w:trHeight w:val="300"/>
        </w:trPr>
        <w:tc>
          <w:tcPr>
            <w:tcW w:w="1430" w:type="dxa"/>
            <w:shd w:val="clear" w:color="auto" w:fill="C6EFCE"/>
            <w:tcMar>
              <w:left w:w="108" w:type="dxa"/>
              <w:right w:w="108" w:type="dxa"/>
            </w:tcMar>
            <w:vAlign w:val="center"/>
          </w:tcPr>
          <w:p w14:paraId="1FB3059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M4C1-11</w:t>
            </w:r>
          </w:p>
        </w:tc>
        <w:tc>
          <w:tcPr>
            <w:tcW w:w="3543" w:type="dxa"/>
            <w:shd w:val="clear" w:color="auto" w:fill="C6EFCE"/>
            <w:tcMar>
              <w:left w:w="108" w:type="dxa"/>
              <w:right w:w="108" w:type="dxa"/>
            </w:tcMar>
            <w:vAlign w:val="center"/>
          </w:tcPr>
          <w:p w14:paraId="31E9FEE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Scholarships for University access</w:t>
            </w:r>
          </w:p>
        </w:tc>
        <w:tc>
          <w:tcPr>
            <w:tcW w:w="1276" w:type="dxa"/>
            <w:shd w:val="clear" w:color="auto" w:fill="C6EFCE"/>
            <w:tcMar>
              <w:left w:w="108" w:type="dxa"/>
              <w:right w:w="108" w:type="dxa"/>
            </w:tcMar>
            <w:vAlign w:val="center"/>
          </w:tcPr>
          <w:p w14:paraId="78E461E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6C8C6BB3"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University scholarship awarded</w:t>
            </w:r>
          </w:p>
        </w:tc>
      </w:tr>
      <w:tr w:rsidR="0039681A" w:rsidRPr="0070054C" w14:paraId="5BD14FF6" w14:textId="77777777">
        <w:trPr>
          <w:trHeight w:val="300"/>
        </w:trPr>
        <w:tc>
          <w:tcPr>
            <w:tcW w:w="1430" w:type="dxa"/>
            <w:shd w:val="clear" w:color="auto" w:fill="C6EFCE"/>
            <w:tcMar>
              <w:left w:w="108" w:type="dxa"/>
              <w:right w:w="108" w:type="dxa"/>
            </w:tcMar>
            <w:vAlign w:val="center"/>
          </w:tcPr>
          <w:p w14:paraId="1A5267E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M5C3-3</w:t>
            </w:r>
          </w:p>
        </w:tc>
        <w:tc>
          <w:tcPr>
            <w:tcW w:w="3543" w:type="dxa"/>
            <w:shd w:val="clear" w:color="auto" w:fill="C6EFCE"/>
            <w:tcMar>
              <w:left w:w="108" w:type="dxa"/>
              <w:right w:w="108" w:type="dxa"/>
            </w:tcMar>
            <w:vAlign w:val="center"/>
          </w:tcPr>
          <w:p w14:paraId="6667BD9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Territorial proximity health facilities</w:t>
            </w:r>
          </w:p>
        </w:tc>
        <w:tc>
          <w:tcPr>
            <w:tcW w:w="1276" w:type="dxa"/>
            <w:shd w:val="clear" w:color="auto" w:fill="C6EFCE"/>
            <w:tcMar>
              <w:left w:w="108" w:type="dxa"/>
              <w:right w:w="108" w:type="dxa"/>
            </w:tcMar>
            <w:vAlign w:val="center"/>
          </w:tcPr>
          <w:p w14:paraId="34E0183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140D430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Support to rural pharmacies in municipalities, hamlets or settlements of less than 5</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 inhabitants (first batch)</w:t>
            </w:r>
          </w:p>
        </w:tc>
      </w:tr>
      <w:tr w:rsidR="0039681A" w:rsidRPr="0070054C" w14:paraId="44D2919A" w14:textId="77777777">
        <w:trPr>
          <w:trHeight w:val="300"/>
        </w:trPr>
        <w:tc>
          <w:tcPr>
            <w:tcW w:w="1430" w:type="dxa"/>
            <w:shd w:val="clear" w:color="auto" w:fill="C6EFCE"/>
            <w:tcMar>
              <w:left w:w="108" w:type="dxa"/>
              <w:right w:w="108" w:type="dxa"/>
            </w:tcMar>
            <w:vAlign w:val="center"/>
          </w:tcPr>
          <w:p w14:paraId="07F58A3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M1C1-113</w:t>
            </w:r>
          </w:p>
        </w:tc>
        <w:tc>
          <w:tcPr>
            <w:tcW w:w="3543" w:type="dxa"/>
            <w:shd w:val="clear" w:color="auto" w:fill="C6EFCE"/>
            <w:tcMar>
              <w:left w:w="108" w:type="dxa"/>
              <w:right w:w="108" w:type="dxa"/>
            </w:tcMar>
            <w:vAlign w:val="center"/>
          </w:tcPr>
          <w:p w14:paraId="71C3ADB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76" w:type="dxa"/>
            <w:shd w:val="clear" w:color="auto" w:fill="C6EFCE"/>
            <w:tcMar>
              <w:left w:w="108" w:type="dxa"/>
              <w:right w:w="108" w:type="dxa"/>
            </w:tcMar>
            <w:vAlign w:val="center"/>
          </w:tcPr>
          <w:p w14:paraId="7AEBB0C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3EEA7D3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Higher number of "compliance letters"</w:t>
            </w:r>
          </w:p>
        </w:tc>
      </w:tr>
      <w:tr w:rsidR="0039681A" w:rsidRPr="0070054C" w14:paraId="650DFA76" w14:textId="77777777">
        <w:trPr>
          <w:trHeight w:val="300"/>
        </w:trPr>
        <w:tc>
          <w:tcPr>
            <w:tcW w:w="1430" w:type="dxa"/>
            <w:shd w:val="clear" w:color="auto" w:fill="C6EFCE"/>
            <w:tcMar>
              <w:left w:w="108" w:type="dxa"/>
              <w:right w:w="108" w:type="dxa"/>
            </w:tcMar>
            <w:vAlign w:val="center"/>
          </w:tcPr>
          <w:p w14:paraId="5D28ACF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M1C1-114</w:t>
            </w:r>
          </w:p>
        </w:tc>
        <w:tc>
          <w:tcPr>
            <w:tcW w:w="3543" w:type="dxa"/>
            <w:shd w:val="clear" w:color="auto" w:fill="C6EFCE"/>
            <w:tcMar>
              <w:left w:w="108" w:type="dxa"/>
              <w:right w:w="108" w:type="dxa"/>
            </w:tcMar>
            <w:vAlign w:val="center"/>
          </w:tcPr>
          <w:p w14:paraId="7C81634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76" w:type="dxa"/>
            <w:shd w:val="clear" w:color="auto" w:fill="C6EFCE"/>
            <w:tcMar>
              <w:left w:w="108" w:type="dxa"/>
              <w:right w:w="108" w:type="dxa"/>
            </w:tcMar>
            <w:vAlign w:val="center"/>
          </w:tcPr>
          <w:p w14:paraId="0AC9FD2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12" w:type="dxa"/>
            <w:shd w:val="clear" w:color="auto" w:fill="C6EFCE"/>
            <w:tcMar>
              <w:left w:w="108" w:type="dxa"/>
              <w:right w:w="108" w:type="dxa"/>
            </w:tcMar>
            <w:vAlign w:val="center"/>
          </w:tcPr>
          <w:p w14:paraId="02006AC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Increase in the tax revenue generated by "compliance letters"</w:t>
            </w:r>
          </w:p>
        </w:tc>
      </w:tr>
      <w:tr w:rsidR="0039681A" w:rsidRPr="00647572" w14:paraId="43638698" w14:textId="77777777">
        <w:trPr>
          <w:trHeight w:val="300"/>
        </w:trPr>
        <w:tc>
          <w:tcPr>
            <w:tcW w:w="1430" w:type="dxa"/>
            <w:shd w:val="clear" w:color="auto" w:fill="C6EFCE"/>
            <w:tcMar>
              <w:left w:w="108" w:type="dxa"/>
              <w:right w:w="108" w:type="dxa"/>
            </w:tcMar>
            <w:vAlign w:val="bottom"/>
          </w:tcPr>
          <w:p w14:paraId="644E5F5A"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3543" w:type="dxa"/>
            <w:shd w:val="clear" w:color="auto" w:fill="C6EFCE"/>
            <w:tcMar>
              <w:left w:w="108" w:type="dxa"/>
              <w:right w:w="108" w:type="dxa"/>
            </w:tcMar>
            <w:vAlign w:val="center"/>
          </w:tcPr>
          <w:p w14:paraId="2DACF26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76" w:type="dxa"/>
            <w:shd w:val="clear" w:color="auto" w:fill="C6EFCE"/>
            <w:tcMar>
              <w:left w:w="108" w:type="dxa"/>
              <w:right w:w="108" w:type="dxa"/>
            </w:tcMar>
            <w:vAlign w:val="center"/>
          </w:tcPr>
          <w:p w14:paraId="5EDC838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Instalment Amount</w:t>
            </w:r>
          </w:p>
        </w:tc>
        <w:tc>
          <w:tcPr>
            <w:tcW w:w="3112" w:type="dxa"/>
            <w:shd w:val="clear" w:color="auto" w:fill="C6EFCE"/>
            <w:tcMar>
              <w:left w:w="108" w:type="dxa"/>
              <w:right w:w="108" w:type="dxa"/>
            </w:tcMar>
            <w:vAlign w:val="center"/>
          </w:tcPr>
          <w:p w14:paraId="4CADD224"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621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492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701</w:t>
            </w:r>
            <w:r w:rsidRPr="00647572">
              <w:rPr>
                <w:rFonts w:ascii="Arial Narrow" w:eastAsia="Arial Narrow" w:hAnsi="Arial Narrow" w:cs="Arial Narrow"/>
                <w:noProof/>
                <w:color w:val="006100"/>
                <w:sz w:val="20"/>
                <w:szCs w:val="20"/>
                <w:lang w:eastAsia="en-GB"/>
              </w:rPr>
              <w:t xml:space="preserve"> </w:t>
            </w:r>
          </w:p>
        </w:tc>
      </w:tr>
    </w:tbl>
    <w:p w14:paraId="5C2F550D" w14:textId="77777777" w:rsidR="0039681A" w:rsidRPr="005D46BA" w:rsidRDefault="0039681A" w:rsidP="00351087">
      <w:pPr>
        <w:spacing w:after="0"/>
        <w:ind w:left="850"/>
        <w:contextualSpacing/>
        <w:jc w:val="both"/>
        <w:rPr>
          <w:rFonts w:ascii="Times New Roman" w:eastAsia="Times New Roman" w:hAnsi="Times New Roman" w:cs="Times New Roman"/>
          <w:noProof/>
          <w:sz w:val="2"/>
          <w:szCs w:val="2"/>
          <w:lang w:eastAsia="en-GB"/>
        </w:rPr>
      </w:pPr>
    </w:p>
    <w:p w14:paraId="1EDEB9C7" w14:textId="77777777" w:rsidR="0039681A" w:rsidRPr="00647572" w:rsidRDefault="0039681A" w:rsidP="0039681A">
      <w:pPr>
        <w:pStyle w:val="Heading4"/>
        <w:numPr>
          <w:ilvl w:val="1"/>
          <w:numId w:val="16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Sixth Instalment (non-repayable support):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38"/>
        <w:gridCol w:w="1185"/>
        <w:gridCol w:w="3200"/>
      </w:tblGrid>
      <w:tr w:rsidR="0039681A" w:rsidRPr="00647572" w14:paraId="19F7DCF1" w14:textId="77777777">
        <w:trPr>
          <w:trHeight w:val="900"/>
          <w:tblHeader/>
        </w:trPr>
        <w:tc>
          <w:tcPr>
            <w:tcW w:w="1435" w:type="dxa"/>
            <w:vMerge w:val="restart"/>
            <w:shd w:val="clear" w:color="auto" w:fill="BDD7EE"/>
            <w:tcMar>
              <w:left w:w="108" w:type="dxa"/>
              <w:right w:w="108" w:type="dxa"/>
            </w:tcMar>
            <w:vAlign w:val="center"/>
          </w:tcPr>
          <w:p w14:paraId="6189C9E7" w14:textId="77777777" w:rsidR="0039681A" w:rsidRPr="00647572" w:rsidRDefault="0039681A">
            <w:pPr>
              <w:spacing w:after="0" w:line="240" w:lineRule="auto"/>
              <w:jc w:val="center"/>
              <w:rPr>
                <w:rFonts w:ascii="Times New Roman" w:eastAsia="Times New Roman" w:hAnsi="Times New Roman" w:cs="Times New Roman"/>
                <w:b/>
                <w:bCs/>
                <w:noProof/>
                <w:color w:val="000000"/>
                <w:sz w:val="20"/>
                <w:szCs w:val="20"/>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38" w:type="dxa"/>
            <w:vMerge w:val="restart"/>
            <w:shd w:val="clear" w:color="auto" w:fill="BDD7EE"/>
            <w:tcMar>
              <w:left w:w="108" w:type="dxa"/>
              <w:right w:w="108" w:type="dxa"/>
            </w:tcMar>
            <w:vAlign w:val="center"/>
          </w:tcPr>
          <w:p w14:paraId="7E138F1C"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185" w:type="dxa"/>
            <w:vMerge w:val="restart"/>
            <w:shd w:val="clear" w:color="auto" w:fill="BDD7EE"/>
            <w:tcMar>
              <w:left w:w="108" w:type="dxa"/>
              <w:right w:w="108" w:type="dxa"/>
            </w:tcMar>
            <w:vAlign w:val="center"/>
          </w:tcPr>
          <w:p w14:paraId="4F66307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200" w:type="dxa"/>
            <w:vMerge w:val="restart"/>
            <w:shd w:val="clear" w:color="auto" w:fill="BDD7EE"/>
            <w:tcMar>
              <w:left w:w="108" w:type="dxa"/>
              <w:right w:w="108" w:type="dxa"/>
            </w:tcMar>
            <w:vAlign w:val="center"/>
          </w:tcPr>
          <w:p w14:paraId="1E5E127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52FE970E" w14:textId="77777777">
        <w:trPr>
          <w:trHeight w:val="510"/>
        </w:trPr>
        <w:tc>
          <w:tcPr>
            <w:tcW w:w="1435" w:type="dxa"/>
            <w:vMerge/>
            <w:vAlign w:val="center"/>
          </w:tcPr>
          <w:p w14:paraId="54E3BE60"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538" w:type="dxa"/>
            <w:vMerge/>
            <w:vAlign w:val="center"/>
          </w:tcPr>
          <w:p w14:paraId="400B44E3"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185" w:type="dxa"/>
            <w:vMerge/>
            <w:vAlign w:val="center"/>
          </w:tcPr>
          <w:p w14:paraId="0B5E9468"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200" w:type="dxa"/>
            <w:vMerge/>
            <w:vAlign w:val="center"/>
          </w:tcPr>
          <w:p w14:paraId="46700863"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5294E965" w14:textId="77777777">
        <w:trPr>
          <w:trHeight w:val="300"/>
        </w:trPr>
        <w:tc>
          <w:tcPr>
            <w:tcW w:w="1435" w:type="dxa"/>
            <w:shd w:val="clear" w:color="auto" w:fill="C6EFCE"/>
            <w:tcMar>
              <w:left w:w="108" w:type="dxa"/>
              <w:right w:w="108" w:type="dxa"/>
            </w:tcMar>
            <w:vAlign w:val="center"/>
          </w:tcPr>
          <w:p w14:paraId="0BF5CCC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M1C1-14bis</w:t>
            </w:r>
          </w:p>
        </w:tc>
        <w:tc>
          <w:tcPr>
            <w:tcW w:w="3538" w:type="dxa"/>
            <w:shd w:val="clear" w:color="auto" w:fill="C6EFCE"/>
            <w:tcMar>
              <w:left w:w="108" w:type="dxa"/>
              <w:right w:w="108" w:type="dxa"/>
            </w:tcMar>
            <w:vAlign w:val="center"/>
          </w:tcPr>
          <w:p w14:paraId="6FBEB0B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1.9bis: Reform for accelerating the implementation of cohesion policy</w:t>
            </w:r>
          </w:p>
        </w:tc>
        <w:tc>
          <w:tcPr>
            <w:tcW w:w="1185" w:type="dxa"/>
            <w:shd w:val="clear" w:color="auto" w:fill="C6EFCE"/>
            <w:tcMar>
              <w:left w:w="108" w:type="dxa"/>
              <w:right w:w="108" w:type="dxa"/>
            </w:tcMar>
            <w:vAlign w:val="center"/>
          </w:tcPr>
          <w:p w14:paraId="018E009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3FB9B65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national legislation for accelerating the implementation of cohesion policy</w:t>
            </w:r>
          </w:p>
        </w:tc>
      </w:tr>
      <w:tr w:rsidR="0039681A" w:rsidRPr="00647572" w14:paraId="59C0D608" w14:textId="77777777">
        <w:trPr>
          <w:trHeight w:val="300"/>
        </w:trPr>
        <w:tc>
          <w:tcPr>
            <w:tcW w:w="1435" w:type="dxa"/>
            <w:shd w:val="clear" w:color="auto" w:fill="C6EFCE"/>
            <w:tcMar>
              <w:left w:w="108" w:type="dxa"/>
              <w:right w:w="108" w:type="dxa"/>
            </w:tcMar>
            <w:vAlign w:val="center"/>
          </w:tcPr>
          <w:p w14:paraId="35CA991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M1C1-15</w:t>
            </w:r>
          </w:p>
        </w:tc>
        <w:tc>
          <w:tcPr>
            <w:tcW w:w="3538" w:type="dxa"/>
            <w:shd w:val="clear" w:color="auto" w:fill="C6EFCE"/>
            <w:tcMar>
              <w:left w:w="108" w:type="dxa"/>
              <w:right w:w="108" w:type="dxa"/>
            </w:tcMar>
            <w:vAlign w:val="center"/>
          </w:tcPr>
          <w:p w14:paraId="385EDEB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1.6.6: Digitization of the Finance Police</w:t>
            </w:r>
          </w:p>
        </w:tc>
        <w:tc>
          <w:tcPr>
            <w:tcW w:w="1185" w:type="dxa"/>
            <w:shd w:val="clear" w:color="auto" w:fill="C6EFCE"/>
            <w:tcMar>
              <w:left w:w="108" w:type="dxa"/>
              <w:right w:w="108" w:type="dxa"/>
            </w:tcMar>
            <w:vAlign w:val="center"/>
          </w:tcPr>
          <w:p w14:paraId="2A920B0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3FBD3C58"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Finance Police - Purchase of professional data science services T2</w:t>
            </w:r>
          </w:p>
        </w:tc>
      </w:tr>
      <w:tr w:rsidR="0039681A" w:rsidRPr="0070054C" w14:paraId="4CCAB25C" w14:textId="77777777">
        <w:trPr>
          <w:trHeight w:val="300"/>
        </w:trPr>
        <w:tc>
          <w:tcPr>
            <w:tcW w:w="1435" w:type="dxa"/>
            <w:shd w:val="clear" w:color="auto" w:fill="C6EFCE"/>
            <w:tcMar>
              <w:left w:w="108" w:type="dxa"/>
              <w:right w:w="108" w:type="dxa"/>
            </w:tcMar>
            <w:vAlign w:val="center"/>
          </w:tcPr>
          <w:p w14:paraId="55DFD77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M1C1-37bis</w:t>
            </w:r>
          </w:p>
        </w:tc>
        <w:tc>
          <w:tcPr>
            <w:tcW w:w="3538" w:type="dxa"/>
            <w:shd w:val="clear" w:color="auto" w:fill="C6EFCE"/>
            <w:tcMar>
              <w:left w:w="108" w:type="dxa"/>
              <w:right w:w="108" w:type="dxa"/>
            </w:tcMar>
            <w:vAlign w:val="center"/>
          </w:tcPr>
          <w:p w14:paraId="075A7D1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civil justice</w:t>
            </w:r>
          </w:p>
        </w:tc>
        <w:tc>
          <w:tcPr>
            <w:tcW w:w="1185" w:type="dxa"/>
            <w:shd w:val="clear" w:color="auto" w:fill="C6EFCE"/>
            <w:tcMar>
              <w:left w:w="108" w:type="dxa"/>
              <w:right w:w="108" w:type="dxa"/>
            </w:tcMar>
            <w:vAlign w:val="center"/>
          </w:tcPr>
          <w:p w14:paraId="357D114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1A0BABC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measures aimed at reducing backlog</w:t>
            </w:r>
          </w:p>
        </w:tc>
      </w:tr>
      <w:tr w:rsidR="0039681A" w:rsidRPr="0070054C" w14:paraId="193084C3" w14:textId="77777777">
        <w:trPr>
          <w:trHeight w:val="300"/>
        </w:trPr>
        <w:tc>
          <w:tcPr>
            <w:tcW w:w="1435" w:type="dxa"/>
            <w:shd w:val="clear" w:color="auto" w:fill="C6EFCE"/>
            <w:tcMar>
              <w:left w:w="108" w:type="dxa"/>
              <w:right w:w="108" w:type="dxa"/>
            </w:tcMar>
            <w:vAlign w:val="center"/>
          </w:tcPr>
          <w:p w14:paraId="172959E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M1C1-72bis</w:t>
            </w:r>
          </w:p>
        </w:tc>
        <w:tc>
          <w:tcPr>
            <w:tcW w:w="3538" w:type="dxa"/>
            <w:shd w:val="clear" w:color="auto" w:fill="C6EFCE"/>
            <w:tcMar>
              <w:left w:w="108" w:type="dxa"/>
              <w:right w:w="108" w:type="dxa"/>
            </w:tcMar>
            <w:vAlign w:val="center"/>
          </w:tcPr>
          <w:p w14:paraId="286B9F2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185" w:type="dxa"/>
            <w:shd w:val="clear" w:color="auto" w:fill="C6EFCE"/>
            <w:tcMar>
              <w:left w:w="108" w:type="dxa"/>
              <w:right w:w="108" w:type="dxa"/>
            </w:tcMar>
            <w:vAlign w:val="center"/>
          </w:tcPr>
          <w:p w14:paraId="43C5950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0DF2082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Legislative and specific actions to reduce late payments at central/local levels</w:t>
            </w:r>
          </w:p>
        </w:tc>
      </w:tr>
      <w:tr w:rsidR="0039681A" w:rsidRPr="0070054C" w14:paraId="3AF0A684" w14:textId="77777777">
        <w:trPr>
          <w:trHeight w:val="300"/>
        </w:trPr>
        <w:tc>
          <w:tcPr>
            <w:tcW w:w="1435" w:type="dxa"/>
            <w:shd w:val="clear" w:color="auto" w:fill="C6EFCE"/>
            <w:tcMar>
              <w:left w:w="108" w:type="dxa"/>
              <w:right w:w="108" w:type="dxa"/>
            </w:tcMar>
            <w:vAlign w:val="center"/>
          </w:tcPr>
          <w:p w14:paraId="7561DB38"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M1C1-85</w:t>
            </w:r>
          </w:p>
        </w:tc>
        <w:tc>
          <w:tcPr>
            <w:tcW w:w="3538" w:type="dxa"/>
            <w:shd w:val="clear" w:color="auto" w:fill="C6EFCE"/>
            <w:tcMar>
              <w:left w:w="108" w:type="dxa"/>
              <w:right w:w="108" w:type="dxa"/>
            </w:tcMar>
            <w:vAlign w:val="center"/>
          </w:tcPr>
          <w:p w14:paraId="4623DDE4"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185" w:type="dxa"/>
            <w:shd w:val="clear" w:color="auto" w:fill="C6EFCE"/>
            <w:tcMar>
              <w:left w:w="108" w:type="dxa"/>
              <w:right w:w="108" w:type="dxa"/>
            </w:tcMar>
            <w:vAlign w:val="center"/>
          </w:tcPr>
          <w:p w14:paraId="6904590E"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66D95722"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Average time between the contract award and the realization of the infrastructure</w:t>
            </w:r>
          </w:p>
        </w:tc>
      </w:tr>
      <w:tr w:rsidR="0039681A" w:rsidRPr="0070054C" w14:paraId="1510FDD3" w14:textId="77777777">
        <w:trPr>
          <w:trHeight w:val="300"/>
        </w:trPr>
        <w:tc>
          <w:tcPr>
            <w:tcW w:w="1435" w:type="dxa"/>
            <w:shd w:val="clear" w:color="auto" w:fill="C6EFCE"/>
            <w:tcMar>
              <w:left w:w="108" w:type="dxa"/>
              <w:right w:w="108" w:type="dxa"/>
            </w:tcMar>
            <w:vAlign w:val="center"/>
          </w:tcPr>
          <w:p w14:paraId="3D30F6C3"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M1C1-99</w:t>
            </w:r>
          </w:p>
        </w:tc>
        <w:tc>
          <w:tcPr>
            <w:tcW w:w="3538" w:type="dxa"/>
            <w:shd w:val="clear" w:color="auto" w:fill="C6EFCE"/>
            <w:tcMar>
              <w:left w:w="108" w:type="dxa"/>
              <w:right w:w="108" w:type="dxa"/>
            </w:tcMar>
            <w:vAlign w:val="center"/>
          </w:tcPr>
          <w:p w14:paraId="1A776465"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 </w:t>
            </w:r>
          </w:p>
        </w:tc>
        <w:tc>
          <w:tcPr>
            <w:tcW w:w="1185" w:type="dxa"/>
            <w:shd w:val="clear" w:color="auto" w:fill="C6EFCE"/>
            <w:tcMar>
              <w:left w:w="108" w:type="dxa"/>
              <w:right w:w="108" w:type="dxa"/>
            </w:tcMar>
            <w:vAlign w:val="center"/>
          </w:tcPr>
          <w:p w14:paraId="71532A17"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1E82A56D"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Contracting authorities using dynamic purchasing systems </w:t>
            </w:r>
          </w:p>
        </w:tc>
      </w:tr>
      <w:tr w:rsidR="0039681A" w:rsidRPr="0070054C" w14:paraId="459C7DEB" w14:textId="77777777">
        <w:trPr>
          <w:trHeight w:val="300"/>
        </w:trPr>
        <w:tc>
          <w:tcPr>
            <w:tcW w:w="1435" w:type="dxa"/>
            <w:shd w:val="clear" w:color="auto" w:fill="C6EFCE"/>
            <w:tcMar>
              <w:left w:w="108" w:type="dxa"/>
              <w:right w:w="108" w:type="dxa"/>
            </w:tcMar>
            <w:vAlign w:val="center"/>
          </w:tcPr>
          <w:p w14:paraId="47E6361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M2C2-6</w:t>
            </w:r>
          </w:p>
        </w:tc>
        <w:tc>
          <w:tcPr>
            <w:tcW w:w="3538" w:type="dxa"/>
            <w:shd w:val="clear" w:color="auto" w:fill="C6EFCE"/>
            <w:tcMar>
              <w:left w:w="108" w:type="dxa"/>
              <w:right w:w="108" w:type="dxa"/>
            </w:tcMar>
            <w:vAlign w:val="center"/>
          </w:tcPr>
          <w:p w14:paraId="65B69B5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Simplification of authorization procedures for renewable onshore and offshore plants and new legal framework to sustain the production from renewable sources and time and eligibility extension of the current support schemes</w:t>
            </w:r>
          </w:p>
        </w:tc>
        <w:tc>
          <w:tcPr>
            <w:tcW w:w="1185" w:type="dxa"/>
            <w:shd w:val="clear" w:color="auto" w:fill="C6EFCE"/>
            <w:tcMar>
              <w:left w:w="108" w:type="dxa"/>
              <w:right w:w="108" w:type="dxa"/>
            </w:tcMar>
            <w:vAlign w:val="center"/>
          </w:tcPr>
          <w:p w14:paraId="2971A01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07182DA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legal framework for the simplification of the authorisation procedures for building-up structures for onshore and off-shore renewable energies</w:t>
            </w:r>
          </w:p>
        </w:tc>
      </w:tr>
      <w:tr w:rsidR="0039681A" w:rsidRPr="0070054C" w14:paraId="564947F0" w14:textId="77777777">
        <w:trPr>
          <w:trHeight w:val="300"/>
        </w:trPr>
        <w:tc>
          <w:tcPr>
            <w:tcW w:w="1435" w:type="dxa"/>
            <w:shd w:val="clear" w:color="auto" w:fill="C6EFCE"/>
            <w:tcMar>
              <w:left w:w="108" w:type="dxa"/>
              <w:right w:w="108" w:type="dxa"/>
            </w:tcMar>
            <w:vAlign w:val="center"/>
          </w:tcPr>
          <w:p w14:paraId="1F976BD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M4C1-8</w:t>
            </w:r>
          </w:p>
        </w:tc>
        <w:tc>
          <w:tcPr>
            <w:tcW w:w="3538" w:type="dxa"/>
            <w:shd w:val="clear" w:color="auto" w:fill="C6EFCE"/>
            <w:tcMar>
              <w:left w:w="108" w:type="dxa"/>
              <w:right w:w="108" w:type="dxa"/>
            </w:tcMar>
            <w:vAlign w:val="center"/>
          </w:tcPr>
          <w:p w14:paraId="0F10541F"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1.3: School Sports Infrastructure Enhancement Plan</w:t>
            </w:r>
          </w:p>
        </w:tc>
        <w:tc>
          <w:tcPr>
            <w:tcW w:w="1185" w:type="dxa"/>
            <w:shd w:val="clear" w:color="auto" w:fill="C6EFCE"/>
            <w:tcMar>
              <w:left w:w="108" w:type="dxa"/>
              <w:right w:w="108" w:type="dxa"/>
            </w:tcMar>
            <w:vAlign w:val="center"/>
          </w:tcPr>
          <w:p w14:paraId="0077F44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14E2A7B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contracts for interventions to build and renovate sports facilities and gyms for school use</w:t>
            </w:r>
          </w:p>
        </w:tc>
      </w:tr>
      <w:tr w:rsidR="0039681A" w:rsidRPr="0070054C" w14:paraId="4D68B0CE" w14:textId="77777777">
        <w:trPr>
          <w:trHeight w:val="300"/>
        </w:trPr>
        <w:tc>
          <w:tcPr>
            <w:tcW w:w="1435" w:type="dxa"/>
            <w:shd w:val="clear" w:color="auto" w:fill="C6EFCE"/>
            <w:tcMar>
              <w:left w:w="108" w:type="dxa"/>
              <w:right w:w="108" w:type="dxa"/>
            </w:tcMar>
            <w:vAlign w:val="center"/>
          </w:tcPr>
          <w:p w14:paraId="54599E7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M5C1-9</w:t>
            </w:r>
          </w:p>
        </w:tc>
        <w:tc>
          <w:tcPr>
            <w:tcW w:w="3538" w:type="dxa"/>
            <w:shd w:val="clear" w:color="auto" w:fill="C6EFCE"/>
            <w:tcMar>
              <w:left w:w="108" w:type="dxa"/>
              <w:right w:w="108" w:type="dxa"/>
            </w:tcMar>
            <w:vAlign w:val="center"/>
          </w:tcPr>
          <w:p w14:paraId="0D20F5FA"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 Undeclared Work</w:t>
            </w:r>
          </w:p>
        </w:tc>
        <w:tc>
          <w:tcPr>
            <w:tcW w:w="1185" w:type="dxa"/>
            <w:shd w:val="clear" w:color="auto" w:fill="C6EFCE"/>
            <w:tcMar>
              <w:left w:w="108" w:type="dxa"/>
              <w:right w:w="108" w:type="dxa"/>
            </w:tcMar>
            <w:vAlign w:val="center"/>
          </w:tcPr>
          <w:p w14:paraId="44893AE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5FA4B96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Carry out actions to fight undeclared work</w:t>
            </w:r>
          </w:p>
        </w:tc>
      </w:tr>
      <w:tr w:rsidR="0039681A" w:rsidRPr="0070054C" w14:paraId="1C49AEA6" w14:textId="77777777">
        <w:trPr>
          <w:trHeight w:val="300"/>
        </w:trPr>
        <w:tc>
          <w:tcPr>
            <w:tcW w:w="1435" w:type="dxa"/>
            <w:shd w:val="clear" w:color="auto" w:fill="C6EFCE"/>
            <w:tcMar>
              <w:left w:w="108" w:type="dxa"/>
              <w:right w:w="108" w:type="dxa"/>
            </w:tcMar>
            <w:vAlign w:val="center"/>
          </w:tcPr>
          <w:p w14:paraId="44539E4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M5C2-4</w:t>
            </w:r>
          </w:p>
        </w:tc>
        <w:tc>
          <w:tcPr>
            <w:tcW w:w="3538" w:type="dxa"/>
            <w:shd w:val="clear" w:color="auto" w:fill="C6EFCE"/>
            <w:tcMar>
              <w:left w:w="108" w:type="dxa"/>
              <w:right w:w="108" w:type="dxa"/>
            </w:tcMar>
            <w:vAlign w:val="center"/>
          </w:tcPr>
          <w:p w14:paraId="56EB387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 Reform for non-self-sufficient elderly persons</w:t>
            </w:r>
          </w:p>
        </w:tc>
        <w:tc>
          <w:tcPr>
            <w:tcW w:w="1185" w:type="dxa"/>
            <w:shd w:val="clear" w:color="auto" w:fill="C6EFCE"/>
            <w:tcMar>
              <w:left w:w="108" w:type="dxa"/>
              <w:right w:w="108" w:type="dxa"/>
            </w:tcMar>
            <w:vAlign w:val="center"/>
          </w:tcPr>
          <w:p w14:paraId="18E336E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5FBE22C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legislative decrees that develop the provisions set out by the Framework Law to strengthen the actions in favour of non self-sufficiency elderly people</w:t>
            </w:r>
          </w:p>
        </w:tc>
      </w:tr>
      <w:tr w:rsidR="0039681A" w:rsidRPr="0070054C" w14:paraId="04F842F1" w14:textId="77777777">
        <w:trPr>
          <w:trHeight w:val="300"/>
        </w:trPr>
        <w:tc>
          <w:tcPr>
            <w:tcW w:w="1435" w:type="dxa"/>
            <w:shd w:val="clear" w:color="auto" w:fill="C6EFCE"/>
            <w:tcMar>
              <w:left w:w="108" w:type="dxa"/>
              <w:right w:w="108" w:type="dxa"/>
            </w:tcMar>
            <w:vAlign w:val="center"/>
          </w:tcPr>
          <w:p w14:paraId="51BDD52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M7-9</w:t>
            </w:r>
          </w:p>
        </w:tc>
        <w:tc>
          <w:tcPr>
            <w:tcW w:w="3538" w:type="dxa"/>
            <w:shd w:val="clear" w:color="auto" w:fill="C6EFCE"/>
            <w:tcMar>
              <w:left w:w="108" w:type="dxa"/>
              <w:right w:w="108" w:type="dxa"/>
            </w:tcMar>
            <w:vAlign w:val="center"/>
          </w:tcPr>
          <w:p w14:paraId="7AA7BBA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5: Plan for new Skills - Transitions</w:t>
            </w:r>
          </w:p>
        </w:tc>
        <w:tc>
          <w:tcPr>
            <w:tcW w:w="1185" w:type="dxa"/>
            <w:shd w:val="clear" w:color="auto" w:fill="C6EFCE"/>
            <w:tcMar>
              <w:left w:w="108" w:type="dxa"/>
              <w:right w:w="108" w:type="dxa"/>
            </w:tcMar>
            <w:vAlign w:val="center"/>
          </w:tcPr>
          <w:p w14:paraId="0FD7824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59AE0B6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and publication of the New Skills Plan – Transitions and of the Road Map for implementation</w:t>
            </w:r>
          </w:p>
        </w:tc>
      </w:tr>
      <w:tr w:rsidR="0039681A" w:rsidRPr="00647572" w14:paraId="16C6C3C0" w14:textId="77777777">
        <w:trPr>
          <w:trHeight w:val="300"/>
        </w:trPr>
        <w:tc>
          <w:tcPr>
            <w:tcW w:w="1435" w:type="dxa"/>
            <w:shd w:val="clear" w:color="auto" w:fill="C6EFCE"/>
            <w:tcMar>
              <w:left w:w="108" w:type="dxa"/>
              <w:right w:w="108" w:type="dxa"/>
            </w:tcMar>
            <w:vAlign w:val="center"/>
          </w:tcPr>
          <w:p w14:paraId="432CC6D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M7-32</w:t>
            </w:r>
          </w:p>
        </w:tc>
        <w:tc>
          <w:tcPr>
            <w:tcW w:w="3538" w:type="dxa"/>
            <w:shd w:val="clear" w:color="auto" w:fill="C6EFCE"/>
            <w:tcMar>
              <w:left w:w="108" w:type="dxa"/>
              <w:right w:w="108" w:type="dxa"/>
            </w:tcMar>
            <w:vAlign w:val="center"/>
          </w:tcPr>
          <w:p w14:paraId="27D4A475"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12 Financial Instrument for the development of an international, industrial and R&amp;D leadership in zero-emission buses</w:t>
            </w:r>
          </w:p>
        </w:tc>
        <w:tc>
          <w:tcPr>
            <w:tcW w:w="1185" w:type="dxa"/>
            <w:shd w:val="clear" w:color="auto" w:fill="C6EFCE"/>
            <w:tcMar>
              <w:left w:w="108" w:type="dxa"/>
              <w:right w:w="108" w:type="dxa"/>
            </w:tcMar>
            <w:vAlign w:val="center"/>
          </w:tcPr>
          <w:p w14:paraId="23B5F67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16BE1F63"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39681A" w:rsidRPr="0070054C" w14:paraId="4901E478" w14:textId="77777777">
        <w:trPr>
          <w:trHeight w:val="300"/>
        </w:trPr>
        <w:tc>
          <w:tcPr>
            <w:tcW w:w="1435" w:type="dxa"/>
            <w:shd w:val="clear" w:color="auto" w:fill="C6EFCE"/>
            <w:tcMar>
              <w:left w:w="108" w:type="dxa"/>
              <w:right w:w="108" w:type="dxa"/>
            </w:tcMar>
            <w:vAlign w:val="center"/>
          </w:tcPr>
          <w:p w14:paraId="62506BB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M1C1-39</w:t>
            </w:r>
          </w:p>
        </w:tc>
        <w:tc>
          <w:tcPr>
            <w:tcW w:w="3538" w:type="dxa"/>
            <w:shd w:val="clear" w:color="auto" w:fill="C6EFCE"/>
            <w:tcMar>
              <w:left w:w="108" w:type="dxa"/>
              <w:right w:w="108" w:type="dxa"/>
            </w:tcMar>
            <w:vAlign w:val="center"/>
          </w:tcPr>
          <w:p w14:paraId="4241834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civil and criminal courts</w:t>
            </w:r>
          </w:p>
        </w:tc>
        <w:tc>
          <w:tcPr>
            <w:tcW w:w="1185" w:type="dxa"/>
            <w:shd w:val="clear" w:color="auto" w:fill="C6EFCE"/>
            <w:tcMar>
              <w:left w:w="108" w:type="dxa"/>
              <w:right w:w="108" w:type="dxa"/>
            </w:tcMar>
            <w:vAlign w:val="center"/>
          </w:tcPr>
          <w:p w14:paraId="66562A4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12A1172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Conclusion of the recruitment procedures for civil and criminal courts and territorial and central services of the Ministry of Justice responsible for the implementation of the RRP</w:t>
            </w:r>
          </w:p>
        </w:tc>
      </w:tr>
      <w:tr w:rsidR="0039681A" w:rsidRPr="0070054C" w14:paraId="4F101379" w14:textId="77777777">
        <w:trPr>
          <w:trHeight w:val="300"/>
        </w:trPr>
        <w:tc>
          <w:tcPr>
            <w:tcW w:w="1435" w:type="dxa"/>
            <w:shd w:val="clear" w:color="auto" w:fill="C6EFCE"/>
            <w:tcMar>
              <w:left w:w="108" w:type="dxa"/>
              <w:right w:w="108" w:type="dxa"/>
            </w:tcMar>
            <w:vAlign w:val="center"/>
          </w:tcPr>
          <w:p w14:paraId="68A6BD5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M1C1-40</w:t>
            </w:r>
          </w:p>
        </w:tc>
        <w:tc>
          <w:tcPr>
            <w:tcW w:w="3538" w:type="dxa"/>
            <w:shd w:val="clear" w:color="auto" w:fill="C6EFCE"/>
            <w:tcMar>
              <w:left w:w="108" w:type="dxa"/>
              <w:right w:w="108" w:type="dxa"/>
            </w:tcMar>
            <w:vAlign w:val="center"/>
          </w:tcPr>
          <w:p w14:paraId="5FBB769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administrative courts</w:t>
            </w:r>
          </w:p>
        </w:tc>
        <w:tc>
          <w:tcPr>
            <w:tcW w:w="1185" w:type="dxa"/>
            <w:shd w:val="clear" w:color="auto" w:fill="C6EFCE"/>
            <w:tcMar>
              <w:left w:w="108" w:type="dxa"/>
              <w:right w:w="108" w:type="dxa"/>
            </w:tcMar>
            <w:vAlign w:val="center"/>
          </w:tcPr>
          <w:p w14:paraId="35C18EF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5D9598B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Conclusion of recruitment procedures for administrative courts</w:t>
            </w:r>
          </w:p>
        </w:tc>
      </w:tr>
      <w:tr w:rsidR="0039681A" w:rsidRPr="0070054C" w14:paraId="10806E56" w14:textId="77777777">
        <w:trPr>
          <w:trHeight w:val="300"/>
        </w:trPr>
        <w:tc>
          <w:tcPr>
            <w:tcW w:w="1435" w:type="dxa"/>
            <w:shd w:val="clear" w:color="auto" w:fill="C6EFCE"/>
            <w:tcMar>
              <w:left w:w="108" w:type="dxa"/>
              <w:right w:w="108" w:type="dxa"/>
            </w:tcMar>
            <w:vAlign w:val="center"/>
          </w:tcPr>
          <w:p w14:paraId="36C7D9E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M1C1-41</w:t>
            </w:r>
          </w:p>
        </w:tc>
        <w:tc>
          <w:tcPr>
            <w:tcW w:w="3538" w:type="dxa"/>
            <w:shd w:val="clear" w:color="auto" w:fill="C6EFCE"/>
            <w:tcMar>
              <w:left w:w="108" w:type="dxa"/>
              <w:right w:w="108" w:type="dxa"/>
            </w:tcMar>
            <w:vAlign w:val="center"/>
          </w:tcPr>
          <w:p w14:paraId="2BFE6D2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administrative courts</w:t>
            </w:r>
          </w:p>
        </w:tc>
        <w:tc>
          <w:tcPr>
            <w:tcW w:w="1185" w:type="dxa"/>
            <w:shd w:val="clear" w:color="auto" w:fill="C6EFCE"/>
            <w:tcMar>
              <w:left w:w="108" w:type="dxa"/>
              <w:right w:w="108" w:type="dxa"/>
            </w:tcMar>
            <w:vAlign w:val="center"/>
          </w:tcPr>
          <w:p w14:paraId="5AAF020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06EEC17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Administrative Regional Courts</w:t>
            </w:r>
          </w:p>
        </w:tc>
      </w:tr>
      <w:tr w:rsidR="0039681A" w:rsidRPr="0070054C" w14:paraId="34F925B6" w14:textId="77777777">
        <w:trPr>
          <w:trHeight w:val="300"/>
        </w:trPr>
        <w:tc>
          <w:tcPr>
            <w:tcW w:w="1435" w:type="dxa"/>
            <w:shd w:val="clear" w:color="auto" w:fill="C6EFCE"/>
            <w:tcMar>
              <w:left w:w="108" w:type="dxa"/>
              <w:right w:w="108" w:type="dxa"/>
            </w:tcMar>
            <w:vAlign w:val="center"/>
          </w:tcPr>
          <w:p w14:paraId="2A15A20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M1C1-42</w:t>
            </w:r>
          </w:p>
        </w:tc>
        <w:tc>
          <w:tcPr>
            <w:tcW w:w="3538" w:type="dxa"/>
            <w:shd w:val="clear" w:color="auto" w:fill="C6EFCE"/>
            <w:tcMar>
              <w:left w:w="108" w:type="dxa"/>
              <w:right w:w="108" w:type="dxa"/>
            </w:tcMar>
            <w:vAlign w:val="center"/>
          </w:tcPr>
          <w:p w14:paraId="1AF49BC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administrative courts</w:t>
            </w:r>
          </w:p>
        </w:tc>
        <w:tc>
          <w:tcPr>
            <w:tcW w:w="1185" w:type="dxa"/>
            <w:shd w:val="clear" w:color="auto" w:fill="C6EFCE"/>
            <w:tcMar>
              <w:left w:w="108" w:type="dxa"/>
              <w:right w:w="108" w:type="dxa"/>
            </w:tcMar>
            <w:vAlign w:val="center"/>
          </w:tcPr>
          <w:p w14:paraId="35095A4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42D9B4C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the Council of State</w:t>
            </w:r>
          </w:p>
        </w:tc>
      </w:tr>
      <w:tr w:rsidR="0039681A" w:rsidRPr="0070054C" w14:paraId="5BF02189" w14:textId="77777777">
        <w:trPr>
          <w:trHeight w:val="300"/>
        </w:trPr>
        <w:tc>
          <w:tcPr>
            <w:tcW w:w="1435" w:type="dxa"/>
            <w:shd w:val="clear" w:color="auto" w:fill="C6EFCE"/>
            <w:tcMar>
              <w:left w:w="108" w:type="dxa"/>
              <w:right w:w="108" w:type="dxa"/>
            </w:tcMar>
            <w:vAlign w:val="center"/>
          </w:tcPr>
          <w:p w14:paraId="552894C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M1C1- 59 BIS</w:t>
            </w:r>
          </w:p>
        </w:tc>
        <w:tc>
          <w:tcPr>
            <w:tcW w:w="3538" w:type="dxa"/>
            <w:shd w:val="clear" w:color="auto" w:fill="C6EFCE"/>
            <w:tcMar>
              <w:left w:w="108" w:type="dxa"/>
              <w:right w:w="108" w:type="dxa"/>
            </w:tcMar>
            <w:vAlign w:val="center"/>
          </w:tcPr>
          <w:p w14:paraId="10E0721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1.9: Reform of the public administration </w:t>
            </w:r>
          </w:p>
        </w:tc>
        <w:tc>
          <w:tcPr>
            <w:tcW w:w="1185" w:type="dxa"/>
            <w:shd w:val="clear" w:color="auto" w:fill="C6EFCE"/>
            <w:tcMar>
              <w:left w:w="108" w:type="dxa"/>
              <w:right w:w="108" w:type="dxa"/>
            </w:tcMar>
            <w:vAlign w:val="center"/>
          </w:tcPr>
          <w:p w14:paraId="0D8556A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4F5A72B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Implementation of strategic human resource management in the Public Administration</w:t>
            </w:r>
          </w:p>
        </w:tc>
      </w:tr>
      <w:tr w:rsidR="0039681A" w:rsidRPr="0070054C" w14:paraId="7D0F678A" w14:textId="77777777">
        <w:trPr>
          <w:trHeight w:val="300"/>
        </w:trPr>
        <w:tc>
          <w:tcPr>
            <w:tcW w:w="1435" w:type="dxa"/>
            <w:shd w:val="clear" w:color="auto" w:fill="C6EFCE"/>
            <w:tcMar>
              <w:left w:w="108" w:type="dxa"/>
              <w:right w:w="108" w:type="dxa"/>
            </w:tcMar>
            <w:vAlign w:val="center"/>
          </w:tcPr>
          <w:p w14:paraId="2643680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M1C1-73bis</w:t>
            </w:r>
          </w:p>
        </w:tc>
        <w:tc>
          <w:tcPr>
            <w:tcW w:w="3538" w:type="dxa"/>
            <w:shd w:val="clear" w:color="auto" w:fill="C6EFCE"/>
            <w:tcMar>
              <w:left w:w="108" w:type="dxa"/>
              <w:right w:w="108" w:type="dxa"/>
            </w:tcMar>
            <w:vAlign w:val="center"/>
          </w:tcPr>
          <w:p w14:paraId="02FB880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185" w:type="dxa"/>
            <w:shd w:val="clear" w:color="auto" w:fill="C6EFCE"/>
            <w:tcMar>
              <w:left w:w="108" w:type="dxa"/>
              <w:right w:w="108" w:type="dxa"/>
            </w:tcMar>
            <w:vAlign w:val="center"/>
          </w:tcPr>
          <w:p w14:paraId="069F1F9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218B6E3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a circular providing guidance on the qualification system for contracting authorities</w:t>
            </w:r>
          </w:p>
        </w:tc>
      </w:tr>
      <w:tr w:rsidR="0039681A" w:rsidRPr="0070054C" w14:paraId="112281B0" w14:textId="77777777">
        <w:trPr>
          <w:trHeight w:val="300"/>
        </w:trPr>
        <w:tc>
          <w:tcPr>
            <w:tcW w:w="1435" w:type="dxa"/>
            <w:shd w:val="clear" w:color="auto" w:fill="C6EFCE"/>
            <w:tcMar>
              <w:left w:w="108" w:type="dxa"/>
              <w:right w:w="108" w:type="dxa"/>
            </w:tcMar>
            <w:vAlign w:val="center"/>
          </w:tcPr>
          <w:p w14:paraId="530425F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M1C1-108</w:t>
            </w:r>
          </w:p>
        </w:tc>
        <w:tc>
          <w:tcPr>
            <w:tcW w:w="3538" w:type="dxa"/>
            <w:shd w:val="clear" w:color="auto" w:fill="C6EFCE"/>
            <w:tcMar>
              <w:left w:w="108" w:type="dxa"/>
              <w:right w:w="108" w:type="dxa"/>
            </w:tcMar>
            <w:vAlign w:val="center"/>
          </w:tcPr>
          <w:p w14:paraId="6131242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1.15: Reform of public accounting rules</w:t>
            </w:r>
          </w:p>
        </w:tc>
        <w:tc>
          <w:tcPr>
            <w:tcW w:w="1185" w:type="dxa"/>
            <w:shd w:val="clear" w:color="auto" w:fill="C6EFCE"/>
            <w:tcMar>
              <w:left w:w="108" w:type="dxa"/>
              <w:right w:w="108" w:type="dxa"/>
            </w:tcMar>
            <w:vAlign w:val="center"/>
          </w:tcPr>
          <w:p w14:paraId="354511E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35CCE96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Approval of the Conceptual framework, the Set of accrual accounting standards and the Multidimensional Chart of Accounts</w:t>
            </w:r>
          </w:p>
        </w:tc>
      </w:tr>
      <w:tr w:rsidR="0039681A" w:rsidRPr="0070054C" w14:paraId="49B92C8B" w14:textId="77777777">
        <w:trPr>
          <w:trHeight w:val="300"/>
        </w:trPr>
        <w:tc>
          <w:tcPr>
            <w:tcW w:w="1435" w:type="dxa"/>
            <w:shd w:val="clear" w:color="auto" w:fill="C6EFCE"/>
            <w:tcMar>
              <w:left w:w="108" w:type="dxa"/>
              <w:right w:w="108" w:type="dxa"/>
            </w:tcMar>
            <w:vAlign w:val="center"/>
          </w:tcPr>
          <w:p w14:paraId="73D6070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M1C1-111</w:t>
            </w:r>
          </w:p>
        </w:tc>
        <w:tc>
          <w:tcPr>
            <w:tcW w:w="3538" w:type="dxa"/>
            <w:shd w:val="clear" w:color="auto" w:fill="C6EFCE"/>
            <w:tcMar>
              <w:left w:w="108" w:type="dxa"/>
              <w:right w:w="108" w:type="dxa"/>
            </w:tcMar>
            <w:vAlign w:val="center"/>
          </w:tcPr>
          <w:p w14:paraId="74D8FD1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185" w:type="dxa"/>
            <w:shd w:val="clear" w:color="auto" w:fill="C6EFCE"/>
            <w:tcMar>
              <w:left w:w="108" w:type="dxa"/>
              <w:right w:w="108" w:type="dxa"/>
            </w:tcMar>
            <w:vAlign w:val="center"/>
          </w:tcPr>
          <w:p w14:paraId="43737D1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40925AF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Completion of the yearly spending review for 2023, with reference to the saving target set in 2022 for 2023</w:t>
            </w:r>
          </w:p>
        </w:tc>
      </w:tr>
      <w:tr w:rsidR="0039681A" w:rsidRPr="0070054C" w14:paraId="4AC1A029" w14:textId="77777777">
        <w:trPr>
          <w:trHeight w:val="300"/>
        </w:trPr>
        <w:tc>
          <w:tcPr>
            <w:tcW w:w="1435" w:type="dxa"/>
            <w:shd w:val="clear" w:color="auto" w:fill="C6EFCE"/>
            <w:tcMar>
              <w:left w:w="108" w:type="dxa"/>
              <w:right w:w="108" w:type="dxa"/>
            </w:tcMar>
            <w:vAlign w:val="center"/>
          </w:tcPr>
          <w:p w14:paraId="5FEEB6C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M1C1-112</w:t>
            </w:r>
          </w:p>
        </w:tc>
        <w:tc>
          <w:tcPr>
            <w:tcW w:w="3538" w:type="dxa"/>
            <w:shd w:val="clear" w:color="auto" w:fill="C6EFCE"/>
            <w:tcMar>
              <w:left w:w="108" w:type="dxa"/>
              <w:right w:w="108" w:type="dxa"/>
            </w:tcMar>
            <w:vAlign w:val="center"/>
          </w:tcPr>
          <w:p w14:paraId="63E6A17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185" w:type="dxa"/>
            <w:shd w:val="clear" w:color="auto" w:fill="C6EFCE"/>
            <w:tcMar>
              <w:left w:w="108" w:type="dxa"/>
              <w:right w:w="108" w:type="dxa"/>
            </w:tcMar>
            <w:vAlign w:val="center"/>
          </w:tcPr>
          <w:p w14:paraId="21CC724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3B47C0F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Improve the operational capacity of the tax administration in line with the hiring objectives ofas indicated in the “Performance plan 2021-2023” of the Revenue Agency</w:t>
            </w:r>
          </w:p>
        </w:tc>
      </w:tr>
      <w:tr w:rsidR="0039681A" w:rsidRPr="0070054C" w14:paraId="353AF3F3" w14:textId="77777777">
        <w:trPr>
          <w:trHeight w:val="300"/>
        </w:trPr>
        <w:tc>
          <w:tcPr>
            <w:tcW w:w="1435" w:type="dxa"/>
            <w:shd w:val="clear" w:color="auto" w:fill="C6EFCE"/>
            <w:tcMar>
              <w:left w:w="108" w:type="dxa"/>
              <w:right w:w="108" w:type="dxa"/>
            </w:tcMar>
            <w:vAlign w:val="center"/>
          </w:tcPr>
          <w:p w14:paraId="012A311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w:t>
            </w:r>
          </w:p>
        </w:tc>
        <w:tc>
          <w:tcPr>
            <w:tcW w:w="3538" w:type="dxa"/>
            <w:shd w:val="clear" w:color="auto" w:fill="C6EFCE"/>
            <w:tcMar>
              <w:left w:w="108" w:type="dxa"/>
              <w:right w:w="108" w:type="dxa"/>
            </w:tcMar>
            <w:vAlign w:val="center"/>
          </w:tcPr>
          <w:p w14:paraId="4AAA2449"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 Transition 4.0</w:t>
            </w:r>
          </w:p>
        </w:tc>
        <w:tc>
          <w:tcPr>
            <w:tcW w:w="1185" w:type="dxa"/>
            <w:shd w:val="clear" w:color="auto" w:fill="C6EFCE"/>
            <w:tcMar>
              <w:left w:w="108" w:type="dxa"/>
              <w:right w:w="108" w:type="dxa"/>
            </w:tcMar>
            <w:vAlign w:val="center"/>
          </w:tcPr>
          <w:p w14:paraId="7C3ED1B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10FF826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Transition 4.0 tax credits granted to firms based on tax returns presented in 2021-2022</w:t>
            </w:r>
          </w:p>
        </w:tc>
      </w:tr>
      <w:tr w:rsidR="0039681A" w:rsidRPr="0070054C" w14:paraId="6E910464" w14:textId="77777777">
        <w:trPr>
          <w:trHeight w:val="300"/>
        </w:trPr>
        <w:tc>
          <w:tcPr>
            <w:tcW w:w="1435" w:type="dxa"/>
            <w:shd w:val="clear" w:color="auto" w:fill="C6EFCE"/>
            <w:tcMar>
              <w:left w:w="108" w:type="dxa"/>
              <w:right w:w="108" w:type="dxa"/>
            </w:tcMar>
            <w:vAlign w:val="center"/>
          </w:tcPr>
          <w:p w14:paraId="31AD8A2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M1C3-9</w:t>
            </w:r>
          </w:p>
        </w:tc>
        <w:tc>
          <w:tcPr>
            <w:tcW w:w="3538" w:type="dxa"/>
            <w:shd w:val="clear" w:color="auto" w:fill="C6EFCE"/>
            <w:tcMar>
              <w:left w:w="108" w:type="dxa"/>
              <w:right w:w="108" w:type="dxa"/>
            </w:tcMar>
            <w:vAlign w:val="center"/>
          </w:tcPr>
          <w:p w14:paraId="69997140" w14:textId="014747D4"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w:t>
            </w:r>
            <w:r w:rsidR="00381DB1">
              <w:rPr>
                <w:rFonts w:ascii="Times New Roman" w:eastAsia="Times New Roman" w:hAnsi="Times New Roman" w:cs="Times New Roman"/>
                <w:noProof/>
                <w:color w:val="006100"/>
                <w:sz w:val="20"/>
                <w:szCs w:val="20"/>
                <w:lang w:eastAsia="en-GB"/>
              </w:rPr>
              <w:t xml:space="preserve"> </w:t>
            </w:r>
            <w:r w:rsidRPr="00647572">
              <w:rPr>
                <w:rFonts w:ascii="Times New Roman" w:eastAsia="Times New Roman" w:hAnsi="Times New Roman" w:cs="Times New Roman"/>
                <w:noProof/>
                <w:color w:val="006100"/>
                <w:sz w:val="20"/>
                <w:szCs w:val="20"/>
                <w:lang w:eastAsia="en-GB"/>
              </w:rPr>
              <w:t>4.1 Digital Tourism Hub</w:t>
            </w:r>
          </w:p>
        </w:tc>
        <w:tc>
          <w:tcPr>
            <w:tcW w:w="1185" w:type="dxa"/>
            <w:shd w:val="clear" w:color="auto" w:fill="C6EFCE"/>
            <w:tcMar>
              <w:left w:w="108" w:type="dxa"/>
              <w:right w:w="108" w:type="dxa"/>
            </w:tcMar>
            <w:vAlign w:val="center"/>
          </w:tcPr>
          <w:p w14:paraId="3E9A8CD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4A1A508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Involvement of touristic operators in the Digital Tourism Hub</w:t>
            </w:r>
          </w:p>
        </w:tc>
      </w:tr>
      <w:tr w:rsidR="0039681A" w:rsidRPr="0070054C" w14:paraId="2A620059" w14:textId="77777777">
        <w:trPr>
          <w:trHeight w:val="300"/>
        </w:trPr>
        <w:tc>
          <w:tcPr>
            <w:tcW w:w="1435" w:type="dxa"/>
            <w:shd w:val="clear" w:color="auto" w:fill="C6EFCE"/>
            <w:tcMar>
              <w:left w:w="108" w:type="dxa"/>
              <w:right w:w="108" w:type="dxa"/>
            </w:tcMar>
            <w:vAlign w:val="center"/>
          </w:tcPr>
          <w:p w14:paraId="4C6261F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M1C3-10</w:t>
            </w:r>
          </w:p>
        </w:tc>
        <w:tc>
          <w:tcPr>
            <w:tcW w:w="3538" w:type="dxa"/>
            <w:shd w:val="clear" w:color="auto" w:fill="C6EFCE"/>
            <w:tcMar>
              <w:left w:w="108" w:type="dxa"/>
              <w:right w:w="108" w:type="dxa"/>
            </w:tcMar>
            <w:vAlign w:val="center"/>
          </w:tcPr>
          <w:p w14:paraId="75563C3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4.1 Regulation ordering of the professions of tourist guides. </w:t>
            </w:r>
          </w:p>
        </w:tc>
        <w:tc>
          <w:tcPr>
            <w:tcW w:w="1185" w:type="dxa"/>
            <w:shd w:val="clear" w:color="auto" w:fill="C6EFCE"/>
            <w:tcMar>
              <w:left w:w="108" w:type="dxa"/>
              <w:right w:w="108" w:type="dxa"/>
            </w:tcMar>
            <w:vAlign w:val="center"/>
          </w:tcPr>
          <w:p w14:paraId="0851F0B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4A8D50C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Definition of a national standard for tourist guides</w:t>
            </w:r>
          </w:p>
        </w:tc>
      </w:tr>
      <w:tr w:rsidR="0039681A" w:rsidRPr="0070054C" w14:paraId="5CA6D885" w14:textId="77777777">
        <w:trPr>
          <w:trHeight w:val="300"/>
        </w:trPr>
        <w:tc>
          <w:tcPr>
            <w:tcW w:w="1435" w:type="dxa"/>
            <w:shd w:val="clear" w:color="auto" w:fill="C6EFCE"/>
            <w:tcMar>
              <w:left w:w="108" w:type="dxa"/>
              <w:right w:w="108" w:type="dxa"/>
            </w:tcMar>
            <w:vAlign w:val="center"/>
          </w:tcPr>
          <w:p w14:paraId="0CB4266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M2C1-6</w:t>
            </w:r>
          </w:p>
        </w:tc>
        <w:tc>
          <w:tcPr>
            <w:tcW w:w="3538" w:type="dxa"/>
            <w:shd w:val="clear" w:color="auto" w:fill="C6EFCE"/>
            <w:tcMar>
              <w:left w:w="108" w:type="dxa"/>
              <w:right w:w="108" w:type="dxa"/>
            </w:tcMar>
            <w:vAlign w:val="center"/>
          </w:tcPr>
          <w:p w14:paraId="76332A77"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2.2: Agri-solar Park</w:t>
            </w:r>
          </w:p>
        </w:tc>
        <w:tc>
          <w:tcPr>
            <w:tcW w:w="1185" w:type="dxa"/>
            <w:shd w:val="clear" w:color="auto" w:fill="C6EFCE"/>
            <w:tcMar>
              <w:left w:w="108" w:type="dxa"/>
              <w:right w:w="108" w:type="dxa"/>
            </w:tcMar>
            <w:vAlign w:val="center"/>
          </w:tcPr>
          <w:p w14:paraId="23F115A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72D7D22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Allocation of resources to the beneficiaries as % of the total financial resources assigned to the investment</w:t>
            </w:r>
          </w:p>
        </w:tc>
      </w:tr>
      <w:tr w:rsidR="0039681A" w:rsidRPr="0070054C" w14:paraId="30509340" w14:textId="77777777">
        <w:trPr>
          <w:trHeight w:val="300"/>
        </w:trPr>
        <w:tc>
          <w:tcPr>
            <w:tcW w:w="1435" w:type="dxa"/>
            <w:shd w:val="clear" w:color="auto" w:fill="C6EFCE"/>
            <w:tcMar>
              <w:left w:w="108" w:type="dxa"/>
              <w:right w:w="108" w:type="dxa"/>
            </w:tcMar>
            <w:vAlign w:val="center"/>
          </w:tcPr>
          <w:p w14:paraId="07CD4DF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M3C2-5</w:t>
            </w:r>
          </w:p>
        </w:tc>
        <w:tc>
          <w:tcPr>
            <w:tcW w:w="3538" w:type="dxa"/>
            <w:shd w:val="clear" w:color="auto" w:fill="C6EFCE"/>
            <w:tcMar>
              <w:left w:w="108" w:type="dxa"/>
              <w:right w:w="108" w:type="dxa"/>
            </w:tcMar>
            <w:vAlign w:val="center"/>
          </w:tcPr>
          <w:p w14:paraId="6A33F868" w14:textId="2EBB0776"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Digitalisation of the logistic chain</w:t>
            </w:r>
          </w:p>
        </w:tc>
        <w:tc>
          <w:tcPr>
            <w:tcW w:w="1185" w:type="dxa"/>
            <w:shd w:val="clear" w:color="auto" w:fill="C6EFCE"/>
            <w:tcMar>
              <w:left w:w="108" w:type="dxa"/>
              <w:right w:w="108" w:type="dxa"/>
            </w:tcMar>
            <w:vAlign w:val="center"/>
          </w:tcPr>
          <w:p w14:paraId="66CD902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00" w:type="dxa"/>
            <w:shd w:val="clear" w:color="auto" w:fill="C6EFCE"/>
            <w:tcMar>
              <w:left w:w="108" w:type="dxa"/>
              <w:right w:w="108" w:type="dxa"/>
            </w:tcMar>
            <w:vAlign w:val="center"/>
          </w:tcPr>
          <w:p w14:paraId="772061B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Digitalisation of the logistic chain</w:t>
            </w:r>
          </w:p>
        </w:tc>
      </w:tr>
      <w:tr w:rsidR="0039681A" w:rsidRPr="0070054C" w14:paraId="6FC2370D" w14:textId="77777777">
        <w:trPr>
          <w:trHeight w:val="300"/>
        </w:trPr>
        <w:tc>
          <w:tcPr>
            <w:tcW w:w="1435" w:type="dxa"/>
            <w:shd w:val="clear" w:color="auto" w:fill="C6EFCE"/>
            <w:tcMar>
              <w:left w:w="108" w:type="dxa"/>
              <w:right w:w="108" w:type="dxa"/>
            </w:tcMar>
            <w:vAlign w:val="center"/>
          </w:tcPr>
          <w:p w14:paraId="1E2DD0E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M5C2-2</w:t>
            </w:r>
          </w:p>
        </w:tc>
        <w:tc>
          <w:tcPr>
            <w:tcW w:w="3538" w:type="dxa"/>
            <w:shd w:val="clear" w:color="auto" w:fill="C6EFCE"/>
            <w:tcMar>
              <w:left w:w="108" w:type="dxa"/>
              <w:right w:w="108" w:type="dxa"/>
            </w:tcMar>
            <w:vAlign w:val="center"/>
          </w:tcPr>
          <w:p w14:paraId="5EB3C87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Framework law for disability</w:t>
            </w:r>
          </w:p>
        </w:tc>
        <w:tc>
          <w:tcPr>
            <w:tcW w:w="1185" w:type="dxa"/>
            <w:shd w:val="clear" w:color="auto" w:fill="C6EFCE"/>
            <w:tcMar>
              <w:left w:w="108" w:type="dxa"/>
              <w:right w:w="108" w:type="dxa"/>
            </w:tcMar>
            <w:vAlign w:val="center"/>
          </w:tcPr>
          <w:p w14:paraId="321D7C6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00" w:type="dxa"/>
            <w:shd w:val="clear" w:color="auto" w:fill="C6EFCE"/>
            <w:tcMar>
              <w:left w:w="108" w:type="dxa"/>
              <w:right w:w="108" w:type="dxa"/>
            </w:tcMar>
            <w:vAlign w:val="center"/>
          </w:tcPr>
          <w:p w14:paraId="303B589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legislative decrees developing the provisions set out by the Framework Law to strengthen the autonomy of people with disabilities</w:t>
            </w:r>
          </w:p>
        </w:tc>
      </w:tr>
      <w:tr w:rsidR="0039681A" w:rsidRPr="00647572" w14:paraId="303772AC" w14:textId="77777777">
        <w:trPr>
          <w:trHeight w:val="300"/>
        </w:trPr>
        <w:tc>
          <w:tcPr>
            <w:tcW w:w="1435" w:type="dxa"/>
            <w:shd w:val="clear" w:color="auto" w:fill="C6EFCE"/>
            <w:tcMar>
              <w:left w:w="108" w:type="dxa"/>
              <w:right w:w="108" w:type="dxa"/>
            </w:tcMar>
            <w:vAlign w:val="center"/>
          </w:tcPr>
          <w:p w14:paraId="08C6CF48"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3538" w:type="dxa"/>
            <w:shd w:val="clear" w:color="auto" w:fill="C6EFCE"/>
            <w:tcMar>
              <w:left w:w="108" w:type="dxa"/>
              <w:right w:w="108" w:type="dxa"/>
            </w:tcMar>
            <w:vAlign w:val="center"/>
          </w:tcPr>
          <w:p w14:paraId="4E0AC3D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185" w:type="dxa"/>
            <w:shd w:val="clear" w:color="auto" w:fill="C6EFCE"/>
            <w:tcMar>
              <w:left w:w="108" w:type="dxa"/>
              <w:right w:w="108" w:type="dxa"/>
            </w:tcMar>
            <w:vAlign w:val="center"/>
          </w:tcPr>
          <w:p w14:paraId="0E06E76B"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200" w:type="dxa"/>
            <w:shd w:val="clear" w:color="auto" w:fill="C6EFCE"/>
            <w:tcMar>
              <w:left w:w="108" w:type="dxa"/>
              <w:right w:w="108" w:type="dxa"/>
            </w:tcMar>
            <w:vAlign w:val="center"/>
          </w:tcPr>
          <w:p w14:paraId="39E8BA14"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053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579</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667</w:t>
            </w:r>
          </w:p>
        </w:tc>
      </w:tr>
    </w:tbl>
    <w:p w14:paraId="5A370F6B" w14:textId="77777777" w:rsidR="0039681A" w:rsidRPr="005D46BA" w:rsidRDefault="0039681A" w:rsidP="00351087">
      <w:pPr>
        <w:spacing w:after="0"/>
        <w:ind w:left="850"/>
        <w:contextualSpacing/>
        <w:jc w:val="both"/>
        <w:rPr>
          <w:rFonts w:ascii="Times New Roman" w:eastAsia="Times New Roman" w:hAnsi="Times New Roman" w:cs="Times New Roman"/>
          <w:noProof/>
          <w:sz w:val="2"/>
          <w:szCs w:val="2"/>
          <w:lang w:eastAsia="en-GB"/>
        </w:rPr>
      </w:pPr>
    </w:p>
    <w:p w14:paraId="0D575B09" w14:textId="77777777" w:rsidR="0039681A" w:rsidRPr="00647572" w:rsidRDefault="0039681A" w:rsidP="0039681A">
      <w:pPr>
        <w:pStyle w:val="Heading4"/>
        <w:numPr>
          <w:ilvl w:val="1"/>
          <w:numId w:val="16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Seventh Instalment (non-repayable support):</w:t>
      </w:r>
    </w:p>
    <w:tbl>
      <w:tblPr>
        <w:tblW w:w="9357" w:type="dxa"/>
        <w:tblInd w:w="120" w:type="dxa"/>
        <w:tblLayout w:type="fixed"/>
        <w:tblLook w:val="04A0" w:firstRow="1" w:lastRow="0" w:firstColumn="1" w:lastColumn="0" w:noHBand="0" w:noVBand="1"/>
      </w:tblPr>
      <w:tblGrid>
        <w:gridCol w:w="1435"/>
        <w:gridCol w:w="3543"/>
        <w:gridCol w:w="1276"/>
        <w:gridCol w:w="3103"/>
      </w:tblGrid>
      <w:tr w:rsidR="0039681A" w:rsidRPr="00647572" w14:paraId="66388501" w14:textId="77777777">
        <w:trPr>
          <w:trHeight w:val="900"/>
          <w:tblHeader/>
        </w:trPr>
        <w:tc>
          <w:tcPr>
            <w:tcW w:w="1435"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B4C0F9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5FFF9502"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B04568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03"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20793D7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29EB69BC" w14:textId="77777777">
        <w:trPr>
          <w:trHeight w:val="510"/>
        </w:trPr>
        <w:tc>
          <w:tcPr>
            <w:tcW w:w="1435" w:type="dxa"/>
            <w:vMerge/>
            <w:tcBorders>
              <w:top w:val="single" w:sz="4" w:space="0" w:color="auto"/>
              <w:left w:val="single" w:sz="4" w:space="0" w:color="auto"/>
              <w:bottom w:val="single" w:sz="4" w:space="0" w:color="auto"/>
              <w:right w:val="single" w:sz="4" w:space="0" w:color="auto"/>
            </w:tcBorders>
            <w:vAlign w:val="center"/>
          </w:tcPr>
          <w:p w14:paraId="215351BB"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543" w:type="dxa"/>
            <w:vMerge/>
            <w:tcBorders>
              <w:top w:val="single" w:sz="4" w:space="0" w:color="auto"/>
              <w:left w:val="single" w:sz="4" w:space="0" w:color="auto"/>
              <w:bottom w:val="single" w:sz="4" w:space="0" w:color="auto"/>
              <w:right w:val="single" w:sz="4" w:space="0" w:color="auto"/>
            </w:tcBorders>
            <w:vAlign w:val="center"/>
          </w:tcPr>
          <w:p w14:paraId="147328A9"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0EB97F0"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103" w:type="dxa"/>
            <w:vMerge/>
            <w:tcBorders>
              <w:top w:val="single" w:sz="4" w:space="0" w:color="auto"/>
              <w:left w:val="single" w:sz="4" w:space="0" w:color="auto"/>
              <w:bottom w:val="single" w:sz="4" w:space="0" w:color="auto"/>
              <w:right w:val="single" w:sz="4" w:space="0" w:color="auto"/>
            </w:tcBorders>
            <w:vAlign w:val="center"/>
          </w:tcPr>
          <w:p w14:paraId="0930A30A"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E53588" w14:paraId="5F42726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44267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857768"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1.1: Digital infrastructure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429D2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92FEB6" w14:textId="77777777" w:rsidR="0039681A" w:rsidRPr="00E6020A" w:rsidRDefault="0039681A">
            <w:pPr>
              <w:spacing w:after="0" w:line="240" w:lineRule="auto"/>
              <w:rPr>
                <w:rFonts w:ascii="Times New Roman" w:eastAsia="Times New Roman" w:hAnsi="Times New Roman" w:cs="Times New Roman"/>
                <w:noProof/>
                <w:lang w:val="it-IT" w:eastAsia="en-GB"/>
              </w:rPr>
            </w:pPr>
            <w:r w:rsidRPr="00E6020A">
              <w:rPr>
                <w:rFonts w:ascii="Times New Roman" w:eastAsia="Times New Roman" w:hAnsi="Times New Roman" w:cs="Times New Roman"/>
                <w:noProof/>
                <w:color w:val="006100"/>
                <w:sz w:val="20"/>
                <w:szCs w:val="20"/>
                <w:lang w:val="it-IT" w:eastAsia="en-GB"/>
              </w:rPr>
              <w:t>Migration to the Polo Strategico Nazionale T1</w:t>
            </w:r>
          </w:p>
        </w:tc>
      </w:tr>
      <w:tr w:rsidR="0039681A" w:rsidRPr="0070054C" w14:paraId="4489BE4B"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2B643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B0251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4: Mitigation of financial risk associated with renewable PPAs (Power Purchase Agreements)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8BA30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FAC5F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primary and secondary legislation</w:t>
            </w:r>
          </w:p>
        </w:tc>
      </w:tr>
      <w:tr w:rsidR="0039681A" w:rsidRPr="00647572" w14:paraId="4E53088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561F1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F4432C"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4: Tyrrhenian link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C1CC4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C65260"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Award of contracts</w:t>
            </w:r>
          </w:p>
        </w:tc>
      </w:tr>
      <w:tr w:rsidR="0039681A" w:rsidRPr="0070054C" w14:paraId="2A1FD62E"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7A690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1CDAF0"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Investment 2.3: Cold ironing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07DA0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449BF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Award of all public contracts </w:t>
            </w:r>
          </w:p>
        </w:tc>
      </w:tr>
      <w:tr w:rsidR="0039681A" w:rsidRPr="00647572" w14:paraId="53CAC7C8"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6863F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D02951"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1.3.1: National Digital Data Platform</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CDC47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F60FD9"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APIs in National Digital Data Platform T1</w:t>
            </w:r>
          </w:p>
        </w:tc>
      </w:tr>
      <w:tr w:rsidR="0039681A" w:rsidRPr="0070054C" w14:paraId="3C47E197"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55F163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M1C1-19</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E48F5A"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5C593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D6A36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Support to the upgrade of security structures T2</w:t>
            </w:r>
          </w:p>
        </w:tc>
      </w:tr>
      <w:tr w:rsidR="0039681A" w:rsidRPr="0070054C" w14:paraId="7B828971"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A62DA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324AA9"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67444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B366F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Full deployment of national cybersecurity services</w:t>
            </w:r>
          </w:p>
        </w:tc>
      </w:tr>
      <w:tr w:rsidR="0039681A" w:rsidRPr="0070054C" w14:paraId="31D33F3E"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DFA13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38D435"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31E08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805F4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Completion of the network of cybersecurity screening and certification laboratories, Evaluation Centers</w:t>
            </w:r>
          </w:p>
        </w:tc>
      </w:tr>
      <w:tr w:rsidR="0039681A" w:rsidRPr="0070054C" w14:paraId="5032F57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2E065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0B50E44"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1.5: Cybersecurity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F1336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4EA59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Full operation of the Central Audit Unit for PSNC &amp; NIS security measures with at least 30 inspections completed</w:t>
            </w:r>
          </w:p>
        </w:tc>
      </w:tr>
      <w:tr w:rsidR="0039681A" w:rsidRPr="0070054C" w14:paraId="7EB0F66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FF696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7BCE2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civil justice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AA1061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744CB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Civil Ordinary Courts (first instance)</w:t>
            </w:r>
          </w:p>
        </w:tc>
      </w:tr>
      <w:tr w:rsidR="0039681A" w:rsidRPr="0070054C" w14:paraId="2173D919"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EAB8E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C4086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civil justice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84124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BD9E6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the Civil Court of Appeal (second instance)</w:t>
            </w:r>
          </w:p>
        </w:tc>
      </w:tr>
      <w:tr w:rsidR="0039681A" w:rsidRPr="0070054C" w14:paraId="19F18E36"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5C669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D8151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AD8DE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290D57"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Simplification and/or digitalization of 200 critical procedures affecting citizens and business</w:t>
            </w:r>
          </w:p>
        </w:tc>
      </w:tr>
      <w:tr w:rsidR="0039681A" w:rsidRPr="0070054C" w14:paraId="5C83DA6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E96BA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M1C1-72ter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D3F52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70D34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670DA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Increase human resources dealing with payments</w:t>
            </w:r>
          </w:p>
        </w:tc>
      </w:tr>
      <w:tr w:rsidR="0039681A" w:rsidRPr="0070054C" w14:paraId="6A36DF5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5E31E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M1C1-72quater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AD434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FA1AB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E07D6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the action plan</w:t>
            </w:r>
          </w:p>
        </w:tc>
      </w:tr>
      <w:tr w:rsidR="0039681A" w:rsidRPr="0070054C" w14:paraId="6836BE79"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22ABB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M1C1-73ter</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21DA7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C75C1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252CD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Incentives to qualification and professionalisation of contracting authorities. </w:t>
            </w:r>
          </w:p>
        </w:tc>
      </w:tr>
      <w:tr w:rsidR="0039681A" w:rsidRPr="0070054C" w14:paraId="49E12CF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361DF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M1C1-73quinquies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28902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2F18F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DC70D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new legal provisions on project financing</w:t>
            </w:r>
          </w:p>
        </w:tc>
      </w:tr>
      <w:tr w:rsidR="0039681A" w:rsidRPr="0070054C" w14:paraId="1826A80B"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87B3A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052F3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1.10: Support to Qualification and eProcurement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CF2423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E389B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Support to Qualification and eProcurement</w:t>
            </w:r>
          </w:p>
        </w:tc>
      </w:tr>
      <w:tr w:rsidR="0039681A" w:rsidRPr="0070054C" w14:paraId="30455CE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0965D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93E92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A63678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87D6B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Measures to improve decision speed in contract award of contracting authorities</w:t>
            </w:r>
          </w:p>
        </w:tc>
      </w:tr>
      <w:tr w:rsidR="0039681A" w:rsidRPr="0070054C" w14:paraId="17631A5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09369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M1C1-98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807D0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49295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C2F5F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Civil servants trained through the Public Buyers Professionalization Strategy</w:t>
            </w:r>
          </w:p>
        </w:tc>
      </w:tr>
      <w:tr w:rsidR="0039681A" w:rsidRPr="0070054C" w14:paraId="2757C98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F7318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332C41"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35A64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381A5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Annual Competition Law 2023</w:t>
            </w:r>
          </w:p>
        </w:tc>
      </w:tr>
      <w:tr w:rsidR="0039681A" w:rsidRPr="0070054C" w14:paraId="60C4514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DA5FC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988604"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5A411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7ED529" w14:textId="79F319B0"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implementing measures (including secondary legislation, if necessary) for the implementation and application of the measures established in</w:t>
            </w:r>
            <w:r w:rsidR="00381DB1">
              <w:rPr>
                <w:rFonts w:ascii="Arial Narrow" w:hAnsi="Arial Narrow"/>
                <w:noProof/>
                <w:color w:val="006100"/>
                <w:sz w:val="20"/>
                <w:szCs w:val="20"/>
                <w:lang w:val="en-IE"/>
              </w:rPr>
              <w:t xml:space="preserve"> </w:t>
            </w:r>
            <w:r w:rsidRPr="00A36E36">
              <w:rPr>
                <w:rFonts w:ascii="Times New Roman" w:eastAsia="Times New Roman" w:hAnsi="Times New Roman" w:cs="Times New Roman"/>
                <w:noProof/>
                <w:color w:val="006100"/>
                <w:sz w:val="20"/>
                <w:szCs w:val="20"/>
                <w:lang w:val="en-IE" w:eastAsia="en-GB"/>
              </w:rPr>
              <w:t>2023 Annual Competition Law and other primary legislations</w:t>
            </w:r>
          </w:p>
        </w:tc>
      </w:tr>
      <w:tr w:rsidR="0039681A" w:rsidRPr="0070054C" w14:paraId="6226351B"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6EB9E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M2C1-6bis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DFAE96"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2.2: Agri-solar Park</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39832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68BCF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Allocation of resources to the beneficiaries as % of the total financial resources assigned to the investment</w:t>
            </w:r>
          </w:p>
        </w:tc>
      </w:tr>
      <w:tr w:rsidR="0039681A" w:rsidRPr="0070054C" w14:paraId="103E52A8"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D043C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C5ADA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2.3: Innovation and mechanization in the agricultural and food sectors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A45AC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3A6B9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Publication of final rankings with identification of the final recipients.</w:t>
            </w:r>
          </w:p>
        </w:tc>
      </w:tr>
      <w:tr w:rsidR="0039681A" w:rsidRPr="0070054C" w14:paraId="446325AA"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F59F7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M2C2-28</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F481E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Installation of charging infrastructures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28990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831255"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Award of public contracts for the installation of charging infrastructures</w:t>
            </w:r>
          </w:p>
        </w:tc>
      </w:tr>
      <w:tr w:rsidR="0039681A" w:rsidRPr="0070054C" w14:paraId="18959F2D"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A8BBF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40622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4.1: Extension in number and career opportunities of PhDs (Research-oriented, Public Administration and Cultural Heritage)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014C9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E3934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PhD fellowships programmes granted per year (over three years)</w:t>
            </w:r>
          </w:p>
        </w:tc>
      </w:tr>
      <w:tr w:rsidR="0039681A" w:rsidRPr="0070054C" w14:paraId="11D750B7"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08446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35396D"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Reform 2.1: Teachers’ recruitment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E8D6C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8545E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Teachers recruited with the reformed recruitment system</w:t>
            </w:r>
          </w:p>
        </w:tc>
      </w:tr>
      <w:tr w:rsidR="0039681A" w:rsidRPr="0070054C" w14:paraId="55648A96"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C402CE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M4C1-15</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06C0F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Scholarships for University access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261FB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9BBB1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Scholarships for university access awarded</w:t>
            </w:r>
          </w:p>
        </w:tc>
      </w:tr>
      <w:tr w:rsidR="0039681A" w:rsidRPr="0070054C" w14:paraId="1C0557B0" w14:textId="77777777">
        <w:trPr>
          <w:trHeight w:val="114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258FA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0500D6" w14:textId="6E544388"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3.3: Award of</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PhD scholarships in collaboration with</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enterprises</w:t>
            </w:r>
            <w:r w:rsidRPr="00A36E36">
              <w:rPr>
                <w:rFonts w:ascii="Arial Narrow" w:hAnsi="Arial Narrow"/>
                <w:noProof/>
                <w:color w:val="006100"/>
                <w:sz w:val="20"/>
                <w:szCs w:val="20"/>
                <w:lang w:val="en-IE"/>
              </w:rPr>
              <w:t xml:space="preserve"> </w:t>
            </w:r>
            <w:r w:rsidRPr="00A36E36">
              <w:rPr>
                <w:rFonts w:ascii="Times New Roman" w:eastAsia="Times New Roman" w:hAnsi="Times New Roman" w:cs="Times New Roman"/>
                <w:noProof/>
                <w:color w:val="006100"/>
                <w:sz w:val="20"/>
                <w:szCs w:val="20"/>
                <w:lang w:val="en-IE" w:eastAsia="en-GB"/>
              </w:rPr>
              <w:t>and promote the hiring of researchers by companies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FE05A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2BD7D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PhDs scholarships awarded</w:t>
            </w:r>
          </w:p>
        </w:tc>
      </w:tr>
      <w:tr w:rsidR="0039681A" w:rsidRPr="0070054C" w14:paraId="6D5B4D0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01ADF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M5C1-15bis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7BAAF5"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4 - Universal Civil Service</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5A44C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0C9275"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Carry out actions to increase the participation of young people, simplify procedures and improve the quality of the Universal Civil Service (UCS) projects,</w:t>
            </w:r>
          </w:p>
        </w:tc>
      </w:tr>
      <w:tr w:rsidR="0039681A" w:rsidRPr="0070054C" w14:paraId="0366A3A9"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A6B3B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48AFAC"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 Streamlining permitting procedures for renewable energy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88248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EF824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Identification of “renewables acceleration areas”</w:t>
            </w:r>
          </w:p>
        </w:tc>
      </w:tr>
      <w:tr w:rsidR="0039681A" w:rsidRPr="0070054C" w14:paraId="01C93146"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3A13C2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8D48A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 Reduction of Environmental Harmful Subsidies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29407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9B744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a government report, presenting the outcome of a government consultation with stakeholders to define the roadmap to reduce environmentally harmful subsidies.</w:t>
            </w:r>
          </w:p>
        </w:tc>
      </w:tr>
      <w:tr w:rsidR="0039681A" w:rsidRPr="00647572" w14:paraId="3D1C9010"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73FD9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D4FF79"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5: SA.CO.I.3</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599F7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47A89E"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Award of contracts</w:t>
            </w:r>
          </w:p>
        </w:tc>
      </w:tr>
      <w:tr w:rsidR="0039681A" w:rsidRPr="0070054C" w14:paraId="5ED83C72"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CF876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M4C1-10 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8A999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 Reform of technical and professional Institutes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32220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500B9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secondary legislation.</w:t>
            </w:r>
          </w:p>
        </w:tc>
      </w:tr>
      <w:tr w:rsidR="0039681A" w:rsidRPr="00647572" w14:paraId="5FBDC4EC"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93D6E7"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A82E9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0F3191"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10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ED46B1"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5</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294</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563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760</w:t>
            </w:r>
          </w:p>
        </w:tc>
      </w:tr>
    </w:tbl>
    <w:p w14:paraId="0E387CA9" w14:textId="77777777" w:rsidR="0039681A" w:rsidRPr="005D46BA" w:rsidRDefault="0039681A" w:rsidP="00351087">
      <w:pPr>
        <w:spacing w:after="0"/>
        <w:ind w:left="850"/>
        <w:contextualSpacing/>
        <w:jc w:val="both"/>
        <w:rPr>
          <w:rFonts w:ascii="Times New Roman" w:eastAsia="Times New Roman" w:hAnsi="Times New Roman" w:cs="Times New Roman"/>
          <w:noProof/>
          <w:sz w:val="2"/>
          <w:szCs w:val="2"/>
          <w:lang w:eastAsia="en-GB"/>
        </w:rPr>
      </w:pPr>
    </w:p>
    <w:p w14:paraId="28131A97" w14:textId="77777777" w:rsidR="0039681A" w:rsidRPr="00647572" w:rsidRDefault="0039681A" w:rsidP="0039681A">
      <w:pPr>
        <w:pStyle w:val="Heading4"/>
        <w:numPr>
          <w:ilvl w:val="1"/>
          <w:numId w:val="16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Eighth Instalment (non-repayable support):</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4"/>
        <w:gridCol w:w="3543"/>
        <w:gridCol w:w="1277"/>
        <w:gridCol w:w="3105"/>
      </w:tblGrid>
      <w:tr w:rsidR="0039681A" w:rsidRPr="00647572" w14:paraId="0C971CD2" w14:textId="77777777">
        <w:trPr>
          <w:trHeight w:val="900"/>
          <w:tblHeader/>
        </w:trPr>
        <w:tc>
          <w:tcPr>
            <w:tcW w:w="1434" w:type="dxa"/>
            <w:vMerge w:val="restart"/>
            <w:shd w:val="clear" w:color="auto" w:fill="BDD7EE"/>
            <w:tcMar>
              <w:left w:w="108" w:type="dxa"/>
              <w:right w:w="108" w:type="dxa"/>
            </w:tcMar>
            <w:vAlign w:val="center"/>
          </w:tcPr>
          <w:p w14:paraId="7FEFD95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vMerge w:val="restart"/>
            <w:shd w:val="clear" w:color="auto" w:fill="BDD7EE"/>
            <w:tcMar>
              <w:left w:w="108" w:type="dxa"/>
              <w:right w:w="108" w:type="dxa"/>
            </w:tcMar>
            <w:vAlign w:val="center"/>
          </w:tcPr>
          <w:p w14:paraId="2F729BB4"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77" w:type="dxa"/>
            <w:vMerge w:val="restart"/>
            <w:shd w:val="clear" w:color="auto" w:fill="BDD7EE"/>
            <w:tcMar>
              <w:left w:w="108" w:type="dxa"/>
              <w:right w:w="108" w:type="dxa"/>
            </w:tcMar>
            <w:vAlign w:val="center"/>
          </w:tcPr>
          <w:p w14:paraId="5ACC16D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05" w:type="dxa"/>
            <w:vMerge w:val="restart"/>
            <w:shd w:val="clear" w:color="auto" w:fill="BDD7EE"/>
            <w:tcMar>
              <w:left w:w="108" w:type="dxa"/>
              <w:right w:w="108" w:type="dxa"/>
            </w:tcMar>
            <w:vAlign w:val="center"/>
          </w:tcPr>
          <w:p w14:paraId="629516C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4A7084EF" w14:textId="77777777">
        <w:trPr>
          <w:trHeight w:val="510"/>
        </w:trPr>
        <w:tc>
          <w:tcPr>
            <w:tcW w:w="1434" w:type="dxa"/>
            <w:vMerge/>
            <w:vAlign w:val="center"/>
          </w:tcPr>
          <w:p w14:paraId="1C395FEF"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543" w:type="dxa"/>
            <w:vMerge/>
            <w:vAlign w:val="center"/>
          </w:tcPr>
          <w:p w14:paraId="60221DC7"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277" w:type="dxa"/>
            <w:vMerge/>
            <w:vAlign w:val="center"/>
          </w:tcPr>
          <w:p w14:paraId="17DD3FD9"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105" w:type="dxa"/>
            <w:vMerge/>
            <w:vAlign w:val="center"/>
          </w:tcPr>
          <w:p w14:paraId="1DE73888"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033C9F34" w14:textId="77777777">
        <w:trPr>
          <w:trHeight w:val="300"/>
        </w:trPr>
        <w:tc>
          <w:tcPr>
            <w:tcW w:w="1434" w:type="dxa"/>
            <w:shd w:val="clear" w:color="auto" w:fill="C6EFCE"/>
            <w:tcMar>
              <w:left w:w="108" w:type="dxa"/>
              <w:right w:w="108" w:type="dxa"/>
            </w:tcMar>
            <w:vAlign w:val="center"/>
          </w:tcPr>
          <w:p w14:paraId="59A8A24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M1C1-23</w:t>
            </w:r>
          </w:p>
        </w:tc>
        <w:tc>
          <w:tcPr>
            <w:tcW w:w="3543" w:type="dxa"/>
            <w:shd w:val="clear" w:color="auto" w:fill="C6EFCE"/>
            <w:tcMar>
              <w:left w:w="108" w:type="dxa"/>
              <w:right w:w="108" w:type="dxa"/>
            </w:tcMar>
            <w:vAlign w:val="center"/>
          </w:tcPr>
          <w:p w14:paraId="3565AB3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1.4.6: Mobility as a Service for Italy</w:t>
            </w:r>
          </w:p>
        </w:tc>
        <w:tc>
          <w:tcPr>
            <w:tcW w:w="1277" w:type="dxa"/>
            <w:shd w:val="clear" w:color="auto" w:fill="C6EFCE"/>
            <w:tcMar>
              <w:left w:w="108" w:type="dxa"/>
              <w:right w:w="108" w:type="dxa"/>
            </w:tcMar>
            <w:vAlign w:val="center"/>
          </w:tcPr>
          <w:p w14:paraId="18667D1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2EDA2EA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Implementation of seven pilot projects </w:t>
            </w:r>
          </w:p>
        </w:tc>
      </w:tr>
      <w:tr w:rsidR="0039681A" w:rsidRPr="0070054C" w14:paraId="361E10F0" w14:textId="77777777">
        <w:trPr>
          <w:trHeight w:val="300"/>
        </w:trPr>
        <w:tc>
          <w:tcPr>
            <w:tcW w:w="1434" w:type="dxa"/>
            <w:shd w:val="clear" w:color="auto" w:fill="C6EFCE"/>
            <w:tcMar>
              <w:left w:w="108" w:type="dxa"/>
              <w:right w:w="108" w:type="dxa"/>
            </w:tcMar>
            <w:vAlign w:val="center"/>
          </w:tcPr>
          <w:p w14:paraId="47B43BE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M1C1-76</w:t>
            </w:r>
          </w:p>
        </w:tc>
        <w:tc>
          <w:tcPr>
            <w:tcW w:w="3543" w:type="dxa"/>
            <w:shd w:val="clear" w:color="auto" w:fill="C6EFCE"/>
            <w:tcMar>
              <w:left w:w="108" w:type="dxa"/>
              <w:right w:w="108" w:type="dxa"/>
            </w:tcMar>
            <w:vAlign w:val="center"/>
          </w:tcPr>
          <w:p w14:paraId="686AAE4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7" w:type="dxa"/>
            <w:shd w:val="clear" w:color="auto" w:fill="C6EFCE"/>
            <w:tcMar>
              <w:left w:w="108" w:type="dxa"/>
              <w:right w:w="108" w:type="dxa"/>
            </w:tcMar>
            <w:vAlign w:val="center"/>
          </w:tcPr>
          <w:p w14:paraId="5FAC2AA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6AED8BE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the central public authorities to pay businesses is reduced</w:t>
            </w:r>
          </w:p>
        </w:tc>
      </w:tr>
      <w:tr w:rsidR="0039681A" w:rsidRPr="0070054C" w14:paraId="4C3BF7C8" w14:textId="77777777">
        <w:trPr>
          <w:trHeight w:val="300"/>
        </w:trPr>
        <w:tc>
          <w:tcPr>
            <w:tcW w:w="1434" w:type="dxa"/>
            <w:shd w:val="clear" w:color="auto" w:fill="C6EFCE"/>
            <w:tcMar>
              <w:left w:w="108" w:type="dxa"/>
              <w:right w:w="108" w:type="dxa"/>
            </w:tcMar>
            <w:vAlign w:val="center"/>
          </w:tcPr>
          <w:p w14:paraId="3A7C9B2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M1C1-77</w:t>
            </w:r>
          </w:p>
        </w:tc>
        <w:tc>
          <w:tcPr>
            <w:tcW w:w="3543" w:type="dxa"/>
            <w:shd w:val="clear" w:color="auto" w:fill="C6EFCE"/>
            <w:tcMar>
              <w:left w:w="108" w:type="dxa"/>
              <w:right w:w="108" w:type="dxa"/>
            </w:tcMar>
            <w:vAlign w:val="center"/>
          </w:tcPr>
          <w:p w14:paraId="595A254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7" w:type="dxa"/>
            <w:shd w:val="clear" w:color="auto" w:fill="C6EFCE"/>
            <w:tcMar>
              <w:left w:w="108" w:type="dxa"/>
              <w:right w:w="108" w:type="dxa"/>
            </w:tcMar>
            <w:vAlign w:val="center"/>
          </w:tcPr>
          <w:p w14:paraId="7255E2E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63EE68E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the regional public authorities to pay businesses is reduced</w:t>
            </w:r>
          </w:p>
        </w:tc>
      </w:tr>
      <w:tr w:rsidR="0039681A" w:rsidRPr="0070054C" w14:paraId="1FF655D4" w14:textId="77777777">
        <w:trPr>
          <w:trHeight w:val="300"/>
        </w:trPr>
        <w:tc>
          <w:tcPr>
            <w:tcW w:w="1434" w:type="dxa"/>
            <w:shd w:val="clear" w:color="auto" w:fill="C6EFCE"/>
            <w:tcMar>
              <w:left w:w="108" w:type="dxa"/>
              <w:right w:w="108" w:type="dxa"/>
            </w:tcMar>
            <w:vAlign w:val="center"/>
          </w:tcPr>
          <w:p w14:paraId="339D898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M1C1-78</w:t>
            </w:r>
          </w:p>
        </w:tc>
        <w:tc>
          <w:tcPr>
            <w:tcW w:w="3543" w:type="dxa"/>
            <w:shd w:val="clear" w:color="auto" w:fill="C6EFCE"/>
            <w:tcMar>
              <w:left w:w="108" w:type="dxa"/>
              <w:right w:w="108" w:type="dxa"/>
            </w:tcMar>
            <w:vAlign w:val="center"/>
          </w:tcPr>
          <w:p w14:paraId="3DB1B9A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7" w:type="dxa"/>
            <w:shd w:val="clear" w:color="auto" w:fill="C6EFCE"/>
            <w:tcMar>
              <w:left w:w="108" w:type="dxa"/>
              <w:right w:w="108" w:type="dxa"/>
            </w:tcMar>
            <w:vAlign w:val="center"/>
          </w:tcPr>
          <w:p w14:paraId="662C7C6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53AC9C5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the local public authorities to pay businesses is reduced</w:t>
            </w:r>
          </w:p>
        </w:tc>
      </w:tr>
      <w:tr w:rsidR="0039681A" w:rsidRPr="0070054C" w14:paraId="7C465E5C" w14:textId="77777777">
        <w:trPr>
          <w:trHeight w:val="300"/>
        </w:trPr>
        <w:tc>
          <w:tcPr>
            <w:tcW w:w="1434" w:type="dxa"/>
            <w:shd w:val="clear" w:color="auto" w:fill="C6EFCE"/>
            <w:tcMar>
              <w:left w:w="108" w:type="dxa"/>
              <w:right w:w="108" w:type="dxa"/>
            </w:tcMar>
            <w:vAlign w:val="center"/>
          </w:tcPr>
          <w:p w14:paraId="48475D8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M1C1-79</w:t>
            </w:r>
          </w:p>
        </w:tc>
        <w:tc>
          <w:tcPr>
            <w:tcW w:w="3543" w:type="dxa"/>
            <w:shd w:val="clear" w:color="auto" w:fill="C6EFCE"/>
            <w:tcMar>
              <w:left w:w="108" w:type="dxa"/>
              <w:right w:w="108" w:type="dxa"/>
            </w:tcMar>
            <w:vAlign w:val="center"/>
          </w:tcPr>
          <w:p w14:paraId="74DC417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77" w:type="dxa"/>
            <w:shd w:val="clear" w:color="auto" w:fill="C6EFCE"/>
            <w:tcMar>
              <w:left w:w="108" w:type="dxa"/>
              <w:right w:w="108" w:type="dxa"/>
            </w:tcMar>
            <w:vAlign w:val="center"/>
          </w:tcPr>
          <w:p w14:paraId="40C82CE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5A6F561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forpublic health authorities to pay businesses is reduced</w:t>
            </w:r>
          </w:p>
        </w:tc>
      </w:tr>
      <w:tr w:rsidR="0039681A" w:rsidRPr="0070054C" w14:paraId="69C0093A" w14:textId="77777777">
        <w:trPr>
          <w:trHeight w:val="300"/>
        </w:trPr>
        <w:tc>
          <w:tcPr>
            <w:tcW w:w="1434" w:type="dxa"/>
            <w:shd w:val="clear" w:color="auto" w:fill="C6EFCE"/>
            <w:tcMar>
              <w:left w:w="108" w:type="dxa"/>
              <w:right w:w="108" w:type="dxa"/>
            </w:tcMar>
            <w:vAlign w:val="center"/>
          </w:tcPr>
          <w:p w14:paraId="329EDD7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M1C1-25</w:t>
            </w:r>
          </w:p>
        </w:tc>
        <w:tc>
          <w:tcPr>
            <w:tcW w:w="3543" w:type="dxa"/>
            <w:shd w:val="clear" w:color="auto" w:fill="C6EFCE"/>
            <w:tcMar>
              <w:left w:w="108" w:type="dxa"/>
              <w:right w:w="108" w:type="dxa"/>
            </w:tcMar>
            <w:vAlign w:val="center"/>
          </w:tcPr>
          <w:p w14:paraId="13A3FE2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1.6.6: Digitization of the Finance Police</w:t>
            </w:r>
          </w:p>
        </w:tc>
        <w:tc>
          <w:tcPr>
            <w:tcW w:w="1277" w:type="dxa"/>
            <w:shd w:val="clear" w:color="auto" w:fill="C6EFCE"/>
            <w:tcMar>
              <w:left w:w="108" w:type="dxa"/>
              <w:right w:w="108" w:type="dxa"/>
            </w:tcMar>
            <w:vAlign w:val="center"/>
          </w:tcPr>
          <w:p w14:paraId="155A97D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4F7F828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Evolve the information systems in use for fighting economic crime</w:t>
            </w:r>
          </w:p>
        </w:tc>
      </w:tr>
      <w:tr w:rsidR="0039681A" w:rsidRPr="00647572" w14:paraId="1A75F08E" w14:textId="77777777">
        <w:trPr>
          <w:trHeight w:val="300"/>
        </w:trPr>
        <w:tc>
          <w:tcPr>
            <w:tcW w:w="1434" w:type="dxa"/>
            <w:shd w:val="clear" w:color="auto" w:fill="C6EFCE"/>
            <w:tcMar>
              <w:left w:w="108" w:type="dxa"/>
              <w:right w:w="108" w:type="dxa"/>
            </w:tcMar>
            <w:vAlign w:val="center"/>
          </w:tcPr>
          <w:p w14:paraId="072EE42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M1C1-62</w:t>
            </w:r>
          </w:p>
        </w:tc>
        <w:tc>
          <w:tcPr>
            <w:tcW w:w="3543" w:type="dxa"/>
            <w:shd w:val="clear" w:color="auto" w:fill="C6EFCE"/>
            <w:tcMar>
              <w:left w:w="108" w:type="dxa"/>
              <w:right w:w="108" w:type="dxa"/>
            </w:tcMar>
            <w:vAlign w:val="center"/>
          </w:tcPr>
          <w:p w14:paraId="2CF30C6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277" w:type="dxa"/>
            <w:shd w:val="clear" w:color="auto" w:fill="C6EFCE"/>
            <w:tcMar>
              <w:left w:w="108" w:type="dxa"/>
              <w:right w:w="108" w:type="dxa"/>
            </w:tcMar>
            <w:vAlign w:val="center"/>
          </w:tcPr>
          <w:p w14:paraId="032F7E4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500CE9E6"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Increase absorption of investment</w:t>
            </w:r>
          </w:p>
        </w:tc>
      </w:tr>
      <w:tr w:rsidR="0039681A" w:rsidRPr="0070054C" w14:paraId="7EE5FFF4" w14:textId="77777777">
        <w:trPr>
          <w:trHeight w:val="300"/>
        </w:trPr>
        <w:tc>
          <w:tcPr>
            <w:tcW w:w="1434" w:type="dxa"/>
            <w:shd w:val="clear" w:color="auto" w:fill="C6EFCE"/>
            <w:tcMar>
              <w:left w:w="108" w:type="dxa"/>
              <w:right w:w="108" w:type="dxa"/>
            </w:tcMar>
            <w:vAlign w:val="center"/>
          </w:tcPr>
          <w:p w14:paraId="399A337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M1C1-115</w:t>
            </w:r>
          </w:p>
        </w:tc>
        <w:tc>
          <w:tcPr>
            <w:tcW w:w="3543" w:type="dxa"/>
            <w:shd w:val="clear" w:color="auto" w:fill="C6EFCE"/>
            <w:tcMar>
              <w:left w:w="108" w:type="dxa"/>
              <w:right w:w="108" w:type="dxa"/>
            </w:tcMar>
            <w:vAlign w:val="center"/>
          </w:tcPr>
          <w:p w14:paraId="6BB4C7F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277" w:type="dxa"/>
            <w:shd w:val="clear" w:color="auto" w:fill="C6EFCE"/>
            <w:tcMar>
              <w:left w:w="108" w:type="dxa"/>
              <w:right w:w="108" w:type="dxa"/>
            </w:tcMar>
            <w:vAlign w:val="center"/>
          </w:tcPr>
          <w:p w14:paraId="1169803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1767A9B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Completion of the yearly spending review for 2024, with reference to the saving target set in 2022 and 2023 for 2024</w:t>
            </w:r>
          </w:p>
        </w:tc>
      </w:tr>
      <w:tr w:rsidR="0039681A" w:rsidRPr="0070054C" w14:paraId="3C316118" w14:textId="77777777">
        <w:trPr>
          <w:trHeight w:val="300"/>
        </w:trPr>
        <w:tc>
          <w:tcPr>
            <w:tcW w:w="1434" w:type="dxa"/>
            <w:shd w:val="clear" w:color="auto" w:fill="C6EFCE"/>
            <w:tcMar>
              <w:left w:w="108" w:type="dxa"/>
              <w:right w:w="108" w:type="dxa"/>
            </w:tcMar>
            <w:vAlign w:val="center"/>
          </w:tcPr>
          <w:p w14:paraId="5899423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M1C2-3</w:t>
            </w:r>
          </w:p>
        </w:tc>
        <w:tc>
          <w:tcPr>
            <w:tcW w:w="3543" w:type="dxa"/>
            <w:shd w:val="clear" w:color="auto" w:fill="C6EFCE"/>
            <w:tcMar>
              <w:left w:w="108" w:type="dxa"/>
              <w:right w:w="108" w:type="dxa"/>
            </w:tcMar>
            <w:vAlign w:val="center"/>
          </w:tcPr>
          <w:p w14:paraId="0A8E9E63"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 Transition 4.0</w:t>
            </w:r>
          </w:p>
        </w:tc>
        <w:tc>
          <w:tcPr>
            <w:tcW w:w="1277" w:type="dxa"/>
            <w:shd w:val="clear" w:color="auto" w:fill="C6EFCE"/>
            <w:tcMar>
              <w:left w:w="108" w:type="dxa"/>
              <w:right w:w="108" w:type="dxa"/>
            </w:tcMar>
            <w:vAlign w:val="center"/>
          </w:tcPr>
          <w:p w14:paraId="1C5F045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04368FA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Transition 4.0 tax credits granted to firms based on tax returns presented in 2021-2023</w:t>
            </w:r>
          </w:p>
        </w:tc>
      </w:tr>
      <w:tr w:rsidR="0039681A" w:rsidRPr="0070054C" w14:paraId="19360618" w14:textId="77777777">
        <w:trPr>
          <w:trHeight w:val="300"/>
        </w:trPr>
        <w:tc>
          <w:tcPr>
            <w:tcW w:w="1434" w:type="dxa"/>
            <w:shd w:val="clear" w:color="auto" w:fill="C6EFCE"/>
            <w:tcMar>
              <w:left w:w="108" w:type="dxa"/>
              <w:right w:w="108" w:type="dxa"/>
            </w:tcMar>
            <w:vAlign w:val="center"/>
          </w:tcPr>
          <w:p w14:paraId="4D66996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M4C1-16</w:t>
            </w:r>
          </w:p>
        </w:tc>
        <w:tc>
          <w:tcPr>
            <w:tcW w:w="3543" w:type="dxa"/>
            <w:shd w:val="clear" w:color="auto" w:fill="C6EFCE"/>
            <w:tcMar>
              <w:left w:w="108" w:type="dxa"/>
              <w:right w:w="108" w:type="dxa"/>
            </w:tcMar>
            <w:vAlign w:val="center"/>
          </w:tcPr>
          <w:p w14:paraId="7416F8E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New skills and new languages</w:t>
            </w:r>
          </w:p>
        </w:tc>
        <w:tc>
          <w:tcPr>
            <w:tcW w:w="1277" w:type="dxa"/>
            <w:shd w:val="clear" w:color="auto" w:fill="C6EFCE"/>
            <w:tcMar>
              <w:left w:w="108" w:type="dxa"/>
              <w:right w:w="108" w:type="dxa"/>
            </w:tcMar>
            <w:vAlign w:val="center"/>
          </w:tcPr>
          <w:p w14:paraId="3057878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28F6A573" w14:textId="3A7B6AC0"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grant award decision(s) for the activation fo STEM projects</w:t>
            </w:r>
            <w:r w:rsidR="00381DB1">
              <w:rPr>
                <w:rFonts w:ascii="Times New Roman" w:eastAsia="Times New Roman" w:hAnsi="Times New Roman" w:cs="Times New Roman"/>
                <w:noProof/>
                <w:color w:val="006100"/>
                <w:sz w:val="20"/>
                <w:szCs w:val="20"/>
                <w:lang w:val="en-IE" w:eastAsia="en-GB"/>
              </w:rPr>
              <w:t xml:space="preserve"> </w:t>
            </w:r>
          </w:p>
        </w:tc>
      </w:tr>
      <w:tr w:rsidR="0039681A" w:rsidRPr="00647572" w14:paraId="03D448F0" w14:textId="77777777">
        <w:trPr>
          <w:trHeight w:val="300"/>
        </w:trPr>
        <w:tc>
          <w:tcPr>
            <w:tcW w:w="1434" w:type="dxa"/>
            <w:shd w:val="clear" w:color="auto" w:fill="C6EFCE"/>
            <w:tcMar>
              <w:left w:w="108" w:type="dxa"/>
              <w:right w:w="108" w:type="dxa"/>
            </w:tcMar>
            <w:vAlign w:val="center"/>
          </w:tcPr>
          <w:p w14:paraId="48948DF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M4C1-17</w:t>
            </w:r>
          </w:p>
        </w:tc>
        <w:tc>
          <w:tcPr>
            <w:tcW w:w="3543" w:type="dxa"/>
            <w:shd w:val="clear" w:color="auto" w:fill="C6EFCE"/>
            <w:tcMar>
              <w:left w:w="108" w:type="dxa"/>
              <w:right w:w="108" w:type="dxa"/>
            </w:tcMar>
            <w:vAlign w:val="center"/>
          </w:tcPr>
          <w:p w14:paraId="06177FB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New skills and new languages</w:t>
            </w:r>
          </w:p>
        </w:tc>
        <w:tc>
          <w:tcPr>
            <w:tcW w:w="1277" w:type="dxa"/>
            <w:shd w:val="clear" w:color="auto" w:fill="C6EFCE"/>
            <w:tcMar>
              <w:left w:w="108" w:type="dxa"/>
              <w:right w:w="108" w:type="dxa"/>
            </w:tcMar>
            <w:vAlign w:val="center"/>
          </w:tcPr>
          <w:p w14:paraId="4E8A9B4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3673641C" w14:textId="73B68585"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New Skills</w:t>
            </w:r>
            <w:r w:rsidR="00381DB1">
              <w:rPr>
                <w:rFonts w:ascii="Times New Roman" w:eastAsia="Times New Roman" w:hAnsi="Times New Roman" w:cs="Times New Roman"/>
                <w:noProof/>
                <w:color w:val="006100"/>
                <w:sz w:val="20"/>
                <w:szCs w:val="20"/>
                <w:lang w:eastAsia="en-GB"/>
              </w:rPr>
              <w:t xml:space="preserve"> </w:t>
            </w:r>
          </w:p>
        </w:tc>
      </w:tr>
      <w:tr w:rsidR="0039681A" w:rsidRPr="0070054C" w14:paraId="4CEF04E5" w14:textId="77777777">
        <w:trPr>
          <w:trHeight w:val="300"/>
        </w:trPr>
        <w:tc>
          <w:tcPr>
            <w:tcW w:w="1434" w:type="dxa"/>
            <w:shd w:val="clear" w:color="auto" w:fill="C6EFCE"/>
            <w:tcMar>
              <w:left w:w="108" w:type="dxa"/>
              <w:right w:w="108" w:type="dxa"/>
            </w:tcMar>
            <w:vAlign w:val="center"/>
          </w:tcPr>
          <w:p w14:paraId="01FECC9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 bis</w:t>
            </w:r>
          </w:p>
        </w:tc>
        <w:tc>
          <w:tcPr>
            <w:tcW w:w="3543" w:type="dxa"/>
            <w:shd w:val="clear" w:color="auto" w:fill="C6EFCE"/>
            <w:tcMar>
              <w:left w:w="108" w:type="dxa"/>
              <w:right w:w="108" w:type="dxa"/>
            </w:tcMar>
            <w:vAlign w:val="center"/>
          </w:tcPr>
          <w:p w14:paraId="26FBBFE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1.2: Funding projects presented by young researchers </w:t>
            </w:r>
          </w:p>
        </w:tc>
        <w:tc>
          <w:tcPr>
            <w:tcW w:w="1277" w:type="dxa"/>
            <w:shd w:val="clear" w:color="auto" w:fill="C6EFCE"/>
            <w:tcMar>
              <w:left w:w="108" w:type="dxa"/>
              <w:right w:w="108" w:type="dxa"/>
            </w:tcMar>
            <w:vAlign w:val="center"/>
          </w:tcPr>
          <w:p w14:paraId="22FDF53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03B4DF8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Publication of the decree(s) awarding the funding to young researchers </w:t>
            </w:r>
          </w:p>
        </w:tc>
      </w:tr>
      <w:tr w:rsidR="0039681A" w:rsidRPr="0070054C" w14:paraId="1CC4DE99" w14:textId="77777777">
        <w:trPr>
          <w:trHeight w:val="300"/>
        </w:trPr>
        <w:tc>
          <w:tcPr>
            <w:tcW w:w="1434" w:type="dxa"/>
            <w:shd w:val="clear" w:color="auto" w:fill="C6EFCE"/>
            <w:tcMar>
              <w:left w:w="108" w:type="dxa"/>
              <w:right w:w="108" w:type="dxa"/>
            </w:tcMar>
            <w:vAlign w:val="center"/>
          </w:tcPr>
          <w:p w14:paraId="089BA567"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M6C2-2</w:t>
            </w:r>
          </w:p>
        </w:tc>
        <w:tc>
          <w:tcPr>
            <w:tcW w:w="3543" w:type="dxa"/>
            <w:shd w:val="clear" w:color="auto" w:fill="C6EFCE"/>
            <w:tcMar>
              <w:left w:w="108" w:type="dxa"/>
              <w:right w:w="108" w:type="dxa"/>
            </w:tcMar>
            <w:vAlign w:val="center"/>
          </w:tcPr>
          <w:p w14:paraId="56251C96"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2.1: Strengthening and enhancement of the NHS biomedical research</w:t>
            </w:r>
          </w:p>
        </w:tc>
        <w:tc>
          <w:tcPr>
            <w:tcW w:w="1277" w:type="dxa"/>
            <w:shd w:val="clear" w:color="auto" w:fill="C6EFCE"/>
            <w:tcMar>
              <w:left w:w="108" w:type="dxa"/>
              <w:right w:w="108" w:type="dxa"/>
            </w:tcMar>
            <w:vAlign w:val="center"/>
          </w:tcPr>
          <w:p w14:paraId="68C67ADC"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216437FE"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Research projects funded on PoC (Proof of Concept) and rare cancers and diseases</w:t>
            </w:r>
          </w:p>
        </w:tc>
      </w:tr>
      <w:tr w:rsidR="0039681A" w:rsidRPr="0070054C" w14:paraId="13DA9FFF" w14:textId="77777777">
        <w:trPr>
          <w:trHeight w:val="300"/>
        </w:trPr>
        <w:tc>
          <w:tcPr>
            <w:tcW w:w="1434" w:type="dxa"/>
            <w:shd w:val="clear" w:color="auto" w:fill="C6EFCE"/>
            <w:tcMar>
              <w:left w:w="108" w:type="dxa"/>
              <w:right w:w="108" w:type="dxa"/>
            </w:tcMar>
            <w:vAlign w:val="center"/>
          </w:tcPr>
          <w:p w14:paraId="479C4675"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M6C2-3</w:t>
            </w:r>
          </w:p>
        </w:tc>
        <w:tc>
          <w:tcPr>
            <w:tcW w:w="3543" w:type="dxa"/>
            <w:shd w:val="clear" w:color="auto" w:fill="C6EFCE"/>
            <w:tcMar>
              <w:left w:w="108" w:type="dxa"/>
              <w:right w:w="108" w:type="dxa"/>
            </w:tcMar>
            <w:vAlign w:val="center"/>
          </w:tcPr>
          <w:p w14:paraId="5147DD28"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2.1: Strengthening and enhancement of the NHS biomedical research</w:t>
            </w:r>
          </w:p>
        </w:tc>
        <w:tc>
          <w:tcPr>
            <w:tcW w:w="1277" w:type="dxa"/>
            <w:shd w:val="clear" w:color="auto" w:fill="C6EFCE"/>
            <w:tcMar>
              <w:left w:w="108" w:type="dxa"/>
              <w:right w:w="108" w:type="dxa"/>
            </w:tcMar>
            <w:vAlign w:val="center"/>
          </w:tcPr>
          <w:p w14:paraId="4CFC1B87"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7EB8D544"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Research projects funded on diseases with a high impact on health</w:t>
            </w:r>
          </w:p>
        </w:tc>
      </w:tr>
      <w:tr w:rsidR="0039681A" w:rsidRPr="0070054C" w14:paraId="07456292" w14:textId="77777777">
        <w:trPr>
          <w:trHeight w:val="300"/>
        </w:trPr>
        <w:tc>
          <w:tcPr>
            <w:tcW w:w="1434" w:type="dxa"/>
            <w:shd w:val="clear" w:color="auto" w:fill="C6EFCE"/>
            <w:tcMar>
              <w:left w:w="108" w:type="dxa"/>
              <w:right w:w="108" w:type="dxa"/>
            </w:tcMar>
            <w:vAlign w:val="center"/>
          </w:tcPr>
          <w:p w14:paraId="4538AAB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M7-2</w:t>
            </w:r>
          </w:p>
        </w:tc>
        <w:tc>
          <w:tcPr>
            <w:tcW w:w="3543" w:type="dxa"/>
            <w:shd w:val="clear" w:color="auto" w:fill="C6EFCE"/>
            <w:tcMar>
              <w:left w:w="108" w:type="dxa"/>
              <w:right w:w="108" w:type="dxa"/>
            </w:tcMar>
            <w:vAlign w:val="center"/>
          </w:tcPr>
          <w:p w14:paraId="29FA0759"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 Streamlining permitting procedures for renewable energy</w:t>
            </w:r>
          </w:p>
        </w:tc>
        <w:tc>
          <w:tcPr>
            <w:tcW w:w="1277" w:type="dxa"/>
            <w:shd w:val="clear" w:color="auto" w:fill="C6EFCE"/>
            <w:tcMar>
              <w:left w:w="108" w:type="dxa"/>
              <w:right w:w="108" w:type="dxa"/>
            </w:tcMar>
            <w:vAlign w:val="center"/>
          </w:tcPr>
          <w:p w14:paraId="77F8A52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18E43EA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legal act (Testo Unico) </w:t>
            </w:r>
          </w:p>
        </w:tc>
      </w:tr>
      <w:tr w:rsidR="0039681A" w:rsidRPr="0070054C" w14:paraId="6119849F" w14:textId="77777777">
        <w:trPr>
          <w:trHeight w:val="300"/>
        </w:trPr>
        <w:tc>
          <w:tcPr>
            <w:tcW w:w="1434" w:type="dxa"/>
            <w:shd w:val="clear" w:color="auto" w:fill="C6EFCE"/>
            <w:tcMar>
              <w:left w:w="108" w:type="dxa"/>
              <w:right w:w="108" w:type="dxa"/>
            </w:tcMar>
            <w:vAlign w:val="center"/>
          </w:tcPr>
          <w:p w14:paraId="0BE327D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M7-25</w:t>
            </w:r>
          </w:p>
        </w:tc>
        <w:tc>
          <w:tcPr>
            <w:tcW w:w="3543" w:type="dxa"/>
            <w:shd w:val="clear" w:color="auto" w:fill="C6EFCE"/>
            <w:tcMar>
              <w:left w:w="108" w:type="dxa"/>
              <w:right w:w="108" w:type="dxa"/>
            </w:tcMar>
            <w:vAlign w:val="center"/>
          </w:tcPr>
          <w:p w14:paraId="247C7B2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8: Sustainable, circular and secure supply of Critical Raw Materials</w:t>
            </w:r>
          </w:p>
        </w:tc>
        <w:tc>
          <w:tcPr>
            <w:tcW w:w="1277" w:type="dxa"/>
            <w:shd w:val="clear" w:color="auto" w:fill="C6EFCE"/>
            <w:tcMar>
              <w:left w:w="108" w:type="dxa"/>
              <w:right w:w="108" w:type="dxa"/>
            </w:tcMar>
            <w:vAlign w:val="center"/>
          </w:tcPr>
          <w:p w14:paraId="568CB63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6F386221" w14:textId="7D3F9FFE"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Publication of the report on the future needs for CRM and</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 xml:space="preserve">the potential of eco-design </w:t>
            </w:r>
          </w:p>
        </w:tc>
      </w:tr>
      <w:tr w:rsidR="0039681A" w:rsidRPr="0070054C" w14:paraId="3C30E36D" w14:textId="77777777">
        <w:trPr>
          <w:trHeight w:val="300"/>
        </w:trPr>
        <w:tc>
          <w:tcPr>
            <w:tcW w:w="1434" w:type="dxa"/>
            <w:shd w:val="clear" w:color="auto" w:fill="C6EFCE"/>
            <w:tcMar>
              <w:left w:w="108" w:type="dxa"/>
              <w:right w:w="108" w:type="dxa"/>
            </w:tcMar>
            <w:vAlign w:val="center"/>
          </w:tcPr>
          <w:p w14:paraId="2B01B2B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M1C2-14bis</w:t>
            </w:r>
          </w:p>
        </w:tc>
        <w:tc>
          <w:tcPr>
            <w:tcW w:w="3543" w:type="dxa"/>
            <w:shd w:val="clear" w:color="auto" w:fill="C6EFCE"/>
            <w:tcMar>
              <w:left w:w="108" w:type="dxa"/>
              <w:right w:w="108" w:type="dxa"/>
            </w:tcMar>
            <w:vAlign w:val="center"/>
          </w:tcPr>
          <w:p w14:paraId="7B30C52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3: Rationalization and simplification of incentives for firms.</w:t>
            </w:r>
          </w:p>
        </w:tc>
        <w:tc>
          <w:tcPr>
            <w:tcW w:w="1277" w:type="dxa"/>
            <w:shd w:val="clear" w:color="auto" w:fill="C6EFCE"/>
            <w:tcMar>
              <w:left w:w="108" w:type="dxa"/>
              <w:right w:w="108" w:type="dxa"/>
            </w:tcMar>
            <w:vAlign w:val="center"/>
          </w:tcPr>
          <w:p w14:paraId="19076FD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4D5B21E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Publication of the report evaluation all incentives for firms</w:t>
            </w:r>
          </w:p>
        </w:tc>
      </w:tr>
      <w:tr w:rsidR="0039681A" w:rsidRPr="0070054C" w14:paraId="7FD294E1" w14:textId="77777777">
        <w:trPr>
          <w:trHeight w:val="300"/>
        </w:trPr>
        <w:tc>
          <w:tcPr>
            <w:tcW w:w="1434" w:type="dxa"/>
            <w:shd w:val="clear" w:color="auto" w:fill="C6EFCE"/>
            <w:tcMar>
              <w:left w:w="108" w:type="dxa"/>
              <w:right w:w="108" w:type="dxa"/>
            </w:tcMar>
            <w:vAlign w:val="center"/>
          </w:tcPr>
          <w:p w14:paraId="3A91A922"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M5C1-15</w:t>
            </w:r>
          </w:p>
        </w:tc>
        <w:tc>
          <w:tcPr>
            <w:tcW w:w="3543" w:type="dxa"/>
            <w:shd w:val="clear" w:color="auto" w:fill="C6EFCE"/>
            <w:tcMar>
              <w:left w:w="108" w:type="dxa"/>
              <w:right w:w="108" w:type="dxa"/>
            </w:tcMar>
            <w:vAlign w:val="center"/>
          </w:tcPr>
          <w:p w14:paraId="011263B5"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3 - Strengthening the dual system</w:t>
            </w:r>
          </w:p>
        </w:tc>
        <w:tc>
          <w:tcPr>
            <w:tcW w:w="1277" w:type="dxa"/>
            <w:shd w:val="clear" w:color="auto" w:fill="C6EFCE"/>
            <w:tcMar>
              <w:left w:w="108" w:type="dxa"/>
              <w:right w:w="108" w:type="dxa"/>
            </w:tcMar>
            <w:vAlign w:val="center"/>
          </w:tcPr>
          <w:p w14:paraId="3987CEE0"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2A184317"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Certificates issued through the dual education system</w:t>
            </w:r>
          </w:p>
        </w:tc>
      </w:tr>
      <w:tr w:rsidR="0039681A" w:rsidRPr="00647572" w14:paraId="0032275F" w14:textId="77777777">
        <w:trPr>
          <w:trHeight w:val="300"/>
        </w:trPr>
        <w:tc>
          <w:tcPr>
            <w:tcW w:w="1434" w:type="dxa"/>
            <w:shd w:val="clear" w:color="auto" w:fill="C6EFCE"/>
            <w:tcMar>
              <w:left w:w="108" w:type="dxa"/>
              <w:right w:w="108" w:type="dxa"/>
            </w:tcMar>
            <w:vAlign w:val="center"/>
          </w:tcPr>
          <w:p w14:paraId="4CA67F89"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M2C1-12</w:t>
            </w:r>
          </w:p>
        </w:tc>
        <w:tc>
          <w:tcPr>
            <w:tcW w:w="3543" w:type="dxa"/>
            <w:shd w:val="clear" w:color="auto" w:fill="C6EFCE"/>
            <w:tcMar>
              <w:left w:w="108" w:type="dxa"/>
              <w:right w:w="108" w:type="dxa"/>
            </w:tcMar>
            <w:vAlign w:val="center"/>
          </w:tcPr>
          <w:p w14:paraId="2A779817"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3.3: Culture and awareness on environmental topics and challenges</w:t>
            </w:r>
          </w:p>
        </w:tc>
        <w:tc>
          <w:tcPr>
            <w:tcW w:w="1277" w:type="dxa"/>
            <w:shd w:val="clear" w:color="auto" w:fill="C6EFCE"/>
            <w:tcMar>
              <w:left w:w="108" w:type="dxa"/>
              <w:right w:w="108" w:type="dxa"/>
            </w:tcMar>
            <w:vAlign w:val="center"/>
          </w:tcPr>
          <w:p w14:paraId="491284B8"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667A62EE"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Podcasts on environmental transition</w:t>
            </w:r>
          </w:p>
        </w:tc>
      </w:tr>
      <w:tr w:rsidR="0039681A" w:rsidRPr="0070054C" w14:paraId="6C7D98F9" w14:textId="77777777">
        <w:trPr>
          <w:trHeight w:val="300"/>
        </w:trPr>
        <w:tc>
          <w:tcPr>
            <w:tcW w:w="1434" w:type="dxa"/>
            <w:shd w:val="clear" w:color="auto" w:fill="C6EFCE"/>
            <w:tcMar>
              <w:left w:w="108" w:type="dxa"/>
              <w:right w:w="108" w:type="dxa"/>
            </w:tcMar>
            <w:vAlign w:val="center"/>
          </w:tcPr>
          <w:p w14:paraId="1F1D1200"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M4C1-19</w:t>
            </w:r>
          </w:p>
        </w:tc>
        <w:tc>
          <w:tcPr>
            <w:tcW w:w="3543" w:type="dxa"/>
            <w:shd w:val="clear" w:color="auto" w:fill="C6EFCE"/>
            <w:tcMar>
              <w:left w:w="108" w:type="dxa"/>
              <w:right w:w="108" w:type="dxa"/>
            </w:tcMar>
            <w:vAlign w:val="center"/>
          </w:tcPr>
          <w:p w14:paraId="39483D1A"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3.2: School 4.0: innovative schools, wiring, new classrooms and workshops</w:t>
            </w:r>
          </w:p>
        </w:tc>
        <w:tc>
          <w:tcPr>
            <w:tcW w:w="1277" w:type="dxa"/>
            <w:shd w:val="clear" w:color="auto" w:fill="C6EFCE"/>
            <w:tcMar>
              <w:left w:w="108" w:type="dxa"/>
              <w:right w:w="108" w:type="dxa"/>
            </w:tcMar>
            <w:vAlign w:val="center"/>
          </w:tcPr>
          <w:p w14:paraId="235CF207"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105" w:type="dxa"/>
            <w:shd w:val="clear" w:color="auto" w:fill="C6EFCE"/>
            <w:tcMar>
              <w:left w:w="108" w:type="dxa"/>
              <w:right w:w="108" w:type="dxa"/>
            </w:tcMar>
            <w:vAlign w:val="center"/>
          </w:tcPr>
          <w:p w14:paraId="3FBDB961"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Adoption of grant award decision(s) for the purchase of digital devices and/or the creation of digital laboratories</w:t>
            </w:r>
          </w:p>
        </w:tc>
      </w:tr>
      <w:tr w:rsidR="0039681A" w:rsidRPr="0070054C" w14:paraId="664C32CD" w14:textId="77777777">
        <w:trPr>
          <w:trHeight w:val="300"/>
        </w:trPr>
        <w:tc>
          <w:tcPr>
            <w:tcW w:w="1434" w:type="dxa"/>
            <w:shd w:val="clear" w:color="auto" w:fill="C6EFCE"/>
            <w:tcMar>
              <w:left w:w="108" w:type="dxa"/>
              <w:right w:w="108" w:type="dxa"/>
            </w:tcMar>
            <w:vAlign w:val="center"/>
          </w:tcPr>
          <w:p w14:paraId="29628763"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M1C1-98bis</w:t>
            </w:r>
          </w:p>
        </w:tc>
        <w:tc>
          <w:tcPr>
            <w:tcW w:w="3543" w:type="dxa"/>
            <w:shd w:val="clear" w:color="auto" w:fill="C6EFCE"/>
            <w:tcMar>
              <w:left w:w="108" w:type="dxa"/>
              <w:right w:w="108" w:type="dxa"/>
            </w:tcMar>
            <w:vAlign w:val="center"/>
          </w:tcPr>
          <w:p w14:paraId="43F0AF6A"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77" w:type="dxa"/>
            <w:shd w:val="clear" w:color="auto" w:fill="C6EFCE"/>
            <w:tcMar>
              <w:left w:w="108" w:type="dxa"/>
              <w:right w:w="108" w:type="dxa"/>
            </w:tcMar>
            <w:vAlign w:val="center"/>
          </w:tcPr>
          <w:p w14:paraId="0386562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05" w:type="dxa"/>
            <w:shd w:val="clear" w:color="auto" w:fill="C6EFCE"/>
            <w:tcMar>
              <w:left w:w="108" w:type="dxa"/>
              <w:right w:w="108" w:type="dxa"/>
            </w:tcMar>
            <w:vAlign w:val="center"/>
          </w:tcPr>
          <w:p w14:paraId="53A46F3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Civil servants trained through the Public Buyers Professionalization Strategy</w:t>
            </w:r>
          </w:p>
        </w:tc>
      </w:tr>
      <w:tr w:rsidR="0039681A" w:rsidRPr="00647572" w14:paraId="32839EB6" w14:textId="77777777">
        <w:trPr>
          <w:trHeight w:val="300"/>
        </w:trPr>
        <w:tc>
          <w:tcPr>
            <w:tcW w:w="1434" w:type="dxa"/>
            <w:shd w:val="clear" w:color="auto" w:fill="C6EFCE"/>
            <w:tcMar>
              <w:left w:w="108" w:type="dxa"/>
              <w:right w:w="108" w:type="dxa"/>
            </w:tcMar>
            <w:vAlign w:val="center"/>
          </w:tcPr>
          <w:p w14:paraId="1445D2CB"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3543" w:type="dxa"/>
            <w:shd w:val="clear" w:color="auto" w:fill="C6EFCE"/>
            <w:tcMar>
              <w:left w:w="108" w:type="dxa"/>
              <w:right w:w="108" w:type="dxa"/>
            </w:tcMar>
            <w:vAlign w:val="center"/>
          </w:tcPr>
          <w:p w14:paraId="55B473F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77" w:type="dxa"/>
            <w:shd w:val="clear" w:color="auto" w:fill="C6EFCE"/>
            <w:tcMar>
              <w:left w:w="108" w:type="dxa"/>
              <w:right w:w="108" w:type="dxa"/>
            </w:tcMar>
            <w:vAlign w:val="center"/>
          </w:tcPr>
          <w:p w14:paraId="06D08EE4"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105" w:type="dxa"/>
            <w:shd w:val="clear" w:color="auto" w:fill="C6EFCE"/>
            <w:tcMar>
              <w:left w:w="108" w:type="dxa"/>
              <w:right w:w="108" w:type="dxa"/>
            </w:tcMar>
            <w:vAlign w:val="center"/>
          </w:tcPr>
          <w:p w14:paraId="0A0665FF"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541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589</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877</w:t>
            </w:r>
          </w:p>
        </w:tc>
      </w:tr>
    </w:tbl>
    <w:p w14:paraId="7E6C72FF" w14:textId="77777777" w:rsidR="0039681A" w:rsidRPr="005D46BA" w:rsidRDefault="0039681A" w:rsidP="00351087">
      <w:pPr>
        <w:rPr>
          <w:rFonts w:ascii="Times New Roman" w:eastAsia="Times New Roman" w:hAnsi="Times New Roman" w:cs="Times New Roman"/>
          <w:noProof/>
          <w:sz w:val="2"/>
          <w:szCs w:val="2"/>
          <w:lang w:eastAsia="en-GB"/>
        </w:rPr>
      </w:pPr>
    </w:p>
    <w:p w14:paraId="21849A66" w14:textId="77777777" w:rsidR="0039681A" w:rsidRPr="00647572" w:rsidRDefault="0039681A" w:rsidP="0039681A">
      <w:pPr>
        <w:pStyle w:val="Heading4"/>
        <w:numPr>
          <w:ilvl w:val="1"/>
          <w:numId w:val="16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Ninth Instalment (non-repayable support):</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247"/>
        <w:gridCol w:w="3134"/>
      </w:tblGrid>
      <w:tr w:rsidR="0039681A" w:rsidRPr="00647572" w14:paraId="68AB1D76" w14:textId="77777777">
        <w:trPr>
          <w:trHeight w:val="1425"/>
          <w:tblHeader/>
        </w:trPr>
        <w:tc>
          <w:tcPr>
            <w:tcW w:w="1435" w:type="dxa"/>
            <w:shd w:val="clear" w:color="auto" w:fill="BDD7EE"/>
            <w:tcMar>
              <w:left w:w="108" w:type="dxa"/>
              <w:right w:w="108" w:type="dxa"/>
            </w:tcMar>
            <w:vAlign w:val="center"/>
          </w:tcPr>
          <w:p w14:paraId="7723F4F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shd w:val="clear" w:color="auto" w:fill="BDD7EE"/>
            <w:tcMar>
              <w:left w:w="108" w:type="dxa"/>
              <w:right w:w="108" w:type="dxa"/>
            </w:tcMar>
            <w:vAlign w:val="center"/>
          </w:tcPr>
          <w:p w14:paraId="3979DDF5"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47" w:type="dxa"/>
            <w:shd w:val="clear" w:color="auto" w:fill="BDD7EE"/>
            <w:tcMar>
              <w:left w:w="108" w:type="dxa"/>
              <w:right w:w="108" w:type="dxa"/>
            </w:tcMar>
            <w:vAlign w:val="center"/>
          </w:tcPr>
          <w:p w14:paraId="1344D04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34" w:type="dxa"/>
            <w:shd w:val="clear" w:color="auto" w:fill="BDD7EE"/>
            <w:tcMar>
              <w:left w:w="108" w:type="dxa"/>
              <w:right w:w="108" w:type="dxa"/>
            </w:tcMar>
            <w:vAlign w:val="center"/>
          </w:tcPr>
          <w:p w14:paraId="51F615B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70054C" w14:paraId="29F93E0B" w14:textId="77777777">
        <w:trPr>
          <w:trHeight w:val="300"/>
        </w:trPr>
        <w:tc>
          <w:tcPr>
            <w:tcW w:w="1435" w:type="dxa"/>
            <w:shd w:val="clear" w:color="auto" w:fill="C6EFCE"/>
            <w:tcMar>
              <w:left w:w="108" w:type="dxa"/>
              <w:right w:w="108" w:type="dxa"/>
            </w:tcMar>
            <w:vAlign w:val="center"/>
          </w:tcPr>
          <w:p w14:paraId="079622D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M4C1-7</w:t>
            </w:r>
          </w:p>
        </w:tc>
        <w:tc>
          <w:tcPr>
            <w:tcW w:w="3543" w:type="dxa"/>
            <w:shd w:val="clear" w:color="auto" w:fill="C6EFCE"/>
            <w:tcMar>
              <w:left w:w="108" w:type="dxa"/>
              <w:right w:w="108" w:type="dxa"/>
            </w:tcMar>
            <w:vAlign w:val="center"/>
          </w:tcPr>
          <w:p w14:paraId="25C460D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Extraordinary intervention aimed at the reduction of territorial gaps in I and II cycles of secondary school and at tackling school drop-out</w:t>
            </w:r>
          </w:p>
        </w:tc>
        <w:tc>
          <w:tcPr>
            <w:tcW w:w="1247" w:type="dxa"/>
            <w:shd w:val="clear" w:color="auto" w:fill="C6EFCE"/>
            <w:tcMar>
              <w:left w:w="108" w:type="dxa"/>
              <w:right w:w="108" w:type="dxa"/>
            </w:tcMar>
            <w:vAlign w:val="center"/>
          </w:tcPr>
          <w:p w14:paraId="79C2CDF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163BA9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Students or young people who have participated mentoring activities or training courses</w:t>
            </w:r>
          </w:p>
        </w:tc>
      </w:tr>
      <w:tr w:rsidR="0039681A" w:rsidRPr="0070054C" w14:paraId="30739DD5" w14:textId="77777777">
        <w:trPr>
          <w:trHeight w:val="300"/>
        </w:trPr>
        <w:tc>
          <w:tcPr>
            <w:tcW w:w="1435" w:type="dxa"/>
            <w:shd w:val="clear" w:color="auto" w:fill="C6EFCE"/>
            <w:tcMar>
              <w:left w:w="108" w:type="dxa"/>
              <w:right w:w="108" w:type="dxa"/>
            </w:tcMar>
            <w:vAlign w:val="center"/>
          </w:tcPr>
          <w:p w14:paraId="59CDFF0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M4C1-14 bis</w:t>
            </w:r>
          </w:p>
        </w:tc>
        <w:tc>
          <w:tcPr>
            <w:tcW w:w="3543" w:type="dxa"/>
            <w:shd w:val="clear" w:color="auto" w:fill="C6EFCE"/>
            <w:tcMar>
              <w:left w:w="108" w:type="dxa"/>
              <w:right w:w="108" w:type="dxa"/>
            </w:tcMar>
            <w:vAlign w:val="center"/>
          </w:tcPr>
          <w:p w14:paraId="4EBD202F" w14:textId="09A4518B"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2.1: Teachers’ recruitment</w:t>
            </w:r>
            <w:r w:rsidR="00381DB1">
              <w:rPr>
                <w:rFonts w:ascii="Times New Roman" w:eastAsia="Times New Roman" w:hAnsi="Times New Roman" w:cs="Times New Roman"/>
                <w:noProof/>
                <w:color w:val="006100"/>
                <w:sz w:val="20"/>
                <w:szCs w:val="20"/>
                <w:lang w:eastAsia="en-GB"/>
              </w:rPr>
              <w:t xml:space="preserve"> </w:t>
            </w:r>
          </w:p>
        </w:tc>
        <w:tc>
          <w:tcPr>
            <w:tcW w:w="1247" w:type="dxa"/>
            <w:shd w:val="clear" w:color="auto" w:fill="C6EFCE"/>
            <w:tcMar>
              <w:left w:w="108" w:type="dxa"/>
              <w:right w:w="108" w:type="dxa"/>
            </w:tcMar>
            <w:vAlign w:val="center"/>
          </w:tcPr>
          <w:p w14:paraId="48887BD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3704065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Teachers recruited within the reformed recruitment system</w:t>
            </w:r>
          </w:p>
        </w:tc>
      </w:tr>
      <w:tr w:rsidR="0039681A" w:rsidRPr="0070054C" w14:paraId="62BE8EE7" w14:textId="77777777">
        <w:trPr>
          <w:trHeight w:val="300"/>
        </w:trPr>
        <w:tc>
          <w:tcPr>
            <w:tcW w:w="1435" w:type="dxa"/>
            <w:shd w:val="clear" w:color="auto" w:fill="C6EFCE"/>
            <w:tcMar>
              <w:left w:w="108" w:type="dxa"/>
              <w:right w:w="108" w:type="dxa"/>
            </w:tcMar>
            <w:vAlign w:val="center"/>
          </w:tcPr>
          <w:p w14:paraId="5E7ABBA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M7-6</w:t>
            </w:r>
          </w:p>
        </w:tc>
        <w:tc>
          <w:tcPr>
            <w:tcW w:w="3543" w:type="dxa"/>
            <w:shd w:val="clear" w:color="auto" w:fill="C6EFCE"/>
            <w:tcMar>
              <w:left w:w="108" w:type="dxa"/>
              <w:right w:w="108" w:type="dxa"/>
            </w:tcMar>
            <w:vAlign w:val="center"/>
          </w:tcPr>
          <w:p w14:paraId="257D2C1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3: Reduction of the costs of connection to the gas network of biomethane</w:t>
            </w:r>
          </w:p>
        </w:tc>
        <w:tc>
          <w:tcPr>
            <w:tcW w:w="1247" w:type="dxa"/>
            <w:shd w:val="clear" w:color="auto" w:fill="C6EFCE"/>
            <w:tcMar>
              <w:left w:w="108" w:type="dxa"/>
              <w:right w:w="108" w:type="dxa"/>
            </w:tcMar>
            <w:vAlign w:val="center"/>
          </w:tcPr>
          <w:p w14:paraId="4E1139F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05E9506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w:t>
            </w:r>
            <w:r>
              <w:rPr>
                <w:rFonts w:ascii="Times New Roman" w:eastAsia="Times New Roman" w:hAnsi="Times New Roman" w:cs="Times New Roman"/>
                <w:noProof/>
                <w:color w:val="006100"/>
                <w:sz w:val="20"/>
                <w:szCs w:val="20"/>
                <w:lang w:val="en-IE" w:eastAsia="en-GB"/>
              </w:rPr>
              <w:t>legal acts</w:t>
            </w:r>
            <w:r w:rsidRPr="00A36E36">
              <w:rPr>
                <w:rFonts w:ascii="Times New Roman" w:eastAsia="Times New Roman" w:hAnsi="Times New Roman" w:cs="Times New Roman"/>
                <w:noProof/>
                <w:color w:val="006100"/>
                <w:sz w:val="20"/>
                <w:szCs w:val="20"/>
                <w:lang w:val="en-IE" w:eastAsia="en-GB"/>
              </w:rPr>
              <w:t xml:space="preserve"> to reduce the costs of connection to the gas network of biomethane production plants</w:t>
            </w:r>
          </w:p>
        </w:tc>
      </w:tr>
      <w:tr w:rsidR="0039681A" w:rsidRPr="0070054C" w14:paraId="7C00301D" w14:textId="77777777">
        <w:trPr>
          <w:trHeight w:val="300"/>
        </w:trPr>
        <w:tc>
          <w:tcPr>
            <w:tcW w:w="1435" w:type="dxa"/>
            <w:shd w:val="clear" w:color="auto" w:fill="C6EFCE"/>
            <w:tcMar>
              <w:left w:w="108" w:type="dxa"/>
              <w:right w:w="108" w:type="dxa"/>
            </w:tcMar>
            <w:vAlign w:val="center"/>
          </w:tcPr>
          <w:p w14:paraId="437D2E0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M7-10</w:t>
            </w:r>
          </w:p>
        </w:tc>
        <w:tc>
          <w:tcPr>
            <w:tcW w:w="3543" w:type="dxa"/>
            <w:shd w:val="clear" w:color="auto" w:fill="C6EFCE"/>
            <w:tcMar>
              <w:left w:w="108" w:type="dxa"/>
              <w:right w:w="108" w:type="dxa"/>
            </w:tcMar>
            <w:vAlign w:val="center"/>
          </w:tcPr>
          <w:p w14:paraId="345C856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5: Plan for new Skills - Transitions</w:t>
            </w:r>
          </w:p>
        </w:tc>
        <w:tc>
          <w:tcPr>
            <w:tcW w:w="1247" w:type="dxa"/>
            <w:shd w:val="clear" w:color="auto" w:fill="C6EFCE"/>
            <w:tcMar>
              <w:left w:w="108" w:type="dxa"/>
              <w:right w:w="108" w:type="dxa"/>
            </w:tcMar>
            <w:vAlign w:val="center"/>
          </w:tcPr>
          <w:p w14:paraId="5C76DB1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56BF17C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legal act(s) for regions and autonomous province(s)</w:t>
            </w:r>
          </w:p>
        </w:tc>
      </w:tr>
      <w:tr w:rsidR="0039681A" w:rsidRPr="0070054C" w14:paraId="5F88CD81" w14:textId="77777777">
        <w:trPr>
          <w:trHeight w:val="300"/>
        </w:trPr>
        <w:tc>
          <w:tcPr>
            <w:tcW w:w="1435" w:type="dxa"/>
            <w:shd w:val="clear" w:color="auto" w:fill="C6EFCE"/>
            <w:tcMar>
              <w:left w:w="108" w:type="dxa"/>
              <w:right w:w="108" w:type="dxa"/>
            </w:tcMar>
            <w:vAlign w:val="center"/>
          </w:tcPr>
          <w:p w14:paraId="2E42CE4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M1C1-24</w:t>
            </w:r>
          </w:p>
        </w:tc>
        <w:tc>
          <w:tcPr>
            <w:tcW w:w="3543" w:type="dxa"/>
            <w:shd w:val="clear" w:color="auto" w:fill="C6EFCE"/>
            <w:tcMar>
              <w:left w:w="108" w:type="dxa"/>
              <w:right w:w="108" w:type="dxa"/>
            </w:tcMar>
            <w:vAlign w:val="center"/>
          </w:tcPr>
          <w:p w14:paraId="53F082D6"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1.7.1: Digital Civil Service</w:t>
            </w:r>
          </w:p>
        </w:tc>
        <w:tc>
          <w:tcPr>
            <w:tcW w:w="1247" w:type="dxa"/>
            <w:shd w:val="clear" w:color="auto" w:fill="C6EFCE"/>
            <w:tcMar>
              <w:left w:w="108" w:type="dxa"/>
              <w:right w:w="108" w:type="dxa"/>
            </w:tcMar>
            <w:vAlign w:val="center"/>
          </w:tcPr>
          <w:p w14:paraId="4CD82E0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1C6B6830"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rPr>
            </w:pPr>
            <w:r w:rsidRPr="00A36E36">
              <w:rPr>
                <w:rFonts w:ascii="Times New Roman" w:eastAsia="Times New Roman" w:hAnsi="Times New Roman" w:cs="Times New Roman"/>
                <w:noProof/>
                <w:color w:val="006100"/>
                <w:sz w:val="20"/>
                <w:szCs w:val="20"/>
                <w:lang w:val="en-IE" w:eastAsia="en-GB"/>
              </w:rPr>
              <w:t>Individuals participated in</w:t>
            </w:r>
            <w:r w:rsidRPr="42471066">
              <w:rPr>
                <w:rFonts w:ascii="Times New Roman" w:eastAsia="Times New Roman" w:hAnsi="Times New Roman" w:cs="Times New Roman"/>
                <w:noProof/>
                <w:color w:val="006100"/>
                <w:sz w:val="20"/>
                <w:szCs w:val="20"/>
                <w:lang w:val="en-GB"/>
              </w:rPr>
              <w:t xml:space="preserve"> the Digital Civil Service</w:t>
            </w:r>
          </w:p>
        </w:tc>
      </w:tr>
      <w:tr w:rsidR="0039681A" w:rsidRPr="0070054C" w14:paraId="24AF91F1" w14:textId="77777777">
        <w:trPr>
          <w:trHeight w:val="300"/>
        </w:trPr>
        <w:tc>
          <w:tcPr>
            <w:tcW w:w="1435" w:type="dxa"/>
            <w:shd w:val="clear" w:color="auto" w:fill="C6EFCE"/>
            <w:tcMar>
              <w:left w:w="108" w:type="dxa"/>
              <w:right w:w="108" w:type="dxa"/>
            </w:tcMar>
            <w:vAlign w:val="center"/>
          </w:tcPr>
          <w:p w14:paraId="1E40C66D" w14:textId="77777777" w:rsidR="0039681A" w:rsidRDefault="0039681A">
            <w:pPr>
              <w:spacing w:after="0" w:line="240" w:lineRule="auto"/>
              <w:jc w:val="center"/>
              <w:rPr>
                <w:rFonts w:ascii="Times New Roman" w:eastAsia="Times New Roman" w:hAnsi="Times New Roman" w:cs="Times New Roman"/>
                <w:noProof/>
                <w:lang w:eastAsia="en-GB"/>
              </w:rPr>
            </w:pPr>
            <w:r w:rsidRPr="0738FE06">
              <w:rPr>
                <w:rFonts w:ascii="Times New Roman" w:eastAsia="Times New Roman" w:hAnsi="Times New Roman" w:cs="Times New Roman"/>
                <w:noProof/>
                <w:color w:val="006100"/>
                <w:sz w:val="20"/>
                <w:szCs w:val="20"/>
                <w:lang w:eastAsia="en-GB"/>
              </w:rPr>
              <w:t>M1C1-49</w:t>
            </w:r>
          </w:p>
        </w:tc>
        <w:tc>
          <w:tcPr>
            <w:tcW w:w="3543" w:type="dxa"/>
            <w:shd w:val="clear" w:color="auto" w:fill="C6EFCE"/>
            <w:tcMar>
              <w:left w:w="108" w:type="dxa"/>
              <w:right w:w="108" w:type="dxa"/>
            </w:tcMar>
            <w:vAlign w:val="center"/>
          </w:tcPr>
          <w:p w14:paraId="3609010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administrative courts</w:t>
            </w:r>
          </w:p>
        </w:tc>
        <w:tc>
          <w:tcPr>
            <w:tcW w:w="1247" w:type="dxa"/>
            <w:shd w:val="clear" w:color="auto" w:fill="C6EFCE"/>
            <w:tcMar>
              <w:left w:w="108" w:type="dxa"/>
              <w:right w:w="108" w:type="dxa"/>
            </w:tcMar>
            <w:vAlign w:val="center"/>
          </w:tcPr>
          <w:p w14:paraId="1279B460" w14:textId="77777777" w:rsidR="0039681A" w:rsidRDefault="0039681A">
            <w:pPr>
              <w:spacing w:after="0" w:line="240" w:lineRule="auto"/>
              <w:jc w:val="center"/>
              <w:rPr>
                <w:rFonts w:ascii="Times New Roman" w:eastAsia="Times New Roman" w:hAnsi="Times New Roman" w:cs="Times New Roman"/>
                <w:noProof/>
                <w:lang w:eastAsia="en-GB"/>
              </w:rPr>
            </w:pPr>
            <w:r w:rsidRPr="0738FE06">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6209954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Administrative Regional Courts (first instance)</w:t>
            </w:r>
          </w:p>
        </w:tc>
      </w:tr>
      <w:tr w:rsidR="0039681A" w:rsidRPr="0070054C" w14:paraId="434AFC60" w14:textId="77777777">
        <w:trPr>
          <w:trHeight w:val="300"/>
        </w:trPr>
        <w:tc>
          <w:tcPr>
            <w:tcW w:w="1435" w:type="dxa"/>
            <w:shd w:val="clear" w:color="auto" w:fill="C6EFCE"/>
            <w:tcMar>
              <w:left w:w="108" w:type="dxa"/>
              <w:right w:w="108" w:type="dxa"/>
            </w:tcMar>
            <w:vAlign w:val="center"/>
          </w:tcPr>
          <w:p w14:paraId="7E7E8E48" w14:textId="77777777" w:rsidR="0039681A" w:rsidRDefault="0039681A">
            <w:pPr>
              <w:spacing w:after="0" w:line="240" w:lineRule="auto"/>
              <w:jc w:val="center"/>
              <w:rPr>
                <w:rFonts w:ascii="Times New Roman" w:eastAsia="Times New Roman" w:hAnsi="Times New Roman" w:cs="Times New Roman"/>
                <w:noProof/>
                <w:lang w:eastAsia="en-GB"/>
              </w:rPr>
            </w:pPr>
            <w:r w:rsidRPr="0738FE06">
              <w:rPr>
                <w:rFonts w:ascii="Times New Roman" w:eastAsia="Times New Roman" w:hAnsi="Times New Roman" w:cs="Times New Roman"/>
                <w:noProof/>
                <w:color w:val="006100"/>
                <w:sz w:val="20"/>
                <w:szCs w:val="20"/>
                <w:lang w:eastAsia="en-GB"/>
              </w:rPr>
              <w:t>M1C1-50</w:t>
            </w:r>
          </w:p>
        </w:tc>
        <w:tc>
          <w:tcPr>
            <w:tcW w:w="3543" w:type="dxa"/>
            <w:shd w:val="clear" w:color="auto" w:fill="C6EFCE"/>
            <w:tcMar>
              <w:left w:w="108" w:type="dxa"/>
              <w:right w:w="108" w:type="dxa"/>
            </w:tcMar>
            <w:vAlign w:val="center"/>
          </w:tcPr>
          <w:p w14:paraId="5825682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Recruitment procedures for administrative courts</w:t>
            </w:r>
          </w:p>
        </w:tc>
        <w:tc>
          <w:tcPr>
            <w:tcW w:w="1247" w:type="dxa"/>
            <w:shd w:val="clear" w:color="auto" w:fill="C6EFCE"/>
            <w:tcMar>
              <w:left w:w="108" w:type="dxa"/>
              <w:right w:w="108" w:type="dxa"/>
            </w:tcMar>
            <w:vAlign w:val="center"/>
          </w:tcPr>
          <w:p w14:paraId="2E196DB8" w14:textId="77777777" w:rsidR="0039681A" w:rsidRDefault="0039681A">
            <w:pPr>
              <w:spacing w:after="0" w:line="240" w:lineRule="auto"/>
              <w:jc w:val="center"/>
              <w:rPr>
                <w:rFonts w:ascii="Times New Roman" w:eastAsia="Times New Roman" w:hAnsi="Times New Roman" w:cs="Times New Roman"/>
                <w:noProof/>
                <w:lang w:eastAsia="en-GB"/>
              </w:rPr>
            </w:pPr>
            <w:r w:rsidRPr="0738FE06">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2093059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the Council of State</w:t>
            </w:r>
          </w:p>
        </w:tc>
      </w:tr>
      <w:tr w:rsidR="0039681A" w:rsidRPr="0070054C" w14:paraId="3BA3062E" w14:textId="77777777">
        <w:trPr>
          <w:trHeight w:val="300"/>
        </w:trPr>
        <w:tc>
          <w:tcPr>
            <w:tcW w:w="1435" w:type="dxa"/>
            <w:shd w:val="clear" w:color="auto" w:fill="C6EFCE"/>
            <w:tcMar>
              <w:left w:w="108" w:type="dxa"/>
              <w:right w:w="108" w:type="dxa"/>
            </w:tcMar>
            <w:vAlign w:val="center"/>
          </w:tcPr>
          <w:p w14:paraId="2EC0CC63" w14:textId="77777777" w:rsidR="0039681A" w:rsidRDefault="0039681A">
            <w:pPr>
              <w:spacing w:after="0" w:line="240" w:lineRule="auto"/>
              <w:jc w:val="center"/>
              <w:rPr>
                <w:rFonts w:ascii="Times New Roman" w:eastAsia="Times New Roman" w:hAnsi="Times New Roman" w:cs="Times New Roman"/>
                <w:noProof/>
                <w:color w:val="006100"/>
                <w:sz w:val="20"/>
                <w:szCs w:val="20"/>
                <w:lang w:eastAsia="en-GB"/>
              </w:rPr>
            </w:pPr>
            <w:r w:rsidRPr="6416AD64">
              <w:rPr>
                <w:rFonts w:ascii="Times New Roman" w:eastAsia="Times New Roman" w:hAnsi="Times New Roman" w:cs="Times New Roman"/>
                <w:noProof/>
                <w:color w:val="006100"/>
                <w:sz w:val="20"/>
                <w:szCs w:val="20"/>
                <w:lang w:eastAsia="en-GB"/>
              </w:rPr>
              <w:t>M1C1-96</w:t>
            </w:r>
          </w:p>
        </w:tc>
        <w:tc>
          <w:tcPr>
            <w:tcW w:w="3543" w:type="dxa"/>
            <w:shd w:val="clear" w:color="auto" w:fill="C6EFCE"/>
            <w:tcMar>
              <w:left w:w="108" w:type="dxa"/>
              <w:right w:w="108" w:type="dxa"/>
            </w:tcMar>
            <w:vAlign w:val="center"/>
          </w:tcPr>
          <w:p w14:paraId="356DBFD1"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1.10: Reform of the public procurement legislative framework</w:t>
            </w:r>
          </w:p>
        </w:tc>
        <w:tc>
          <w:tcPr>
            <w:tcW w:w="1247" w:type="dxa"/>
            <w:shd w:val="clear" w:color="auto" w:fill="C6EFCE"/>
            <w:tcMar>
              <w:left w:w="108" w:type="dxa"/>
              <w:right w:w="108" w:type="dxa"/>
            </w:tcMar>
            <w:vAlign w:val="center"/>
          </w:tcPr>
          <w:p w14:paraId="4E648433" w14:textId="77777777" w:rsidR="0039681A" w:rsidRDefault="0039681A">
            <w:pPr>
              <w:spacing w:after="0" w:line="240" w:lineRule="auto"/>
              <w:jc w:val="center"/>
              <w:rPr>
                <w:rFonts w:ascii="Times New Roman" w:eastAsia="Times New Roman" w:hAnsi="Times New Roman" w:cs="Times New Roman"/>
                <w:noProof/>
                <w:color w:val="006100"/>
                <w:sz w:val="20"/>
                <w:szCs w:val="20"/>
                <w:lang w:eastAsia="en-GB"/>
              </w:rPr>
            </w:pPr>
            <w:r w:rsidRPr="6416AD64">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0130791D"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Average time between the submission of tenders and the contract award</w:t>
            </w:r>
          </w:p>
        </w:tc>
      </w:tr>
      <w:tr w:rsidR="0039681A" w:rsidRPr="0070054C" w14:paraId="257E7A3E" w14:textId="77777777">
        <w:trPr>
          <w:trHeight w:val="300"/>
        </w:trPr>
        <w:tc>
          <w:tcPr>
            <w:tcW w:w="1435" w:type="dxa"/>
            <w:shd w:val="clear" w:color="auto" w:fill="C6EFCE"/>
            <w:tcMar>
              <w:left w:w="108" w:type="dxa"/>
              <w:right w:w="108" w:type="dxa"/>
            </w:tcMar>
            <w:vAlign w:val="center"/>
          </w:tcPr>
          <w:p w14:paraId="7830F8D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M1C1-116</w:t>
            </w:r>
          </w:p>
        </w:tc>
        <w:tc>
          <w:tcPr>
            <w:tcW w:w="3543" w:type="dxa"/>
            <w:shd w:val="clear" w:color="auto" w:fill="C6EFCE"/>
            <w:tcMar>
              <w:left w:w="108" w:type="dxa"/>
              <w:right w:w="108" w:type="dxa"/>
            </w:tcMar>
            <w:vAlign w:val="center"/>
          </w:tcPr>
          <w:p w14:paraId="09C7252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247" w:type="dxa"/>
            <w:shd w:val="clear" w:color="auto" w:fill="C6EFCE"/>
            <w:tcMar>
              <w:left w:w="108" w:type="dxa"/>
              <w:right w:w="108" w:type="dxa"/>
            </w:tcMar>
            <w:vAlign w:val="center"/>
          </w:tcPr>
          <w:p w14:paraId="37E902F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01228CC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tax evasion as defined by the indicator "propensity to evade"</w:t>
            </w:r>
          </w:p>
        </w:tc>
      </w:tr>
      <w:tr w:rsidR="0039681A" w:rsidRPr="0070054C" w14:paraId="7311D5CE" w14:textId="77777777">
        <w:trPr>
          <w:trHeight w:val="300"/>
        </w:trPr>
        <w:tc>
          <w:tcPr>
            <w:tcW w:w="1435" w:type="dxa"/>
            <w:shd w:val="clear" w:color="auto" w:fill="C6EFCE"/>
            <w:tcMar>
              <w:left w:w="108" w:type="dxa"/>
              <w:right w:w="108" w:type="dxa"/>
            </w:tcMar>
            <w:vAlign w:val="center"/>
          </w:tcPr>
          <w:p w14:paraId="002463D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M1C2-5</w:t>
            </w:r>
          </w:p>
        </w:tc>
        <w:tc>
          <w:tcPr>
            <w:tcW w:w="3543" w:type="dxa"/>
            <w:shd w:val="clear" w:color="auto" w:fill="C6EFCE"/>
            <w:tcMar>
              <w:left w:w="108" w:type="dxa"/>
              <w:right w:w="108" w:type="dxa"/>
            </w:tcMar>
            <w:vAlign w:val="center"/>
          </w:tcPr>
          <w:p w14:paraId="0F17AAE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6: Investment in the Industrial Property System</w:t>
            </w:r>
          </w:p>
        </w:tc>
        <w:tc>
          <w:tcPr>
            <w:tcW w:w="1247" w:type="dxa"/>
            <w:shd w:val="clear" w:color="auto" w:fill="C6EFCE"/>
            <w:tcMar>
              <w:left w:w="108" w:type="dxa"/>
              <w:right w:w="108" w:type="dxa"/>
            </w:tcMar>
            <w:vAlign w:val="center"/>
          </w:tcPr>
          <w:p w14:paraId="1A04360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2E9A5DE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Provision of final activities report for at least 254 projects related to Industrial Property and research</w:t>
            </w:r>
          </w:p>
        </w:tc>
      </w:tr>
      <w:tr w:rsidR="0039681A" w:rsidRPr="0070054C" w14:paraId="6F4F30CE" w14:textId="77777777">
        <w:trPr>
          <w:trHeight w:val="300"/>
        </w:trPr>
        <w:tc>
          <w:tcPr>
            <w:tcW w:w="1435" w:type="dxa"/>
            <w:shd w:val="clear" w:color="auto" w:fill="C6EFCE"/>
            <w:tcMar>
              <w:left w:w="108" w:type="dxa"/>
              <w:right w:w="108" w:type="dxa"/>
            </w:tcMar>
            <w:vAlign w:val="center"/>
          </w:tcPr>
          <w:p w14:paraId="0E443AD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M1C2-13</w:t>
            </w:r>
          </w:p>
        </w:tc>
        <w:tc>
          <w:tcPr>
            <w:tcW w:w="3543" w:type="dxa"/>
            <w:shd w:val="clear" w:color="auto" w:fill="C6EFCE"/>
            <w:tcMar>
              <w:left w:w="108" w:type="dxa"/>
              <w:right w:w="108" w:type="dxa"/>
            </w:tcMar>
            <w:vAlign w:val="center"/>
          </w:tcPr>
          <w:p w14:paraId="6A933A60"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47" w:type="dxa"/>
            <w:shd w:val="clear" w:color="auto" w:fill="C6EFCE"/>
            <w:tcMar>
              <w:left w:w="108" w:type="dxa"/>
              <w:right w:w="108" w:type="dxa"/>
            </w:tcMar>
            <w:vAlign w:val="center"/>
          </w:tcPr>
          <w:p w14:paraId="2D336C0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28C38196"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Entry into force of the Annual Competition Law 2025</w:t>
            </w:r>
          </w:p>
        </w:tc>
      </w:tr>
      <w:tr w:rsidR="0039681A" w:rsidRPr="0070054C" w14:paraId="372D88A1" w14:textId="77777777">
        <w:trPr>
          <w:trHeight w:val="300"/>
        </w:trPr>
        <w:tc>
          <w:tcPr>
            <w:tcW w:w="1435" w:type="dxa"/>
            <w:shd w:val="clear" w:color="auto" w:fill="C6EFCE"/>
            <w:tcMar>
              <w:left w:w="108" w:type="dxa"/>
              <w:right w:w="108" w:type="dxa"/>
            </w:tcMar>
            <w:vAlign w:val="center"/>
          </w:tcPr>
          <w:p w14:paraId="4C103C7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M1C2-14</w:t>
            </w:r>
          </w:p>
        </w:tc>
        <w:tc>
          <w:tcPr>
            <w:tcW w:w="3543" w:type="dxa"/>
            <w:shd w:val="clear" w:color="auto" w:fill="C6EFCE"/>
            <w:tcMar>
              <w:left w:w="108" w:type="dxa"/>
              <w:right w:w="108" w:type="dxa"/>
            </w:tcMar>
            <w:vAlign w:val="center"/>
          </w:tcPr>
          <w:p w14:paraId="25EC2474"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247" w:type="dxa"/>
            <w:shd w:val="clear" w:color="auto" w:fill="C6EFCE"/>
            <w:tcMar>
              <w:left w:w="108" w:type="dxa"/>
              <w:right w:w="108" w:type="dxa"/>
            </w:tcMar>
            <w:vAlign w:val="center"/>
          </w:tcPr>
          <w:p w14:paraId="6F3F48B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69D54E6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Millions of 2G smart meters installed</w:t>
            </w:r>
          </w:p>
        </w:tc>
      </w:tr>
      <w:tr w:rsidR="0039681A" w:rsidRPr="0070054C" w14:paraId="0BC5EF5D" w14:textId="77777777">
        <w:trPr>
          <w:trHeight w:val="300"/>
        </w:trPr>
        <w:tc>
          <w:tcPr>
            <w:tcW w:w="1435" w:type="dxa"/>
            <w:shd w:val="clear" w:color="auto" w:fill="C6EFCE"/>
            <w:tcMar>
              <w:left w:w="108" w:type="dxa"/>
              <w:right w:w="108" w:type="dxa"/>
            </w:tcMar>
            <w:vAlign w:val="center"/>
          </w:tcPr>
          <w:p w14:paraId="68DF5FB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w:t>
            </w:r>
          </w:p>
        </w:tc>
        <w:tc>
          <w:tcPr>
            <w:tcW w:w="3543" w:type="dxa"/>
            <w:shd w:val="clear" w:color="auto" w:fill="C6EFCE"/>
            <w:tcMar>
              <w:left w:w="108" w:type="dxa"/>
              <w:right w:w="108" w:type="dxa"/>
            </w:tcMar>
            <w:vAlign w:val="center"/>
          </w:tcPr>
          <w:p w14:paraId="5C6766B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- 1.1 Digital Strategy and Platforms for Cultural Heritage</w:t>
            </w:r>
          </w:p>
        </w:tc>
        <w:tc>
          <w:tcPr>
            <w:tcW w:w="1247" w:type="dxa"/>
            <w:shd w:val="clear" w:color="auto" w:fill="C6EFCE"/>
            <w:tcMar>
              <w:left w:w="108" w:type="dxa"/>
              <w:right w:w="108" w:type="dxa"/>
            </w:tcMar>
            <w:vAlign w:val="center"/>
          </w:tcPr>
          <w:p w14:paraId="05DC4AA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6F28D02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Published digital and media resources</w:t>
            </w:r>
          </w:p>
        </w:tc>
      </w:tr>
      <w:tr w:rsidR="0039681A" w:rsidRPr="0070054C" w14:paraId="4B22430D" w14:textId="77777777">
        <w:trPr>
          <w:trHeight w:val="300"/>
        </w:trPr>
        <w:tc>
          <w:tcPr>
            <w:tcW w:w="1435" w:type="dxa"/>
            <w:shd w:val="clear" w:color="auto" w:fill="C6EFCE"/>
            <w:tcMar>
              <w:left w:w="108" w:type="dxa"/>
              <w:right w:w="108" w:type="dxa"/>
            </w:tcMar>
            <w:vAlign w:val="center"/>
          </w:tcPr>
          <w:p w14:paraId="437C870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M1C3-5</w:t>
            </w:r>
          </w:p>
        </w:tc>
        <w:tc>
          <w:tcPr>
            <w:tcW w:w="3543" w:type="dxa"/>
            <w:shd w:val="clear" w:color="auto" w:fill="C6EFCE"/>
            <w:tcMar>
              <w:left w:w="108" w:type="dxa"/>
              <w:right w:w="108" w:type="dxa"/>
            </w:tcMar>
            <w:vAlign w:val="center"/>
          </w:tcPr>
          <w:p w14:paraId="1B559D0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1.3 Improve energy efficiency in cinema, theatres and museums</w:t>
            </w:r>
          </w:p>
        </w:tc>
        <w:tc>
          <w:tcPr>
            <w:tcW w:w="1247" w:type="dxa"/>
            <w:shd w:val="clear" w:color="auto" w:fill="C6EFCE"/>
            <w:tcMar>
              <w:left w:w="108" w:type="dxa"/>
              <w:right w:w="108" w:type="dxa"/>
            </w:tcMar>
            <w:vAlign w:val="center"/>
          </w:tcPr>
          <w:p w14:paraId="3E7685F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63FF105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on State museums and cultural sites, theatrical halls and cinemas are concluded (second batch)</w:t>
            </w:r>
          </w:p>
        </w:tc>
      </w:tr>
      <w:tr w:rsidR="0039681A" w:rsidRPr="00647572" w14:paraId="08D62FC7" w14:textId="77777777">
        <w:trPr>
          <w:trHeight w:val="300"/>
        </w:trPr>
        <w:tc>
          <w:tcPr>
            <w:tcW w:w="1435" w:type="dxa"/>
            <w:shd w:val="clear" w:color="auto" w:fill="C6EFCE"/>
            <w:tcMar>
              <w:left w:w="108" w:type="dxa"/>
              <w:right w:w="108" w:type="dxa"/>
            </w:tcMar>
            <w:vAlign w:val="center"/>
          </w:tcPr>
          <w:p w14:paraId="7C73301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M2C3-3</w:t>
            </w:r>
          </w:p>
        </w:tc>
        <w:tc>
          <w:tcPr>
            <w:tcW w:w="3543" w:type="dxa"/>
            <w:shd w:val="clear" w:color="auto" w:fill="C6EFCE"/>
            <w:tcMar>
              <w:left w:w="108" w:type="dxa"/>
              <w:right w:w="108" w:type="dxa"/>
            </w:tcMar>
            <w:vAlign w:val="center"/>
          </w:tcPr>
          <w:p w14:paraId="6A082762" w14:textId="7209C5BE"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Strengthening</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 xml:space="preserve">of the Ecobonus for energy efficiency </w:t>
            </w:r>
          </w:p>
        </w:tc>
        <w:tc>
          <w:tcPr>
            <w:tcW w:w="1247" w:type="dxa"/>
            <w:shd w:val="clear" w:color="auto" w:fill="C6EFCE"/>
            <w:tcMar>
              <w:left w:w="108" w:type="dxa"/>
              <w:right w:w="108" w:type="dxa"/>
            </w:tcMar>
            <w:vAlign w:val="center"/>
          </w:tcPr>
          <w:p w14:paraId="55DBDCC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6EB09F25"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Building renovation Superbonus T2</w:t>
            </w:r>
          </w:p>
        </w:tc>
      </w:tr>
      <w:tr w:rsidR="0039681A" w:rsidRPr="0070054C" w14:paraId="48B9F98B" w14:textId="77777777">
        <w:trPr>
          <w:trHeight w:val="300"/>
        </w:trPr>
        <w:tc>
          <w:tcPr>
            <w:tcW w:w="1435" w:type="dxa"/>
            <w:shd w:val="clear" w:color="auto" w:fill="C6EFCE"/>
            <w:tcMar>
              <w:left w:w="108" w:type="dxa"/>
              <w:right w:w="108" w:type="dxa"/>
            </w:tcMar>
            <w:vAlign w:val="center"/>
          </w:tcPr>
          <w:p w14:paraId="1BF396F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M4C1-13</w:t>
            </w:r>
          </w:p>
        </w:tc>
        <w:tc>
          <w:tcPr>
            <w:tcW w:w="3543" w:type="dxa"/>
            <w:shd w:val="clear" w:color="auto" w:fill="C6EFCE"/>
            <w:tcMar>
              <w:left w:w="108" w:type="dxa"/>
              <w:right w:w="108" w:type="dxa"/>
            </w:tcMar>
            <w:vAlign w:val="center"/>
          </w:tcPr>
          <w:p w14:paraId="6AF3925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 Integrated digital teaching and training on the digital transformation for school staff ;</w:t>
            </w:r>
          </w:p>
        </w:tc>
        <w:tc>
          <w:tcPr>
            <w:tcW w:w="1247" w:type="dxa"/>
            <w:shd w:val="clear" w:color="auto" w:fill="C6EFCE"/>
            <w:tcMar>
              <w:left w:w="108" w:type="dxa"/>
              <w:right w:w="108" w:type="dxa"/>
            </w:tcMar>
            <w:vAlign w:val="center"/>
          </w:tcPr>
          <w:p w14:paraId="1D42032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08809AA9" w14:textId="3FF8D49D"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Training of school managers, teachers and administrative staff</w:t>
            </w:r>
            <w:r w:rsidR="00381DB1">
              <w:rPr>
                <w:rFonts w:ascii="Times New Roman" w:eastAsia="Times New Roman" w:hAnsi="Times New Roman" w:cs="Times New Roman"/>
                <w:noProof/>
                <w:color w:val="006100"/>
                <w:sz w:val="20"/>
                <w:szCs w:val="20"/>
                <w:lang w:val="en-IE" w:eastAsia="en-GB"/>
              </w:rPr>
              <w:t xml:space="preserve"> </w:t>
            </w:r>
          </w:p>
        </w:tc>
      </w:tr>
      <w:tr w:rsidR="0039681A" w:rsidRPr="0070054C" w14:paraId="1675799D" w14:textId="77777777">
        <w:trPr>
          <w:trHeight w:val="300"/>
        </w:trPr>
        <w:tc>
          <w:tcPr>
            <w:tcW w:w="1435" w:type="dxa"/>
            <w:shd w:val="clear" w:color="auto" w:fill="C6EFCE"/>
            <w:tcMar>
              <w:left w:w="108" w:type="dxa"/>
              <w:right w:w="108" w:type="dxa"/>
            </w:tcMar>
            <w:vAlign w:val="center"/>
          </w:tcPr>
          <w:p w14:paraId="21A7338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M4C2-2bis</w:t>
            </w:r>
          </w:p>
        </w:tc>
        <w:tc>
          <w:tcPr>
            <w:tcW w:w="3543" w:type="dxa"/>
            <w:shd w:val="clear" w:color="auto" w:fill="C6EFCE"/>
            <w:tcMar>
              <w:left w:w="108" w:type="dxa"/>
              <w:right w:w="108" w:type="dxa"/>
            </w:tcMar>
            <w:vAlign w:val="center"/>
          </w:tcPr>
          <w:p w14:paraId="26704FFB"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2.2 bis: Innovation Agreements</w:t>
            </w:r>
          </w:p>
        </w:tc>
        <w:tc>
          <w:tcPr>
            <w:tcW w:w="1247" w:type="dxa"/>
            <w:shd w:val="clear" w:color="auto" w:fill="C6EFCE"/>
            <w:tcMar>
              <w:left w:w="108" w:type="dxa"/>
              <w:right w:w="108" w:type="dxa"/>
            </w:tcMar>
            <w:vAlign w:val="center"/>
          </w:tcPr>
          <w:p w14:paraId="3DB921C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0251C815" w14:textId="77777777" w:rsidR="0039681A" w:rsidRPr="00E74433"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Innovation Agreements </w:t>
            </w:r>
            <w:r w:rsidRPr="00E74433">
              <w:rPr>
                <w:rFonts w:ascii="Times New Roman" w:eastAsia="Times New Roman" w:hAnsi="Times New Roman" w:cs="Times New Roman"/>
                <w:noProof/>
                <w:color w:val="006100"/>
                <w:sz w:val="20"/>
                <w:szCs w:val="20"/>
                <w:lang w:val="en-IE" w:eastAsia="en-GB"/>
              </w:rPr>
              <w:t>for which the Ministry of Enterprises and Made in Italy has confirmed acceptance of the transmission of final reports by beneficiaries</w:t>
            </w:r>
          </w:p>
        </w:tc>
      </w:tr>
      <w:tr w:rsidR="0039681A" w:rsidRPr="0070054C" w14:paraId="3AE33A8D" w14:textId="77777777">
        <w:trPr>
          <w:trHeight w:val="300"/>
        </w:trPr>
        <w:tc>
          <w:tcPr>
            <w:tcW w:w="1435" w:type="dxa"/>
            <w:shd w:val="clear" w:color="auto" w:fill="C6EFCE"/>
            <w:tcMar>
              <w:left w:w="108" w:type="dxa"/>
              <w:right w:w="108" w:type="dxa"/>
            </w:tcMar>
            <w:vAlign w:val="center"/>
          </w:tcPr>
          <w:p w14:paraId="33C7476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M5C1-3 </w:t>
            </w:r>
          </w:p>
        </w:tc>
        <w:tc>
          <w:tcPr>
            <w:tcW w:w="3543" w:type="dxa"/>
            <w:shd w:val="clear" w:color="auto" w:fill="C6EFCE"/>
            <w:tcMar>
              <w:left w:w="108" w:type="dxa"/>
              <w:right w:w="108" w:type="dxa"/>
            </w:tcMar>
            <w:vAlign w:val="center"/>
          </w:tcPr>
          <w:p w14:paraId="7F0B940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1 - ALMPs and Vocational Training</w:t>
            </w:r>
          </w:p>
        </w:tc>
        <w:tc>
          <w:tcPr>
            <w:tcW w:w="1247" w:type="dxa"/>
            <w:shd w:val="clear" w:color="auto" w:fill="C6EFCE"/>
            <w:tcMar>
              <w:left w:w="108" w:type="dxa"/>
              <w:right w:w="108" w:type="dxa"/>
            </w:tcMar>
            <w:vAlign w:val="center"/>
          </w:tcPr>
          <w:p w14:paraId="7A39FD2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1DB16E5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People benefitting from the Guaranteed Employability of Workers (GOL) Programme </w:t>
            </w:r>
          </w:p>
        </w:tc>
      </w:tr>
      <w:tr w:rsidR="0039681A" w:rsidRPr="0070054C" w14:paraId="3C3DB25E" w14:textId="77777777">
        <w:trPr>
          <w:trHeight w:val="300"/>
        </w:trPr>
        <w:tc>
          <w:tcPr>
            <w:tcW w:w="1435" w:type="dxa"/>
            <w:shd w:val="clear" w:color="auto" w:fill="C6EFCE"/>
            <w:tcMar>
              <w:left w:w="108" w:type="dxa"/>
              <w:right w:w="108" w:type="dxa"/>
            </w:tcMar>
            <w:vAlign w:val="center"/>
          </w:tcPr>
          <w:p w14:paraId="3A4A147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M5C1-4 </w:t>
            </w:r>
          </w:p>
        </w:tc>
        <w:tc>
          <w:tcPr>
            <w:tcW w:w="3543" w:type="dxa"/>
            <w:shd w:val="clear" w:color="auto" w:fill="C6EFCE"/>
            <w:tcMar>
              <w:left w:w="108" w:type="dxa"/>
              <w:right w:w="108" w:type="dxa"/>
            </w:tcMar>
            <w:vAlign w:val="center"/>
          </w:tcPr>
          <w:p w14:paraId="470083A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1 - ALMPs and Vocational Training </w:t>
            </w:r>
          </w:p>
        </w:tc>
        <w:tc>
          <w:tcPr>
            <w:tcW w:w="1247" w:type="dxa"/>
            <w:shd w:val="clear" w:color="auto" w:fill="C6EFCE"/>
            <w:tcMar>
              <w:left w:w="108" w:type="dxa"/>
              <w:right w:w="108" w:type="dxa"/>
            </w:tcMar>
            <w:vAlign w:val="center"/>
          </w:tcPr>
          <w:p w14:paraId="79C8919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1E8700F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People participated in training programmes</w:t>
            </w:r>
          </w:p>
        </w:tc>
      </w:tr>
      <w:tr w:rsidR="0039681A" w:rsidRPr="0070054C" w14:paraId="2E1E8B76" w14:textId="77777777">
        <w:trPr>
          <w:trHeight w:val="300"/>
        </w:trPr>
        <w:tc>
          <w:tcPr>
            <w:tcW w:w="1435" w:type="dxa"/>
            <w:shd w:val="clear" w:color="auto" w:fill="C6EFCE"/>
            <w:tcMar>
              <w:left w:w="108" w:type="dxa"/>
              <w:right w:w="108" w:type="dxa"/>
            </w:tcMar>
            <w:vAlign w:val="center"/>
          </w:tcPr>
          <w:p w14:paraId="25F08C6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M5C1-7</w:t>
            </w:r>
          </w:p>
        </w:tc>
        <w:tc>
          <w:tcPr>
            <w:tcW w:w="3543" w:type="dxa"/>
            <w:shd w:val="clear" w:color="auto" w:fill="C6EFCE"/>
            <w:tcMar>
              <w:left w:w="108" w:type="dxa"/>
              <w:right w:w="108" w:type="dxa"/>
            </w:tcMar>
            <w:vAlign w:val="center"/>
          </w:tcPr>
          <w:p w14:paraId="184807F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1 - Strengthening Public Employment Services (PES) </w:t>
            </w:r>
          </w:p>
        </w:tc>
        <w:tc>
          <w:tcPr>
            <w:tcW w:w="1247" w:type="dxa"/>
            <w:shd w:val="clear" w:color="auto" w:fill="C6EFCE"/>
            <w:tcMar>
              <w:left w:w="108" w:type="dxa"/>
              <w:right w:w="108" w:type="dxa"/>
            </w:tcMar>
            <w:vAlign w:val="center"/>
          </w:tcPr>
          <w:p w14:paraId="1E675F5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7EC030D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 Employment Services (PES) have finalised the activities envisaged in the Strengthening Plan</w:t>
            </w:r>
          </w:p>
        </w:tc>
      </w:tr>
      <w:tr w:rsidR="0039681A" w:rsidRPr="0070054C" w14:paraId="3383B9C5" w14:textId="77777777">
        <w:trPr>
          <w:trHeight w:val="300"/>
        </w:trPr>
        <w:tc>
          <w:tcPr>
            <w:tcW w:w="1435" w:type="dxa"/>
            <w:shd w:val="clear" w:color="auto" w:fill="C6EFCE"/>
            <w:tcMar>
              <w:left w:w="108" w:type="dxa"/>
              <w:right w:w="108" w:type="dxa"/>
            </w:tcMar>
            <w:vAlign w:val="center"/>
          </w:tcPr>
          <w:p w14:paraId="64D9024F"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 xml:space="preserve">M5C1-10 </w:t>
            </w:r>
          </w:p>
        </w:tc>
        <w:tc>
          <w:tcPr>
            <w:tcW w:w="3543" w:type="dxa"/>
            <w:shd w:val="clear" w:color="auto" w:fill="C6EFCE"/>
            <w:tcMar>
              <w:left w:w="108" w:type="dxa"/>
              <w:right w:w="108" w:type="dxa"/>
            </w:tcMar>
            <w:vAlign w:val="center"/>
          </w:tcPr>
          <w:p w14:paraId="743A85BC" w14:textId="6A145B79"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2 -</w:t>
            </w:r>
            <w:r w:rsidR="00381DB1">
              <w:rPr>
                <w:rFonts w:ascii="Times New Roman" w:eastAsia="Times New Roman" w:hAnsi="Times New Roman" w:cs="Times New Roman"/>
                <w:noProof/>
                <w:color w:val="006100"/>
                <w:sz w:val="20"/>
                <w:szCs w:val="20"/>
                <w:lang w:val="en-IE" w:eastAsia="en-GB"/>
              </w:rPr>
              <w:t xml:space="preserve"> </w:t>
            </w:r>
            <w:r w:rsidRPr="00E74433">
              <w:rPr>
                <w:rFonts w:ascii="Times New Roman" w:eastAsia="Times New Roman" w:hAnsi="Times New Roman" w:cs="Times New Roman"/>
                <w:noProof/>
                <w:color w:val="006100"/>
                <w:sz w:val="20"/>
                <w:szCs w:val="20"/>
                <w:lang w:val="en-IE" w:eastAsia="en-GB"/>
              </w:rPr>
              <w:t>National Plan tackling undeclared work</w:t>
            </w:r>
            <w:r w:rsidRPr="00A36E36">
              <w:rPr>
                <w:rFonts w:ascii="Times New Roman" w:eastAsia="Times New Roman" w:hAnsi="Times New Roman" w:cs="Times New Roman"/>
                <w:noProof/>
                <w:color w:val="006100"/>
                <w:sz w:val="20"/>
                <w:szCs w:val="20"/>
                <w:lang w:val="en-IE" w:eastAsia="en-GB"/>
              </w:rPr>
              <w:t xml:space="preserve"> </w:t>
            </w:r>
          </w:p>
        </w:tc>
        <w:tc>
          <w:tcPr>
            <w:tcW w:w="1247" w:type="dxa"/>
            <w:shd w:val="clear" w:color="auto" w:fill="C6EFCE"/>
            <w:tcMar>
              <w:left w:w="108" w:type="dxa"/>
              <w:right w:w="108" w:type="dxa"/>
            </w:tcMar>
            <w:vAlign w:val="center"/>
          </w:tcPr>
          <w:p w14:paraId="042972DD"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5283B9C"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Increased number of labour inspections and membership of the network ‘rete del lavoro agricolo di qualità’</w:t>
            </w:r>
          </w:p>
        </w:tc>
      </w:tr>
      <w:tr w:rsidR="0039681A" w:rsidRPr="0070054C" w14:paraId="1777ADDA" w14:textId="77777777">
        <w:trPr>
          <w:trHeight w:val="300"/>
        </w:trPr>
        <w:tc>
          <w:tcPr>
            <w:tcW w:w="1435" w:type="dxa"/>
            <w:shd w:val="clear" w:color="auto" w:fill="C6EFCE"/>
            <w:tcMar>
              <w:left w:w="108" w:type="dxa"/>
              <w:right w:w="108" w:type="dxa"/>
            </w:tcMar>
            <w:vAlign w:val="center"/>
          </w:tcPr>
          <w:p w14:paraId="5F7A9C32"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M5C3-9</w:t>
            </w:r>
          </w:p>
        </w:tc>
        <w:tc>
          <w:tcPr>
            <w:tcW w:w="3543" w:type="dxa"/>
            <w:shd w:val="clear" w:color="auto" w:fill="C6EFCE"/>
            <w:tcMar>
              <w:left w:w="108" w:type="dxa"/>
              <w:right w:w="108" w:type="dxa"/>
            </w:tcMar>
            <w:vAlign w:val="center"/>
          </w:tcPr>
          <w:p w14:paraId="7DC71E00"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Investment1.3: Structured socio-educational interventions to combat educational poverty in the South supporting the Third Sector</w:t>
            </w:r>
          </w:p>
        </w:tc>
        <w:tc>
          <w:tcPr>
            <w:tcW w:w="1247" w:type="dxa"/>
            <w:shd w:val="clear" w:color="auto" w:fill="C6EFCE"/>
            <w:tcMar>
              <w:left w:w="108" w:type="dxa"/>
              <w:right w:w="108" w:type="dxa"/>
            </w:tcMar>
            <w:vAlign w:val="center"/>
          </w:tcPr>
          <w:p w14:paraId="5AD6DF28"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003BF6CC"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Educational support to minors (second batch)</w:t>
            </w:r>
          </w:p>
        </w:tc>
      </w:tr>
      <w:tr w:rsidR="0039681A" w:rsidRPr="0070054C" w14:paraId="6BE90A68" w14:textId="77777777">
        <w:trPr>
          <w:trHeight w:val="300"/>
        </w:trPr>
        <w:tc>
          <w:tcPr>
            <w:tcW w:w="1435" w:type="dxa"/>
            <w:shd w:val="clear" w:color="auto" w:fill="C6EFCE"/>
            <w:tcMar>
              <w:left w:w="108" w:type="dxa"/>
              <w:right w:w="108" w:type="dxa"/>
            </w:tcMar>
            <w:vAlign w:val="center"/>
          </w:tcPr>
          <w:p w14:paraId="6555517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M7-5</w:t>
            </w:r>
          </w:p>
        </w:tc>
        <w:tc>
          <w:tcPr>
            <w:tcW w:w="3543" w:type="dxa"/>
            <w:shd w:val="clear" w:color="auto" w:fill="C6EFCE"/>
            <w:tcMar>
              <w:left w:w="108" w:type="dxa"/>
              <w:right w:w="108" w:type="dxa"/>
            </w:tcMar>
            <w:vAlign w:val="center"/>
          </w:tcPr>
          <w:p w14:paraId="1522750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 Reduction of Environmental Harmful Subsidies</w:t>
            </w:r>
          </w:p>
        </w:tc>
        <w:tc>
          <w:tcPr>
            <w:tcW w:w="1247" w:type="dxa"/>
            <w:shd w:val="clear" w:color="auto" w:fill="C6EFCE"/>
            <w:tcMar>
              <w:left w:w="108" w:type="dxa"/>
              <w:right w:w="108" w:type="dxa"/>
            </w:tcMar>
            <w:vAlign w:val="center"/>
          </w:tcPr>
          <w:p w14:paraId="65F0B88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5EE4003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w:t>
            </w:r>
            <w:r>
              <w:rPr>
                <w:rFonts w:ascii="Times New Roman" w:eastAsia="Times New Roman" w:hAnsi="Times New Roman" w:cs="Times New Roman"/>
                <w:noProof/>
                <w:color w:val="006100"/>
                <w:sz w:val="20"/>
                <w:szCs w:val="20"/>
                <w:lang w:val="en-IE" w:eastAsia="en-GB"/>
              </w:rPr>
              <w:t>legal act(s)</w:t>
            </w:r>
          </w:p>
        </w:tc>
      </w:tr>
      <w:tr w:rsidR="0039681A" w:rsidRPr="00647572" w14:paraId="5832821C" w14:textId="77777777">
        <w:trPr>
          <w:trHeight w:val="300"/>
        </w:trPr>
        <w:tc>
          <w:tcPr>
            <w:tcW w:w="1435" w:type="dxa"/>
            <w:shd w:val="clear" w:color="auto" w:fill="C6EFCE"/>
            <w:tcMar>
              <w:left w:w="108" w:type="dxa"/>
              <w:right w:w="108" w:type="dxa"/>
            </w:tcMar>
            <w:vAlign w:val="center"/>
          </w:tcPr>
          <w:p w14:paraId="66411C1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M7-26</w:t>
            </w:r>
          </w:p>
        </w:tc>
        <w:tc>
          <w:tcPr>
            <w:tcW w:w="3543" w:type="dxa"/>
            <w:shd w:val="clear" w:color="auto" w:fill="C6EFCE"/>
            <w:tcMar>
              <w:left w:w="108" w:type="dxa"/>
              <w:right w:w="108" w:type="dxa"/>
            </w:tcMar>
            <w:vAlign w:val="center"/>
          </w:tcPr>
          <w:p w14:paraId="6AE0406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8: Sustainable, circular and secure supply of Critical Raw Materials</w:t>
            </w:r>
          </w:p>
        </w:tc>
        <w:tc>
          <w:tcPr>
            <w:tcW w:w="1247" w:type="dxa"/>
            <w:shd w:val="clear" w:color="auto" w:fill="C6EFCE"/>
            <w:tcMar>
              <w:left w:w="108" w:type="dxa"/>
              <w:right w:w="108" w:type="dxa"/>
            </w:tcMar>
            <w:vAlign w:val="center"/>
          </w:tcPr>
          <w:p w14:paraId="38138E47" w14:textId="77777777" w:rsidR="0039681A" w:rsidRPr="00647572" w:rsidRDefault="0039681A">
            <w:pPr>
              <w:spacing w:after="0" w:line="240" w:lineRule="auto"/>
              <w:jc w:val="center"/>
              <w:rPr>
                <w:rFonts w:ascii="Times New Roman" w:eastAsia="Times New Roman" w:hAnsi="Times New Roman" w:cs="Times New Roman"/>
                <w:noProof/>
                <w:lang w:eastAsia="en-GB"/>
              </w:rPr>
            </w:pPr>
            <w:r>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61461222" w14:textId="77777777" w:rsidR="0039681A" w:rsidRPr="00647572" w:rsidRDefault="0039681A">
            <w:pPr>
              <w:spacing w:after="0" w:line="240" w:lineRule="auto"/>
              <w:rPr>
                <w:rFonts w:ascii="Times New Roman" w:eastAsia="Times New Roman" w:hAnsi="Times New Roman" w:cs="Times New Roman"/>
                <w:noProof/>
                <w:lang w:eastAsia="en-GB"/>
              </w:rPr>
            </w:pPr>
            <w:r w:rsidRPr="42471066">
              <w:rPr>
                <w:rFonts w:ascii="Times New Roman" w:eastAsia="Times New Roman" w:hAnsi="Times New Roman" w:cs="Times New Roman"/>
                <w:noProof/>
                <w:color w:val="006100"/>
                <w:sz w:val="20"/>
                <w:szCs w:val="20"/>
                <w:lang w:eastAsia="en-GB"/>
              </w:rPr>
              <w:t xml:space="preserve">Geographical Information system platform available online </w:t>
            </w:r>
          </w:p>
        </w:tc>
      </w:tr>
      <w:tr w:rsidR="0039681A" w:rsidRPr="0070054C" w14:paraId="49299B7A" w14:textId="77777777">
        <w:trPr>
          <w:trHeight w:val="300"/>
        </w:trPr>
        <w:tc>
          <w:tcPr>
            <w:tcW w:w="1435" w:type="dxa"/>
            <w:shd w:val="clear" w:color="auto" w:fill="C6EFCE"/>
            <w:tcMar>
              <w:left w:w="108" w:type="dxa"/>
              <w:right w:w="108" w:type="dxa"/>
            </w:tcMar>
            <w:vAlign w:val="center"/>
          </w:tcPr>
          <w:p w14:paraId="24B64B4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M1C1-38bis</w:t>
            </w:r>
          </w:p>
        </w:tc>
        <w:tc>
          <w:tcPr>
            <w:tcW w:w="3543" w:type="dxa"/>
            <w:shd w:val="clear" w:color="auto" w:fill="C6EFCE"/>
            <w:tcMar>
              <w:left w:w="108" w:type="dxa"/>
              <w:right w:w="108" w:type="dxa"/>
            </w:tcMar>
            <w:vAlign w:val="center"/>
          </w:tcPr>
          <w:p w14:paraId="0071E9B7"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Reform 1.8: Digitalisation of Justice </w:t>
            </w:r>
          </w:p>
        </w:tc>
        <w:tc>
          <w:tcPr>
            <w:tcW w:w="1247" w:type="dxa"/>
            <w:shd w:val="clear" w:color="auto" w:fill="C6EFCE"/>
            <w:tcMar>
              <w:left w:w="108" w:type="dxa"/>
              <w:right w:w="108" w:type="dxa"/>
            </w:tcMar>
            <w:vAlign w:val="center"/>
          </w:tcPr>
          <w:p w14:paraId="2D1FB09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33C5DFD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Digitalisation of the justice system</w:t>
            </w:r>
          </w:p>
        </w:tc>
      </w:tr>
      <w:tr w:rsidR="0039681A" w:rsidRPr="0070054C" w14:paraId="79D62B74" w14:textId="77777777">
        <w:trPr>
          <w:trHeight w:val="300"/>
        </w:trPr>
        <w:tc>
          <w:tcPr>
            <w:tcW w:w="1435" w:type="dxa"/>
            <w:shd w:val="clear" w:color="auto" w:fill="C6EFCE"/>
            <w:tcMar>
              <w:left w:w="108" w:type="dxa"/>
              <w:right w:w="108" w:type="dxa"/>
            </w:tcMar>
            <w:vAlign w:val="center"/>
          </w:tcPr>
          <w:p w14:paraId="5C3E816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M1C1-72quinquies</w:t>
            </w:r>
          </w:p>
        </w:tc>
        <w:tc>
          <w:tcPr>
            <w:tcW w:w="3543" w:type="dxa"/>
            <w:shd w:val="clear" w:color="auto" w:fill="C6EFCE"/>
            <w:tcMar>
              <w:left w:w="108" w:type="dxa"/>
              <w:right w:w="108" w:type="dxa"/>
            </w:tcMar>
            <w:vAlign w:val="center"/>
          </w:tcPr>
          <w:p w14:paraId="64F6578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47" w:type="dxa"/>
            <w:shd w:val="clear" w:color="auto" w:fill="C6EFCE"/>
            <w:tcMar>
              <w:left w:w="108" w:type="dxa"/>
              <w:right w:w="108" w:type="dxa"/>
            </w:tcMar>
            <w:vAlign w:val="center"/>
          </w:tcPr>
          <w:p w14:paraId="5988C87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6F7F185A" w14:textId="77777777" w:rsidR="0039681A" w:rsidRPr="00E74433" w:rsidRDefault="0039681A">
            <w:pPr>
              <w:spacing w:after="0" w:line="240" w:lineRule="auto"/>
              <w:rPr>
                <w:rFonts w:ascii="Times New Roman" w:eastAsia="Times New Roman" w:hAnsi="Times New Roman" w:cs="Times New Roman"/>
                <w:noProof/>
                <w:color w:val="006100"/>
                <w:sz w:val="20"/>
                <w:szCs w:val="20"/>
                <w:lang w:val="en-IE" w:eastAsia="en-GB"/>
              </w:rPr>
            </w:pPr>
            <w:r w:rsidRPr="00BB709F">
              <w:rPr>
                <w:rFonts w:ascii="Times New Roman" w:eastAsia="Times New Roman" w:hAnsi="Times New Roman" w:cs="Times New Roman"/>
                <w:noProof/>
                <w:color w:val="006100"/>
                <w:sz w:val="20"/>
                <w:szCs w:val="20"/>
                <w:lang w:val="en-IE" w:eastAsia="en-GB"/>
              </w:rPr>
              <w:t>Publication of information and data on payments made by the public administration</w:t>
            </w:r>
          </w:p>
        </w:tc>
      </w:tr>
      <w:tr w:rsidR="0039681A" w:rsidRPr="0070054C" w14:paraId="39700F4C" w14:textId="77777777">
        <w:trPr>
          <w:trHeight w:val="300"/>
        </w:trPr>
        <w:tc>
          <w:tcPr>
            <w:tcW w:w="1435" w:type="dxa"/>
            <w:shd w:val="clear" w:color="auto" w:fill="C6EFCE"/>
            <w:tcMar>
              <w:left w:w="108" w:type="dxa"/>
              <w:right w:w="108" w:type="dxa"/>
            </w:tcMar>
            <w:vAlign w:val="center"/>
          </w:tcPr>
          <w:p w14:paraId="284DFD9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M1C1-72s</w:t>
            </w:r>
            <w:r>
              <w:rPr>
                <w:rFonts w:ascii="Times New Roman" w:eastAsia="Times New Roman" w:hAnsi="Times New Roman" w:cs="Times New Roman"/>
                <w:noProof/>
                <w:color w:val="006100"/>
                <w:sz w:val="20"/>
                <w:szCs w:val="20"/>
                <w:lang w:eastAsia="en-GB"/>
              </w:rPr>
              <w:t>e</w:t>
            </w:r>
            <w:r w:rsidRPr="00647572">
              <w:rPr>
                <w:rFonts w:ascii="Times New Roman" w:eastAsia="Times New Roman" w:hAnsi="Times New Roman" w:cs="Times New Roman"/>
                <w:noProof/>
                <w:color w:val="006100"/>
                <w:sz w:val="20"/>
                <w:szCs w:val="20"/>
                <w:lang w:eastAsia="en-GB"/>
              </w:rPr>
              <w:t>xies</w:t>
            </w:r>
          </w:p>
        </w:tc>
        <w:tc>
          <w:tcPr>
            <w:tcW w:w="3543" w:type="dxa"/>
            <w:shd w:val="clear" w:color="auto" w:fill="C6EFCE"/>
            <w:tcMar>
              <w:left w:w="108" w:type="dxa"/>
              <w:right w:w="108" w:type="dxa"/>
            </w:tcMar>
            <w:vAlign w:val="center"/>
          </w:tcPr>
          <w:p w14:paraId="5306A52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247" w:type="dxa"/>
            <w:shd w:val="clear" w:color="auto" w:fill="C6EFCE"/>
            <w:tcMar>
              <w:left w:w="108" w:type="dxa"/>
              <w:right w:w="108" w:type="dxa"/>
            </w:tcMar>
            <w:vAlign w:val="center"/>
          </w:tcPr>
          <w:p w14:paraId="40FBC44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15A6C21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Final audit report of the Audit Plan</w:t>
            </w:r>
          </w:p>
        </w:tc>
      </w:tr>
      <w:tr w:rsidR="0039681A" w:rsidRPr="00647572" w14:paraId="6D3832AB" w14:textId="77777777">
        <w:trPr>
          <w:trHeight w:val="300"/>
        </w:trPr>
        <w:tc>
          <w:tcPr>
            <w:tcW w:w="1435" w:type="dxa"/>
            <w:shd w:val="clear" w:color="auto" w:fill="C6EFCE"/>
            <w:tcMar>
              <w:left w:w="108" w:type="dxa"/>
              <w:right w:w="108" w:type="dxa"/>
            </w:tcMar>
            <w:vAlign w:val="center"/>
          </w:tcPr>
          <w:p w14:paraId="1B079986"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M1C1-27</w:t>
            </w:r>
          </w:p>
        </w:tc>
        <w:tc>
          <w:tcPr>
            <w:tcW w:w="3543" w:type="dxa"/>
            <w:shd w:val="clear" w:color="auto" w:fill="C6EFCE"/>
            <w:tcMar>
              <w:left w:w="108" w:type="dxa"/>
              <w:right w:w="108" w:type="dxa"/>
            </w:tcMar>
            <w:vAlign w:val="center"/>
          </w:tcPr>
          <w:p w14:paraId="0D996507"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1.3.1: National Digital Data Platform</w:t>
            </w:r>
          </w:p>
        </w:tc>
        <w:tc>
          <w:tcPr>
            <w:tcW w:w="1247" w:type="dxa"/>
            <w:shd w:val="clear" w:color="auto" w:fill="C6EFCE"/>
            <w:tcMar>
              <w:left w:w="108" w:type="dxa"/>
              <w:right w:w="108" w:type="dxa"/>
            </w:tcMar>
            <w:vAlign w:val="center"/>
          </w:tcPr>
          <w:p w14:paraId="50C56BA0"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0BEA7CD"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APIs in National Digital Data Platform T2</w:t>
            </w:r>
          </w:p>
        </w:tc>
      </w:tr>
      <w:tr w:rsidR="0039681A" w:rsidRPr="0070054C" w14:paraId="1B1A5B5B" w14:textId="77777777">
        <w:trPr>
          <w:trHeight w:val="300"/>
        </w:trPr>
        <w:tc>
          <w:tcPr>
            <w:tcW w:w="1435" w:type="dxa"/>
            <w:shd w:val="clear" w:color="auto" w:fill="C6EFCE"/>
            <w:tcMar>
              <w:left w:w="108" w:type="dxa"/>
              <w:right w:w="108" w:type="dxa"/>
            </w:tcMar>
            <w:vAlign w:val="bottom"/>
          </w:tcPr>
          <w:p w14:paraId="1FFCCA1A"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M1C1-97ter</w:t>
            </w:r>
          </w:p>
        </w:tc>
        <w:tc>
          <w:tcPr>
            <w:tcW w:w="3543" w:type="dxa"/>
            <w:shd w:val="clear" w:color="auto" w:fill="C6EFCE"/>
            <w:tcMar>
              <w:left w:w="108" w:type="dxa"/>
              <w:right w:w="108" w:type="dxa"/>
            </w:tcMar>
            <w:vAlign w:val="center"/>
          </w:tcPr>
          <w:p w14:paraId="3FE20436"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1.10 : Reform of the public procurement legislative framework</w:t>
            </w:r>
          </w:p>
        </w:tc>
        <w:tc>
          <w:tcPr>
            <w:tcW w:w="1247" w:type="dxa"/>
            <w:shd w:val="clear" w:color="auto" w:fill="C6EFCE"/>
            <w:tcMar>
              <w:left w:w="108" w:type="dxa"/>
              <w:right w:w="108" w:type="dxa"/>
            </w:tcMar>
            <w:vAlign w:val="center"/>
          </w:tcPr>
          <w:p w14:paraId="5CC8715E"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10B2169E"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Measures to improve execution speed</w:t>
            </w:r>
          </w:p>
        </w:tc>
      </w:tr>
      <w:tr w:rsidR="0039681A" w:rsidRPr="0070054C" w14:paraId="63EEE1A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D2F6F20" w14:textId="77777777" w:rsidR="0039681A" w:rsidRPr="00647572" w:rsidRDefault="0039681A">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M4C2-4bis</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FC6F9E2" w14:textId="77777777" w:rsidR="0039681A" w:rsidRPr="00A36E36" w:rsidRDefault="0039681A">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1.2: Three-year plan for the financing of research activities</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F6D5C73" w14:textId="77777777" w:rsidR="0039681A" w:rsidRPr="00647572" w:rsidRDefault="0039681A">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80594D" w14:textId="77777777" w:rsidR="0039681A" w:rsidRPr="00A36E36" w:rsidRDefault="0039681A">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Primary legislation for the adoption of the three-year plan for the financing of research activities </w:t>
            </w:r>
          </w:p>
        </w:tc>
      </w:tr>
      <w:tr w:rsidR="0039681A" w:rsidRPr="00647572" w14:paraId="402A3D9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E536EC0" w14:textId="77777777" w:rsidR="0039681A" w:rsidRPr="00647572" w:rsidRDefault="0039681A">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M7-30</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CCA699" w14:textId="77777777" w:rsidR="0039681A" w:rsidRPr="00A36E36" w:rsidRDefault="0039681A">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10: Pilot project on skills “Crescere Green”</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320162B" w14:textId="77777777" w:rsidR="0039681A" w:rsidRPr="00647572" w:rsidRDefault="0039681A">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FF609C" w14:textId="77777777" w:rsidR="0039681A" w:rsidRPr="00647572" w:rsidRDefault="0039681A">
            <w:pPr>
              <w:spacing w:after="0"/>
              <w:rPr>
                <w:rFonts w:ascii="Times New Roman" w:eastAsia="Times New Roman" w:hAnsi="Times New Roman" w:cs="Times New Roman"/>
                <w:noProof/>
                <w:color w:val="006100"/>
                <w:sz w:val="20"/>
                <w:szCs w:val="20"/>
                <w:lang w:eastAsia="en-GB"/>
              </w:rPr>
            </w:pPr>
            <w:r>
              <w:rPr>
                <w:rFonts w:ascii="Times New Roman" w:eastAsia="Times New Roman" w:hAnsi="Times New Roman" w:cs="Times New Roman"/>
                <w:noProof/>
                <w:color w:val="006100"/>
                <w:sz w:val="20"/>
                <w:szCs w:val="20"/>
                <w:lang w:eastAsia="en-GB"/>
              </w:rPr>
              <w:t>Training certificates</w:t>
            </w:r>
          </w:p>
        </w:tc>
      </w:tr>
      <w:tr w:rsidR="0039681A" w:rsidRPr="0070054C" w14:paraId="52CB047F"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2F8928BD" w14:textId="77777777" w:rsidR="0039681A" w:rsidRPr="00647572" w:rsidRDefault="0039681A">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M1C1-144</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ECA98F" w14:textId="77777777" w:rsidR="0039681A" w:rsidRPr="00A36E36" w:rsidRDefault="0039681A">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1.4.2 - Citizen inclusion - Accessibility improvement of digital public services/interventions implemented</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31B70F" w14:textId="77777777" w:rsidR="0039681A" w:rsidRPr="00647572" w:rsidRDefault="0039681A">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486156" w14:textId="77777777" w:rsidR="0039681A" w:rsidRPr="00A36E36" w:rsidRDefault="0039681A">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Increased accessibility of digital public services</w:t>
            </w:r>
            <w:r w:rsidRPr="00163664">
              <w:rPr>
                <w:rFonts w:ascii="Times New Roman" w:eastAsia="Times New Roman" w:hAnsi="Times New Roman" w:cs="Times New Roman"/>
                <w:noProof/>
                <w:color w:val="006100"/>
                <w:sz w:val="20"/>
                <w:szCs w:val="20"/>
                <w:lang w:val="en-IE" w:eastAsia="en-GB"/>
              </w:rPr>
              <w:t>/interventions implemented</w:t>
            </w:r>
          </w:p>
        </w:tc>
      </w:tr>
      <w:tr w:rsidR="0039681A" w:rsidRPr="0070054C" w14:paraId="2E7AC945"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517862DD" w14:textId="77777777" w:rsidR="0039681A" w:rsidRPr="00647572" w:rsidRDefault="0039681A">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M2C2-36</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759340" w14:textId="77777777" w:rsidR="0039681A" w:rsidRPr="00A36E36" w:rsidRDefault="0039681A">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4.4.3: Renewal fleet for the National fire brigade command</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9EC55B" w14:textId="77777777" w:rsidR="0039681A" w:rsidRPr="00647572" w:rsidRDefault="0039681A">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061C5C" w14:textId="77777777" w:rsidR="0039681A" w:rsidRPr="00A36E36" w:rsidRDefault="0039681A">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Number of clean vehicles for the renewal fleet for the National fire brigade command</w:t>
            </w:r>
          </w:p>
        </w:tc>
      </w:tr>
      <w:tr w:rsidR="0039681A" w:rsidRPr="0070054C" w14:paraId="57D8218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3788195C" w14:textId="77777777" w:rsidR="0039681A" w:rsidRPr="00647572" w:rsidRDefault="0039681A">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M2C4-32</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41A839" w14:textId="77777777" w:rsidR="0039681A" w:rsidRPr="00A36E36" w:rsidRDefault="0039681A">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4.2. Reduction of losses in water distribution networks, including digitization and monitoring of networks</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DF8FB1" w14:textId="77777777" w:rsidR="0039681A" w:rsidRPr="00647572" w:rsidRDefault="0039681A">
            <w:pPr>
              <w:spacing w:after="0"/>
              <w:jc w:val="center"/>
              <w:rPr>
                <w:rFonts w:ascii="Times New Roman" w:eastAsia="Times New Roman" w:hAnsi="Times New Roman" w:cs="Times New Roman"/>
                <w:noProof/>
                <w:color w:val="006100"/>
                <w:sz w:val="20"/>
                <w:szCs w:val="20"/>
                <w:lang w:eastAsia="en-GB"/>
              </w:rPr>
            </w:pPr>
            <w:r w:rsidRPr="42471066">
              <w:rPr>
                <w:rFonts w:ascii="Times New Roman" w:eastAsia="Times New Roman" w:hAnsi="Times New Roman" w:cs="Times New Roman"/>
                <w:noProof/>
                <w:color w:val="006100"/>
                <w:sz w:val="20"/>
                <w:szCs w:val="20"/>
                <w:lang w:eastAsia="en-GB"/>
              </w:rPr>
              <w:t>Milestone</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982BE1" w14:textId="77777777" w:rsidR="0039681A" w:rsidRPr="00A36E36" w:rsidRDefault="0039681A">
            <w:pPr>
              <w:spacing w:after="0"/>
              <w:rPr>
                <w:rFonts w:ascii="Times New Roman" w:eastAsia="Times New Roman" w:hAnsi="Times New Roman" w:cs="Times New Roman"/>
                <w:noProof/>
                <w:sz w:val="20"/>
                <w:szCs w:val="20"/>
                <w:lang w:val="en-IE"/>
              </w:rPr>
            </w:pPr>
            <w:r w:rsidRPr="00E74433">
              <w:rPr>
                <w:rFonts w:ascii="Times New Roman" w:eastAsia="Times New Roman" w:hAnsi="Times New Roman" w:cs="Times New Roman"/>
                <w:noProof/>
                <w:color w:val="006100"/>
                <w:sz w:val="20"/>
                <w:szCs w:val="20"/>
                <w:lang w:val="en-IE" w:eastAsia="en-GB"/>
              </w:rPr>
              <w:t>Districting in water distribution networks</w:t>
            </w:r>
          </w:p>
        </w:tc>
      </w:tr>
      <w:tr w:rsidR="0039681A" w:rsidRPr="00647572" w14:paraId="347DF5B3"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198AA96F" w14:textId="77777777" w:rsidR="0039681A" w:rsidRPr="00647572" w:rsidRDefault="0039681A">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M1C1-153</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92D10D" w14:textId="77777777" w:rsidR="0039681A" w:rsidRPr="00A36E36" w:rsidRDefault="0039681A">
            <w:pPr>
              <w:spacing w:after="0"/>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1.6.2 - Digitization of the Ministry of Justice</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6AD5BC" w14:textId="77777777" w:rsidR="0039681A" w:rsidRPr="00647572" w:rsidRDefault="0039681A">
            <w:pPr>
              <w:spacing w:after="0"/>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966A6E" w14:textId="77777777" w:rsidR="0039681A" w:rsidRPr="00647572" w:rsidRDefault="0039681A">
            <w:pPr>
              <w:spacing w:after="0"/>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Digitized judicial files T2</w:t>
            </w:r>
          </w:p>
        </w:tc>
      </w:tr>
      <w:tr w:rsidR="0039681A" w:rsidRPr="0070054C" w14:paraId="5A4C28E4" w14:textId="77777777">
        <w:trPr>
          <w:trHeight w:val="300"/>
        </w:trPr>
        <w:tc>
          <w:tcPr>
            <w:tcW w:w="1435"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47918B"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M6C2-17</w:t>
            </w:r>
          </w:p>
        </w:tc>
        <w:tc>
          <w:tcPr>
            <w:tcW w:w="3543"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A76034"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2.2: Development of technical-professional, digital and managerial skills of professionals in the healthcare system</w:t>
            </w:r>
          </w:p>
        </w:tc>
        <w:tc>
          <w:tcPr>
            <w:tcW w:w="1247"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229B82"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B4A44B"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Award of medical </w:t>
            </w:r>
          </w:p>
          <w:p w14:paraId="720F9175"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specialist training contracts</w:t>
            </w:r>
          </w:p>
        </w:tc>
      </w:tr>
      <w:tr w:rsidR="0039681A" w:rsidRPr="00647572" w14:paraId="0714C872" w14:textId="77777777">
        <w:trPr>
          <w:trHeight w:val="300"/>
        </w:trPr>
        <w:tc>
          <w:tcPr>
            <w:tcW w:w="1435" w:type="dxa"/>
            <w:shd w:val="clear" w:color="auto" w:fill="C6EFCE"/>
            <w:tcMar>
              <w:left w:w="108" w:type="dxa"/>
              <w:right w:w="108" w:type="dxa"/>
            </w:tcMar>
            <w:vAlign w:val="bottom"/>
          </w:tcPr>
          <w:p w14:paraId="36C9A88B" w14:textId="77777777" w:rsidR="0039681A" w:rsidRPr="006B5723" w:rsidRDefault="0039681A">
            <w:pPr>
              <w:spacing w:after="0" w:line="240" w:lineRule="auto"/>
              <w:jc w:val="center"/>
              <w:rPr>
                <w:rFonts w:ascii="Times New Roman" w:eastAsia="Times New Roman" w:hAnsi="Times New Roman" w:cs="Times New Roman"/>
                <w:noProof/>
                <w:lang w:val="en-GB" w:eastAsia="en-GB"/>
              </w:rPr>
            </w:pPr>
            <w:r w:rsidRPr="006B5723">
              <w:rPr>
                <w:rFonts w:ascii="Times New Roman" w:eastAsia="Times New Roman" w:hAnsi="Times New Roman" w:cs="Times New Roman"/>
                <w:noProof/>
                <w:color w:val="006100"/>
                <w:sz w:val="20"/>
                <w:szCs w:val="20"/>
                <w:lang w:val="en-GB" w:eastAsia="en-GB"/>
              </w:rPr>
              <w:t xml:space="preserve"> </w:t>
            </w:r>
          </w:p>
        </w:tc>
        <w:tc>
          <w:tcPr>
            <w:tcW w:w="3543" w:type="dxa"/>
            <w:shd w:val="clear" w:color="auto" w:fill="C6EFCE"/>
            <w:tcMar>
              <w:left w:w="108" w:type="dxa"/>
              <w:right w:w="108" w:type="dxa"/>
            </w:tcMar>
            <w:vAlign w:val="center"/>
          </w:tcPr>
          <w:p w14:paraId="71539DAE" w14:textId="77777777" w:rsidR="0039681A" w:rsidRPr="006B5723" w:rsidRDefault="0039681A">
            <w:pPr>
              <w:spacing w:after="0" w:line="240" w:lineRule="auto"/>
              <w:rPr>
                <w:rFonts w:ascii="Times New Roman" w:eastAsia="Times New Roman" w:hAnsi="Times New Roman" w:cs="Times New Roman"/>
                <w:noProof/>
                <w:lang w:val="en-GB" w:eastAsia="en-GB"/>
              </w:rPr>
            </w:pPr>
            <w:r w:rsidRPr="006B5723">
              <w:rPr>
                <w:rFonts w:ascii="Times New Roman" w:eastAsia="Times New Roman" w:hAnsi="Times New Roman" w:cs="Times New Roman"/>
                <w:noProof/>
                <w:color w:val="006100"/>
                <w:sz w:val="20"/>
                <w:szCs w:val="20"/>
                <w:lang w:val="en-GB" w:eastAsia="en-GB"/>
              </w:rPr>
              <w:t xml:space="preserve"> </w:t>
            </w:r>
          </w:p>
        </w:tc>
        <w:tc>
          <w:tcPr>
            <w:tcW w:w="1247" w:type="dxa"/>
            <w:shd w:val="clear" w:color="auto" w:fill="C6EFCE"/>
            <w:tcMar>
              <w:left w:w="108" w:type="dxa"/>
              <w:right w:w="108" w:type="dxa"/>
            </w:tcMar>
            <w:vAlign w:val="center"/>
          </w:tcPr>
          <w:p w14:paraId="2FD51D77"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134" w:type="dxa"/>
            <w:shd w:val="clear" w:color="auto" w:fill="C6EFCE"/>
            <w:tcMar>
              <w:left w:w="108" w:type="dxa"/>
              <w:right w:w="108" w:type="dxa"/>
            </w:tcMar>
            <w:vAlign w:val="center"/>
          </w:tcPr>
          <w:p w14:paraId="1DD81E72" w14:textId="77777777" w:rsidR="0039681A" w:rsidRPr="00E74433" w:rsidRDefault="0039681A">
            <w:pPr>
              <w:spacing w:after="0" w:line="240" w:lineRule="auto"/>
              <w:rPr>
                <w:rFonts w:ascii="Times New Roman" w:eastAsia="Times New Roman" w:hAnsi="Times New Roman" w:cs="Times New Roman"/>
                <w:noProof/>
                <w:highlight w:val="yellow"/>
                <w:lang w:eastAsia="en-GB"/>
              </w:rPr>
            </w:pPr>
            <w:r w:rsidRPr="000C4984">
              <w:rPr>
                <w:rFonts w:ascii="Times New Roman" w:eastAsia="Times New Roman" w:hAnsi="Times New Roman" w:cs="Times New Roman"/>
                <w:noProof/>
                <w:color w:val="006100"/>
                <w:sz w:val="20"/>
                <w:szCs w:val="20"/>
                <w:lang w:eastAsia="en-GB"/>
              </w:rPr>
              <w:t>EUR 7 670 089 282</w:t>
            </w:r>
          </w:p>
        </w:tc>
      </w:tr>
    </w:tbl>
    <w:p w14:paraId="435A6666" w14:textId="77777777" w:rsidR="0039681A" w:rsidRPr="005D46BA" w:rsidRDefault="0039681A" w:rsidP="00351087">
      <w:pPr>
        <w:spacing w:after="0"/>
        <w:ind w:left="850"/>
        <w:contextualSpacing/>
        <w:jc w:val="both"/>
        <w:rPr>
          <w:rFonts w:ascii="Times New Roman" w:eastAsia="Times New Roman" w:hAnsi="Times New Roman" w:cs="Times New Roman"/>
          <w:noProof/>
          <w:sz w:val="2"/>
          <w:szCs w:val="2"/>
          <w:lang w:eastAsia="en-GB"/>
        </w:rPr>
      </w:pPr>
    </w:p>
    <w:p w14:paraId="7E173E9A" w14:textId="77777777" w:rsidR="0039681A" w:rsidRPr="00647572" w:rsidRDefault="0039681A" w:rsidP="0039681A">
      <w:pPr>
        <w:pStyle w:val="Heading4"/>
        <w:numPr>
          <w:ilvl w:val="1"/>
          <w:numId w:val="167"/>
        </w:numPr>
        <w:tabs>
          <w:tab w:val="num" w:pos="1440"/>
        </w:tabs>
        <w:ind w:left="1440" w:hanging="360"/>
        <w:rPr>
          <w:rFonts w:ascii="Times New Roman" w:hAnsi="Times New Roman" w:cs="Times New Roman"/>
          <w:i w:val="0"/>
          <w:iCs w:val="0"/>
          <w:noProof/>
          <w:color w:val="auto"/>
          <w:lang w:eastAsia="en-GB"/>
        </w:rPr>
      </w:pPr>
      <w:r w:rsidRPr="00647572">
        <w:rPr>
          <w:rFonts w:ascii="Times New Roman" w:hAnsi="Times New Roman" w:cs="Times New Roman"/>
          <w:i w:val="0"/>
          <w:iCs w:val="0"/>
          <w:noProof/>
          <w:color w:val="auto"/>
          <w:lang w:eastAsia="en-GB"/>
        </w:rPr>
        <w:t>Tenth Instalment (non-repayable support):</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4"/>
        <w:gridCol w:w="3402"/>
        <w:gridCol w:w="1559"/>
        <w:gridCol w:w="3134"/>
      </w:tblGrid>
      <w:tr w:rsidR="0039681A" w:rsidRPr="00647572" w14:paraId="45C88917" w14:textId="77777777" w:rsidTr="00CA574C">
        <w:trPr>
          <w:trHeight w:val="900"/>
          <w:tblHeader/>
        </w:trPr>
        <w:tc>
          <w:tcPr>
            <w:tcW w:w="1264" w:type="dxa"/>
            <w:vMerge w:val="restart"/>
            <w:shd w:val="clear" w:color="auto" w:fill="BDD7EE"/>
            <w:tcMar>
              <w:left w:w="108" w:type="dxa"/>
              <w:right w:w="108" w:type="dxa"/>
            </w:tcMar>
            <w:vAlign w:val="center"/>
          </w:tcPr>
          <w:p w14:paraId="5CC99B32" w14:textId="77777777" w:rsidR="0039681A" w:rsidRPr="00647572" w:rsidRDefault="0039681A">
            <w:pPr>
              <w:spacing w:after="0" w:line="240" w:lineRule="auto"/>
              <w:jc w:val="center"/>
              <w:rPr>
                <w:rFonts w:ascii="Times New Roman" w:eastAsia="Times New Roman" w:hAnsi="Times New Roman" w:cs="Times New Roman"/>
                <w:b/>
                <w:bCs/>
                <w:noProof/>
                <w:color w:val="000000"/>
                <w:sz w:val="20"/>
                <w:szCs w:val="20"/>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402" w:type="dxa"/>
            <w:vMerge w:val="restart"/>
            <w:shd w:val="clear" w:color="auto" w:fill="BDD7EE"/>
            <w:tcMar>
              <w:left w:w="108" w:type="dxa"/>
              <w:right w:w="108" w:type="dxa"/>
            </w:tcMar>
            <w:vAlign w:val="center"/>
          </w:tcPr>
          <w:p w14:paraId="3D53B3BE"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559" w:type="dxa"/>
            <w:vMerge w:val="restart"/>
            <w:shd w:val="clear" w:color="auto" w:fill="BDD7EE"/>
            <w:tcMar>
              <w:left w:w="108" w:type="dxa"/>
              <w:right w:w="108" w:type="dxa"/>
            </w:tcMar>
            <w:vAlign w:val="center"/>
          </w:tcPr>
          <w:p w14:paraId="4F234D0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134" w:type="dxa"/>
            <w:vMerge w:val="restart"/>
            <w:shd w:val="clear" w:color="auto" w:fill="BDD7EE"/>
            <w:tcMar>
              <w:left w:w="108" w:type="dxa"/>
              <w:right w:w="108" w:type="dxa"/>
            </w:tcMar>
            <w:vAlign w:val="center"/>
          </w:tcPr>
          <w:p w14:paraId="184FBB1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70993DD5" w14:textId="77777777" w:rsidTr="00CA574C">
        <w:trPr>
          <w:trHeight w:val="510"/>
        </w:trPr>
        <w:tc>
          <w:tcPr>
            <w:tcW w:w="1264" w:type="dxa"/>
            <w:vMerge/>
            <w:vAlign w:val="center"/>
          </w:tcPr>
          <w:p w14:paraId="3940123F"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402" w:type="dxa"/>
            <w:vMerge/>
            <w:vAlign w:val="center"/>
          </w:tcPr>
          <w:p w14:paraId="6A08BB06"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559" w:type="dxa"/>
            <w:vMerge/>
            <w:vAlign w:val="center"/>
          </w:tcPr>
          <w:p w14:paraId="6BFBC199"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134" w:type="dxa"/>
            <w:vMerge/>
            <w:vAlign w:val="center"/>
          </w:tcPr>
          <w:p w14:paraId="343F046B"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7EACBEF6" w14:textId="77777777" w:rsidTr="00CA574C">
        <w:trPr>
          <w:trHeight w:val="300"/>
        </w:trPr>
        <w:tc>
          <w:tcPr>
            <w:tcW w:w="1264" w:type="dxa"/>
            <w:shd w:val="clear" w:color="auto" w:fill="C6EFCE"/>
            <w:tcMar>
              <w:left w:w="108" w:type="dxa"/>
              <w:right w:w="108" w:type="dxa"/>
            </w:tcMar>
            <w:vAlign w:val="center"/>
          </w:tcPr>
          <w:p w14:paraId="41E600B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M1C1-88</w:t>
            </w:r>
          </w:p>
        </w:tc>
        <w:tc>
          <w:tcPr>
            <w:tcW w:w="3402" w:type="dxa"/>
            <w:shd w:val="clear" w:color="auto" w:fill="C6EFCE"/>
            <w:tcMar>
              <w:left w:w="108" w:type="dxa"/>
              <w:right w:w="108" w:type="dxa"/>
            </w:tcMar>
            <w:vAlign w:val="center"/>
          </w:tcPr>
          <w:p w14:paraId="2FB6AC3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559" w:type="dxa"/>
            <w:shd w:val="clear" w:color="auto" w:fill="C6EFCE"/>
            <w:tcMar>
              <w:left w:w="108" w:type="dxa"/>
              <w:right w:w="108" w:type="dxa"/>
            </w:tcMar>
            <w:vAlign w:val="center"/>
          </w:tcPr>
          <w:p w14:paraId="0DF9D99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51CD88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the central public authorities to pay businesses is reduced</w:t>
            </w:r>
          </w:p>
        </w:tc>
      </w:tr>
      <w:tr w:rsidR="0039681A" w:rsidRPr="0070054C" w14:paraId="0C554B3F" w14:textId="77777777" w:rsidTr="00CA574C">
        <w:trPr>
          <w:trHeight w:val="300"/>
        </w:trPr>
        <w:tc>
          <w:tcPr>
            <w:tcW w:w="1264" w:type="dxa"/>
            <w:shd w:val="clear" w:color="auto" w:fill="C6EFCE"/>
            <w:tcMar>
              <w:left w:w="108" w:type="dxa"/>
              <w:right w:w="108" w:type="dxa"/>
            </w:tcMar>
            <w:vAlign w:val="center"/>
          </w:tcPr>
          <w:p w14:paraId="4426DB7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M1C1-89</w:t>
            </w:r>
          </w:p>
        </w:tc>
        <w:tc>
          <w:tcPr>
            <w:tcW w:w="3402" w:type="dxa"/>
            <w:shd w:val="clear" w:color="auto" w:fill="C6EFCE"/>
            <w:tcMar>
              <w:left w:w="108" w:type="dxa"/>
              <w:right w:w="108" w:type="dxa"/>
            </w:tcMar>
            <w:vAlign w:val="center"/>
          </w:tcPr>
          <w:p w14:paraId="21BEB7C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559" w:type="dxa"/>
            <w:shd w:val="clear" w:color="auto" w:fill="C6EFCE"/>
            <w:tcMar>
              <w:left w:w="108" w:type="dxa"/>
              <w:right w:w="108" w:type="dxa"/>
            </w:tcMar>
            <w:vAlign w:val="center"/>
          </w:tcPr>
          <w:p w14:paraId="2C9C383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0024517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the regional public authorities to pay businesses is reduced</w:t>
            </w:r>
          </w:p>
        </w:tc>
      </w:tr>
      <w:tr w:rsidR="0039681A" w:rsidRPr="0070054C" w14:paraId="7A1AFA9D" w14:textId="77777777" w:rsidTr="00CA574C">
        <w:trPr>
          <w:trHeight w:val="300"/>
        </w:trPr>
        <w:tc>
          <w:tcPr>
            <w:tcW w:w="1264" w:type="dxa"/>
            <w:shd w:val="clear" w:color="auto" w:fill="C6EFCE"/>
            <w:tcMar>
              <w:left w:w="108" w:type="dxa"/>
              <w:right w:w="108" w:type="dxa"/>
            </w:tcMar>
            <w:vAlign w:val="center"/>
          </w:tcPr>
          <w:p w14:paraId="3F3478A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M1C1-90</w:t>
            </w:r>
          </w:p>
        </w:tc>
        <w:tc>
          <w:tcPr>
            <w:tcW w:w="3402" w:type="dxa"/>
            <w:shd w:val="clear" w:color="auto" w:fill="C6EFCE"/>
            <w:tcMar>
              <w:left w:w="108" w:type="dxa"/>
              <w:right w:w="108" w:type="dxa"/>
            </w:tcMar>
            <w:vAlign w:val="center"/>
          </w:tcPr>
          <w:p w14:paraId="5B05221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559" w:type="dxa"/>
            <w:shd w:val="clear" w:color="auto" w:fill="C6EFCE"/>
            <w:tcMar>
              <w:left w:w="108" w:type="dxa"/>
              <w:right w:w="108" w:type="dxa"/>
            </w:tcMar>
            <w:vAlign w:val="center"/>
          </w:tcPr>
          <w:p w14:paraId="6EFA3DF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112957D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the local public authorities to pay businesses is reduced</w:t>
            </w:r>
          </w:p>
        </w:tc>
      </w:tr>
      <w:tr w:rsidR="0039681A" w:rsidRPr="0070054C" w14:paraId="18A1CE04" w14:textId="77777777" w:rsidTr="00CA574C">
        <w:trPr>
          <w:trHeight w:val="300"/>
        </w:trPr>
        <w:tc>
          <w:tcPr>
            <w:tcW w:w="1264" w:type="dxa"/>
            <w:shd w:val="clear" w:color="auto" w:fill="C6EFCE"/>
            <w:tcMar>
              <w:left w:w="108" w:type="dxa"/>
              <w:right w:w="108" w:type="dxa"/>
            </w:tcMar>
            <w:vAlign w:val="center"/>
          </w:tcPr>
          <w:p w14:paraId="780D456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M1C1-91</w:t>
            </w:r>
          </w:p>
        </w:tc>
        <w:tc>
          <w:tcPr>
            <w:tcW w:w="3402" w:type="dxa"/>
            <w:shd w:val="clear" w:color="auto" w:fill="C6EFCE"/>
            <w:tcMar>
              <w:left w:w="108" w:type="dxa"/>
              <w:right w:w="108" w:type="dxa"/>
            </w:tcMar>
            <w:vAlign w:val="center"/>
          </w:tcPr>
          <w:p w14:paraId="302B8D4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1.11: Reduction of late payments by public administrations and health authorities</w:t>
            </w:r>
          </w:p>
        </w:tc>
        <w:tc>
          <w:tcPr>
            <w:tcW w:w="1559" w:type="dxa"/>
            <w:shd w:val="clear" w:color="auto" w:fill="C6EFCE"/>
            <w:tcMar>
              <w:left w:w="108" w:type="dxa"/>
              <w:right w:w="108" w:type="dxa"/>
            </w:tcMar>
            <w:vAlign w:val="center"/>
          </w:tcPr>
          <w:p w14:paraId="11D6C99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77FF4FB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Average number of days for public health authorities to pay businesses is reduced</w:t>
            </w:r>
          </w:p>
        </w:tc>
      </w:tr>
      <w:tr w:rsidR="0039681A" w:rsidRPr="0070054C" w14:paraId="75E1C55D" w14:textId="77777777" w:rsidTr="00CA574C">
        <w:trPr>
          <w:trHeight w:val="300"/>
        </w:trPr>
        <w:tc>
          <w:tcPr>
            <w:tcW w:w="1264" w:type="dxa"/>
            <w:shd w:val="clear" w:color="auto" w:fill="C6EFCE"/>
            <w:tcMar>
              <w:left w:w="108" w:type="dxa"/>
              <w:right w:w="108" w:type="dxa"/>
            </w:tcMar>
            <w:vAlign w:val="center"/>
          </w:tcPr>
          <w:p w14:paraId="12691B4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M1C1-117</w:t>
            </w:r>
          </w:p>
        </w:tc>
        <w:tc>
          <w:tcPr>
            <w:tcW w:w="3402" w:type="dxa"/>
            <w:shd w:val="clear" w:color="auto" w:fill="C6EFCE"/>
            <w:tcMar>
              <w:left w:w="108" w:type="dxa"/>
              <w:right w:w="108" w:type="dxa"/>
            </w:tcMar>
            <w:vAlign w:val="center"/>
          </w:tcPr>
          <w:p w14:paraId="6548A35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1.15: Reform of public accounting rules</w:t>
            </w:r>
          </w:p>
        </w:tc>
        <w:tc>
          <w:tcPr>
            <w:tcW w:w="1559" w:type="dxa"/>
            <w:shd w:val="clear" w:color="auto" w:fill="C6EFCE"/>
            <w:tcMar>
              <w:left w:w="108" w:type="dxa"/>
              <w:right w:w="108" w:type="dxa"/>
            </w:tcMar>
            <w:vAlign w:val="center"/>
          </w:tcPr>
          <w:p w14:paraId="2EAE7EE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7746E590" w14:textId="1AEBF065" w:rsidR="0039681A" w:rsidRPr="00A36E36" w:rsidRDefault="0039681A">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100"/>
                <w:sz w:val="20"/>
                <w:szCs w:val="20"/>
                <w:lang w:val="en-IE" w:eastAsia="en-GB"/>
              </w:rPr>
              <w:t>Representatives of p</w:t>
            </w:r>
            <w:r w:rsidRPr="00A36E36">
              <w:rPr>
                <w:rFonts w:ascii="Times New Roman" w:eastAsia="Times New Roman" w:hAnsi="Times New Roman" w:cs="Times New Roman"/>
                <w:noProof/>
                <w:color w:val="006100"/>
                <w:sz w:val="20"/>
                <w:szCs w:val="20"/>
                <w:lang w:val="en-IE" w:eastAsia="en-GB"/>
              </w:rPr>
              <w:t xml:space="preserve">ublic entities trained </w:t>
            </w:r>
            <w:r>
              <w:rPr>
                <w:rFonts w:ascii="Times New Roman" w:eastAsia="Times New Roman" w:hAnsi="Times New Roman" w:cs="Times New Roman"/>
                <w:noProof/>
                <w:color w:val="006100"/>
                <w:sz w:val="20"/>
                <w:szCs w:val="20"/>
                <w:lang w:val="en-IE" w:eastAsia="en-GB"/>
              </w:rPr>
              <w:t>on</w:t>
            </w:r>
            <w:r w:rsidRPr="00A36E36">
              <w:rPr>
                <w:rFonts w:ascii="Times New Roman" w:eastAsia="Times New Roman" w:hAnsi="Times New Roman" w:cs="Times New Roman"/>
                <w:noProof/>
                <w:color w:val="006100"/>
                <w:sz w:val="20"/>
                <w:szCs w:val="20"/>
                <w:lang w:val="en-IE" w:eastAsia="en-GB"/>
              </w:rPr>
              <w:t xml:space="preserve"> the new accrual accounting system</w:t>
            </w:r>
          </w:p>
        </w:tc>
      </w:tr>
      <w:tr w:rsidR="0039681A" w:rsidRPr="0070054C" w14:paraId="778BCBDB" w14:textId="77777777" w:rsidTr="00CA574C">
        <w:trPr>
          <w:trHeight w:val="300"/>
        </w:trPr>
        <w:tc>
          <w:tcPr>
            <w:tcW w:w="1264" w:type="dxa"/>
            <w:shd w:val="clear" w:color="auto" w:fill="C6EFCE"/>
            <w:tcMar>
              <w:left w:w="108" w:type="dxa"/>
              <w:right w:w="108" w:type="dxa"/>
            </w:tcMar>
            <w:vAlign w:val="center"/>
          </w:tcPr>
          <w:p w14:paraId="715D6AF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M1C1-119</w:t>
            </w:r>
          </w:p>
        </w:tc>
        <w:tc>
          <w:tcPr>
            <w:tcW w:w="3402" w:type="dxa"/>
            <w:shd w:val="clear" w:color="auto" w:fill="C6EFCE"/>
            <w:tcMar>
              <w:left w:w="108" w:type="dxa"/>
              <w:right w:w="108" w:type="dxa"/>
            </w:tcMar>
            <w:vAlign w:val="center"/>
          </w:tcPr>
          <w:p w14:paraId="27DD21A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1.14: Reform of the subnational fiscal framework</w:t>
            </w:r>
          </w:p>
        </w:tc>
        <w:tc>
          <w:tcPr>
            <w:tcW w:w="1559" w:type="dxa"/>
            <w:shd w:val="clear" w:color="auto" w:fill="C6EFCE"/>
            <w:tcMar>
              <w:left w:w="108" w:type="dxa"/>
              <w:right w:w="108" w:type="dxa"/>
            </w:tcMar>
            <w:vAlign w:val="center"/>
          </w:tcPr>
          <w:p w14:paraId="6961E09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6AF296B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Definition of the parameters for the regional fiscal federalism</w:t>
            </w:r>
          </w:p>
        </w:tc>
      </w:tr>
      <w:tr w:rsidR="0039681A" w:rsidRPr="0070054C" w14:paraId="69E86EBC" w14:textId="77777777" w:rsidTr="00CA574C">
        <w:trPr>
          <w:trHeight w:val="300"/>
        </w:trPr>
        <w:tc>
          <w:tcPr>
            <w:tcW w:w="1264" w:type="dxa"/>
            <w:shd w:val="clear" w:color="auto" w:fill="C6EFCE"/>
            <w:tcMar>
              <w:left w:w="108" w:type="dxa"/>
              <w:right w:w="108" w:type="dxa"/>
            </w:tcMar>
            <w:vAlign w:val="center"/>
          </w:tcPr>
          <w:p w14:paraId="49187C6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M1C1-120</w:t>
            </w:r>
          </w:p>
        </w:tc>
        <w:tc>
          <w:tcPr>
            <w:tcW w:w="3402" w:type="dxa"/>
            <w:shd w:val="clear" w:color="auto" w:fill="C6EFCE"/>
            <w:tcMar>
              <w:left w:w="108" w:type="dxa"/>
              <w:right w:w="108" w:type="dxa"/>
            </w:tcMar>
            <w:vAlign w:val="center"/>
          </w:tcPr>
          <w:p w14:paraId="4B687DC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1.14: Reform of the subnational fiscal framework</w:t>
            </w:r>
          </w:p>
        </w:tc>
        <w:tc>
          <w:tcPr>
            <w:tcW w:w="1559" w:type="dxa"/>
            <w:shd w:val="clear" w:color="auto" w:fill="C6EFCE"/>
            <w:tcMar>
              <w:left w:w="108" w:type="dxa"/>
              <w:right w:w="108" w:type="dxa"/>
            </w:tcMar>
            <w:vAlign w:val="center"/>
          </w:tcPr>
          <w:p w14:paraId="02AD8A9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56AA9A2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legal act</w:t>
            </w:r>
            <w:r>
              <w:rPr>
                <w:rFonts w:ascii="Times New Roman" w:eastAsia="Times New Roman" w:hAnsi="Times New Roman" w:cs="Times New Roman"/>
                <w:noProof/>
                <w:color w:val="006100"/>
                <w:sz w:val="20"/>
                <w:szCs w:val="20"/>
                <w:lang w:val="en-IE" w:eastAsia="en-GB"/>
              </w:rPr>
              <w:t>s</w:t>
            </w:r>
            <w:r w:rsidRPr="00A36E36">
              <w:rPr>
                <w:rFonts w:ascii="Times New Roman" w:eastAsia="Times New Roman" w:hAnsi="Times New Roman" w:cs="Times New Roman"/>
                <w:noProof/>
                <w:color w:val="006100"/>
                <w:sz w:val="20"/>
                <w:szCs w:val="20"/>
                <w:lang w:val="en-IE" w:eastAsia="en-GB"/>
              </w:rPr>
              <w:t xml:space="preserve"> defining</w:t>
            </w:r>
            <w:r>
              <w:rPr>
                <w:rFonts w:ascii="Times New Roman" w:eastAsia="Times New Roman" w:hAnsi="Times New Roman" w:cs="Times New Roman"/>
                <w:noProof/>
                <w:color w:val="006100"/>
                <w:sz w:val="20"/>
                <w:szCs w:val="20"/>
                <w:lang w:val="en-IE" w:eastAsia="en-GB"/>
              </w:rPr>
              <w:t xml:space="preserve"> the</w:t>
            </w:r>
            <w:r w:rsidRPr="00A36E36">
              <w:rPr>
                <w:rFonts w:ascii="Times New Roman" w:eastAsia="Times New Roman" w:hAnsi="Times New Roman" w:cs="Times New Roman"/>
                <w:noProof/>
                <w:color w:val="006100"/>
                <w:sz w:val="20"/>
                <w:szCs w:val="20"/>
                <w:lang w:val="en-IE" w:eastAsia="en-GB"/>
              </w:rPr>
              <w:t xml:space="preserve"> fiscal federalism for provinces and metropolitan cities</w:t>
            </w:r>
            <w:r>
              <w:rPr>
                <w:rFonts w:ascii="Times New Roman" w:eastAsia="Times New Roman" w:hAnsi="Times New Roman" w:cs="Times New Roman"/>
                <w:noProof/>
                <w:color w:val="006100"/>
                <w:sz w:val="20"/>
                <w:szCs w:val="20"/>
                <w:lang w:val="en-IE" w:eastAsia="en-GB"/>
              </w:rPr>
              <w:t>.</w:t>
            </w:r>
          </w:p>
        </w:tc>
      </w:tr>
      <w:tr w:rsidR="0039681A" w:rsidRPr="0070054C" w14:paraId="0A6995E5" w14:textId="77777777" w:rsidTr="00CA574C">
        <w:trPr>
          <w:trHeight w:val="300"/>
        </w:trPr>
        <w:tc>
          <w:tcPr>
            <w:tcW w:w="1264" w:type="dxa"/>
            <w:shd w:val="clear" w:color="auto" w:fill="C6EFCE"/>
            <w:tcMar>
              <w:left w:w="108" w:type="dxa"/>
              <w:right w:w="108" w:type="dxa"/>
            </w:tcMar>
            <w:vAlign w:val="center"/>
          </w:tcPr>
          <w:p w14:paraId="51D751F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M5C1-11 </w:t>
            </w:r>
          </w:p>
        </w:tc>
        <w:tc>
          <w:tcPr>
            <w:tcW w:w="3402" w:type="dxa"/>
            <w:shd w:val="clear" w:color="auto" w:fill="C6EFCE"/>
            <w:tcMar>
              <w:left w:w="108" w:type="dxa"/>
              <w:right w:w="108" w:type="dxa"/>
            </w:tcMar>
            <w:vAlign w:val="center"/>
          </w:tcPr>
          <w:p w14:paraId="4C70C2D4"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Reform 2 - Undeclared Work </w:t>
            </w:r>
          </w:p>
        </w:tc>
        <w:tc>
          <w:tcPr>
            <w:tcW w:w="1559" w:type="dxa"/>
            <w:shd w:val="clear" w:color="auto" w:fill="C6EFCE"/>
            <w:tcMar>
              <w:left w:w="108" w:type="dxa"/>
              <w:right w:w="108" w:type="dxa"/>
            </w:tcMar>
            <w:vAlign w:val="center"/>
          </w:tcPr>
          <w:p w14:paraId="1CEF2525" w14:textId="063C3277" w:rsidR="0039681A" w:rsidRPr="00647572" w:rsidRDefault="0039681A">
            <w:pPr>
              <w:spacing w:after="0" w:line="240" w:lineRule="auto"/>
              <w:jc w:val="center"/>
              <w:rPr>
                <w:rFonts w:ascii="Times New Roman" w:eastAsia="Times New Roman" w:hAnsi="Times New Roman" w:cs="Times New Roman"/>
                <w:noProof/>
                <w:lang w:eastAsia="en-GB"/>
              </w:rPr>
            </w:pPr>
            <w:r>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1D70C60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Carry out actions to fight undeclared work</w:t>
            </w:r>
          </w:p>
        </w:tc>
      </w:tr>
      <w:tr w:rsidR="0039681A" w:rsidRPr="0070054C" w14:paraId="18C393C3" w14:textId="77777777" w:rsidTr="00CA574C">
        <w:trPr>
          <w:trHeight w:val="300"/>
        </w:trPr>
        <w:tc>
          <w:tcPr>
            <w:tcW w:w="1264" w:type="dxa"/>
            <w:shd w:val="clear" w:color="auto" w:fill="C6EFCE"/>
            <w:tcMar>
              <w:left w:w="108" w:type="dxa"/>
              <w:right w:w="108" w:type="dxa"/>
            </w:tcMar>
            <w:vAlign w:val="center"/>
          </w:tcPr>
          <w:p w14:paraId="0FA83122" w14:textId="77777777" w:rsidR="0039681A" w:rsidRPr="00D37342" w:rsidRDefault="0039681A">
            <w:pPr>
              <w:spacing w:after="0" w:line="240" w:lineRule="auto"/>
              <w:jc w:val="center"/>
              <w:rPr>
                <w:rFonts w:ascii="Times New Roman" w:eastAsia="Times New Roman" w:hAnsi="Times New Roman" w:cs="Times New Roman"/>
                <w:noProof/>
                <w:lang w:val="en-IE" w:eastAsia="en-GB"/>
              </w:rPr>
            </w:pPr>
            <w:r w:rsidRPr="00D37342" w:rsidDel="00F83127">
              <w:rPr>
                <w:rFonts w:ascii="Times New Roman" w:eastAsia="Times New Roman" w:hAnsi="Times New Roman" w:cs="Times New Roman"/>
                <w:noProof/>
                <w:color w:val="006100"/>
                <w:sz w:val="20"/>
                <w:szCs w:val="20"/>
                <w:lang w:val="en-IE" w:eastAsia="en-GB"/>
              </w:rPr>
              <w:t>M3C2-12</w:t>
            </w:r>
          </w:p>
        </w:tc>
        <w:tc>
          <w:tcPr>
            <w:tcW w:w="3402" w:type="dxa"/>
            <w:shd w:val="clear" w:color="auto" w:fill="C6EFCE"/>
            <w:tcMar>
              <w:left w:w="108" w:type="dxa"/>
              <w:right w:w="108" w:type="dxa"/>
            </w:tcMar>
            <w:vAlign w:val="center"/>
          </w:tcPr>
          <w:p w14:paraId="4271AF02" w14:textId="77777777" w:rsidR="0039681A" w:rsidRPr="00D37342" w:rsidRDefault="0039681A">
            <w:pPr>
              <w:spacing w:after="0" w:line="240" w:lineRule="auto"/>
              <w:rPr>
                <w:rFonts w:ascii="Times New Roman" w:eastAsia="Times New Roman" w:hAnsi="Times New Roman" w:cs="Times New Roman"/>
                <w:noProof/>
                <w:lang w:val="en-IE" w:eastAsia="en-GB"/>
              </w:rPr>
            </w:pPr>
            <w:r w:rsidRPr="00D37342" w:rsidDel="00F83127">
              <w:rPr>
                <w:rFonts w:ascii="Times New Roman" w:eastAsia="Times New Roman" w:hAnsi="Times New Roman" w:cs="Times New Roman"/>
                <w:noProof/>
                <w:color w:val="006100"/>
                <w:sz w:val="20"/>
                <w:szCs w:val="20"/>
                <w:lang w:val="en-IE" w:eastAsia="en-GB"/>
              </w:rPr>
              <w:t xml:space="preserve">Investment 2.3: Cold ironing </w:t>
            </w:r>
          </w:p>
        </w:tc>
        <w:tc>
          <w:tcPr>
            <w:tcW w:w="1559" w:type="dxa"/>
            <w:shd w:val="clear" w:color="auto" w:fill="C6EFCE"/>
            <w:tcMar>
              <w:left w:w="108" w:type="dxa"/>
              <w:right w:w="108" w:type="dxa"/>
            </w:tcMar>
            <w:vAlign w:val="center"/>
          </w:tcPr>
          <w:p w14:paraId="1E53A869" w14:textId="77777777" w:rsidR="0039681A" w:rsidRPr="00D37342" w:rsidRDefault="0039681A">
            <w:pPr>
              <w:spacing w:after="0" w:line="240" w:lineRule="auto"/>
              <w:jc w:val="center"/>
              <w:rPr>
                <w:rFonts w:ascii="Times New Roman" w:eastAsia="Times New Roman" w:hAnsi="Times New Roman" w:cs="Times New Roman"/>
                <w:noProof/>
                <w:lang w:val="en-IE" w:eastAsia="en-GB"/>
              </w:rPr>
            </w:pPr>
            <w:r w:rsidRPr="00D37342" w:rsidDel="00F83127">
              <w:rPr>
                <w:rFonts w:ascii="Times New Roman" w:eastAsia="Times New Roman" w:hAnsi="Times New Roman" w:cs="Times New Roman"/>
                <w:noProof/>
                <w:color w:val="006100"/>
                <w:sz w:val="20"/>
                <w:szCs w:val="20"/>
                <w:lang w:val="en-IE" w:eastAsia="en-GB"/>
              </w:rPr>
              <w:t>Target</w:t>
            </w:r>
          </w:p>
        </w:tc>
        <w:tc>
          <w:tcPr>
            <w:tcW w:w="3134" w:type="dxa"/>
            <w:shd w:val="clear" w:color="auto" w:fill="C6EFCE"/>
            <w:tcMar>
              <w:left w:w="108" w:type="dxa"/>
              <w:right w:w="108" w:type="dxa"/>
            </w:tcMar>
            <w:vAlign w:val="center"/>
          </w:tcPr>
          <w:p w14:paraId="0A707EF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sidDel="00F83127">
              <w:rPr>
                <w:rFonts w:ascii="Times New Roman" w:eastAsia="Times New Roman" w:hAnsi="Times New Roman" w:cs="Times New Roman"/>
                <w:noProof/>
                <w:color w:val="006100"/>
                <w:sz w:val="20"/>
                <w:szCs w:val="20"/>
                <w:lang w:val="en-IE" w:eastAsia="en-GB"/>
              </w:rPr>
              <w:t>Completion of works and acceptance of connection cost estimates by the developer for cold ironing infrastructures</w:t>
            </w:r>
            <w:r w:rsidRPr="00A36E36" w:rsidDel="003A30F6">
              <w:rPr>
                <w:rFonts w:ascii="Times New Roman" w:eastAsia="Times New Roman" w:hAnsi="Times New Roman" w:cs="Times New Roman"/>
                <w:noProof/>
                <w:color w:val="006100"/>
                <w:sz w:val="20"/>
                <w:szCs w:val="20"/>
                <w:lang w:val="en-IE" w:eastAsia="en-GB"/>
              </w:rPr>
              <w:t xml:space="preserve"> </w:t>
            </w:r>
          </w:p>
        </w:tc>
      </w:tr>
      <w:tr w:rsidR="0039681A" w:rsidRPr="0070054C" w14:paraId="54C90550" w14:textId="77777777" w:rsidTr="00CA574C">
        <w:trPr>
          <w:trHeight w:val="300"/>
        </w:trPr>
        <w:tc>
          <w:tcPr>
            <w:tcW w:w="1264" w:type="dxa"/>
            <w:shd w:val="clear" w:color="auto" w:fill="C6EFCE"/>
            <w:tcMar>
              <w:left w:w="108" w:type="dxa"/>
              <w:right w:w="108" w:type="dxa"/>
            </w:tcMar>
            <w:vAlign w:val="center"/>
          </w:tcPr>
          <w:p w14:paraId="6C9440E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M1C1-28</w:t>
            </w:r>
          </w:p>
        </w:tc>
        <w:tc>
          <w:tcPr>
            <w:tcW w:w="3402" w:type="dxa"/>
            <w:shd w:val="clear" w:color="auto" w:fill="C6EFCE"/>
            <w:tcMar>
              <w:left w:w="108" w:type="dxa"/>
              <w:right w:w="108" w:type="dxa"/>
            </w:tcMar>
            <w:vAlign w:val="center"/>
          </w:tcPr>
          <w:p w14:paraId="0E8B1F9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1.7.2: Network of digital facilitation services</w:t>
            </w:r>
          </w:p>
        </w:tc>
        <w:tc>
          <w:tcPr>
            <w:tcW w:w="1559" w:type="dxa"/>
            <w:shd w:val="clear" w:color="auto" w:fill="C6EFCE"/>
            <w:tcMar>
              <w:left w:w="108" w:type="dxa"/>
              <w:right w:w="108" w:type="dxa"/>
            </w:tcMar>
            <w:vAlign w:val="center"/>
          </w:tcPr>
          <w:p w14:paraId="0A486BF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17633A8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citizens participating in digital education and/or facilitation initiatives provided by digital facilitation centres</w:t>
            </w:r>
          </w:p>
        </w:tc>
      </w:tr>
      <w:tr w:rsidR="0039681A" w:rsidRPr="0070054C" w14:paraId="30C9D626" w14:textId="77777777" w:rsidTr="00CA574C">
        <w:trPr>
          <w:trHeight w:val="300"/>
        </w:trPr>
        <w:tc>
          <w:tcPr>
            <w:tcW w:w="1264" w:type="dxa"/>
            <w:shd w:val="clear" w:color="auto" w:fill="C6EFCE"/>
            <w:tcMar>
              <w:left w:w="108" w:type="dxa"/>
              <w:right w:w="108" w:type="dxa"/>
            </w:tcMar>
            <w:vAlign w:val="center"/>
          </w:tcPr>
          <w:p w14:paraId="3EDDB7B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M1C1-45</w:t>
            </w:r>
          </w:p>
        </w:tc>
        <w:tc>
          <w:tcPr>
            <w:tcW w:w="3402" w:type="dxa"/>
            <w:shd w:val="clear" w:color="auto" w:fill="C6EFCE"/>
            <w:tcMar>
              <w:left w:w="108" w:type="dxa"/>
              <w:right w:w="108" w:type="dxa"/>
            </w:tcMar>
            <w:vAlign w:val="center"/>
          </w:tcPr>
          <w:p w14:paraId="5ADD9F4D" w14:textId="4768684B"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civil</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justice</w:t>
            </w:r>
          </w:p>
        </w:tc>
        <w:tc>
          <w:tcPr>
            <w:tcW w:w="1559" w:type="dxa"/>
            <w:shd w:val="clear" w:color="auto" w:fill="C6EFCE"/>
            <w:tcMar>
              <w:left w:w="108" w:type="dxa"/>
              <w:right w:w="108" w:type="dxa"/>
            </w:tcMar>
            <w:vAlign w:val="center"/>
          </w:tcPr>
          <w:p w14:paraId="0335332E" w14:textId="6505C2E9" w:rsidR="0039681A" w:rsidRPr="00647572" w:rsidRDefault="0039681A">
            <w:pPr>
              <w:spacing w:after="0" w:line="240" w:lineRule="auto"/>
              <w:jc w:val="center"/>
              <w:rPr>
                <w:rFonts w:ascii="Times New Roman" w:eastAsia="Times New Roman" w:hAnsi="Times New Roman" w:cs="Times New Roman"/>
                <w:noProof/>
                <w:lang w:eastAsia="en-GB"/>
              </w:rPr>
            </w:pPr>
            <w:r>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2AF915E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in the length of civil proceedings</w:t>
            </w:r>
          </w:p>
        </w:tc>
      </w:tr>
      <w:tr w:rsidR="0039681A" w:rsidRPr="0070054C" w14:paraId="10434724" w14:textId="77777777" w:rsidTr="00CA574C">
        <w:trPr>
          <w:trHeight w:val="300"/>
        </w:trPr>
        <w:tc>
          <w:tcPr>
            <w:tcW w:w="1264" w:type="dxa"/>
            <w:shd w:val="clear" w:color="auto" w:fill="C6EFCE"/>
            <w:tcMar>
              <w:left w:w="108" w:type="dxa"/>
              <w:right w:w="108" w:type="dxa"/>
            </w:tcMar>
            <w:vAlign w:val="center"/>
          </w:tcPr>
          <w:p w14:paraId="4A29461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M1C1-46</w:t>
            </w:r>
          </w:p>
        </w:tc>
        <w:tc>
          <w:tcPr>
            <w:tcW w:w="3402" w:type="dxa"/>
            <w:shd w:val="clear" w:color="auto" w:fill="C6EFCE"/>
            <w:tcMar>
              <w:left w:w="108" w:type="dxa"/>
              <w:right w:w="108" w:type="dxa"/>
            </w:tcMar>
            <w:vAlign w:val="center"/>
          </w:tcPr>
          <w:p w14:paraId="2C73F6B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Reform1.5: Reform of criminal justice</w:t>
            </w:r>
          </w:p>
        </w:tc>
        <w:tc>
          <w:tcPr>
            <w:tcW w:w="1559" w:type="dxa"/>
            <w:shd w:val="clear" w:color="auto" w:fill="C6EFCE"/>
            <w:tcMar>
              <w:left w:w="108" w:type="dxa"/>
              <w:right w:w="108" w:type="dxa"/>
            </w:tcMar>
            <w:vAlign w:val="center"/>
          </w:tcPr>
          <w:p w14:paraId="77CBBF8F" w14:textId="29135809" w:rsidR="0039681A" w:rsidRPr="00647572" w:rsidRDefault="0039681A">
            <w:pPr>
              <w:spacing w:after="0" w:line="240" w:lineRule="auto"/>
              <w:jc w:val="center"/>
              <w:rPr>
                <w:rFonts w:ascii="Times New Roman" w:eastAsia="Times New Roman" w:hAnsi="Times New Roman" w:cs="Times New Roman"/>
                <w:noProof/>
                <w:lang w:eastAsia="en-GB"/>
              </w:rPr>
            </w:pPr>
            <w:r>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5E80DA4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in the length of criminal proceedings</w:t>
            </w:r>
          </w:p>
        </w:tc>
      </w:tr>
      <w:tr w:rsidR="0039681A" w:rsidRPr="0070054C" w14:paraId="3FEFDB37" w14:textId="77777777" w:rsidTr="00CA574C">
        <w:trPr>
          <w:trHeight w:val="300"/>
        </w:trPr>
        <w:tc>
          <w:tcPr>
            <w:tcW w:w="1264" w:type="dxa"/>
            <w:shd w:val="clear" w:color="auto" w:fill="C6EFCE"/>
            <w:tcMar>
              <w:left w:w="108" w:type="dxa"/>
              <w:right w:w="108" w:type="dxa"/>
            </w:tcMar>
            <w:vAlign w:val="center"/>
          </w:tcPr>
          <w:p w14:paraId="000CE60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M1C1-47</w:t>
            </w:r>
          </w:p>
        </w:tc>
        <w:tc>
          <w:tcPr>
            <w:tcW w:w="3402" w:type="dxa"/>
            <w:shd w:val="clear" w:color="auto" w:fill="C6EFCE"/>
            <w:tcMar>
              <w:left w:w="108" w:type="dxa"/>
              <w:right w:w="108" w:type="dxa"/>
            </w:tcMar>
            <w:vAlign w:val="center"/>
          </w:tcPr>
          <w:p w14:paraId="09E16BF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civil justice</w:t>
            </w:r>
          </w:p>
        </w:tc>
        <w:tc>
          <w:tcPr>
            <w:tcW w:w="1559" w:type="dxa"/>
            <w:shd w:val="clear" w:color="auto" w:fill="C6EFCE"/>
            <w:tcMar>
              <w:left w:w="108" w:type="dxa"/>
              <w:right w:w="108" w:type="dxa"/>
            </w:tcMar>
            <w:vAlign w:val="center"/>
          </w:tcPr>
          <w:p w14:paraId="27F8B3C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0B1501B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the Civil Ordinary Courts (first instance)</w:t>
            </w:r>
          </w:p>
        </w:tc>
      </w:tr>
      <w:tr w:rsidR="0039681A" w:rsidRPr="0070054C" w14:paraId="4627C204" w14:textId="77777777" w:rsidTr="00CA574C">
        <w:trPr>
          <w:trHeight w:val="300"/>
        </w:trPr>
        <w:tc>
          <w:tcPr>
            <w:tcW w:w="1264" w:type="dxa"/>
            <w:shd w:val="clear" w:color="auto" w:fill="C6EFCE"/>
            <w:tcMar>
              <w:left w:w="108" w:type="dxa"/>
              <w:right w:w="108" w:type="dxa"/>
            </w:tcMar>
            <w:vAlign w:val="center"/>
          </w:tcPr>
          <w:p w14:paraId="6FB9B1F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M1C1-48</w:t>
            </w:r>
          </w:p>
        </w:tc>
        <w:tc>
          <w:tcPr>
            <w:tcW w:w="3402" w:type="dxa"/>
            <w:shd w:val="clear" w:color="auto" w:fill="C6EFCE"/>
            <w:tcMar>
              <w:left w:w="108" w:type="dxa"/>
              <w:right w:w="108" w:type="dxa"/>
            </w:tcMar>
            <w:vAlign w:val="center"/>
          </w:tcPr>
          <w:p w14:paraId="41EDE4B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1.4: Reform of civil justice</w:t>
            </w:r>
          </w:p>
        </w:tc>
        <w:tc>
          <w:tcPr>
            <w:tcW w:w="1559" w:type="dxa"/>
            <w:shd w:val="clear" w:color="auto" w:fill="C6EFCE"/>
            <w:tcMar>
              <w:left w:w="108" w:type="dxa"/>
              <w:right w:w="108" w:type="dxa"/>
            </w:tcMar>
            <w:vAlign w:val="center"/>
          </w:tcPr>
          <w:p w14:paraId="5E6B338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51A51BC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backlog cases for the Civil Court of Appeal (second instance)</w:t>
            </w:r>
          </w:p>
        </w:tc>
      </w:tr>
      <w:tr w:rsidR="0039681A" w:rsidRPr="0070054C" w14:paraId="199B92DE" w14:textId="77777777" w:rsidTr="00CA574C">
        <w:trPr>
          <w:trHeight w:val="300"/>
        </w:trPr>
        <w:tc>
          <w:tcPr>
            <w:tcW w:w="1264" w:type="dxa"/>
            <w:shd w:val="clear" w:color="auto" w:fill="C6EFCE"/>
            <w:tcMar>
              <w:left w:w="108" w:type="dxa"/>
              <w:right w:w="108" w:type="dxa"/>
            </w:tcMar>
            <w:vAlign w:val="center"/>
          </w:tcPr>
          <w:p w14:paraId="7E4ADEA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M1C1-59ter</w:t>
            </w:r>
          </w:p>
        </w:tc>
        <w:tc>
          <w:tcPr>
            <w:tcW w:w="3402" w:type="dxa"/>
            <w:shd w:val="clear" w:color="auto" w:fill="C6EFCE"/>
            <w:tcMar>
              <w:left w:w="108" w:type="dxa"/>
              <w:right w:w="108" w:type="dxa"/>
            </w:tcMar>
            <w:vAlign w:val="center"/>
          </w:tcPr>
          <w:p w14:paraId="194DA12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559" w:type="dxa"/>
            <w:shd w:val="clear" w:color="auto" w:fill="C6EFCE"/>
            <w:tcMar>
              <w:left w:w="108" w:type="dxa"/>
              <w:right w:w="108" w:type="dxa"/>
            </w:tcMar>
            <w:vAlign w:val="center"/>
          </w:tcPr>
          <w:p w14:paraId="522B932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6CB93E65" w14:textId="46D63FD1"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Implementation of strategic human resource management in the Public Administration</w:t>
            </w:r>
            <w:r w:rsidR="00381DB1">
              <w:rPr>
                <w:rFonts w:ascii="Times New Roman" w:eastAsia="Times New Roman" w:hAnsi="Times New Roman" w:cs="Times New Roman"/>
                <w:noProof/>
                <w:color w:val="006100"/>
                <w:sz w:val="20"/>
                <w:szCs w:val="20"/>
                <w:lang w:val="en-IE" w:eastAsia="en-GB"/>
              </w:rPr>
              <w:t xml:space="preserve"> </w:t>
            </w:r>
          </w:p>
        </w:tc>
      </w:tr>
      <w:tr w:rsidR="0039681A" w:rsidRPr="0070054C" w14:paraId="367D650E" w14:textId="77777777" w:rsidTr="00CA574C">
        <w:trPr>
          <w:trHeight w:val="300"/>
        </w:trPr>
        <w:tc>
          <w:tcPr>
            <w:tcW w:w="1264" w:type="dxa"/>
            <w:shd w:val="clear" w:color="auto" w:fill="C6EFCE"/>
            <w:tcMar>
              <w:left w:w="108" w:type="dxa"/>
              <w:right w:w="108" w:type="dxa"/>
            </w:tcMar>
            <w:vAlign w:val="center"/>
          </w:tcPr>
          <w:p w14:paraId="005E10F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M1C1-63</w:t>
            </w:r>
          </w:p>
        </w:tc>
        <w:tc>
          <w:tcPr>
            <w:tcW w:w="3402" w:type="dxa"/>
            <w:shd w:val="clear" w:color="auto" w:fill="C6EFCE"/>
            <w:tcMar>
              <w:left w:w="108" w:type="dxa"/>
              <w:right w:w="108" w:type="dxa"/>
            </w:tcMar>
            <w:vAlign w:val="center"/>
          </w:tcPr>
          <w:p w14:paraId="33BD7DB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1.9: Reform of the public administration</w:t>
            </w:r>
          </w:p>
        </w:tc>
        <w:tc>
          <w:tcPr>
            <w:tcW w:w="1559" w:type="dxa"/>
            <w:shd w:val="clear" w:color="auto" w:fill="C6EFCE"/>
            <w:tcMar>
              <w:left w:w="108" w:type="dxa"/>
              <w:right w:w="108" w:type="dxa"/>
            </w:tcMar>
            <w:vAlign w:val="center"/>
          </w:tcPr>
          <w:p w14:paraId="078BBE5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17125CC3" w14:textId="6625209E"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Publication of a repository of simplified and/or digitalised procedures</w:t>
            </w:r>
          </w:p>
        </w:tc>
      </w:tr>
      <w:tr w:rsidR="0039681A" w:rsidRPr="00647572" w14:paraId="0838A217" w14:textId="77777777" w:rsidTr="00CA574C">
        <w:trPr>
          <w:trHeight w:val="300"/>
        </w:trPr>
        <w:tc>
          <w:tcPr>
            <w:tcW w:w="1264" w:type="dxa"/>
            <w:shd w:val="clear" w:color="auto" w:fill="C6EFCE"/>
            <w:tcMar>
              <w:left w:w="108" w:type="dxa"/>
              <w:right w:w="108" w:type="dxa"/>
            </w:tcMar>
            <w:vAlign w:val="center"/>
          </w:tcPr>
          <w:p w14:paraId="039A971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M1C1-66</w:t>
            </w:r>
          </w:p>
        </w:tc>
        <w:tc>
          <w:tcPr>
            <w:tcW w:w="3402" w:type="dxa"/>
            <w:shd w:val="clear" w:color="auto" w:fill="C6EFCE"/>
            <w:tcMar>
              <w:left w:w="108" w:type="dxa"/>
              <w:right w:w="108" w:type="dxa"/>
            </w:tcMar>
            <w:vAlign w:val="center"/>
          </w:tcPr>
          <w:p w14:paraId="5CA402E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1.9: Provide technical assistance and strengthen capacity building for the implementation of the Italian recovery and resilience plan</w:t>
            </w:r>
          </w:p>
        </w:tc>
        <w:tc>
          <w:tcPr>
            <w:tcW w:w="1559" w:type="dxa"/>
            <w:shd w:val="clear" w:color="auto" w:fill="C6EFCE"/>
            <w:tcMar>
              <w:left w:w="108" w:type="dxa"/>
              <w:right w:w="108" w:type="dxa"/>
            </w:tcMar>
            <w:vAlign w:val="center"/>
          </w:tcPr>
          <w:p w14:paraId="1B0F7FA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3CA1048E" w14:textId="396134F3" w:rsidR="0039681A" w:rsidRPr="00647572" w:rsidRDefault="0039681A">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color w:val="006100"/>
                <w:sz w:val="20"/>
                <w:szCs w:val="20"/>
                <w:lang w:eastAsia="en-GB"/>
              </w:rPr>
              <w:t>Attendance reports on Syllabus platform</w:t>
            </w:r>
          </w:p>
        </w:tc>
      </w:tr>
      <w:tr w:rsidR="0039681A" w:rsidRPr="0070054C" w14:paraId="6CA235C1" w14:textId="77777777" w:rsidTr="00CA574C">
        <w:trPr>
          <w:trHeight w:val="300"/>
        </w:trPr>
        <w:tc>
          <w:tcPr>
            <w:tcW w:w="1264" w:type="dxa"/>
            <w:shd w:val="clear" w:color="auto" w:fill="C6EFCE"/>
            <w:tcMar>
              <w:left w:w="108" w:type="dxa"/>
              <w:right w:w="108" w:type="dxa"/>
            </w:tcMar>
            <w:vAlign w:val="center"/>
          </w:tcPr>
          <w:p w14:paraId="7FAF126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M1C1-118</w:t>
            </w:r>
          </w:p>
        </w:tc>
        <w:tc>
          <w:tcPr>
            <w:tcW w:w="3402" w:type="dxa"/>
            <w:shd w:val="clear" w:color="auto" w:fill="C6EFCE"/>
            <w:tcMar>
              <w:left w:w="108" w:type="dxa"/>
              <w:right w:w="108" w:type="dxa"/>
            </w:tcMar>
            <w:vAlign w:val="center"/>
          </w:tcPr>
          <w:p w14:paraId="7A623FF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1.15: Reform of public accounting rules</w:t>
            </w:r>
          </w:p>
        </w:tc>
        <w:tc>
          <w:tcPr>
            <w:tcW w:w="1559" w:type="dxa"/>
            <w:shd w:val="clear" w:color="auto" w:fill="C6EFCE"/>
            <w:tcMar>
              <w:left w:w="108" w:type="dxa"/>
              <w:right w:w="108" w:type="dxa"/>
            </w:tcMar>
            <w:vAlign w:val="center"/>
          </w:tcPr>
          <w:p w14:paraId="263D412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16F914DE" w14:textId="68ED16C2" w:rsidR="0039681A" w:rsidRPr="00A36E36" w:rsidRDefault="0039681A">
            <w:pPr>
              <w:spacing w:after="0" w:line="240" w:lineRule="auto"/>
              <w:rPr>
                <w:rFonts w:ascii="Times New Roman" w:eastAsia="Times New Roman" w:hAnsi="Times New Roman" w:cs="Times New Roman"/>
                <w:noProof/>
                <w:lang w:val="en-IE" w:eastAsia="en-GB"/>
              </w:rPr>
            </w:pPr>
            <w:r w:rsidRPr="00AF5341">
              <w:rPr>
                <w:rFonts w:ascii="Times New Roman" w:eastAsia="Times New Roman" w:hAnsi="Times New Roman" w:cs="Times New Roman"/>
                <w:noProof/>
                <w:color w:val="006100"/>
                <w:sz w:val="20"/>
                <w:szCs w:val="20"/>
                <w:lang w:val="en-IE" w:eastAsia="en-GB"/>
              </w:rPr>
              <w:t>Issuance of financial statements and</w:t>
            </w:r>
            <w:r>
              <w:rPr>
                <w:rFonts w:ascii="Times New Roman" w:eastAsia="Times New Roman" w:hAnsi="Times New Roman" w:cs="Times New Roman"/>
                <w:noProof/>
                <w:color w:val="006100"/>
                <w:sz w:val="20"/>
                <w:szCs w:val="20"/>
                <w:lang w:val="en-IE" w:eastAsia="en-GB"/>
              </w:rPr>
              <w:t xml:space="preserve"> e</w:t>
            </w:r>
            <w:r w:rsidRPr="00A36E36">
              <w:rPr>
                <w:rFonts w:ascii="Times New Roman" w:eastAsia="Times New Roman" w:hAnsi="Times New Roman" w:cs="Times New Roman"/>
                <w:noProof/>
                <w:color w:val="006100"/>
                <w:sz w:val="20"/>
                <w:szCs w:val="20"/>
                <w:lang w:val="en-IE" w:eastAsia="en-GB"/>
              </w:rPr>
              <w:t>ntry into force of the legislative a</w:t>
            </w:r>
            <w:r>
              <w:rPr>
                <w:rFonts w:ascii="Times New Roman" w:eastAsia="Times New Roman" w:hAnsi="Times New Roman" w:cs="Times New Roman"/>
                <w:noProof/>
                <w:color w:val="006100"/>
                <w:sz w:val="20"/>
                <w:szCs w:val="20"/>
                <w:lang w:val="en-IE" w:eastAsia="en-GB"/>
              </w:rPr>
              <w:t>c</w:t>
            </w:r>
            <w:r w:rsidRPr="00A36E36">
              <w:rPr>
                <w:rFonts w:ascii="Times New Roman" w:eastAsia="Times New Roman" w:hAnsi="Times New Roman" w:cs="Times New Roman"/>
                <w:noProof/>
                <w:color w:val="006100"/>
                <w:sz w:val="20"/>
                <w:szCs w:val="20"/>
                <w:lang w:val="en-IE" w:eastAsia="en-GB"/>
              </w:rPr>
              <w:t xml:space="preserve">t on the accrual accounting reform for </w:t>
            </w:r>
            <w:r>
              <w:rPr>
                <w:rFonts w:ascii="Times New Roman" w:eastAsia="Times New Roman" w:hAnsi="Times New Roman" w:cs="Times New Roman"/>
                <w:noProof/>
                <w:color w:val="006100"/>
                <w:sz w:val="20"/>
                <w:szCs w:val="20"/>
                <w:lang w:val="en-IE" w:eastAsia="en-GB"/>
              </w:rPr>
              <w:t xml:space="preserve">public sector entities covering </w:t>
            </w:r>
            <w:r w:rsidRPr="00A36E36">
              <w:rPr>
                <w:rFonts w:ascii="Times New Roman" w:eastAsia="Times New Roman" w:hAnsi="Times New Roman" w:cs="Times New Roman"/>
                <w:noProof/>
                <w:color w:val="006100"/>
                <w:sz w:val="20"/>
                <w:szCs w:val="20"/>
                <w:lang w:val="en-IE" w:eastAsia="en-GB"/>
              </w:rPr>
              <w:t xml:space="preserve">at least 90% of </w:t>
            </w:r>
            <w:r>
              <w:rPr>
                <w:rFonts w:ascii="Times New Roman" w:eastAsia="Times New Roman" w:hAnsi="Times New Roman" w:cs="Times New Roman"/>
                <w:noProof/>
                <w:color w:val="006100"/>
                <w:sz w:val="20"/>
                <w:szCs w:val="20"/>
                <w:lang w:val="en-IE" w:eastAsia="en-GB"/>
              </w:rPr>
              <w:t xml:space="preserve">the primary expenditure of the </w:t>
            </w:r>
            <w:r w:rsidRPr="00A36E36">
              <w:rPr>
                <w:rFonts w:ascii="Times New Roman" w:eastAsia="Times New Roman" w:hAnsi="Times New Roman" w:cs="Times New Roman"/>
                <w:noProof/>
                <w:color w:val="006100"/>
                <w:sz w:val="20"/>
                <w:szCs w:val="20"/>
                <w:lang w:val="en-IE" w:eastAsia="en-GB"/>
              </w:rPr>
              <w:t>whole public sector, net of State-owned companie</w:t>
            </w:r>
            <w:r>
              <w:rPr>
                <w:rFonts w:ascii="Times New Roman" w:eastAsia="Times New Roman" w:hAnsi="Times New Roman" w:cs="Times New Roman"/>
                <w:noProof/>
                <w:color w:val="006100"/>
                <w:sz w:val="20"/>
                <w:szCs w:val="20"/>
                <w:lang w:val="en-IE" w:eastAsia="en-GB"/>
              </w:rPr>
              <w:t>s.</w:t>
            </w:r>
          </w:p>
        </w:tc>
      </w:tr>
      <w:tr w:rsidR="0039681A" w:rsidRPr="0070054C" w14:paraId="0ACD37CA" w14:textId="77777777" w:rsidTr="00CA574C">
        <w:trPr>
          <w:trHeight w:val="300"/>
        </w:trPr>
        <w:tc>
          <w:tcPr>
            <w:tcW w:w="1264" w:type="dxa"/>
            <w:shd w:val="clear" w:color="auto" w:fill="C6EFCE"/>
            <w:tcMar>
              <w:left w:w="108" w:type="dxa"/>
              <w:right w:w="108" w:type="dxa"/>
            </w:tcMar>
            <w:vAlign w:val="center"/>
          </w:tcPr>
          <w:p w14:paraId="25F5144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M1C1-122</w:t>
            </w:r>
          </w:p>
        </w:tc>
        <w:tc>
          <w:tcPr>
            <w:tcW w:w="3402" w:type="dxa"/>
            <w:shd w:val="clear" w:color="auto" w:fill="C6EFCE"/>
            <w:tcMar>
              <w:left w:w="108" w:type="dxa"/>
              <w:right w:w="108" w:type="dxa"/>
            </w:tcMar>
            <w:vAlign w:val="center"/>
          </w:tcPr>
          <w:p w14:paraId="4618395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1.13: Reform of the spending review framework</w:t>
            </w:r>
          </w:p>
        </w:tc>
        <w:tc>
          <w:tcPr>
            <w:tcW w:w="1559" w:type="dxa"/>
            <w:shd w:val="clear" w:color="auto" w:fill="C6EFCE"/>
            <w:tcMar>
              <w:left w:w="108" w:type="dxa"/>
              <w:right w:w="108" w:type="dxa"/>
            </w:tcMar>
            <w:vAlign w:val="center"/>
          </w:tcPr>
          <w:p w14:paraId="2A5DA6D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65D72C5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Completion of the yearly spending review for 2025, with reference to the saving target set in 2022, 2023 and 2024 for 2025.</w:t>
            </w:r>
          </w:p>
        </w:tc>
      </w:tr>
      <w:tr w:rsidR="0039681A" w:rsidRPr="0070054C" w14:paraId="1190AC3E" w14:textId="77777777" w:rsidTr="00CA574C">
        <w:trPr>
          <w:trHeight w:val="300"/>
        </w:trPr>
        <w:tc>
          <w:tcPr>
            <w:tcW w:w="1264" w:type="dxa"/>
            <w:shd w:val="clear" w:color="auto" w:fill="C6EFCE"/>
            <w:tcMar>
              <w:left w:w="108" w:type="dxa"/>
              <w:right w:w="108" w:type="dxa"/>
            </w:tcMar>
            <w:vAlign w:val="center"/>
          </w:tcPr>
          <w:p w14:paraId="7DE1F19B"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M1C2-13bis</w:t>
            </w:r>
          </w:p>
        </w:tc>
        <w:tc>
          <w:tcPr>
            <w:tcW w:w="3402" w:type="dxa"/>
            <w:shd w:val="clear" w:color="auto" w:fill="C6EFCE"/>
            <w:tcMar>
              <w:left w:w="108" w:type="dxa"/>
              <w:right w:w="108" w:type="dxa"/>
            </w:tcMar>
            <w:vAlign w:val="center"/>
          </w:tcPr>
          <w:p w14:paraId="5FFED479"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Reform 2: Annual Competition Laws</w:t>
            </w:r>
          </w:p>
        </w:tc>
        <w:tc>
          <w:tcPr>
            <w:tcW w:w="1559" w:type="dxa"/>
            <w:shd w:val="clear" w:color="auto" w:fill="C6EFCE"/>
            <w:tcMar>
              <w:left w:w="108" w:type="dxa"/>
              <w:right w:w="108" w:type="dxa"/>
            </w:tcMar>
            <w:vAlign w:val="center"/>
          </w:tcPr>
          <w:p w14:paraId="4E2A07E3"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3D7D78D1" w14:textId="6A8EFCE5"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Entry into force of leg</w:t>
            </w:r>
            <w:r>
              <w:rPr>
                <w:rFonts w:ascii="Times New Roman" w:eastAsia="Times New Roman" w:hAnsi="Times New Roman" w:cs="Times New Roman"/>
                <w:noProof/>
                <w:color w:val="006100"/>
                <w:sz w:val="20"/>
                <w:szCs w:val="20"/>
                <w:lang w:val="en-IE" w:eastAsia="en-GB"/>
              </w:rPr>
              <w:t>al act(s)</w:t>
            </w:r>
            <w:r w:rsidRPr="00A36E36">
              <w:rPr>
                <w:rFonts w:ascii="Times New Roman" w:eastAsia="Times New Roman" w:hAnsi="Times New Roman" w:cs="Times New Roman"/>
                <w:noProof/>
                <w:color w:val="006100"/>
                <w:sz w:val="20"/>
                <w:szCs w:val="20"/>
                <w:lang w:val="en-IE" w:eastAsia="en-GB"/>
              </w:rPr>
              <w:t xml:space="preserve"> on Regional Railways and Technology Transfer</w:t>
            </w:r>
          </w:p>
        </w:tc>
      </w:tr>
      <w:tr w:rsidR="0039681A" w:rsidRPr="0070054C" w14:paraId="64357AB9" w14:textId="77777777" w:rsidTr="00CA574C">
        <w:trPr>
          <w:trHeight w:val="300"/>
        </w:trPr>
        <w:tc>
          <w:tcPr>
            <w:tcW w:w="1264" w:type="dxa"/>
            <w:shd w:val="clear" w:color="auto" w:fill="C6EFCE"/>
            <w:tcMar>
              <w:left w:w="108" w:type="dxa"/>
              <w:right w:w="108" w:type="dxa"/>
            </w:tcMar>
            <w:vAlign w:val="center"/>
          </w:tcPr>
          <w:p w14:paraId="762C707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w:t>
            </w:r>
          </w:p>
        </w:tc>
        <w:tc>
          <w:tcPr>
            <w:tcW w:w="3402" w:type="dxa"/>
            <w:shd w:val="clear" w:color="auto" w:fill="C6EFCE"/>
            <w:tcMar>
              <w:left w:w="108" w:type="dxa"/>
              <w:right w:w="108" w:type="dxa"/>
            </w:tcMar>
            <w:vAlign w:val="center"/>
          </w:tcPr>
          <w:p w14:paraId="21E4141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- 1.2 Removal of physical and cognitive barriers in museums, libraries and archives to enable wider access to and participation in culture</w:t>
            </w:r>
          </w:p>
        </w:tc>
        <w:tc>
          <w:tcPr>
            <w:tcW w:w="1559" w:type="dxa"/>
            <w:shd w:val="clear" w:color="auto" w:fill="C6EFCE"/>
            <w:tcMar>
              <w:left w:w="108" w:type="dxa"/>
              <w:right w:w="108" w:type="dxa"/>
            </w:tcMar>
            <w:vAlign w:val="center"/>
          </w:tcPr>
          <w:p w14:paraId="45E3CED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F82B3B8" w14:textId="0A88D70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in museums, monuments, archeological areas and parks, archives and libraries</w:t>
            </w:r>
          </w:p>
        </w:tc>
      </w:tr>
      <w:tr w:rsidR="0039681A" w:rsidRPr="00DA0D84" w14:paraId="77918D1C" w14:textId="77777777" w:rsidTr="00CA574C">
        <w:trPr>
          <w:trHeight w:val="300"/>
        </w:trPr>
        <w:tc>
          <w:tcPr>
            <w:tcW w:w="1264" w:type="dxa"/>
            <w:shd w:val="clear" w:color="auto" w:fill="C6EFCE"/>
            <w:tcMar>
              <w:left w:w="108" w:type="dxa"/>
              <w:right w:w="108" w:type="dxa"/>
            </w:tcMar>
            <w:vAlign w:val="center"/>
          </w:tcPr>
          <w:p w14:paraId="72B20616" w14:textId="77777777" w:rsidR="0039681A" w:rsidRPr="00F13824" w:rsidRDefault="0039681A">
            <w:pPr>
              <w:spacing w:after="0" w:line="240" w:lineRule="auto"/>
              <w:jc w:val="center"/>
              <w:rPr>
                <w:rFonts w:ascii="Times New Roman" w:eastAsia="Times New Roman" w:hAnsi="Times New Roman" w:cs="Times New Roman"/>
                <w:noProof/>
                <w:lang w:val="en-IE" w:eastAsia="en-GB"/>
              </w:rPr>
            </w:pPr>
            <w:r w:rsidRPr="00F13824" w:rsidDel="00F10CA9">
              <w:rPr>
                <w:rFonts w:ascii="Times New Roman" w:eastAsia="Times New Roman" w:hAnsi="Times New Roman" w:cs="Times New Roman"/>
                <w:noProof/>
                <w:color w:val="006100"/>
                <w:sz w:val="20"/>
                <w:szCs w:val="20"/>
                <w:lang w:val="en-IE" w:eastAsia="en-GB"/>
              </w:rPr>
              <w:t>M2C1-8</w:t>
            </w:r>
          </w:p>
        </w:tc>
        <w:tc>
          <w:tcPr>
            <w:tcW w:w="3402" w:type="dxa"/>
            <w:shd w:val="clear" w:color="auto" w:fill="C6EFCE"/>
            <w:tcMar>
              <w:left w:w="108" w:type="dxa"/>
              <w:right w:w="108" w:type="dxa"/>
            </w:tcMar>
            <w:vAlign w:val="center"/>
          </w:tcPr>
          <w:p w14:paraId="32A0760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sidDel="00F10CA9">
              <w:rPr>
                <w:rFonts w:ascii="Times New Roman" w:eastAsia="Times New Roman" w:hAnsi="Times New Roman" w:cs="Times New Roman"/>
                <w:noProof/>
                <w:color w:val="006100"/>
                <w:sz w:val="20"/>
                <w:szCs w:val="20"/>
                <w:lang w:val="en-IE" w:eastAsia="en-GB"/>
              </w:rPr>
              <w:t>Investment 2.3: Innovation and mechanization in the agricultural and food sectors</w:t>
            </w:r>
          </w:p>
        </w:tc>
        <w:tc>
          <w:tcPr>
            <w:tcW w:w="1559" w:type="dxa"/>
            <w:shd w:val="clear" w:color="auto" w:fill="C6EFCE"/>
            <w:tcMar>
              <w:left w:w="108" w:type="dxa"/>
              <w:right w:w="108" w:type="dxa"/>
            </w:tcMar>
            <w:vAlign w:val="center"/>
          </w:tcPr>
          <w:p w14:paraId="50DBA927" w14:textId="77777777" w:rsidR="0039681A" w:rsidRPr="00F13824" w:rsidRDefault="0039681A">
            <w:pPr>
              <w:spacing w:after="0" w:line="240" w:lineRule="auto"/>
              <w:jc w:val="center"/>
              <w:rPr>
                <w:rFonts w:ascii="Times New Roman" w:eastAsia="Times New Roman" w:hAnsi="Times New Roman" w:cs="Times New Roman"/>
                <w:noProof/>
                <w:lang w:val="en-IE" w:eastAsia="en-GB"/>
              </w:rPr>
            </w:pPr>
            <w:r w:rsidRPr="00F13824" w:rsidDel="00F10CA9">
              <w:rPr>
                <w:rFonts w:ascii="Times New Roman" w:eastAsia="Times New Roman" w:hAnsi="Times New Roman" w:cs="Times New Roman"/>
                <w:noProof/>
                <w:color w:val="006100"/>
                <w:sz w:val="20"/>
                <w:szCs w:val="20"/>
                <w:lang w:val="en-IE" w:eastAsia="en-GB"/>
              </w:rPr>
              <w:t>Target</w:t>
            </w:r>
          </w:p>
        </w:tc>
        <w:tc>
          <w:tcPr>
            <w:tcW w:w="3134" w:type="dxa"/>
            <w:shd w:val="clear" w:color="auto" w:fill="C6EFCE"/>
            <w:tcMar>
              <w:left w:w="108" w:type="dxa"/>
              <w:right w:w="108" w:type="dxa"/>
            </w:tcMar>
            <w:vAlign w:val="center"/>
          </w:tcPr>
          <w:p w14:paraId="15F51E21" w14:textId="3EADE85B"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39834334">
              <w:rPr>
                <w:rFonts w:ascii="Times New Roman" w:eastAsia="Times New Roman" w:hAnsi="Times New Roman" w:cs="Times New Roman"/>
                <w:noProof/>
                <w:color w:val="006100"/>
                <w:sz w:val="20"/>
                <w:szCs w:val="20"/>
                <w:lang w:val="en-IE" w:eastAsia="en-GB"/>
              </w:rPr>
              <w:t xml:space="preserve">Projects carried out </w:t>
            </w:r>
          </w:p>
        </w:tc>
      </w:tr>
      <w:tr w:rsidR="0039681A" w:rsidRPr="0070054C" w14:paraId="2C31361E" w14:textId="77777777" w:rsidTr="00CA574C">
        <w:trPr>
          <w:trHeight w:val="300"/>
        </w:trPr>
        <w:tc>
          <w:tcPr>
            <w:tcW w:w="1264" w:type="dxa"/>
            <w:shd w:val="clear" w:color="auto" w:fill="C6EFCE"/>
            <w:tcMar>
              <w:left w:w="108" w:type="dxa"/>
              <w:right w:w="108" w:type="dxa"/>
            </w:tcMar>
            <w:vAlign w:val="center"/>
          </w:tcPr>
          <w:p w14:paraId="25DF630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M2C1-9</w:t>
            </w:r>
          </w:p>
        </w:tc>
        <w:tc>
          <w:tcPr>
            <w:tcW w:w="3402" w:type="dxa"/>
            <w:shd w:val="clear" w:color="auto" w:fill="C6EFCE"/>
            <w:tcMar>
              <w:left w:w="108" w:type="dxa"/>
              <w:right w:w="108" w:type="dxa"/>
            </w:tcMar>
            <w:vAlign w:val="center"/>
          </w:tcPr>
          <w:p w14:paraId="05E801E8"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2.2: Agri-solar Park</w:t>
            </w:r>
          </w:p>
        </w:tc>
        <w:tc>
          <w:tcPr>
            <w:tcW w:w="1559" w:type="dxa"/>
            <w:shd w:val="clear" w:color="auto" w:fill="C6EFCE"/>
            <w:tcMar>
              <w:left w:w="108" w:type="dxa"/>
              <w:right w:w="108" w:type="dxa"/>
            </w:tcMar>
            <w:vAlign w:val="center"/>
          </w:tcPr>
          <w:p w14:paraId="309DD16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31768DF8" w14:textId="107FB46E" w:rsidR="0039681A" w:rsidRPr="00324E17" w:rsidRDefault="0039681A">
            <w:pPr>
              <w:spacing w:after="0" w:line="240" w:lineRule="auto"/>
              <w:rPr>
                <w:rFonts w:ascii="Times New Roman" w:eastAsia="Times New Roman" w:hAnsi="Times New Roman" w:cs="Times New Roman"/>
                <w:noProof/>
                <w:color w:val="006100"/>
                <w:sz w:val="20"/>
                <w:szCs w:val="20"/>
                <w:lang w:val="en-IE" w:eastAsia="en-GB"/>
              </w:rPr>
            </w:pPr>
            <w:r w:rsidRPr="00324E17">
              <w:rPr>
                <w:rFonts w:ascii="Times New Roman" w:eastAsia="Times New Roman" w:hAnsi="Times New Roman" w:cs="Times New Roman"/>
                <w:noProof/>
                <w:color w:val="006100"/>
                <w:sz w:val="20"/>
                <w:szCs w:val="20"/>
                <w:lang w:val="en-IE" w:eastAsia="en-GB"/>
              </w:rPr>
              <w:t>Solar power</w:t>
            </w:r>
            <w:r w:rsidR="00324E17">
              <w:rPr>
                <w:rFonts w:ascii="Times New Roman" w:eastAsia="Times New Roman" w:hAnsi="Times New Roman" w:cs="Times New Roman"/>
                <w:noProof/>
                <w:color w:val="006100"/>
                <w:sz w:val="20"/>
                <w:szCs w:val="20"/>
                <w:lang w:val="en-IE" w:eastAsia="en-GB"/>
              </w:rPr>
              <w:t xml:space="preserve"> </w:t>
            </w:r>
            <w:r w:rsidRPr="00324E17">
              <w:rPr>
                <w:rFonts w:ascii="Times New Roman" w:eastAsia="Times New Roman" w:hAnsi="Times New Roman" w:cs="Times New Roman"/>
                <w:noProof/>
                <w:color w:val="006100"/>
                <w:sz w:val="20"/>
                <w:szCs w:val="20"/>
                <w:lang w:val="en-IE" w:eastAsia="en-GB"/>
              </w:rPr>
              <w:t>generation</w:t>
            </w:r>
            <w:r w:rsidR="00324E17">
              <w:rPr>
                <w:rFonts w:ascii="Times New Roman" w:eastAsia="Times New Roman" w:hAnsi="Times New Roman" w:cs="Times New Roman"/>
                <w:noProof/>
                <w:color w:val="006100"/>
                <w:sz w:val="20"/>
                <w:szCs w:val="20"/>
                <w:lang w:val="en-IE" w:eastAsia="en-GB"/>
              </w:rPr>
              <w:t xml:space="preserve"> </w:t>
            </w:r>
            <w:r w:rsidRPr="00324E17">
              <w:rPr>
                <w:rFonts w:ascii="Times New Roman" w:eastAsia="Times New Roman" w:hAnsi="Times New Roman" w:cs="Times New Roman"/>
                <w:noProof/>
                <w:color w:val="006100"/>
                <w:sz w:val="20"/>
                <w:szCs w:val="20"/>
                <w:lang w:val="en-IE" w:eastAsia="en-GB"/>
              </w:rPr>
              <w:t>capacity</w:t>
            </w:r>
            <w:r w:rsidR="00324E17">
              <w:rPr>
                <w:rFonts w:ascii="Times New Roman" w:eastAsia="Times New Roman" w:hAnsi="Times New Roman" w:cs="Times New Roman"/>
                <w:noProof/>
                <w:color w:val="006100"/>
                <w:sz w:val="20"/>
                <w:szCs w:val="20"/>
                <w:lang w:val="en-IE" w:eastAsia="en-GB"/>
              </w:rPr>
              <w:t xml:space="preserve"> </w:t>
            </w:r>
            <w:r w:rsidRPr="00324E17">
              <w:rPr>
                <w:rFonts w:ascii="Times New Roman" w:eastAsia="Times New Roman" w:hAnsi="Times New Roman" w:cs="Times New Roman"/>
                <w:noProof/>
                <w:color w:val="006100"/>
                <w:sz w:val="20"/>
                <w:szCs w:val="20"/>
                <w:lang w:val="en-IE" w:eastAsia="en-GB"/>
              </w:rPr>
              <w:t>installed</w:t>
            </w:r>
          </w:p>
        </w:tc>
      </w:tr>
      <w:tr w:rsidR="0039681A" w:rsidRPr="0070054C" w14:paraId="2955EDB7" w14:textId="77777777" w:rsidTr="00CA574C">
        <w:trPr>
          <w:trHeight w:val="300"/>
        </w:trPr>
        <w:tc>
          <w:tcPr>
            <w:tcW w:w="1264" w:type="dxa"/>
            <w:shd w:val="clear" w:color="auto" w:fill="C6EFCE"/>
            <w:tcMar>
              <w:left w:w="108" w:type="dxa"/>
              <w:right w:w="108" w:type="dxa"/>
            </w:tcMar>
            <w:vAlign w:val="center"/>
          </w:tcPr>
          <w:p w14:paraId="76F5DA43" w14:textId="77777777" w:rsidR="0039681A" w:rsidRPr="00F13824" w:rsidRDefault="0039681A">
            <w:pPr>
              <w:spacing w:after="0" w:line="240" w:lineRule="auto"/>
              <w:jc w:val="center"/>
              <w:rPr>
                <w:rFonts w:ascii="Times New Roman" w:eastAsia="Times New Roman" w:hAnsi="Times New Roman" w:cs="Times New Roman"/>
                <w:noProof/>
                <w:lang w:val="en-IE" w:eastAsia="en-GB"/>
              </w:rPr>
            </w:pPr>
            <w:r w:rsidRPr="00F13824" w:rsidDel="009E4BBD">
              <w:rPr>
                <w:rFonts w:ascii="Times New Roman" w:eastAsia="Times New Roman" w:hAnsi="Times New Roman" w:cs="Times New Roman"/>
                <w:noProof/>
                <w:color w:val="006100"/>
                <w:sz w:val="20"/>
                <w:szCs w:val="20"/>
                <w:lang w:val="en-IE" w:eastAsia="en-GB"/>
              </w:rPr>
              <w:t>M2C2-23</w:t>
            </w:r>
          </w:p>
        </w:tc>
        <w:tc>
          <w:tcPr>
            <w:tcW w:w="3402" w:type="dxa"/>
            <w:shd w:val="clear" w:color="auto" w:fill="C6EFCE"/>
            <w:tcMar>
              <w:left w:w="108" w:type="dxa"/>
              <w:right w:w="108" w:type="dxa"/>
            </w:tcMar>
            <w:vAlign w:val="center"/>
          </w:tcPr>
          <w:p w14:paraId="50C3337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sidDel="009E4BBD">
              <w:rPr>
                <w:rFonts w:ascii="Times New Roman" w:eastAsia="Times New Roman" w:hAnsi="Times New Roman" w:cs="Times New Roman"/>
                <w:noProof/>
                <w:color w:val="006100"/>
                <w:sz w:val="20"/>
                <w:szCs w:val="20"/>
                <w:lang w:val="en-IE" w:eastAsia="en-GB"/>
              </w:rPr>
              <w:t>Investment 4.1 Investment in soft mobility (National Plan of Cycle Path)</w:t>
            </w:r>
          </w:p>
        </w:tc>
        <w:tc>
          <w:tcPr>
            <w:tcW w:w="1559" w:type="dxa"/>
            <w:shd w:val="clear" w:color="auto" w:fill="C6EFCE"/>
            <w:tcMar>
              <w:left w:w="108" w:type="dxa"/>
              <w:right w:w="108" w:type="dxa"/>
            </w:tcMar>
            <w:vAlign w:val="center"/>
          </w:tcPr>
          <w:p w14:paraId="6B9AA1F7" w14:textId="77777777" w:rsidR="0039681A" w:rsidRPr="00F13824" w:rsidRDefault="0039681A">
            <w:pPr>
              <w:spacing w:after="0" w:line="240" w:lineRule="auto"/>
              <w:jc w:val="center"/>
              <w:rPr>
                <w:rFonts w:ascii="Times New Roman" w:eastAsia="Times New Roman" w:hAnsi="Times New Roman" w:cs="Times New Roman"/>
                <w:noProof/>
                <w:lang w:val="en-IE" w:eastAsia="en-GB"/>
              </w:rPr>
            </w:pPr>
            <w:r w:rsidRPr="00F13824" w:rsidDel="009E4BBD">
              <w:rPr>
                <w:rFonts w:ascii="Times New Roman" w:eastAsia="Times New Roman" w:hAnsi="Times New Roman" w:cs="Times New Roman"/>
                <w:noProof/>
                <w:color w:val="006100"/>
                <w:sz w:val="20"/>
                <w:szCs w:val="20"/>
                <w:lang w:val="en-IE" w:eastAsia="en-GB"/>
              </w:rPr>
              <w:t>Target</w:t>
            </w:r>
          </w:p>
        </w:tc>
        <w:tc>
          <w:tcPr>
            <w:tcW w:w="3134" w:type="dxa"/>
            <w:shd w:val="clear" w:color="auto" w:fill="C6EFCE"/>
            <w:tcMar>
              <w:left w:w="108" w:type="dxa"/>
              <w:right w:w="108" w:type="dxa"/>
            </w:tcMar>
            <w:vAlign w:val="center"/>
          </w:tcPr>
          <w:p w14:paraId="264467FC" w14:textId="66CAF719" w:rsidR="0039681A" w:rsidRPr="00324E17" w:rsidRDefault="0039681A">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Administrative certificates for the construction of cycling lanes</w:t>
            </w:r>
          </w:p>
        </w:tc>
      </w:tr>
      <w:tr w:rsidR="0039681A" w:rsidRPr="0070054C" w14:paraId="3A8F3E76" w14:textId="77777777" w:rsidTr="00CA574C">
        <w:trPr>
          <w:trHeight w:val="300"/>
        </w:trPr>
        <w:tc>
          <w:tcPr>
            <w:tcW w:w="1264" w:type="dxa"/>
            <w:shd w:val="clear" w:color="auto" w:fill="C6EFCE"/>
            <w:tcMar>
              <w:left w:w="108" w:type="dxa"/>
              <w:right w:w="108" w:type="dxa"/>
            </w:tcMar>
            <w:vAlign w:val="center"/>
          </w:tcPr>
          <w:p w14:paraId="329E12EE"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M4C1-20</w:t>
            </w:r>
          </w:p>
        </w:tc>
        <w:tc>
          <w:tcPr>
            <w:tcW w:w="3402" w:type="dxa"/>
            <w:shd w:val="clear" w:color="auto" w:fill="C6EFCE"/>
            <w:tcMar>
              <w:left w:w="108" w:type="dxa"/>
              <w:right w:w="108" w:type="dxa"/>
            </w:tcMar>
            <w:vAlign w:val="center"/>
          </w:tcPr>
          <w:p w14:paraId="7548F1F9"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1.5: Development of the tertiary vocational training system (ITS)</w:t>
            </w:r>
          </w:p>
        </w:tc>
        <w:tc>
          <w:tcPr>
            <w:tcW w:w="1559" w:type="dxa"/>
            <w:shd w:val="clear" w:color="auto" w:fill="C6EFCE"/>
            <w:tcMar>
              <w:left w:w="108" w:type="dxa"/>
              <w:right w:w="108" w:type="dxa"/>
            </w:tcMar>
            <w:vAlign w:val="center"/>
          </w:tcPr>
          <w:p w14:paraId="0A77E289"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343A45A9"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Number of students enrolled in vocational training system (ITS)</w:t>
            </w:r>
          </w:p>
        </w:tc>
      </w:tr>
      <w:tr w:rsidR="0039681A" w:rsidRPr="0070054C" w14:paraId="27AA4B25" w14:textId="77777777" w:rsidTr="00CA574C">
        <w:trPr>
          <w:trHeight w:val="300"/>
        </w:trPr>
        <w:tc>
          <w:tcPr>
            <w:tcW w:w="1264" w:type="dxa"/>
            <w:shd w:val="clear" w:color="auto" w:fill="C6EFCE"/>
            <w:tcMar>
              <w:left w:w="108" w:type="dxa"/>
              <w:right w:w="108" w:type="dxa"/>
            </w:tcMar>
            <w:vAlign w:val="center"/>
          </w:tcPr>
          <w:p w14:paraId="245BF51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M4C1-22</w:t>
            </w:r>
          </w:p>
        </w:tc>
        <w:tc>
          <w:tcPr>
            <w:tcW w:w="3402" w:type="dxa"/>
            <w:shd w:val="clear" w:color="auto" w:fill="C6EFCE"/>
            <w:tcMar>
              <w:left w:w="108" w:type="dxa"/>
              <w:right w:w="108" w:type="dxa"/>
            </w:tcMar>
            <w:vAlign w:val="center"/>
          </w:tcPr>
          <w:p w14:paraId="76D5F3A7"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1.3: School Sports Infrastructure Enhancement Plan</w:t>
            </w:r>
          </w:p>
        </w:tc>
        <w:tc>
          <w:tcPr>
            <w:tcW w:w="1559" w:type="dxa"/>
            <w:shd w:val="clear" w:color="auto" w:fill="C6EFCE"/>
            <w:tcMar>
              <w:left w:w="108" w:type="dxa"/>
              <w:right w:w="108" w:type="dxa"/>
            </w:tcMar>
            <w:vAlign w:val="center"/>
          </w:tcPr>
          <w:p w14:paraId="08F1436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2AB2C7DE" w14:textId="13765606"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Construction or renovation of sport facilities for school use</w:t>
            </w:r>
          </w:p>
        </w:tc>
      </w:tr>
      <w:tr w:rsidR="0039681A" w:rsidRPr="0070054C" w14:paraId="21C8707E" w14:textId="77777777" w:rsidTr="00CA574C">
        <w:trPr>
          <w:trHeight w:val="300"/>
        </w:trPr>
        <w:tc>
          <w:tcPr>
            <w:tcW w:w="1264" w:type="dxa"/>
            <w:shd w:val="clear" w:color="auto" w:fill="C6EFCE"/>
            <w:tcMar>
              <w:left w:w="108" w:type="dxa"/>
              <w:right w:w="108" w:type="dxa"/>
            </w:tcMar>
            <w:vAlign w:val="center"/>
          </w:tcPr>
          <w:p w14:paraId="4B11867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M4C1-23</w:t>
            </w:r>
          </w:p>
        </w:tc>
        <w:tc>
          <w:tcPr>
            <w:tcW w:w="3402" w:type="dxa"/>
            <w:shd w:val="clear" w:color="auto" w:fill="C6EFCE"/>
            <w:tcMar>
              <w:left w:w="108" w:type="dxa"/>
              <w:right w:w="108" w:type="dxa"/>
            </w:tcMar>
            <w:vAlign w:val="center"/>
          </w:tcPr>
          <w:p w14:paraId="7A60234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3.4: Teaching and advanced university skills </w:t>
            </w:r>
          </w:p>
        </w:tc>
        <w:tc>
          <w:tcPr>
            <w:tcW w:w="1559" w:type="dxa"/>
            <w:shd w:val="clear" w:color="auto" w:fill="C6EFCE"/>
            <w:tcMar>
              <w:left w:w="108" w:type="dxa"/>
              <w:right w:w="108" w:type="dxa"/>
            </w:tcMar>
            <w:vAlign w:val="center"/>
          </w:tcPr>
          <w:p w14:paraId="553710E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3C910061" w14:textId="3DCED2C9"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Actions to qualify and innovate secondary schools and university programmes, including PhDs</w:t>
            </w:r>
            <w:r>
              <w:rPr>
                <w:rFonts w:ascii="Times New Roman" w:eastAsia="Times New Roman" w:hAnsi="Times New Roman" w:cs="Times New Roman"/>
                <w:noProof/>
                <w:color w:val="006100"/>
                <w:sz w:val="20"/>
                <w:szCs w:val="20"/>
                <w:lang w:val="en-IE" w:eastAsia="en-GB"/>
              </w:rPr>
              <w:t>.</w:t>
            </w:r>
          </w:p>
        </w:tc>
      </w:tr>
      <w:tr w:rsidR="0039681A" w:rsidRPr="0070054C" w14:paraId="57BB26EC" w14:textId="77777777" w:rsidTr="00CA574C">
        <w:trPr>
          <w:trHeight w:val="300"/>
        </w:trPr>
        <w:tc>
          <w:tcPr>
            <w:tcW w:w="1264" w:type="dxa"/>
            <w:shd w:val="clear" w:color="auto" w:fill="C6EFCE"/>
            <w:tcMar>
              <w:left w:w="108" w:type="dxa"/>
              <w:right w:w="108" w:type="dxa"/>
            </w:tcMar>
            <w:vAlign w:val="center"/>
          </w:tcPr>
          <w:p w14:paraId="219050C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M4C1-24</w:t>
            </w:r>
          </w:p>
        </w:tc>
        <w:tc>
          <w:tcPr>
            <w:tcW w:w="3402" w:type="dxa"/>
            <w:shd w:val="clear" w:color="auto" w:fill="C6EFCE"/>
            <w:tcMar>
              <w:left w:w="108" w:type="dxa"/>
              <w:right w:w="108" w:type="dxa"/>
            </w:tcMar>
            <w:vAlign w:val="center"/>
          </w:tcPr>
          <w:p w14:paraId="3878260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 Active orientation in school-university transition.</w:t>
            </w:r>
          </w:p>
        </w:tc>
        <w:tc>
          <w:tcPr>
            <w:tcW w:w="1559" w:type="dxa"/>
            <w:shd w:val="clear" w:color="auto" w:fill="C6EFCE"/>
            <w:tcMar>
              <w:left w:w="108" w:type="dxa"/>
              <w:right w:w="108" w:type="dxa"/>
            </w:tcMar>
            <w:vAlign w:val="center"/>
          </w:tcPr>
          <w:p w14:paraId="7456DF4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3C0D51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Attendance certificates that have been issued for school-university transition courses</w:t>
            </w:r>
          </w:p>
        </w:tc>
      </w:tr>
      <w:tr w:rsidR="0039681A" w:rsidRPr="000503A7" w14:paraId="0773ABF5" w14:textId="77777777" w:rsidTr="00CA574C">
        <w:trPr>
          <w:trHeight w:val="300"/>
        </w:trPr>
        <w:tc>
          <w:tcPr>
            <w:tcW w:w="1264" w:type="dxa"/>
            <w:shd w:val="clear" w:color="auto" w:fill="C6EFCE"/>
            <w:tcMar>
              <w:left w:w="108" w:type="dxa"/>
              <w:right w:w="108" w:type="dxa"/>
            </w:tcMar>
            <w:vAlign w:val="center"/>
          </w:tcPr>
          <w:p w14:paraId="41D1109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M5C1-7bis</w:t>
            </w:r>
          </w:p>
        </w:tc>
        <w:tc>
          <w:tcPr>
            <w:tcW w:w="3402" w:type="dxa"/>
            <w:shd w:val="clear" w:color="auto" w:fill="C6EFCE"/>
            <w:tcMar>
              <w:left w:w="108" w:type="dxa"/>
              <w:right w:w="108" w:type="dxa"/>
            </w:tcMar>
            <w:vAlign w:val="center"/>
          </w:tcPr>
          <w:p w14:paraId="0C76371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1 - Strengthening Public Employment Services (PES) </w:t>
            </w:r>
          </w:p>
        </w:tc>
        <w:tc>
          <w:tcPr>
            <w:tcW w:w="1559" w:type="dxa"/>
            <w:shd w:val="clear" w:color="auto" w:fill="C6EFCE"/>
            <w:tcMar>
              <w:left w:w="108" w:type="dxa"/>
              <w:right w:w="108" w:type="dxa"/>
            </w:tcMar>
            <w:vAlign w:val="center"/>
          </w:tcPr>
          <w:p w14:paraId="2E2B423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4C983D47" w14:textId="4279421C" w:rsidR="0039681A" w:rsidRPr="00A36E36" w:rsidRDefault="0039681A">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100"/>
                <w:sz w:val="20"/>
                <w:szCs w:val="20"/>
                <w:lang w:val="en-IE" w:eastAsia="en-GB"/>
              </w:rPr>
              <w:t xml:space="preserve">Infrastructural activities in </w:t>
            </w:r>
            <w:r w:rsidRPr="00A36E36">
              <w:rPr>
                <w:rFonts w:ascii="Times New Roman" w:eastAsia="Times New Roman" w:hAnsi="Times New Roman" w:cs="Times New Roman"/>
                <w:noProof/>
                <w:color w:val="006100"/>
                <w:sz w:val="20"/>
                <w:szCs w:val="20"/>
                <w:lang w:val="en-IE" w:eastAsia="en-GB"/>
              </w:rPr>
              <w:t>Public Employment Services (PES)</w:t>
            </w:r>
          </w:p>
        </w:tc>
      </w:tr>
      <w:tr w:rsidR="0039681A" w:rsidRPr="0070054C" w14:paraId="2A44BF57" w14:textId="77777777" w:rsidTr="00CA574C">
        <w:trPr>
          <w:trHeight w:val="300"/>
        </w:trPr>
        <w:tc>
          <w:tcPr>
            <w:tcW w:w="1264" w:type="dxa"/>
            <w:shd w:val="clear" w:color="auto" w:fill="C6EFCE"/>
            <w:tcMar>
              <w:left w:w="108" w:type="dxa"/>
              <w:right w:w="108" w:type="dxa"/>
            </w:tcMar>
            <w:vAlign w:val="center"/>
          </w:tcPr>
          <w:p w14:paraId="7B987D5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M5C1-14</w:t>
            </w:r>
          </w:p>
        </w:tc>
        <w:tc>
          <w:tcPr>
            <w:tcW w:w="3402" w:type="dxa"/>
            <w:shd w:val="clear" w:color="auto" w:fill="C6EFCE"/>
            <w:tcMar>
              <w:left w:w="108" w:type="dxa"/>
              <w:right w:w="108" w:type="dxa"/>
            </w:tcMar>
            <w:vAlign w:val="center"/>
          </w:tcPr>
          <w:p w14:paraId="240D5A4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 Gender equality certification system</w:t>
            </w:r>
          </w:p>
        </w:tc>
        <w:tc>
          <w:tcPr>
            <w:tcW w:w="1559" w:type="dxa"/>
            <w:shd w:val="clear" w:color="auto" w:fill="C6EFCE"/>
            <w:tcMar>
              <w:left w:w="108" w:type="dxa"/>
              <w:right w:w="108" w:type="dxa"/>
            </w:tcMar>
            <w:vAlign w:val="center"/>
          </w:tcPr>
          <w:p w14:paraId="2F4E4B2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69A64227" w14:textId="40EA04E3" w:rsidR="0039681A" w:rsidRPr="00A36E36" w:rsidRDefault="0039681A">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100"/>
                <w:sz w:val="20"/>
                <w:szCs w:val="20"/>
                <w:lang w:val="en-IE" w:eastAsia="en-GB"/>
              </w:rPr>
              <w:t>Undertaking</w:t>
            </w:r>
            <w:r w:rsidRPr="00A36E36">
              <w:rPr>
                <w:rFonts w:ascii="Times New Roman" w:eastAsia="Times New Roman" w:hAnsi="Times New Roman" w:cs="Times New Roman"/>
                <w:noProof/>
                <w:color w:val="006100"/>
                <w:sz w:val="20"/>
                <w:szCs w:val="20"/>
                <w:lang w:val="en-IE" w:eastAsia="en-GB"/>
              </w:rPr>
              <w:t>s have obtained the gender equality certification</w:t>
            </w:r>
          </w:p>
        </w:tc>
      </w:tr>
      <w:tr w:rsidR="0039681A" w:rsidRPr="0070054C" w14:paraId="4FAC18B8" w14:textId="77777777" w:rsidTr="00CA574C">
        <w:trPr>
          <w:trHeight w:val="300"/>
        </w:trPr>
        <w:tc>
          <w:tcPr>
            <w:tcW w:w="1264" w:type="dxa"/>
            <w:shd w:val="clear" w:color="auto" w:fill="C6EFCE"/>
            <w:tcMar>
              <w:left w:w="108" w:type="dxa"/>
              <w:right w:w="108" w:type="dxa"/>
            </w:tcMar>
            <w:vAlign w:val="center"/>
          </w:tcPr>
          <w:p w14:paraId="2A6D390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M5C1-16</w:t>
            </w:r>
          </w:p>
        </w:tc>
        <w:tc>
          <w:tcPr>
            <w:tcW w:w="3402" w:type="dxa"/>
            <w:shd w:val="clear" w:color="auto" w:fill="C6EFCE"/>
            <w:tcMar>
              <w:left w:w="108" w:type="dxa"/>
              <w:right w:w="108" w:type="dxa"/>
            </w:tcMar>
            <w:vAlign w:val="center"/>
          </w:tcPr>
          <w:p w14:paraId="3B31CC3C"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4 - Universal Civil Service</w:t>
            </w:r>
          </w:p>
        </w:tc>
        <w:tc>
          <w:tcPr>
            <w:tcW w:w="1559" w:type="dxa"/>
            <w:shd w:val="clear" w:color="auto" w:fill="C6EFCE"/>
            <w:tcMar>
              <w:left w:w="108" w:type="dxa"/>
              <w:right w:w="108" w:type="dxa"/>
            </w:tcMar>
            <w:vAlign w:val="center"/>
          </w:tcPr>
          <w:p w14:paraId="0074FBF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22F29789" w14:textId="6CCA54B3"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Certificates issued for the Universal Civil Service projects</w:t>
            </w:r>
          </w:p>
        </w:tc>
      </w:tr>
      <w:tr w:rsidR="0039681A" w:rsidRPr="0070054C" w14:paraId="76EAFEE8" w14:textId="77777777" w:rsidTr="00CA574C">
        <w:trPr>
          <w:trHeight w:val="300"/>
        </w:trPr>
        <w:tc>
          <w:tcPr>
            <w:tcW w:w="1264" w:type="dxa"/>
            <w:shd w:val="clear" w:color="auto" w:fill="C6EFCE"/>
            <w:tcMar>
              <w:left w:w="108" w:type="dxa"/>
              <w:right w:w="108" w:type="dxa"/>
            </w:tcMar>
            <w:vAlign w:val="center"/>
          </w:tcPr>
          <w:p w14:paraId="41041D36" w14:textId="77777777" w:rsidR="0039681A" w:rsidRDefault="0039681A" w:rsidP="00351087">
            <w:pPr>
              <w:spacing w:after="0" w:line="240" w:lineRule="auto"/>
              <w:jc w:val="center"/>
              <w:rPr>
                <w:rFonts w:ascii="Times New Roman" w:eastAsia="Times New Roman" w:hAnsi="Times New Roman" w:cs="Times New Roman"/>
                <w:noProof/>
                <w:lang w:eastAsia="en-GB"/>
              </w:rPr>
            </w:pPr>
            <w:r w:rsidRPr="55954D16">
              <w:rPr>
                <w:rFonts w:ascii="Times New Roman" w:eastAsia="Times New Roman" w:hAnsi="Times New Roman" w:cs="Times New Roman"/>
                <w:noProof/>
                <w:color w:val="006100"/>
                <w:sz w:val="20"/>
                <w:szCs w:val="20"/>
                <w:lang w:eastAsia="en-GB"/>
              </w:rPr>
              <w:t>M7-3</w:t>
            </w:r>
          </w:p>
        </w:tc>
        <w:tc>
          <w:tcPr>
            <w:tcW w:w="3402" w:type="dxa"/>
            <w:shd w:val="clear" w:color="auto" w:fill="C6EFCE"/>
            <w:tcMar>
              <w:left w:w="108" w:type="dxa"/>
              <w:right w:w="108" w:type="dxa"/>
            </w:tcMar>
            <w:vAlign w:val="center"/>
          </w:tcPr>
          <w:p w14:paraId="55E16566"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1: Streamlining permitting procedures for renewable energy </w:t>
            </w:r>
          </w:p>
        </w:tc>
        <w:tc>
          <w:tcPr>
            <w:tcW w:w="1559" w:type="dxa"/>
            <w:shd w:val="clear" w:color="auto" w:fill="C6EFCE"/>
            <w:tcMar>
              <w:left w:w="108" w:type="dxa"/>
              <w:right w:w="108" w:type="dxa"/>
            </w:tcMar>
            <w:vAlign w:val="center"/>
          </w:tcPr>
          <w:p w14:paraId="42FBF084" w14:textId="77777777" w:rsidR="0039681A" w:rsidRDefault="0039681A" w:rsidP="00351087">
            <w:pPr>
              <w:spacing w:after="0" w:line="240" w:lineRule="auto"/>
              <w:jc w:val="center"/>
              <w:rPr>
                <w:rFonts w:ascii="Times New Roman" w:eastAsia="Times New Roman" w:hAnsi="Times New Roman" w:cs="Times New Roman"/>
                <w:noProof/>
                <w:lang w:eastAsia="en-GB"/>
              </w:rPr>
            </w:pPr>
            <w:r w:rsidRPr="6A6F3D43">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5646D876" w14:textId="292047DF"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Establishment of the digital platform for authorizations related to renewables</w:t>
            </w:r>
          </w:p>
        </w:tc>
      </w:tr>
      <w:tr w:rsidR="0039681A" w:rsidRPr="0070054C" w14:paraId="367EA2F7" w14:textId="77777777" w:rsidTr="00CA574C">
        <w:trPr>
          <w:trHeight w:val="300"/>
        </w:trPr>
        <w:tc>
          <w:tcPr>
            <w:tcW w:w="1264" w:type="dxa"/>
            <w:shd w:val="clear" w:color="auto" w:fill="C6EFCE"/>
            <w:tcMar>
              <w:left w:w="108" w:type="dxa"/>
              <w:right w:w="108" w:type="dxa"/>
            </w:tcMar>
            <w:vAlign w:val="center"/>
          </w:tcPr>
          <w:p w14:paraId="3041F488"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M7-11</w:t>
            </w:r>
          </w:p>
        </w:tc>
        <w:tc>
          <w:tcPr>
            <w:tcW w:w="3402" w:type="dxa"/>
            <w:shd w:val="clear" w:color="auto" w:fill="C6EFCE"/>
            <w:tcMar>
              <w:left w:w="108" w:type="dxa"/>
              <w:right w:w="108" w:type="dxa"/>
            </w:tcMar>
            <w:vAlign w:val="center"/>
          </w:tcPr>
          <w:p w14:paraId="6D4ECEC2"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 Scale-up measure: Smart grids</w:t>
            </w:r>
          </w:p>
        </w:tc>
        <w:tc>
          <w:tcPr>
            <w:tcW w:w="1559" w:type="dxa"/>
            <w:shd w:val="clear" w:color="auto" w:fill="C6EFCE"/>
            <w:tcMar>
              <w:left w:w="108" w:type="dxa"/>
              <w:right w:w="108" w:type="dxa"/>
            </w:tcMar>
            <w:vAlign w:val="center"/>
          </w:tcPr>
          <w:p w14:paraId="035EE204" w14:textId="5671FEC4" w:rsidR="0039681A" w:rsidRPr="00647572" w:rsidRDefault="0039681A" w:rsidP="00351087">
            <w:pPr>
              <w:spacing w:after="0" w:line="240" w:lineRule="auto"/>
              <w:jc w:val="center"/>
              <w:rPr>
                <w:rFonts w:ascii="Times New Roman" w:eastAsia="Times New Roman" w:hAnsi="Times New Roman" w:cs="Times New Roman"/>
                <w:noProof/>
                <w:lang w:eastAsia="en-GB"/>
              </w:rPr>
            </w:pPr>
            <w:r>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6A11588A" w14:textId="6E478D5A" w:rsidR="0039681A" w:rsidRPr="00A36E36" w:rsidRDefault="0039681A" w:rsidP="00351087">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100"/>
                <w:sz w:val="20"/>
                <w:szCs w:val="20"/>
                <w:lang w:val="en-IE" w:eastAsia="en-GB"/>
              </w:rPr>
              <w:t>Increase in maximum power delivered for consumption by the grid</w:t>
            </w:r>
          </w:p>
        </w:tc>
      </w:tr>
      <w:tr w:rsidR="0039681A" w:rsidRPr="0070054C" w14:paraId="7D3D57D4" w14:textId="77777777" w:rsidTr="00CA574C">
        <w:trPr>
          <w:trHeight w:val="300"/>
        </w:trPr>
        <w:tc>
          <w:tcPr>
            <w:tcW w:w="1264" w:type="dxa"/>
            <w:shd w:val="clear" w:color="auto" w:fill="C6EFCE"/>
            <w:tcMar>
              <w:left w:w="108" w:type="dxa"/>
              <w:right w:w="108" w:type="dxa"/>
            </w:tcMar>
            <w:vAlign w:val="center"/>
          </w:tcPr>
          <w:p w14:paraId="333EA8BC"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M7-12</w:t>
            </w:r>
          </w:p>
        </w:tc>
        <w:tc>
          <w:tcPr>
            <w:tcW w:w="3402" w:type="dxa"/>
            <w:shd w:val="clear" w:color="auto" w:fill="C6EFCE"/>
            <w:tcMar>
              <w:left w:w="108" w:type="dxa"/>
              <w:right w:w="108" w:type="dxa"/>
            </w:tcMar>
            <w:vAlign w:val="center"/>
          </w:tcPr>
          <w:p w14:paraId="05DC0752"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Scale-up measure: Interventions to increase the resilience of power grid</w:t>
            </w:r>
          </w:p>
        </w:tc>
        <w:tc>
          <w:tcPr>
            <w:tcW w:w="1559" w:type="dxa"/>
            <w:shd w:val="clear" w:color="auto" w:fill="C6EFCE"/>
            <w:tcMar>
              <w:left w:w="108" w:type="dxa"/>
              <w:right w:w="108" w:type="dxa"/>
            </w:tcMar>
            <w:vAlign w:val="center"/>
          </w:tcPr>
          <w:p w14:paraId="65119227" w14:textId="4A06A1F7" w:rsidR="0039681A" w:rsidRPr="00647572" w:rsidRDefault="0039681A" w:rsidP="00351087">
            <w:pPr>
              <w:spacing w:after="0" w:line="240" w:lineRule="auto"/>
              <w:jc w:val="center"/>
              <w:rPr>
                <w:rFonts w:ascii="Times New Roman" w:eastAsia="Times New Roman" w:hAnsi="Times New Roman" w:cs="Times New Roman"/>
                <w:noProof/>
                <w:lang w:eastAsia="en-GB"/>
              </w:rPr>
            </w:pPr>
            <w:r>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6E20D94D" w14:textId="08D7056B"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Increase the resilience of the electric </w:t>
            </w:r>
            <w:r>
              <w:rPr>
                <w:rFonts w:ascii="Times New Roman" w:eastAsia="Times New Roman" w:hAnsi="Times New Roman" w:cs="Times New Roman"/>
                <w:noProof/>
                <w:color w:val="006100"/>
                <w:sz w:val="20"/>
                <w:szCs w:val="20"/>
                <w:lang w:val="en-IE" w:eastAsia="en-GB"/>
              </w:rPr>
              <w:t>grid</w:t>
            </w:r>
          </w:p>
        </w:tc>
      </w:tr>
      <w:tr w:rsidR="0039681A" w:rsidRPr="00647572" w14:paraId="516FA87B" w14:textId="77777777" w:rsidTr="00CA574C">
        <w:trPr>
          <w:trHeight w:val="300"/>
        </w:trPr>
        <w:tc>
          <w:tcPr>
            <w:tcW w:w="1264" w:type="dxa"/>
            <w:shd w:val="clear" w:color="auto" w:fill="C6EFCE"/>
            <w:tcMar>
              <w:left w:w="108" w:type="dxa"/>
              <w:right w:w="108" w:type="dxa"/>
            </w:tcMar>
            <w:vAlign w:val="center"/>
          </w:tcPr>
          <w:p w14:paraId="355F5FC5"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M7-13</w:t>
            </w:r>
          </w:p>
        </w:tc>
        <w:tc>
          <w:tcPr>
            <w:tcW w:w="3402" w:type="dxa"/>
            <w:shd w:val="clear" w:color="auto" w:fill="C6EFCE"/>
            <w:tcMar>
              <w:left w:w="108" w:type="dxa"/>
              <w:right w:w="108" w:type="dxa"/>
            </w:tcMar>
            <w:vAlign w:val="center"/>
          </w:tcPr>
          <w:p w14:paraId="26E9D6DE"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Scale-up measure: Production of Hydrogen in brownfield sites (Hydrogen Valleys)</w:t>
            </w:r>
          </w:p>
        </w:tc>
        <w:tc>
          <w:tcPr>
            <w:tcW w:w="1559" w:type="dxa"/>
            <w:shd w:val="clear" w:color="auto" w:fill="C6EFCE"/>
            <w:tcMar>
              <w:left w:w="108" w:type="dxa"/>
              <w:right w:w="108" w:type="dxa"/>
            </w:tcMar>
            <w:vAlign w:val="center"/>
          </w:tcPr>
          <w:p w14:paraId="73E4D55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2CDA655F" w14:textId="27DA9531" w:rsidR="0039681A" w:rsidRPr="00647572" w:rsidRDefault="0039681A" w:rsidP="00351087">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color w:val="006100"/>
                <w:sz w:val="20"/>
                <w:szCs w:val="20"/>
                <w:lang w:eastAsia="en-GB"/>
              </w:rPr>
              <w:t>Electrolysers installed</w:t>
            </w:r>
          </w:p>
        </w:tc>
      </w:tr>
      <w:tr w:rsidR="0039681A" w:rsidRPr="00647572" w14:paraId="2CD5EDF3" w14:textId="77777777" w:rsidTr="00CA574C">
        <w:trPr>
          <w:trHeight w:val="300"/>
        </w:trPr>
        <w:tc>
          <w:tcPr>
            <w:tcW w:w="1264" w:type="dxa"/>
            <w:shd w:val="clear" w:color="auto" w:fill="C6EFCE"/>
            <w:tcMar>
              <w:left w:w="108" w:type="dxa"/>
              <w:right w:w="108" w:type="dxa"/>
            </w:tcMar>
            <w:vAlign w:val="center"/>
          </w:tcPr>
          <w:p w14:paraId="439F4EA6"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M7-15</w:t>
            </w:r>
          </w:p>
        </w:tc>
        <w:tc>
          <w:tcPr>
            <w:tcW w:w="3402" w:type="dxa"/>
            <w:shd w:val="clear" w:color="auto" w:fill="C6EFCE"/>
            <w:tcMar>
              <w:left w:w="108" w:type="dxa"/>
              <w:right w:w="108" w:type="dxa"/>
            </w:tcMar>
            <w:vAlign w:val="center"/>
          </w:tcPr>
          <w:p w14:paraId="51991995" w14:textId="77777777" w:rsidR="0039681A" w:rsidRPr="00647572" w:rsidRDefault="0039681A" w:rsidP="00351087">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4: Tyrrhenian link</w:t>
            </w:r>
          </w:p>
        </w:tc>
        <w:tc>
          <w:tcPr>
            <w:tcW w:w="1559" w:type="dxa"/>
            <w:shd w:val="clear" w:color="auto" w:fill="C6EFCE"/>
            <w:tcMar>
              <w:left w:w="108" w:type="dxa"/>
              <w:right w:w="108" w:type="dxa"/>
            </w:tcMar>
            <w:vAlign w:val="center"/>
          </w:tcPr>
          <w:p w14:paraId="79775CD1"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7330A925" w14:textId="77777777" w:rsidR="0039681A" w:rsidRPr="00647572" w:rsidRDefault="0039681A" w:rsidP="00351087">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Cable</w:t>
            </w:r>
            <w:r>
              <w:rPr>
                <w:rFonts w:ascii="Times New Roman" w:eastAsia="Times New Roman" w:hAnsi="Times New Roman" w:cs="Times New Roman"/>
                <w:noProof/>
                <w:color w:val="006100"/>
                <w:sz w:val="20"/>
                <w:szCs w:val="20"/>
                <w:lang w:eastAsia="en-GB"/>
              </w:rPr>
              <w:t>(s)</w:t>
            </w:r>
            <w:r w:rsidRPr="00647572">
              <w:rPr>
                <w:rFonts w:ascii="Times New Roman" w:eastAsia="Times New Roman" w:hAnsi="Times New Roman" w:cs="Times New Roman"/>
                <w:noProof/>
                <w:color w:val="006100"/>
                <w:sz w:val="20"/>
                <w:szCs w:val="20"/>
                <w:lang w:eastAsia="en-GB"/>
              </w:rPr>
              <w:t xml:space="preserve"> laid down</w:t>
            </w:r>
          </w:p>
        </w:tc>
      </w:tr>
      <w:tr w:rsidR="0039681A" w:rsidRPr="0070054C" w14:paraId="498A587F" w14:textId="77777777" w:rsidTr="00CA574C">
        <w:trPr>
          <w:trHeight w:val="300"/>
        </w:trPr>
        <w:tc>
          <w:tcPr>
            <w:tcW w:w="1264" w:type="dxa"/>
            <w:shd w:val="clear" w:color="auto" w:fill="C6EFCE"/>
            <w:tcMar>
              <w:left w:w="108" w:type="dxa"/>
              <w:right w:w="108" w:type="dxa"/>
            </w:tcMar>
            <w:vAlign w:val="center"/>
          </w:tcPr>
          <w:p w14:paraId="26164059"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M7-17</w:t>
            </w:r>
          </w:p>
        </w:tc>
        <w:tc>
          <w:tcPr>
            <w:tcW w:w="3402" w:type="dxa"/>
            <w:shd w:val="clear" w:color="auto" w:fill="C6EFCE"/>
            <w:tcMar>
              <w:left w:w="108" w:type="dxa"/>
              <w:right w:w="108" w:type="dxa"/>
            </w:tcMar>
            <w:vAlign w:val="center"/>
          </w:tcPr>
          <w:p w14:paraId="3EAF4B3B" w14:textId="77777777" w:rsidR="0039681A" w:rsidRPr="00647572" w:rsidRDefault="0039681A" w:rsidP="00351087">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5: SA.CO.I.3</w:t>
            </w:r>
          </w:p>
        </w:tc>
        <w:tc>
          <w:tcPr>
            <w:tcW w:w="1559" w:type="dxa"/>
            <w:shd w:val="clear" w:color="auto" w:fill="C6EFCE"/>
            <w:tcMar>
              <w:left w:w="108" w:type="dxa"/>
              <w:right w:w="108" w:type="dxa"/>
            </w:tcMar>
            <w:vAlign w:val="center"/>
          </w:tcPr>
          <w:p w14:paraId="65E5F969"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429E2F53" w14:textId="079A4588"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w:t>
            </w:r>
            <w:r>
              <w:rPr>
                <w:rFonts w:ascii="Times New Roman" w:eastAsia="Times New Roman" w:hAnsi="Times New Roman" w:cs="Times New Roman"/>
                <w:noProof/>
                <w:color w:val="006100"/>
                <w:sz w:val="20"/>
                <w:szCs w:val="20"/>
                <w:lang w:val="en-IE" w:eastAsia="en-GB"/>
              </w:rPr>
              <w:t xml:space="preserve">nstruction </w:t>
            </w:r>
            <w:r w:rsidRPr="00A36E36">
              <w:rPr>
                <w:rFonts w:ascii="Times New Roman" w:eastAsia="Times New Roman" w:hAnsi="Times New Roman" w:cs="Times New Roman"/>
                <w:noProof/>
                <w:color w:val="006100"/>
                <w:sz w:val="20"/>
                <w:szCs w:val="20"/>
                <w:lang w:val="en-IE" w:eastAsia="en-GB"/>
              </w:rPr>
              <w:t>of</w:t>
            </w:r>
            <w:r>
              <w:rPr>
                <w:rFonts w:ascii="Times New Roman" w:eastAsia="Times New Roman" w:hAnsi="Times New Roman" w:cs="Times New Roman"/>
                <w:noProof/>
                <w:color w:val="006100"/>
                <w:sz w:val="20"/>
                <w:szCs w:val="20"/>
                <w:lang w:val="en-IE" w:eastAsia="en-GB"/>
              </w:rPr>
              <w:t xml:space="preserve"> the</w:t>
            </w:r>
            <w:r w:rsidRPr="00A36E36">
              <w:rPr>
                <w:rFonts w:ascii="Times New Roman" w:eastAsia="Times New Roman" w:hAnsi="Times New Roman" w:cs="Times New Roman"/>
                <w:noProof/>
                <w:color w:val="006100"/>
                <w:sz w:val="20"/>
                <w:szCs w:val="20"/>
                <w:lang w:val="en-IE" w:eastAsia="en-GB"/>
              </w:rPr>
              <w:t xml:space="preserve"> shells of</w:t>
            </w:r>
            <w:r>
              <w:rPr>
                <w:rFonts w:ascii="Times New Roman" w:eastAsia="Times New Roman" w:hAnsi="Times New Roman" w:cs="Times New Roman"/>
                <w:noProof/>
                <w:color w:val="006100"/>
                <w:sz w:val="20"/>
                <w:szCs w:val="20"/>
                <w:lang w:val="en-IE" w:eastAsia="en-GB"/>
              </w:rPr>
              <w:t xml:space="preserve"> the</w:t>
            </w:r>
            <w:r w:rsidRPr="00A36E36">
              <w:rPr>
                <w:rFonts w:ascii="Times New Roman" w:eastAsia="Times New Roman" w:hAnsi="Times New Roman" w:cs="Times New Roman"/>
                <w:noProof/>
                <w:color w:val="006100"/>
                <w:sz w:val="20"/>
                <w:szCs w:val="20"/>
                <w:lang w:val="en-IE" w:eastAsia="en-GB"/>
              </w:rPr>
              <w:t xml:space="preserve"> conversion stations in Sardinia (Codrongianos) and Tuscany (Suvereto)</w:t>
            </w:r>
          </w:p>
        </w:tc>
      </w:tr>
      <w:tr w:rsidR="0039681A" w:rsidRPr="0070054C" w14:paraId="496AE5C4" w14:textId="77777777" w:rsidTr="00CA574C">
        <w:trPr>
          <w:trHeight w:val="300"/>
        </w:trPr>
        <w:tc>
          <w:tcPr>
            <w:tcW w:w="1264" w:type="dxa"/>
            <w:shd w:val="clear" w:color="auto" w:fill="C6EFCE"/>
            <w:tcMar>
              <w:left w:w="108" w:type="dxa"/>
              <w:right w:w="108" w:type="dxa"/>
            </w:tcMar>
            <w:vAlign w:val="center"/>
          </w:tcPr>
          <w:p w14:paraId="5B71D5B4"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M7-22</w:t>
            </w:r>
          </w:p>
        </w:tc>
        <w:tc>
          <w:tcPr>
            <w:tcW w:w="3402" w:type="dxa"/>
            <w:shd w:val="clear" w:color="auto" w:fill="C6EFCE"/>
            <w:tcMar>
              <w:left w:w="108" w:type="dxa"/>
              <w:right w:w="108" w:type="dxa"/>
            </w:tcMar>
            <w:vAlign w:val="center"/>
          </w:tcPr>
          <w:p w14:paraId="392044DD"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7: Smart National Transmission Grid</w:t>
            </w:r>
          </w:p>
        </w:tc>
        <w:tc>
          <w:tcPr>
            <w:tcW w:w="1559" w:type="dxa"/>
            <w:shd w:val="clear" w:color="auto" w:fill="C6EFCE"/>
            <w:tcMar>
              <w:left w:w="108" w:type="dxa"/>
              <w:right w:w="108" w:type="dxa"/>
            </w:tcMar>
            <w:vAlign w:val="center"/>
          </w:tcPr>
          <w:p w14:paraId="25FEB066"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36C1F1ED" w14:textId="446A25E2"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Installation of 5G equipment, ICT architecture, </w:t>
            </w:r>
            <w:r>
              <w:rPr>
                <w:rFonts w:ascii="Times New Roman" w:eastAsia="Times New Roman" w:hAnsi="Times New Roman" w:cs="Times New Roman"/>
                <w:noProof/>
                <w:color w:val="006100"/>
                <w:sz w:val="20"/>
                <w:szCs w:val="20"/>
                <w:lang w:val="en-IE" w:eastAsia="en-GB"/>
              </w:rPr>
              <w:t xml:space="preserve">information communication technology architecture, </w:t>
            </w:r>
            <w:r w:rsidRPr="00A36E36">
              <w:rPr>
                <w:rFonts w:ascii="Times New Roman" w:eastAsia="Times New Roman" w:hAnsi="Times New Roman" w:cs="Times New Roman"/>
                <w:noProof/>
                <w:color w:val="006100"/>
                <w:sz w:val="20"/>
                <w:szCs w:val="20"/>
                <w:lang w:val="en-IE" w:eastAsia="en-GB"/>
              </w:rPr>
              <w:t xml:space="preserve">secure protocol 104 in electric stations and </w:t>
            </w:r>
            <w:r>
              <w:rPr>
                <w:rFonts w:ascii="Times New Roman" w:eastAsia="Times New Roman" w:hAnsi="Times New Roman" w:cs="Times New Roman"/>
                <w:noProof/>
                <w:color w:val="006100"/>
                <w:sz w:val="20"/>
                <w:szCs w:val="20"/>
                <w:lang w:val="en-IE" w:eastAsia="en-GB"/>
              </w:rPr>
              <w:t>monitoring systems</w:t>
            </w:r>
            <w:r w:rsidRPr="00A36E36">
              <w:rPr>
                <w:rFonts w:ascii="Times New Roman" w:eastAsia="Times New Roman" w:hAnsi="Times New Roman" w:cs="Times New Roman"/>
                <w:noProof/>
                <w:color w:val="006100"/>
                <w:sz w:val="20"/>
                <w:szCs w:val="20"/>
                <w:lang w:val="en-IE" w:eastAsia="en-GB"/>
              </w:rPr>
              <w:t xml:space="preserve"> in electricity pylons</w:t>
            </w:r>
          </w:p>
        </w:tc>
      </w:tr>
      <w:tr w:rsidR="0039681A" w:rsidRPr="0070054C" w14:paraId="756FACA5" w14:textId="77777777" w:rsidTr="00CA574C">
        <w:trPr>
          <w:trHeight w:val="300"/>
        </w:trPr>
        <w:tc>
          <w:tcPr>
            <w:tcW w:w="1264" w:type="dxa"/>
            <w:shd w:val="clear" w:color="auto" w:fill="C6EFCE"/>
            <w:tcMar>
              <w:left w:w="108" w:type="dxa"/>
              <w:right w:w="108" w:type="dxa"/>
            </w:tcMar>
            <w:vAlign w:val="center"/>
          </w:tcPr>
          <w:p w14:paraId="24FD73C9"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M7-27</w:t>
            </w:r>
          </w:p>
        </w:tc>
        <w:tc>
          <w:tcPr>
            <w:tcW w:w="3402" w:type="dxa"/>
            <w:shd w:val="clear" w:color="auto" w:fill="C6EFCE"/>
            <w:tcMar>
              <w:left w:w="108" w:type="dxa"/>
              <w:right w:w="108" w:type="dxa"/>
            </w:tcMar>
            <w:vAlign w:val="center"/>
          </w:tcPr>
          <w:p w14:paraId="2A4FA8DB"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8: Sustainable, circular and secure supply of Critical Raw Materials</w:t>
            </w:r>
          </w:p>
        </w:tc>
        <w:tc>
          <w:tcPr>
            <w:tcW w:w="1559" w:type="dxa"/>
            <w:shd w:val="clear" w:color="auto" w:fill="C6EFCE"/>
            <w:tcMar>
              <w:left w:w="108" w:type="dxa"/>
              <w:right w:w="108" w:type="dxa"/>
            </w:tcMar>
            <w:vAlign w:val="center"/>
          </w:tcPr>
          <w:p w14:paraId="4D0DB44C"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21CAA02D" w14:textId="373C20C6" w:rsidR="0039681A" w:rsidRPr="00A36E36" w:rsidRDefault="0039681A" w:rsidP="00351087">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100"/>
                <w:sz w:val="20"/>
                <w:szCs w:val="20"/>
                <w:lang w:val="en-IE" w:eastAsia="en-GB"/>
              </w:rPr>
              <w:t>E</w:t>
            </w:r>
            <w:r w:rsidRPr="00A36E36">
              <w:rPr>
                <w:rFonts w:ascii="Times New Roman" w:eastAsia="Times New Roman" w:hAnsi="Times New Roman" w:cs="Times New Roman"/>
                <w:noProof/>
                <w:color w:val="006100"/>
                <w:sz w:val="20"/>
                <w:szCs w:val="20"/>
                <w:lang w:val="en-IE" w:eastAsia="en-GB"/>
              </w:rPr>
              <w:t xml:space="preserve">quipment of laboratories on Urban mining and eco-design </w:t>
            </w:r>
          </w:p>
        </w:tc>
      </w:tr>
      <w:tr w:rsidR="0039681A" w:rsidRPr="00647572" w14:paraId="742879EC" w14:textId="77777777" w:rsidTr="00CA574C">
        <w:trPr>
          <w:trHeight w:val="300"/>
        </w:trPr>
        <w:tc>
          <w:tcPr>
            <w:tcW w:w="1264" w:type="dxa"/>
            <w:shd w:val="clear" w:color="auto" w:fill="C6EFCE"/>
            <w:tcMar>
              <w:left w:w="108" w:type="dxa"/>
              <w:right w:w="108" w:type="dxa"/>
            </w:tcMar>
            <w:vAlign w:val="center"/>
          </w:tcPr>
          <w:p w14:paraId="583F2F06"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M7-31</w:t>
            </w:r>
          </w:p>
        </w:tc>
        <w:tc>
          <w:tcPr>
            <w:tcW w:w="3402" w:type="dxa"/>
            <w:shd w:val="clear" w:color="auto" w:fill="C6EFCE"/>
            <w:tcMar>
              <w:left w:w="108" w:type="dxa"/>
              <w:right w:w="108" w:type="dxa"/>
            </w:tcMar>
            <w:vAlign w:val="center"/>
          </w:tcPr>
          <w:p w14:paraId="0AFBE767" w14:textId="529D5A88"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Strengthening of the regional public transport railway fleet with zero emission trains and universal service</w:t>
            </w:r>
          </w:p>
        </w:tc>
        <w:tc>
          <w:tcPr>
            <w:tcW w:w="1559" w:type="dxa"/>
            <w:shd w:val="clear" w:color="auto" w:fill="C6EFCE"/>
            <w:tcMar>
              <w:left w:w="108" w:type="dxa"/>
              <w:right w:w="108" w:type="dxa"/>
            </w:tcMar>
            <w:vAlign w:val="center"/>
          </w:tcPr>
          <w:p w14:paraId="7CE9154F"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14E36F10" w14:textId="18C22552" w:rsidR="0039681A" w:rsidRPr="00647572" w:rsidRDefault="0039681A" w:rsidP="00351087">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Number of trains </w:t>
            </w:r>
            <w:r>
              <w:rPr>
                <w:rFonts w:ascii="Times New Roman" w:eastAsia="Times New Roman" w:hAnsi="Times New Roman" w:cs="Times New Roman"/>
                <w:noProof/>
                <w:color w:val="006100"/>
                <w:sz w:val="20"/>
                <w:szCs w:val="20"/>
                <w:lang w:eastAsia="en-GB"/>
              </w:rPr>
              <w:t>procured</w:t>
            </w:r>
          </w:p>
        </w:tc>
      </w:tr>
      <w:tr w:rsidR="0039681A" w:rsidRPr="00647572" w14:paraId="734E1E7B" w14:textId="77777777" w:rsidTr="00CA574C">
        <w:trPr>
          <w:trHeight w:val="300"/>
        </w:trPr>
        <w:tc>
          <w:tcPr>
            <w:tcW w:w="1264" w:type="dxa"/>
            <w:shd w:val="clear" w:color="auto" w:fill="C6EFCE"/>
            <w:tcMar>
              <w:left w:w="108" w:type="dxa"/>
              <w:right w:w="108" w:type="dxa"/>
            </w:tcMar>
            <w:vAlign w:val="center"/>
          </w:tcPr>
          <w:p w14:paraId="4FDA4D04"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M2C2-30</w:t>
            </w:r>
          </w:p>
        </w:tc>
        <w:tc>
          <w:tcPr>
            <w:tcW w:w="3402" w:type="dxa"/>
            <w:shd w:val="clear" w:color="auto" w:fill="C6EFCE"/>
            <w:tcMar>
              <w:left w:w="108" w:type="dxa"/>
              <w:right w:w="108" w:type="dxa"/>
            </w:tcMar>
            <w:vAlign w:val="center"/>
          </w:tcPr>
          <w:p w14:paraId="04C97D14"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4.5 - Private and light commercial vehicle fleet renewal program with electric vehicles</w:t>
            </w:r>
          </w:p>
        </w:tc>
        <w:tc>
          <w:tcPr>
            <w:tcW w:w="1559" w:type="dxa"/>
            <w:shd w:val="clear" w:color="auto" w:fill="C6EFCE"/>
            <w:tcMar>
              <w:left w:w="108" w:type="dxa"/>
              <w:right w:w="108" w:type="dxa"/>
            </w:tcMar>
            <w:vAlign w:val="center"/>
          </w:tcPr>
          <w:p w14:paraId="40D02DF3"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shd w:val="clear" w:color="auto" w:fill="C6EFCE"/>
            <w:tcMar>
              <w:left w:w="108" w:type="dxa"/>
              <w:right w:w="108" w:type="dxa"/>
            </w:tcMar>
            <w:vAlign w:val="center"/>
          </w:tcPr>
          <w:p w14:paraId="0D7F9A46" w14:textId="77777777" w:rsidR="0039681A" w:rsidRPr="00647572" w:rsidRDefault="0039681A" w:rsidP="00351087">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Number of vehicles purchased</w:t>
            </w:r>
          </w:p>
        </w:tc>
      </w:tr>
      <w:tr w:rsidR="0039681A" w:rsidRPr="0070054C" w14:paraId="73BF8A81" w14:textId="77777777" w:rsidTr="00CA574C">
        <w:trPr>
          <w:trHeight w:val="300"/>
        </w:trPr>
        <w:tc>
          <w:tcPr>
            <w:tcW w:w="1264" w:type="dxa"/>
            <w:shd w:val="clear" w:color="auto" w:fill="C6EFCE"/>
            <w:tcMar>
              <w:left w:w="108" w:type="dxa"/>
              <w:right w:w="108" w:type="dxa"/>
            </w:tcMar>
            <w:vAlign w:val="center"/>
          </w:tcPr>
          <w:p w14:paraId="16F45796"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M1C2-14ter</w:t>
            </w:r>
          </w:p>
        </w:tc>
        <w:tc>
          <w:tcPr>
            <w:tcW w:w="3402" w:type="dxa"/>
            <w:shd w:val="clear" w:color="auto" w:fill="C6EFCE"/>
            <w:tcMar>
              <w:left w:w="108" w:type="dxa"/>
              <w:right w:w="108" w:type="dxa"/>
            </w:tcMar>
            <w:vAlign w:val="center"/>
          </w:tcPr>
          <w:p w14:paraId="36D0D58F" w14:textId="490EFF4E"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3: </w:t>
            </w:r>
            <w:r w:rsidRPr="0B5EA1D7">
              <w:rPr>
                <w:rFonts w:ascii="Times New Roman" w:eastAsia="Times New Roman" w:hAnsi="Times New Roman" w:cs="Times New Roman"/>
                <w:noProof/>
                <w:color w:val="006100"/>
                <w:sz w:val="20"/>
                <w:szCs w:val="20"/>
                <w:lang w:val="en-IE" w:eastAsia="en-GB"/>
              </w:rPr>
              <w:t>Framework for s</w:t>
            </w:r>
            <w:r w:rsidRPr="00A36E36">
              <w:rPr>
                <w:rFonts w:ascii="Times New Roman" w:eastAsia="Times New Roman" w:hAnsi="Times New Roman" w:cs="Times New Roman"/>
                <w:noProof/>
                <w:color w:val="006100"/>
                <w:sz w:val="20"/>
                <w:szCs w:val="20"/>
                <w:lang w:val="en-IE" w:eastAsia="en-GB"/>
              </w:rPr>
              <w:t>implification of incentives for firms.</w:t>
            </w:r>
          </w:p>
        </w:tc>
        <w:tc>
          <w:tcPr>
            <w:tcW w:w="1559" w:type="dxa"/>
            <w:shd w:val="clear" w:color="auto" w:fill="C6EFCE"/>
            <w:tcMar>
              <w:left w:w="108" w:type="dxa"/>
              <w:right w:w="108" w:type="dxa"/>
            </w:tcMar>
            <w:vAlign w:val="center"/>
          </w:tcPr>
          <w:p w14:paraId="049D8E0B"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2B5EED3A" w14:textId="5F653B2F"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w:t>
            </w:r>
            <w:r>
              <w:rPr>
                <w:rFonts w:ascii="Times New Roman" w:eastAsia="Times New Roman" w:hAnsi="Times New Roman" w:cs="Times New Roman"/>
                <w:noProof/>
                <w:color w:val="006100"/>
                <w:sz w:val="20"/>
                <w:szCs w:val="20"/>
                <w:lang w:val="en-IE" w:eastAsia="en-GB"/>
              </w:rPr>
              <w:t>primary legislation</w:t>
            </w:r>
          </w:p>
        </w:tc>
      </w:tr>
      <w:tr w:rsidR="0039681A" w:rsidRPr="0070054C" w14:paraId="776586B4" w14:textId="77777777" w:rsidTr="00CA574C">
        <w:trPr>
          <w:trHeight w:val="300"/>
        </w:trPr>
        <w:tc>
          <w:tcPr>
            <w:tcW w:w="1264" w:type="dxa"/>
            <w:shd w:val="clear" w:color="auto" w:fill="C6EFCE"/>
            <w:tcMar>
              <w:left w:w="108" w:type="dxa"/>
              <w:right w:w="108" w:type="dxa"/>
            </w:tcMar>
            <w:vAlign w:val="center"/>
          </w:tcPr>
          <w:p w14:paraId="16317F29"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M4C1-14ter</w:t>
            </w:r>
          </w:p>
        </w:tc>
        <w:tc>
          <w:tcPr>
            <w:tcW w:w="3402" w:type="dxa"/>
            <w:shd w:val="clear" w:color="auto" w:fill="C6EFCE"/>
            <w:tcMar>
              <w:left w:w="108" w:type="dxa"/>
              <w:right w:w="108" w:type="dxa"/>
            </w:tcMar>
            <w:vAlign w:val="center"/>
          </w:tcPr>
          <w:p w14:paraId="03E80AF6" w14:textId="77777777" w:rsidR="0039681A" w:rsidRPr="00647572" w:rsidRDefault="0039681A" w:rsidP="00351087">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Reform 2.1: Teachers’ recruitment</w:t>
            </w:r>
          </w:p>
        </w:tc>
        <w:tc>
          <w:tcPr>
            <w:tcW w:w="1559" w:type="dxa"/>
            <w:shd w:val="clear" w:color="auto" w:fill="C6EFCE"/>
            <w:tcMar>
              <w:left w:w="108" w:type="dxa"/>
              <w:right w:w="108" w:type="dxa"/>
            </w:tcMar>
            <w:vAlign w:val="center"/>
          </w:tcPr>
          <w:p w14:paraId="77F92248"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2BA516B9" w14:textId="499C70D6" w:rsidR="0039681A" w:rsidRPr="00A36E36" w:rsidRDefault="0039681A" w:rsidP="00351087">
            <w:pPr>
              <w:spacing w:after="0" w:line="240" w:lineRule="auto"/>
              <w:rPr>
                <w:rFonts w:ascii="Times New Roman" w:eastAsia="Times New Roman" w:hAnsi="Times New Roman" w:cs="Times New Roman"/>
                <w:noProof/>
                <w:lang w:val="en-IE" w:eastAsia="en-GB"/>
              </w:rPr>
            </w:pPr>
            <w:r w:rsidRPr="00AF5341">
              <w:rPr>
                <w:rFonts w:ascii="Times New Roman" w:eastAsia="Times New Roman" w:hAnsi="Times New Roman" w:cs="Times New Roman"/>
                <w:noProof/>
                <w:color w:val="006100"/>
                <w:sz w:val="20"/>
                <w:szCs w:val="20"/>
                <w:lang w:val="en-IE" w:eastAsia="en-GB"/>
              </w:rPr>
              <w:t>Decrees approving teachers public competition </w:t>
            </w:r>
            <w:r w:rsidRPr="00AF5341">
              <w:rPr>
                <w:rFonts w:ascii="Times New Roman" w:eastAsia="Times New Roman" w:hAnsi="Times New Roman" w:cs="Times New Roman"/>
                <w:noProof/>
                <w:color w:val="006100"/>
                <w:sz w:val="20"/>
                <w:szCs w:val="20"/>
                <w:u w:val="single"/>
                <w:lang w:val="en-IE" w:eastAsia="en-GB"/>
              </w:rPr>
              <w:t>lists</w:t>
            </w:r>
          </w:p>
        </w:tc>
      </w:tr>
      <w:tr w:rsidR="0039681A" w:rsidRPr="0070054C" w14:paraId="17EFFC07" w14:textId="77777777" w:rsidTr="00CA574C">
        <w:trPr>
          <w:trHeight w:val="300"/>
        </w:trPr>
        <w:tc>
          <w:tcPr>
            <w:tcW w:w="1264" w:type="dxa"/>
            <w:shd w:val="clear" w:color="auto" w:fill="C6EFCE"/>
            <w:tcMar>
              <w:left w:w="108" w:type="dxa"/>
              <w:right w:w="108" w:type="dxa"/>
            </w:tcMar>
            <w:vAlign w:val="center"/>
          </w:tcPr>
          <w:p w14:paraId="0CED9CE2"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M1C1-121bis</w:t>
            </w:r>
          </w:p>
        </w:tc>
        <w:tc>
          <w:tcPr>
            <w:tcW w:w="3402" w:type="dxa"/>
            <w:shd w:val="clear" w:color="auto" w:fill="C6EFCE"/>
            <w:tcMar>
              <w:left w:w="108" w:type="dxa"/>
              <w:right w:w="108" w:type="dxa"/>
            </w:tcMar>
            <w:vAlign w:val="center"/>
          </w:tcPr>
          <w:p w14:paraId="12A83663"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1.12: Reform of the tax administration</w:t>
            </w:r>
          </w:p>
        </w:tc>
        <w:tc>
          <w:tcPr>
            <w:tcW w:w="1559" w:type="dxa"/>
            <w:shd w:val="clear" w:color="auto" w:fill="C6EFCE"/>
            <w:tcMar>
              <w:left w:w="108" w:type="dxa"/>
              <w:right w:w="108" w:type="dxa"/>
            </w:tcMar>
            <w:vAlign w:val="center"/>
          </w:tcPr>
          <w:p w14:paraId="5A3B34DA"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shd w:val="clear" w:color="auto" w:fill="C6EFCE"/>
            <w:tcMar>
              <w:left w:w="108" w:type="dxa"/>
              <w:right w:w="108" w:type="dxa"/>
            </w:tcMar>
            <w:vAlign w:val="center"/>
          </w:tcPr>
          <w:p w14:paraId="2C677493" w14:textId="15BA069C"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w:t>
            </w:r>
            <w:r>
              <w:rPr>
                <w:rFonts w:ascii="Times New Roman" w:eastAsia="Times New Roman" w:hAnsi="Times New Roman" w:cs="Times New Roman"/>
                <w:noProof/>
                <w:color w:val="006100"/>
                <w:sz w:val="20"/>
                <w:szCs w:val="20"/>
                <w:lang w:val="en-IE" w:eastAsia="en-GB"/>
              </w:rPr>
              <w:t>legal act(s)</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for improving tax collection</w:t>
            </w:r>
          </w:p>
        </w:tc>
      </w:tr>
      <w:tr w:rsidR="0039681A" w:rsidRPr="0070054C" w14:paraId="2BFBE5A4"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A45D1A" w14:textId="77777777" w:rsidR="0039681A" w:rsidRPr="00A64EEB" w:rsidRDefault="0039681A" w:rsidP="00351087">
            <w:pPr>
              <w:spacing w:after="0" w:line="240" w:lineRule="auto"/>
              <w:jc w:val="center"/>
              <w:rPr>
                <w:rFonts w:ascii="Times New Roman" w:eastAsia="Times New Roman" w:hAnsi="Times New Roman" w:cs="Times New Roman"/>
                <w:noProof/>
                <w:lang w:val="en-IE" w:eastAsia="en-GB"/>
              </w:rPr>
            </w:pPr>
            <w:r w:rsidRPr="00A64EEB" w:rsidDel="00F65C28">
              <w:rPr>
                <w:rFonts w:ascii="Times New Roman" w:eastAsia="Times New Roman" w:hAnsi="Times New Roman" w:cs="Times New Roman"/>
                <w:noProof/>
                <w:color w:val="006100"/>
                <w:sz w:val="20"/>
                <w:szCs w:val="20"/>
                <w:lang w:val="en-IE" w:eastAsia="en-GB"/>
              </w:rPr>
              <w:t>M2C2-29</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949000"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sidDel="00F65C28">
              <w:rPr>
                <w:rFonts w:ascii="Times New Roman" w:eastAsia="Times New Roman" w:hAnsi="Times New Roman" w:cs="Times New Roman"/>
                <w:noProof/>
                <w:color w:val="006100"/>
                <w:sz w:val="20"/>
                <w:szCs w:val="20"/>
                <w:lang w:val="en-IE" w:eastAsia="en-GB"/>
              </w:rPr>
              <w:t>Investment 4.3 Installation of charging infrastructures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653D05" w14:textId="77777777" w:rsidR="0039681A" w:rsidRPr="00A64EEB" w:rsidRDefault="0039681A" w:rsidP="00351087">
            <w:pPr>
              <w:spacing w:after="0" w:line="240" w:lineRule="auto"/>
              <w:jc w:val="center"/>
              <w:rPr>
                <w:rFonts w:ascii="Times New Roman" w:eastAsia="Times New Roman" w:hAnsi="Times New Roman" w:cs="Times New Roman"/>
                <w:noProof/>
                <w:lang w:val="en-IE" w:eastAsia="en-GB"/>
              </w:rPr>
            </w:pPr>
            <w:r w:rsidRPr="00A64EEB" w:rsidDel="00F65C28">
              <w:rPr>
                <w:rFonts w:ascii="Times New Roman" w:eastAsia="Times New Roman" w:hAnsi="Times New Roman" w:cs="Times New Roman"/>
                <w:noProof/>
                <w:color w:val="006100"/>
                <w:sz w:val="20"/>
                <w:szCs w:val="20"/>
                <w:lang w:val="en-IE"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4E2CDBF" w14:textId="02B89D71"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sidDel="00F65C28">
              <w:rPr>
                <w:rFonts w:ascii="Times New Roman" w:eastAsia="Times New Roman" w:hAnsi="Times New Roman" w:cs="Times New Roman"/>
                <w:noProof/>
                <w:color w:val="006100"/>
                <w:sz w:val="20"/>
                <w:szCs w:val="20"/>
                <w:lang w:val="en-IE" w:eastAsia="en-GB"/>
              </w:rPr>
              <w:t xml:space="preserve">Number of </w:t>
            </w:r>
            <w:r w:rsidRPr="00A36E36" w:rsidDel="00A345E7">
              <w:rPr>
                <w:rFonts w:ascii="Times New Roman" w:eastAsia="Times New Roman" w:hAnsi="Times New Roman" w:cs="Times New Roman"/>
                <w:noProof/>
                <w:color w:val="006100"/>
                <w:sz w:val="20"/>
                <w:szCs w:val="20"/>
                <w:lang w:val="en-IE" w:eastAsia="en-GB"/>
              </w:rPr>
              <w:t>fast r</w:t>
            </w:r>
            <w:r w:rsidRPr="00A36E36" w:rsidDel="00F65C28">
              <w:rPr>
                <w:rFonts w:ascii="Times New Roman" w:eastAsia="Times New Roman" w:hAnsi="Times New Roman" w:cs="Times New Roman"/>
                <w:noProof/>
                <w:color w:val="006100"/>
                <w:sz w:val="20"/>
                <w:szCs w:val="20"/>
                <w:lang w:val="en-IE" w:eastAsia="en-GB"/>
              </w:rPr>
              <w:t xml:space="preserve">charging </w:t>
            </w:r>
            <w:r w:rsidRPr="00A36E36" w:rsidDel="00A345E7">
              <w:rPr>
                <w:rFonts w:ascii="Times New Roman" w:eastAsia="Times New Roman" w:hAnsi="Times New Roman" w:cs="Times New Roman"/>
                <w:noProof/>
                <w:color w:val="006100"/>
                <w:sz w:val="20"/>
                <w:szCs w:val="20"/>
                <w:lang w:val="en-IE" w:eastAsia="en-GB"/>
              </w:rPr>
              <w:t>stations</w:t>
            </w:r>
            <w:r w:rsidRPr="1FA1BDA2">
              <w:rPr>
                <w:rFonts w:ascii="Times New Roman" w:eastAsia="Times New Roman" w:hAnsi="Times New Roman" w:cs="Times New Roman"/>
                <w:noProof/>
                <w:color w:val="006100"/>
                <w:sz w:val="20"/>
                <w:szCs w:val="20"/>
                <w:lang w:val="en-IE" w:eastAsia="en-GB"/>
              </w:rPr>
              <w:t xml:space="preserve"> </w:t>
            </w:r>
            <w:r w:rsidRPr="27030CD0">
              <w:rPr>
                <w:rFonts w:ascii="Times New Roman" w:eastAsia="Times New Roman" w:hAnsi="Times New Roman" w:cs="Times New Roman"/>
                <w:noProof/>
                <w:color w:val="006100"/>
                <w:sz w:val="20"/>
                <w:szCs w:val="20"/>
                <w:lang w:val="en-IE" w:eastAsia="en-GB"/>
              </w:rPr>
              <w:t>infrastructure</w:t>
            </w:r>
            <w:r w:rsidRPr="39978CD0">
              <w:rPr>
                <w:rFonts w:ascii="Times New Roman" w:eastAsia="Times New Roman" w:hAnsi="Times New Roman" w:cs="Times New Roman"/>
                <w:noProof/>
                <w:color w:val="006100"/>
                <w:sz w:val="20"/>
                <w:szCs w:val="20"/>
                <w:lang w:val="en-IE" w:eastAsia="en-GB"/>
              </w:rPr>
              <w:t xml:space="preserve"> points</w:t>
            </w:r>
          </w:p>
        </w:tc>
      </w:tr>
      <w:tr w:rsidR="0039681A" w:rsidRPr="0070054C" w14:paraId="64144E4F"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A58277"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M4C1-15bis</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8B10C8"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Scholarships for University access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0FA4B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2FEFED"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Scholarships for university access awarded</w:t>
            </w:r>
          </w:p>
        </w:tc>
      </w:tr>
      <w:tr w:rsidR="0039681A" w:rsidRPr="007E6C2A" w14:paraId="55FA6068"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0D0629"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M5C1-4bis</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B24E73"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w:t>
            </w:r>
            <w:r>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 ALMPs and Vocational Training</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787FD9"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CD7B27" w14:textId="7F7CB351"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People participating in training</w:t>
            </w:r>
          </w:p>
        </w:tc>
      </w:tr>
      <w:tr w:rsidR="0039681A" w:rsidRPr="00647572" w14:paraId="054860C2"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515C70"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M1C1-147</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53E252"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1.2 - Cloud enablement for local PA</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1E2F05"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FE9FE2" w14:textId="77777777" w:rsidR="0039681A" w:rsidRPr="00647572" w:rsidRDefault="0039681A" w:rsidP="00351087">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Cloud enablement for local Public Administration T2</w:t>
            </w:r>
          </w:p>
        </w:tc>
      </w:tr>
      <w:tr w:rsidR="0039681A" w:rsidRPr="0070054C" w14:paraId="2DCD3573"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4B49E6C"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M1C1-148</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2E704F"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1.4.1 - Citizen experience - Improvement of the quality and the usability of digital public services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976B66"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002D0D"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Increase in the quality and the usability of digital public services T2</w:t>
            </w:r>
          </w:p>
        </w:tc>
      </w:tr>
      <w:tr w:rsidR="0039681A" w:rsidRPr="0070054C" w14:paraId="7F0DBAD9"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883BA5"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M2C2-10</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64EBA0" w14:textId="77777777" w:rsidR="0039681A" w:rsidRPr="00647572" w:rsidRDefault="0039681A" w:rsidP="00351087">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2.1 Strengthening smart grids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B04C4A"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6B93B2" w14:textId="4858FA91"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Increase</w:t>
            </w:r>
            <w:r>
              <w:rPr>
                <w:rFonts w:ascii="Times New Roman" w:eastAsia="Times New Roman" w:hAnsi="Times New Roman" w:cs="Times New Roman"/>
                <w:noProof/>
                <w:color w:val="006100"/>
                <w:sz w:val="20"/>
                <w:szCs w:val="20"/>
                <w:lang w:val="en-IE" w:eastAsia="en-GB"/>
              </w:rPr>
              <w:t xml:space="preserve"> in the</w:t>
            </w:r>
            <w:r w:rsidRPr="00A36E36">
              <w:rPr>
                <w:rFonts w:ascii="Times New Roman" w:eastAsia="Times New Roman" w:hAnsi="Times New Roman" w:cs="Times New Roman"/>
                <w:noProof/>
                <w:color w:val="006100"/>
                <w:sz w:val="20"/>
                <w:szCs w:val="20"/>
                <w:lang w:val="en-IE" w:eastAsia="en-GB"/>
              </w:rPr>
              <w:t xml:space="preserve"> network </w:t>
            </w:r>
            <w:r>
              <w:rPr>
                <w:rFonts w:ascii="Times New Roman" w:eastAsia="Times New Roman" w:hAnsi="Times New Roman" w:cs="Times New Roman"/>
                <w:noProof/>
                <w:color w:val="006100"/>
                <w:sz w:val="20"/>
                <w:szCs w:val="20"/>
                <w:lang w:val="en-IE" w:eastAsia="en-GB"/>
              </w:rPr>
              <w:t xml:space="preserve">hosting </w:t>
            </w:r>
            <w:r w:rsidRPr="00A36E36">
              <w:rPr>
                <w:rFonts w:ascii="Times New Roman" w:eastAsia="Times New Roman" w:hAnsi="Times New Roman" w:cs="Times New Roman"/>
                <w:noProof/>
                <w:color w:val="006100"/>
                <w:sz w:val="20"/>
                <w:szCs w:val="20"/>
                <w:lang w:val="en-IE" w:eastAsia="en-GB"/>
              </w:rPr>
              <w:t xml:space="preserve">capacity and </w:t>
            </w:r>
            <w:r>
              <w:rPr>
                <w:rFonts w:ascii="Times New Roman" w:eastAsia="Times New Roman" w:hAnsi="Times New Roman" w:cs="Times New Roman"/>
                <w:noProof/>
                <w:color w:val="006100"/>
                <w:sz w:val="20"/>
                <w:szCs w:val="20"/>
                <w:lang w:val="en-IE" w:eastAsia="en-GB"/>
              </w:rPr>
              <w:t>maximum power delivered for</w:t>
            </w:r>
            <w:r w:rsidRPr="00A36E36">
              <w:rPr>
                <w:rFonts w:ascii="Times New Roman" w:eastAsia="Times New Roman" w:hAnsi="Times New Roman" w:cs="Times New Roman"/>
                <w:noProof/>
                <w:color w:val="006100"/>
                <w:sz w:val="20"/>
                <w:szCs w:val="20"/>
                <w:lang w:val="en-IE" w:eastAsia="en-GB"/>
              </w:rPr>
              <w:t xml:space="preserve"> consumption </w:t>
            </w:r>
          </w:p>
        </w:tc>
      </w:tr>
      <w:tr w:rsidR="0039681A" w:rsidRPr="0070054C" w14:paraId="3EE98515"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CC616F5"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M2C2-13</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6BA638"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2.2 Interventions to increase the resilience of power grid</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D49DCA" w14:textId="18916D7C"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Pr>
                <w:rFonts w:ascii="Times New Roman" w:eastAsia="Times New Roman" w:hAnsi="Times New Roman" w:cs="Times New Roman"/>
                <w:noProof/>
                <w:color w:val="006100"/>
                <w:sz w:val="20"/>
                <w:szCs w:val="20"/>
                <w:lang w:eastAsia="en-GB"/>
              </w:rPr>
              <w:t>Milestone</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B63A5A" w14:textId="1E21FB9A"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Increase the resilience of the electric</w:t>
            </w:r>
            <w:r>
              <w:rPr>
                <w:rFonts w:ascii="Times New Roman" w:eastAsia="Times New Roman" w:hAnsi="Times New Roman" w:cs="Times New Roman"/>
                <w:noProof/>
                <w:color w:val="006100"/>
                <w:sz w:val="20"/>
                <w:szCs w:val="20"/>
                <w:lang w:val="en-IE" w:eastAsia="en-GB"/>
              </w:rPr>
              <w:t xml:space="preserve"> grid</w:t>
            </w:r>
          </w:p>
        </w:tc>
      </w:tr>
      <w:tr w:rsidR="0039681A" w:rsidRPr="0070054C" w14:paraId="1A85EB31"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A3502C"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M2C2-35</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7475DC8"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4.4.1: Strengthening of the regional public transport bus fleet with zero-emission buses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E5AB87"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F24D21"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Number of zero- emission buses registered T2</w:t>
            </w:r>
          </w:p>
        </w:tc>
      </w:tr>
      <w:tr w:rsidR="0039681A" w:rsidRPr="0070054C" w14:paraId="1700649C"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9C888D"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M2C2-35 ter</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2F4337" w14:textId="4AA07F09"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Investment 4.4.1: Strengthening of the regional public transport bus fleet with </w:t>
            </w:r>
            <w:r>
              <w:rPr>
                <w:rFonts w:ascii="Times New Roman" w:eastAsia="Times New Roman" w:hAnsi="Times New Roman" w:cs="Times New Roman"/>
                <w:noProof/>
                <w:color w:val="006100"/>
                <w:sz w:val="20"/>
                <w:szCs w:val="20"/>
                <w:lang w:val="en-IE" w:eastAsia="en-GB"/>
              </w:rPr>
              <w:t>zero-emission buses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328574"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33658FB" w14:textId="621F1B81"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Number of charging </w:t>
            </w:r>
            <w:r>
              <w:rPr>
                <w:rFonts w:ascii="Times New Roman" w:eastAsia="Times New Roman" w:hAnsi="Times New Roman" w:cs="Times New Roman"/>
                <w:noProof/>
                <w:color w:val="006100"/>
                <w:sz w:val="20"/>
                <w:szCs w:val="20"/>
                <w:lang w:val="en-IE" w:eastAsia="en-GB"/>
              </w:rPr>
              <w:t>points</w:t>
            </w:r>
            <w:r w:rsidRPr="00A36E36">
              <w:rPr>
                <w:rFonts w:ascii="Times New Roman" w:eastAsia="Times New Roman" w:hAnsi="Times New Roman" w:cs="Times New Roman"/>
                <w:noProof/>
                <w:color w:val="006100"/>
                <w:sz w:val="20"/>
                <w:szCs w:val="20"/>
                <w:lang w:val="en-IE" w:eastAsia="en-GB"/>
              </w:rPr>
              <w:t xml:space="preserve"> for zero-and low emissions buses</w:t>
            </w:r>
          </w:p>
        </w:tc>
      </w:tr>
      <w:tr w:rsidR="0039681A" w:rsidRPr="0070054C" w14:paraId="26D8D191"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207CD5"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M6C2-16</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61A7C8"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2.2: Development of technical-professional, digital and managerial skills of professionals in the healthcare system</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6E8A89"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C56C4E" w14:textId="5E6F1980"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Training</w:t>
            </w:r>
            <w:r>
              <w:rPr>
                <w:rFonts w:ascii="Times New Roman" w:eastAsia="Times New Roman" w:hAnsi="Times New Roman" w:cs="Times New Roman"/>
                <w:noProof/>
                <w:color w:val="006100"/>
                <w:sz w:val="20"/>
                <w:szCs w:val="20"/>
                <w:lang w:val="en-IE" w:eastAsia="en-GB"/>
              </w:rPr>
              <w:t>s</w:t>
            </w:r>
            <w:r w:rsidRPr="00A36E36">
              <w:rPr>
                <w:rFonts w:ascii="Times New Roman" w:eastAsia="Times New Roman" w:hAnsi="Times New Roman" w:cs="Times New Roman"/>
                <w:noProof/>
                <w:color w:val="006100"/>
                <w:sz w:val="20"/>
                <w:szCs w:val="20"/>
                <w:lang w:val="en-IE" w:eastAsia="en-GB"/>
              </w:rPr>
              <w:t xml:space="preserve"> on managerial and digital skills</w:t>
            </w:r>
            <w:r>
              <w:rPr>
                <w:rFonts w:ascii="Times New Roman" w:eastAsia="Times New Roman" w:hAnsi="Times New Roman" w:cs="Times New Roman"/>
                <w:noProof/>
                <w:color w:val="006100"/>
                <w:sz w:val="20"/>
                <w:szCs w:val="20"/>
                <w:lang w:val="en-IE" w:eastAsia="en-GB"/>
              </w:rPr>
              <w:t xml:space="preserve"> </w:t>
            </w:r>
            <w:r w:rsidRPr="00AF5341">
              <w:rPr>
                <w:rFonts w:ascii="Times New Roman" w:eastAsia="Times New Roman" w:hAnsi="Times New Roman" w:cs="Times New Roman"/>
                <w:noProof/>
                <w:color w:val="006100"/>
                <w:sz w:val="20"/>
                <w:szCs w:val="20"/>
                <w:u w:val="single"/>
                <w:lang w:val="en-IE" w:eastAsia="en-GB"/>
              </w:rPr>
              <w:t>as well as trainings on safety in terms of hospital infections</w:t>
            </w:r>
            <w:r w:rsidRPr="00A36E36">
              <w:rPr>
                <w:rFonts w:ascii="Times New Roman" w:eastAsia="Times New Roman" w:hAnsi="Times New Roman" w:cs="Times New Roman"/>
                <w:noProof/>
                <w:color w:val="006100"/>
                <w:sz w:val="20"/>
                <w:szCs w:val="20"/>
                <w:lang w:val="en-IE" w:eastAsia="en-GB"/>
              </w:rPr>
              <w:t xml:space="preserve"> for </w:t>
            </w:r>
            <w:r w:rsidRPr="00AF5341">
              <w:rPr>
                <w:rFonts w:ascii="Times New Roman" w:eastAsia="Times New Roman" w:hAnsi="Times New Roman" w:cs="Times New Roman"/>
                <w:noProof/>
                <w:color w:val="006100"/>
                <w:sz w:val="20"/>
                <w:szCs w:val="20"/>
                <w:lang w:val="en-IE" w:eastAsia="en-GB"/>
              </w:rPr>
              <w:t>employees of the National Health Service</w:t>
            </w:r>
          </w:p>
        </w:tc>
      </w:tr>
      <w:tr w:rsidR="0039681A" w:rsidRPr="0070054C" w14:paraId="288309D1"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6EC6A6F"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M1C1-149</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BC1E76"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1.4.3 - Adoption scale up of PagoPA platform services and the “IO” app</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E94B31"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F664BB"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Adoption scale up of PagoPA platform services T2</w:t>
            </w:r>
          </w:p>
        </w:tc>
      </w:tr>
      <w:tr w:rsidR="0039681A" w:rsidRPr="0070054C" w14:paraId="4FB9EFB4"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1C4D06"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M1C1-150</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6C3BE90"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1.4.3 - Adoption scale up of PagoPA platform services and the “IO” app</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727CEB"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2F1EB5"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Adoption scale up of “IO” app T2</w:t>
            </w:r>
          </w:p>
        </w:tc>
      </w:tr>
      <w:tr w:rsidR="0039681A" w:rsidRPr="0070054C" w14:paraId="0BD5C59D"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2DA016"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M1C1-152</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6341B7"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1.6.1 - Digitization of the Ministry of the Interior</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DCB52A"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01EE221" w14:textId="099F18A4"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Ministry of Interior - </w:t>
            </w:r>
            <w:r>
              <w:rPr>
                <w:rFonts w:ascii="Times New Roman" w:eastAsia="Times New Roman" w:hAnsi="Times New Roman" w:cs="Times New Roman"/>
                <w:noProof/>
                <w:color w:val="006100"/>
                <w:sz w:val="20"/>
                <w:szCs w:val="20"/>
                <w:lang w:val="en-IE" w:eastAsia="en-GB"/>
              </w:rPr>
              <w:t>r</w:t>
            </w:r>
            <w:r w:rsidRPr="00A36E36">
              <w:rPr>
                <w:rFonts w:ascii="Times New Roman" w:eastAsia="Times New Roman" w:hAnsi="Times New Roman" w:cs="Times New Roman"/>
                <w:noProof/>
                <w:color w:val="006100"/>
                <w:sz w:val="20"/>
                <w:szCs w:val="20"/>
                <w:lang w:val="en-IE" w:eastAsia="en-GB"/>
              </w:rPr>
              <w:t xml:space="preserve">e-engineered </w:t>
            </w:r>
            <w:r>
              <w:rPr>
                <w:rFonts w:ascii="Times New Roman" w:eastAsia="Times New Roman" w:hAnsi="Times New Roman" w:cs="Times New Roman"/>
                <w:noProof/>
                <w:color w:val="006100"/>
                <w:sz w:val="20"/>
                <w:szCs w:val="20"/>
                <w:lang w:val="en-IE" w:eastAsia="en-GB"/>
              </w:rPr>
              <w:t>or</w:t>
            </w:r>
            <w:r w:rsidRPr="00A36E36">
              <w:rPr>
                <w:rFonts w:ascii="Times New Roman" w:eastAsia="Times New Roman" w:hAnsi="Times New Roman" w:cs="Times New Roman"/>
                <w:noProof/>
                <w:color w:val="006100"/>
                <w:sz w:val="20"/>
                <w:szCs w:val="20"/>
                <w:lang w:val="en-IE" w:eastAsia="en-GB"/>
              </w:rPr>
              <w:t xml:space="preserve"> digitized processes</w:t>
            </w:r>
            <w:r>
              <w:rPr>
                <w:rFonts w:ascii="Times New Roman" w:eastAsia="Times New Roman" w:hAnsi="Times New Roman" w:cs="Times New Roman"/>
                <w:noProof/>
                <w:color w:val="006100"/>
                <w:sz w:val="20"/>
                <w:szCs w:val="20"/>
                <w:lang w:val="en-IE" w:eastAsia="en-GB"/>
              </w:rPr>
              <w:t xml:space="preserve"> or services</w:t>
            </w:r>
            <w:r w:rsidRPr="00A36E36">
              <w:rPr>
                <w:rFonts w:ascii="Times New Roman" w:eastAsia="Times New Roman" w:hAnsi="Times New Roman" w:cs="Times New Roman"/>
                <w:noProof/>
                <w:color w:val="006100"/>
                <w:sz w:val="20"/>
                <w:szCs w:val="20"/>
                <w:lang w:val="en-IE" w:eastAsia="en-GB"/>
              </w:rPr>
              <w:t xml:space="preserve"> T2</w:t>
            </w:r>
          </w:p>
        </w:tc>
      </w:tr>
      <w:tr w:rsidR="0039681A" w:rsidRPr="0070054C" w14:paraId="5582C83E"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0ABF4D"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M1C1-154</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59A757"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1.6.2 - Digitization of the Ministry of Justice</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75A18E"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C37C42"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Justice Data Lake knowledge systems T2</w:t>
            </w:r>
          </w:p>
        </w:tc>
      </w:tr>
      <w:tr w:rsidR="0039681A" w:rsidRPr="00647572" w14:paraId="567181FD"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48D6C8"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M7-50</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646B7C"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18 - Scale-up measure: Private and light commercial vehicle fleet renewal program with electric vehicles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7C29B1"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586D9A" w14:textId="77777777" w:rsidR="0039681A" w:rsidRPr="00647572" w:rsidRDefault="0039681A" w:rsidP="00351087">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Number of vehicles purchased</w:t>
            </w:r>
          </w:p>
        </w:tc>
      </w:tr>
      <w:tr w:rsidR="0039681A" w:rsidRPr="0070054C" w14:paraId="4F7E9F13"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94A6F8"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M1C1-151</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D64CAF"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1.4.5 - Digitization of public notices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48D88C"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A8602E" w14:textId="77777777" w:rsidR="0039681A"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Adoption </w:t>
            </w:r>
            <w:r>
              <w:rPr>
                <w:rFonts w:ascii="Times New Roman" w:eastAsia="Times New Roman" w:hAnsi="Times New Roman" w:cs="Times New Roman"/>
                <w:noProof/>
                <w:color w:val="006100"/>
                <w:sz w:val="20"/>
                <w:szCs w:val="20"/>
                <w:lang w:val="en-IE" w:eastAsia="en-GB"/>
              </w:rPr>
              <w:t>of the Digital Notification Platform</w:t>
            </w:r>
            <w:r w:rsidRPr="00A36E36">
              <w:rPr>
                <w:rFonts w:ascii="Times New Roman" w:eastAsia="Times New Roman" w:hAnsi="Times New Roman" w:cs="Times New Roman"/>
                <w:noProof/>
                <w:color w:val="006100"/>
                <w:sz w:val="20"/>
                <w:szCs w:val="20"/>
                <w:lang w:val="en-IE" w:eastAsia="en-GB"/>
              </w:rPr>
              <w:t xml:space="preserve"> T2</w:t>
            </w:r>
          </w:p>
        </w:tc>
      </w:tr>
      <w:tr w:rsidR="0039681A" w:rsidRPr="0070054C" w14:paraId="7DA61DE2"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7A977FD"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M1C1-155</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B6D07D1"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1.6.3 - Digitization of National Social Security Institute (INPS) and National Institute for Insurance against Accidents at work (INAIL)</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0D1ADC6"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7045E64" w14:textId="77777777" w:rsidR="0039681A"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INAIL - Re-engineered and digitized processes/services T2</w:t>
            </w:r>
          </w:p>
        </w:tc>
      </w:tr>
      <w:tr w:rsidR="0039681A" w:rsidRPr="0070054C" w14:paraId="331EC049"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D5552B" w14:textId="77777777" w:rsidR="0039681A" w:rsidRDefault="0039681A" w:rsidP="00351087">
            <w:pPr>
              <w:spacing w:line="240" w:lineRule="auto"/>
              <w:jc w:val="center"/>
              <w:rPr>
                <w:noProof/>
              </w:rPr>
            </w:pPr>
            <w:r w:rsidRPr="41853FD5">
              <w:rPr>
                <w:rFonts w:ascii="Times New Roman" w:eastAsia="Times New Roman" w:hAnsi="Times New Roman" w:cs="Times New Roman"/>
                <w:noProof/>
                <w:color w:val="006100"/>
                <w:sz w:val="20"/>
                <w:szCs w:val="20"/>
                <w:lang w:eastAsia="en-GB"/>
              </w:rPr>
              <w:t>M2C2-</w:t>
            </w:r>
            <w:r w:rsidRPr="218889CA">
              <w:rPr>
                <w:rFonts w:ascii="Times New Roman" w:eastAsia="Times New Roman" w:hAnsi="Times New Roman" w:cs="Times New Roman"/>
                <w:noProof/>
                <w:color w:val="006100"/>
                <w:sz w:val="20"/>
                <w:szCs w:val="20"/>
                <w:lang w:eastAsia="en-GB"/>
              </w:rPr>
              <w:t>55</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314C61" w14:textId="77777777" w:rsidR="0039681A" w:rsidRDefault="0039681A" w:rsidP="00351087">
            <w:pPr>
              <w:spacing w:line="240" w:lineRule="auto"/>
              <w:rPr>
                <w:noProof/>
              </w:rPr>
            </w:pPr>
            <w:r w:rsidRPr="218889CA">
              <w:rPr>
                <w:rFonts w:ascii="Times New Roman" w:eastAsia="Times New Roman" w:hAnsi="Times New Roman" w:cs="Times New Roman"/>
                <w:noProof/>
                <w:color w:val="006100"/>
                <w:sz w:val="20"/>
                <w:szCs w:val="20"/>
                <w:lang w:val="en-IE" w:eastAsia="en-GB"/>
              </w:rPr>
              <w:t xml:space="preserve">Investment 5.5 - Green tax </w:t>
            </w:r>
            <w:r w:rsidRPr="1D3406F1">
              <w:rPr>
                <w:rFonts w:ascii="Times New Roman" w:eastAsia="Times New Roman" w:hAnsi="Times New Roman" w:cs="Times New Roman"/>
                <w:noProof/>
                <w:color w:val="006100"/>
                <w:sz w:val="20"/>
                <w:szCs w:val="20"/>
                <w:lang w:val="en-IE" w:eastAsia="en-GB"/>
              </w:rPr>
              <w:t>credit</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4C0573" w14:textId="77777777" w:rsidR="0039681A" w:rsidRDefault="0039681A" w:rsidP="00351087">
            <w:pPr>
              <w:spacing w:line="240" w:lineRule="auto"/>
              <w:jc w:val="center"/>
              <w:rPr>
                <w:noProof/>
              </w:rPr>
            </w:pPr>
            <w:r w:rsidRPr="1D3406F1">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79C8F2" w14:textId="77777777" w:rsidR="0039681A" w:rsidRPr="00AF5341" w:rsidRDefault="0039681A" w:rsidP="00351087">
            <w:pPr>
              <w:spacing w:line="240" w:lineRule="auto"/>
              <w:rPr>
                <w:noProof/>
                <w:lang w:val="en-IE"/>
              </w:rPr>
            </w:pPr>
            <w:r w:rsidRPr="496BF5C8">
              <w:rPr>
                <w:rFonts w:ascii="Times New Roman" w:eastAsia="Times New Roman" w:hAnsi="Times New Roman" w:cs="Times New Roman"/>
                <w:noProof/>
                <w:color w:val="006100"/>
                <w:sz w:val="20"/>
                <w:szCs w:val="20"/>
                <w:lang w:val="en-IE" w:eastAsia="en-GB"/>
              </w:rPr>
              <w:t>Tax credits granted to firms based on documents presented in 2024-</w:t>
            </w:r>
            <w:r w:rsidRPr="2CCB4DF6">
              <w:rPr>
                <w:rFonts w:ascii="Times New Roman" w:eastAsia="Times New Roman" w:hAnsi="Times New Roman" w:cs="Times New Roman"/>
                <w:noProof/>
                <w:color w:val="006100"/>
                <w:sz w:val="20"/>
                <w:szCs w:val="20"/>
                <w:lang w:val="en-IE" w:eastAsia="en-GB"/>
              </w:rPr>
              <w:t>2025</w:t>
            </w:r>
          </w:p>
        </w:tc>
      </w:tr>
      <w:tr w:rsidR="0039681A" w:rsidRPr="0070054C" w14:paraId="0F17B0AA"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DC3783A"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M2C4-20bis</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E81C65"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3.1: Protection and enhancement of urban and peri-urban forests</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960191"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C6FE55" w14:textId="77777777" w:rsidR="0039681A" w:rsidRPr="00AF5341" w:rsidRDefault="0039681A" w:rsidP="00351087">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Transp</w:t>
            </w:r>
            <w:r w:rsidRPr="00A36E36">
              <w:rPr>
                <w:rFonts w:ascii="Times New Roman" w:eastAsia="Times New Roman" w:hAnsi="Times New Roman" w:cs="Times New Roman"/>
                <w:noProof/>
                <w:color w:val="006100"/>
                <w:sz w:val="20"/>
                <w:szCs w:val="20"/>
                <w:lang w:val="en-IE" w:eastAsia="en-GB"/>
              </w:rPr>
              <w:t xml:space="preserve">lant trees </w:t>
            </w:r>
            <w:r>
              <w:rPr>
                <w:rFonts w:ascii="Times New Roman" w:eastAsia="Times New Roman" w:hAnsi="Times New Roman" w:cs="Times New Roman"/>
                <w:noProof/>
                <w:color w:val="006100"/>
                <w:sz w:val="20"/>
                <w:szCs w:val="20"/>
                <w:lang w:val="en-IE" w:eastAsia="en-GB"/>
              </w:rPr>
              <w:t>or shrubs</w:t>
            </w:r>
            <w:r w:rsidRPr="00A36E36">
              <w:rPr>
                <w:rFonts w:ascii="Times New Roman" w:eastAsia="Times New Roman" w:hAnsi="Times New Roman" w:cs="Times New Roman"/>
                <w:noProof/>
                <w:color w:val="006100"/>
                <w:sz w:val="20"/>
                <w:szCs w:val="20"/>
                <w:lang w:val="en-IE" w:eastAsia="en-GB"/>
              </w:rPr>
              <w:t xml:space="preserve"> T3 </w:t>
            </w:r>
          </w:p>
        </w:tc>
      </w:tr>
      <w:tr w:rsidR="0039681A" w:rsidRPr="00647572" w14:paraId="4EB8BE5C" w14:textId="77777777" w:rsidTr="00CA574C">
        <w:trPr>
          <w:trHeight w:val="300"/>
        </w:trPr>
        <w:tc>
          <w:tcPr>
            <w:tcW w:w="126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E11C90" w14:textId="77777777" w:rsidR="0039681A" w:rsidRPr="00AF5341" w:rsidRDefault="0039681A" w:rsidP="00351087">
            <w:pPr>
              <w:spacing w:after="0" w:line="240" w:lineRule="auto"/>
              <w:jc w:val="center"/>
              <w:rPr>
                <w:rFonts w:ascii="Times New Roman" w:eastAsia="Times New Roman" w:hAnsi="Times New Roman" w:cs="Times New Roman"/>
                <w:noProof/>
                <w:lang w:val="en-IE" w:eastAsia="en-GB"/>
              </w:rPr>
            </w:pP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1179A2" w14:textId="77777777" w:rsidR="0039681A" w:rsidRPr="00AF5341" w:rsidRDefault="0039681A" w:rsidP="00351087">
            <w:pPr>
              <w:spacing w:after="0" w:line="240" w:lineRule="auto"/>
              <w:rPr>
                <w:rFonts w:ascii="Times New Roman" w:eastAsia="Times New Roman" w:hAnsi="Times New Roman" w:cs="Times New Roman"/>
                <w:noProof/>
                <w:lang w:val="en-IE" w:eastAsia="en-GB"/>
              </w:rPr>
            </w:pPr>
            <w:r w:rsidRPr="00AF5341">
              <w:rPr>
                <w:rFonts w:ascii="Times New Roman" w:eastAsia="Times New Roman" w:hAnsi="Times New Roman" w:cs="Times New Roman"/>
                <w:noProof/>
                <w:color w:val="006100"/>
                <w:sz w:val="20"/>
                <w:szCs w:val="20"/>
                <w:lang w:val="en-IE" w:eastAsia="en-GB"/>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E7413F8"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2EDBF3" w14:textId="77777777" w:rsidR="0039681A" w:rsidRPr="00E74433" w:rsidRDefault="0039681A" w:rsidP="00351087">
            <w:pPr>
              <w:spacing w:after="0" w:line="240" w:lineRule="auto"/>
              <w:rPr>
                <w:rFonts w:ascii="Times New Roman" w:eastAsia="Times New Roman" w:hAnsi="Times New Roman" w:cs="Times New Roman"/>
                <w:noProof/>
                <w:highlight w:val="yellow"/>
                <w:lang w:eastAsia="en-GB"/>
              </w:rPr>
            </w:pPr>
            <w:r w:rsidRPr="000C4984">
              <w:rPr>
                <w:rFonts w:ascii="Times New Roman" w:eastAsia="Times New Roman" w:hAnsi="Times New Roman" w:cs="Times New Roman"/>
                <w:noProof/>
                <w:color w:val="006100"/>
                <w:sz w:val="20"/>
                <w:szCs w:val="20"/>
                <w:lang w:eastAsia="en-GB"/>
              </w:rPr>
              <w:t>EUR 12</w:t>
            </w:r>
            <w:r w:rsidRPr="000C4984">
              <w:rPr>
                <w:rFonts w:ascii="Times New Roman" w:eastAsia="Times New Roman" w:hAnsi="Times New Roman" w:cs="Times New Roman"/>
                <w:noProof/>
                <w:sz w:val="23"/>
                <w:szCs w:val="23"/>
                <w:lang w:eastAsia="en-GB"/>
              </w:rPr>
              <w:t> </w:t>
            </w:r>
            <w:r w:rsidRPr="000C4984">
              <w:rPr>
                <w:rFonts w:ascii="Times New Roman" w:eastAsia="Times New Roman" w:hAnsi="Times New Roman" w:cs="Times New Roman"/>
                <w:noProof/>
                <w:color w:val="006100"/>
                <w:sz w:val="20"/>
                <w:szCs w:val="20"/>
                <w:lang w:eastAsia="en-GB"/>
              </w:rPr>
              <w:t>799</w:t>
            </w:r>
            <w:r w:rsidRPr="000C4984">
              <w:rPr>
                <w:rFonts w:ascii="Times New Roman" w:eastAsia="Times New Roman" w:hAnsi="Times New Roman" w:cs="Times New Roman"/>
                <w:noProof/>
                <w:sz w:val="23"/>
                <w:szCs w:val="23"/>
                <w:lang w:eastAsia="en-GB"/>
              </w:rPr>
              <w:t> </w:t>
            </w:r>
            <w:r w:rsidRPr="000C4984">
              <w:rPr>
                <w:rFonts w:ascii="Times New Roman" w:eastAsia="Times New Roman" w:hAnsi="Times New Roman" w:cs="Times New Roman"/>
                <w:noProof/>
                <w:color w:val="006100"/>
                <w:sz w:val="20"/>
                <w:szCs w:val="20"/>
                <w:lang w:eastAsia="en-GB"/>
              </w:rPr>
              <w:t>902</w:t>
            </w:r>
            <w:r w:rsidRPr="000C4984">
              <w:rPr>
                <w:rFonts w:ascii="Times New Roman" w:eastAsia="Times New Roman" w:hAnsi="Times New Roman" w:cs="Times New Roman"/>
                <w:noProof/>
                <w:sz w:val="23"/>
                <w:szCs w:val="23"/>
                <w:lang w:eastAsia="en-GB"/>
              </w:rPr>
              <w:t> </w:t>
            </w:r>
            <w:r w:rsidRPr="000C4984">
              <w:rPr>
                <w:rFonts w:ascii="Times New Roman" w:eastAsia="Times New Roman" w:hAnsi="Times New Roman" w:cs="Times New Roman"/>
                <w:noProof/>
                <w:color w:val="006100"/>
                <w:sz w:val="20"/>
                <w:szCs w:val="20"/>
                <w:lang w:eastAsia="en-GB"/>
              </w:rPr>
              <w:t>997</w:t>
            </w:r>
          </w:p>
        </w:tc>
      </w:tr>
    </w:tbl>
    <w:p w14:paraId="206BBB65" w14:textId="77777777" w:rsidR="0039681A" w:rsidRPr="00647572" w:rsidRDefault="0039681A" w:rsidP="00351087">
      <w:pPr>
        <w:spacing w:before="120" w:after="120" w:line="240" w:lineRule="auto"/>
        <w:jc w:val="both"/>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t xml:space="preserve"> </w:t>
      </w:r>
    </w:p>
    <w:p w14:paraId="6000E1B7" w14:textId="77777777" w:rsidR="0039681A" w:rsidRPr="00647572" w:rsidRDefault="0039681A" w:rsidP="00351087">
      <w:pPr>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br w:type="page"/>
      </w:r>
    </w:p>
    <w:p w14:paraId="1CE00306" w14:textId="77777777" w:rsidR="0039681A" w:rsidRPr="00647572" w:rsidRDefault="0039681A" w:rsidP="0039681A">
      <w:pPr>
        <w:pStyle w:val="Heading3"/>
        <w:numPr>
          <w:ilvl w:val="0"/>
          <w:numId w:val="166"/>
        </w:numPr>
        <w:tabs>
          <w:tab w:val="clear" w:pos="850"/>
          <w:tab w:val="num" w:pos="720"/>
        </w:tabs>
        <w:ind w:left="720" w:hanging="360"/>
        <w:rPr>
          <w:rFonts w:ascii="Times New Roman" w:hAnsi="Times New Roman" w:cs="Times New Roman"/>
          <w:b/>
          <w:bCs/>
          <w:noProof/>
          <w:color w:val="auto"/>
          <w:sz w:val="24"/>
          <w:szCs w:val="24"/>
          <w:lang w:eastAsia="en-GB"/>
        </w:rPr>
      </w:pPr>
      <w:r w:rsidRPr="00647572">
        <w:rPr>
          <w:rFonts w:ascii="Times New Roman" w:hAnsi="Times New Roman" w:cs="Times New Roman"/>
          <w:b/>
          <w:bCs/>
          <w:noProof/>
          <w:color w:val="auto"/>
          <w:sz w:val="24"/>
          <w:szCs w:val="24"/>
          <w:lang w:eastAsia="en-GB"/>
        </w:rPr>
        <w:t>Loan support</w:t>
      </w:r>
    </w:p>
    <w:p w14:paraId="58E0B2FA" w14:textId="77777777" w:rsidR="0039681A" w:rsidRPr="00A36E36" w:rsidRDefault="0039681A" w:rsidP="00351087">
      <w:pPr>
        <w:spacing w:before="120" w:after="120" w:line="240" w:lineRule="auto"/>
        <w:jc w:val="both"/>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lang w:val="en-IE" w:eastAsia="en-GB"/>
        </w:rPr>
        <w:t>The instalments referred to in Article 3(2) shall be organised in the following manner:</w:t>
      </w:r>
    </w:p>
    <w:p w14:paraId="3F3F0AB2" w14:textId="77777777" w:rsidR="0039681A" w:rsidRPr="00647572" w:rsidRDefault="0039681A" w:rsidP="0039681A">
      <w:pPr>
        <w:pStyle w:val="Heading3"/>
        <w:numPr>
          <w:ilvl w:val="1"/>
          <w:numId w:val="16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First Instalment (loan support):</w:t>
      </w:r>
    </w:p>
    <w:tbl>
      <w:tblPr>
        <w:tblW w:w="9359"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5"/>
        <w:gridCol w:w="3543"/>
        <w:gridCol w:w="1418"/>
        <w:gridCol w:w="2963"/>
      </w:tblGrid>
      <w:tr w:rsidR="0039681A" w:rsidRPr="00647572" w14:paraId="66615733" w14:textId="77777777">
        <w:trPr>
          <w:trHeight w:val="900"/>
          <w:tblHeader/>
        </w:trPr>
        <w:tc>
          <w:tcPr>
            <w:tcW w:w="1435" w:type="dxa"/>
            <w:vMerge w:val="restart"/>
            <w:shd w:val="clear" w:color="auto" w:fill="BDD7EE"/>
            <w:tcMar>
              <w:left w:w="108" w:type="dxa"/>
              <w:right w:w="108" w:type="dxa"/>
            </w:tcMar>
            <w:vAlign w:val="center"/>
          </w:tcPr>
          <w:p w14:paraId="708A1B6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3" w:type="dxa"/>
            <w:vMerge w:val="restart"/>
            <w:shd w:val="clear" w:color="auto" w:fill="BDD7EE"/>
            <w:tcMar>
              <w:left w:w="108" w:type="dxa"/>
              <w:right w:w="108" w:type="dxa"/>
            </w:tcMar>
            <w:vAlign w:val="center"/>
          </w:tcPr>
          <w:p w14:paraId="7D49A52A"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418" w:type="dxa"/>
            <w:vMerge w:val="restart"/>
            <w:shd w:val="clear" w:color="auto" w:fill="BDD7EE"/>
            <w:tcMar>
              <w:left w:w="108" w:type="dxa"/>
              <w:right w:w="108" w:type="dxa"/>
            </w:tcMar>
            <w:vAlign w:val="center"/>
          </w:tcPr>
          <w:p w14:paraId="0D52345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2963" w:type="dxa"/>
            <w:vMerge w:val="restart"/>
            <w:shd w:val="clear" w:color="auto" w:fill="BDD7EE"/>
            <w:tcMar>
              <w:left w:w="108" w:type="dxa"/>
              <w:right w:w="108" w:type="dxa"/>
            </w:tcMar>
            <w:vAlign w:val="center"/>
          </w:tcPr>
          <w:p w14:paraId="25AFDA9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43CF598B" w14:textId="77777777">
        <w:trPr>
          <w:trHeight w:val="510"/>
        </w:trPr>
        <w:tc>
          <w:tcPr>
            <w:tcW w:w="1435" w:type="dxa"/>
            <w:vMerge/>
            <w:vAlign w:val="center"/>
          </w:tcPr>
          <w:p w14:paraId="3F5B2DE6"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543" w:type="dxa"/>
            <w:vMerge/>
            <w:vAlign w:val="center"/>
          </w:tcPr>
          <w:p w14:paraId="27FC9963"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418" w:type="dxa"/>
            <w:vMerge/>
            <w:vAlign w:val="center"/>
          </w:tcPr>
          <w:p w14:paraId="209533B9"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2963" w:type="dxa"/>
            <w:vMerge/>
            <w:vAlign w:val="center"/>
          </w:tcPr>
          <w:p w14:paraId="16EE01FF"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217461D7" w14:textId="77777777">
        <w:trPr>
          <w:trHeight w:val="300"/>
        </w:trPr>
        <w:tc>
          <w:tcPr>
            <w:tcW w:w="1435" w:type="dxa"/>
            <w:shd w:val="clear" w:color="auto" w:fill="C6EFCE"/>
            <w:tcMar>
              <w:left w:w="108" w:type="dxa"/>
              <w:right w:w="108" w:type="dxa"/>
            </w:tcMar>
            <w:vAlign w:val="center"/>
          </w:tcPr>
          <w:p w14:paraId="04AB156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M4C2-10</w:t>
            </w:r>
          </w:p>
        </w:tc>
        <w:tc>
          <w:tcPr>
            <w:tcW w:w="3543" w:type="dxa"/>
            <w:shd w:val="clear" w:color="auto" w:fill="C6EFCE"/>
            <w:tcMar>
              <w:left w:w="108" w:type="dxa"/>
              <w:right w:w="108" w:type="dxa"/>
            </w:tcMar>
            <w:vAlign w:val="center"/>
          </w:tcPr>
          <w:p w14:paraId="32608CBF"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2.1: IPCEI</w:t>
            </w:r>
          </w:p>
        </w:tc>
        <w:tc>
          <w:tcPr>
            <w:tcW w:w="1418" w:type="dxa"/>
            <w:shd w:val="clear" w:color="auto" w:fill="C6EFCE"/>
            <w:tcMar>
              <w:left w:w="108" w:type="dxa"/>
              <w:right w:w="108" w:type="dxa"/>
            </w:tcMar>
            <w:vAlign w:val="center"/>
          </w:tcPr>
          <w:p w14:paraId="3D04590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6AD8FD2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Launch of the call for expression of interest for the identification of the national projects, including projects on IPCEI microelectronic</w:t>
            </w:r>
          </w:p>
        </w:tc>
      </w:tr>
      <w:tr w:rsidR="0039681A" w:rsidRPr="0070054C" w14:paraId="0CB7843F" w14:textId="77777777">
        <w:trPr>
          <w:trHeight w:val="300"/>
        </w:trPr>
        <w:tc>
          <w:tcPr>
            <w:tcW w:w="1435" w:type="dxa"/>
            <w:shd w:val="clear" w:color="auto" w:fill="C6EFCE"/>
            <w:tcMar>
              <w:left w:w="108" w:type="dxa"/>
              <w:right w:w="108" w:type="dxa"/>
            </w:tcMar>
            <w:vAlign w:val="center"/>
          </w:tcPr>
          <w:p w14:paraId="08DA301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M1C2-26</w:t>
            </w:r>
          </w:p>
        </w:tc>
        <w:tc>
          <w:tcPr>
            <w:tcW w:w="3543" w:type="dxa"/>
            <w:shd w:val="clear" w:color="auto" w:fill="C6EFCE"/>
            <w:tcMar>
              <w:left w:w="108" w:type="dxa"/>
              <w:right w:w="108" w:type="dxa"/>
            </w:tcMar>
            <w:vAlign w:val="center"/>
          </w:tcPr>
          <w:p w14:paraId="357320D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5.1: Refinancing and remodelling of Fund 394/81 managed by SIMEST</w:t>
            </w:r>
          </w:p>
        </w:tc>
        <w:tc>
          <w:tcPr>
            <w:tcW w:w="1418" w:type="dxa"/>
            <w:shd w:val="clear" w:color="auto" w:fill="C6EFCE"/>
            <w:tcMar>
              <w:left w:w="108" w:type="dxa"/>
              <w:right w:w="108" w:type="dxa"/>
            </w:tcMar>
            <w:vAlign w:val="center"/>
          </w:tcPr>
          <w:p w14:paraId="1CC0C7E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2AC2C2C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re-financing of Fund 394/81 and adoption of the investment policy</w:t>
            </w:r>
          </w:p>
        </w:tc>
      </w:tr>
      <w:tr w:rsidR="0039681A" w:rsidRPr="0070054C" w14:paraId="5405E6DC" w14:textId="77777777">
        <w:trPr>
          <w:trHeight w:val="300"/>
        </w:trPr>
        <w:tc>
          <w:tcPr>
            <w:tcW w:w="1435" w:type="dxa"/>
            <w:shd w:val="clear" w:color="auto" w:fill="C6EFCE"/>
            <w:tcMar>
              <w:left w:w="108" w:type="dxa"/>
              <w:right w:w="108" w:type="dxa"/>
            </w:tcMar>
            <w:vAlign w:val="center"/>
          </w:tcPr>
          <w:p w14:paraId="7759159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M2C1-14</w:t>
            </w:r>
          </w:p>
        </w:tc>
        <w:tc>
          <w:tcPr>
            <w:tcW w:w="3543" w:type="dxa"/>
            <w:shd w:val="clear" w:color="auto" w:fill="C6EFCE"/>
            <w:tcMar>
              <w:left w:w="108" w:type="dxa"/>
              <w:right w:w="108" w:type="dxa"/>
            </w:tcMar>
            <w:vAlign w:val="center"/>
          </w:tcPr>
          <w:p w14:paraId="2F9E1E3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 Implementation of new waste management plants and modernization of existing plants; Investment 1.2 - Circular economy “flagship” projects</w:t>
            </w:r>
          </w:p>
        </w:tc>
        <w:tc>
          <w:tcPr>
            <w:tcW w:w="1418" w:type="dxa"/>
            <w:shd w:val="clear" w:color="auto" w:fill="C6EFCE"/>
            <w:tcMar>
              <w:left w:w="108" w:type="dxa"/>
              <w:right w:w="108" w:type="dxa"/>
            </w:tcMar>
            <w:vAlign w:val="center"/>
          </w:tcPr>
          <w:p w14:paraId="5FFB090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3C95A5C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Ministerial Decree.</w:t>
            </w:r>
          </w:p>
        </w:tc>
      </w:tr>
      <w:tr w:rsidR="0039681A" w:rsidRPr="0070054C" w14:paraId="7FD85DA1" w14:textId="77777777">
        <w:trPr>
          <w:trHeight w:val="300"/>
        </w:trPr>
        <w:tc>
          <w:tcPr>
            <w:tcW w:w="1435" w:type="dxa"/>
            <w:shd w:val="clear" w:color="auto" w:fill="C6EFCE"/>
            <w:tcMar>
              <w:left w:w="108" w:type="dxa"/>
              <w:right w:w="108" w:type="dxa"/>
            </w:tcMar>
            <w:vAlign w:val="center"/>
          </w:tcPr>
          <w:p w14:paraId="017673C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M2C4-8</w:t>
            </w:r>
          </w:p>
        </w:tc>
        <w:tc>
          <w:tcPr>
            <w:tcW w:w="3543" w:type="dxa"/>
            <w:shd w:val="clear" w:color="auto" w:fill="C6EFCE"/>
            <w:tcMar>
              <w:left w:w="108" w:type="dxa"/>
              <w:right w:w="108" w:type="dxa"/>
            </w:tcMar>
            <w:vAlign w:val="center"/>
          </w:tcPr>
          <w:p w14:paraId="38440AF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Implementation of an advanced and integrated monitoring and forecasting system</w:t>
            </w:r>
          </w:p>
        </w:tc>
        <w:tc>
          <w:tcPr>
            <w:tcW w:w="1418" w:type="dxa"/>
            <w:shd w:val="clear" w:color="auto" w:fill="C6EFCE"/>
            <w:tcMar>
              <w:left w:w="108" w:type="dxa"/>
              <w:right w:w="108" w:type="dxa"/>
            </w:tcMar>
            <w:vAlign w:val="center"/>
          </w:tcPr>
          <w:p w14:paraId="256624C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5A9E240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Operational Plan for an advanced and integrated monitoring and forecast system to identify hydrological risks </w:t>
            </w:r>
          </w:p>
        </w:tc>
      </w:tr>
      <w:tr w:rsidR="0039681A" w:rsidRPr="0070054C" w14:paraId="04AB599C" w14:textId="77777777">
        <w:trPr>
          <w:trHeight w:val="300"/>
        </w:trPr>
        <w:tc>
          <w:tcPr>
            <w:tcW w:w="1435" w:type="dxa"/>
            <w:shd w:val="clear" w:color="auto" w:fill="C6EFCE"/>
            <w:tcMar>
              <w:left w:w="108" w:type="dxa"/>
              <w:right w:w="108" w:type="dxa"/>
            </w:tcMar>
            <w:vAlign w:val="center"/>
          </w:tcPr>
          <w:p w14:paraId="2A8CE1D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M5C1-17</w:t>
            </w:r>
          </w:p>
        </w:tc>
        <w:tc>
          <w:tcPr>
            <w:tcW w:w="3543" w:type="dxa"/>
            <w:shd w:val="clear" w:color="auto" w:fill="C6EFCE"/>
            <w:tcMar>
              <w:left w:w="108" w:type="dxa"/>
              <w:right w:w="108" w:type="dxa"/>
            </w:tcMar>
            <w:vAlign w:val="center"/>
          </w:tcPr>
          <w:p w14:paraId="79C02AB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5 - Creation of women's enterprises</w:t>
            </w:r>
          </w:p>
        </w:tc>
        <w:tc>
          <w:tcPr>
            <w:tcW w:w="1418" w:type="dxa"/>
            <w:shd w:val="clear" w:color="auto" w:fill="C6EFCE"/>
            <w:tcMar>
              <w:left w:w="108" w:type="dxa"/>
              <w:right w:w="108" w:type="dxa"/>
            </w:tcMar>
            <w:vAlign w:val="center"/>
          </w:tcPr>
          <w:p w14:paraId="5C33071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2CA302B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The Fund to support women’s entrepreneurship is adopted</w:t>
            </w:r>
          </w:p>
        </w:tc>
      </w:tr>
      <w:tr w:rsidR="0039681A" w:rsidRPr="0070054C" w14:paraId="49C4F616" w14:textId="77777777">
        <w:trPr>
          <w:trHeight w:val="300"/>
        </w:trPr>
        <w:tc>
          <w:tcPr>
            <w:tcW w:w="1435" w:type="dxa"/>
            <w:shd w:val="clear" w:color="auto" w:fill="C6EFCE"/>
            <w:tcMar>
              <w:left w:w="108" w:type="dxa"/>
              <w:right w:w="108" w:type="dxa"/>
            </w:tcMar>
            <w:vAlign w:val="center"/>
          </w:tcPr>
          <w:p w14:paraId="3C995B3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M1C2-27</w:t>
            </w:r>
          </w:p>
        </w:tc>
        <w:tc>
          <w:tcPr>
            <w:tcW w:w="3543" w:type="dxa"/>
            <w:shd w:val="clear" w:color="auto" w:fill="C6EFCE"/>
            <w:tcMar>
              <w:left w:w="108" w:type="dxa"/>
              <w:right w:w="108" w:type="dxa"/>
            </w:tcMar>
            <w:vAlign w:val="center"/>
          </w:tcPr>
          <w:p w14:paraId="624D008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5.1: Refinancing and remodelling of Fund 394/81 managed by SIMEST</w:t>
            </w:r>
          </w:p>
        </w:tc>
        <w:tc>
          <w:tcPr>
            <w:tcW w:w="1418" w:type="dxa"/>
            <w:shd w:val="clear" w:color="auto" w:fill="C6EFCE"/>
            <w:tcMar>
              <w:left w:w="108" w:type="dxa"/>
              <w:right w:w="108" w:type="dxa"/>
            </w:tcMar>
            <w:vAlign w:val="center"/>
          </w:tcPr>
          <w:p w14:paraId="3F1A3A0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63" w:type="dxa"/>
            <w:shd w:val="clear" w:color="auto" w:fill="C6EFCE"/>
            <w:tcMar>
              <w:left w:w="108" w:type="dxa"/>
              <w:right w:w="108" w:type="dxa"/>
            </w:tcMar>
            <w:vAlign w:val="center"/>
          </w:tcPr>
          <w:p w14:paraId="6C31B3A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SMEs that received support from Fund 394/81</w:t>
            </w:r>
          </w:p>
        </w:tc>
      </w:tr>
      <w:tr w:rsidR="0039681A" w:rsidRPr="0070054C" w14:paraId="2B85832D" w14:textId="77777777">
        <w:trPr>
          <w:trHeight w:val="300"/>
        </w:trPr>
        <w:tc>
          <w:tcPr>
            <w:tcW w:w="1435" w:type="dxa"/>
            <w:shd w:val="clear" w:color="auto" w:fill="C6EFCE"/>
            <w:tcMar>
              <w:left w:w="108" w:type="dxa"/>
              <w:right w:w="108" w:type="dxa"/>
            </w:tcMar>
            <w:vAlign w:val="center"/>
          </w:tcPr>
          <w:p w14:paraId="242198A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M1C3-22</w:t>
            </w:r>
          </w:p>
        </w:tc>
        <w:tc>
          <w:tcPr>
            <w:tcW w:w="3543" w:type="dxa"/>
            <w:shd w:val="clear" w:color="auto" w:fill="C6EFCE"/>
            <w:tcMar>
              <w:left w:w="108" w:type="dxa"/>
              <w:right w:w="108" w:type="dxa"/>
            </w:tcMar>
            <w:vAlign w:val="center"/>
          </w:tcPr>
          <w:p w14:paraId="37EA701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Funds for the competitiveness of tourism enterprise </w:t>
            </w:r>
          </w:p>
        </w:tc>
        <w:tc>
          <w:tcPr>
            <w:tcW w:w="1418" w:type="dxa"/>
            <w:shd w:val="clear" w:color="auto" w:fill="C6EFCE"/>
            <w:tcMar>
              <w:left w:w="108" w:type="dxa"/>
              <w:right w:w="108" w:type="dxa"/>
            </w:tcMar>
            <w:vAlign w:val="center"/>
          </w:tcPr>
          <w:p w14:paraId="37DB4DB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73414F20" w14:textId="3500D6AE"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policy for the: the European Investment Bank Thematic Fund;</w:t>
            </w:r>
            <w:r w:rsidR="00381DB1">
              <w:rPr>
                <w:rFonts w:ascii="Times New Roman" w:eastAsia="Times New Roman" w:hAnsi="Times New Roman" w:cs="Times New Roman"/>
                <w:noProof/>
                <w:color w:val="006100"/>
                <w:sz w:val="20"/>
                <w:szCs w:val="20"/>
                <w:lang w:val="en-IE" w:eastAsia="en-GB"/>
              </w:rPr>
              <w:t xml:space="preserve"> </w:t>
            </w:r>
          </w:p>
        </w:tc>
      </w:tr>
      <w:tr w:rsidR="0039681A" w:rsidRPr="0070054C" w14:paraId="26FA0F37" w14:textId="77777777">
        <w:trPr>
          <w:trHeight w:val="300"/>
        </w:trPr>
        <w:tc>
          <w:tcPr>
            <w:tcW w:w="1435" w:type="dxa"/>
            <w:shd w:val="clear" w:color="auto" w:fill="C6EFCE"/>
            <w:tcMar>
              <w:left w:w="108" w:type="dxa"/>
              <w:right w:w="108" w:type="dxa"/>
            </w:tcMar>
            <w:vAlign w:val="center"/>
          </w:tcPr>
          <w:p w14:paraId="3C06154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M1C3-23</w:t>
            </w:r>
          </w:p>
        </w:tc>
        <w:tc>
          <w:tcPr>
            <w:tcW w:w="3543" w:type="dxa"/>
            <w:shd w:val="clear" w:color="auto" w:fill="C6EFCE"/>
            <w:tcMar>
              <w:left w:w="108" w:type="dxa"/>
              <w:right w:w="108" w:type="dxa"/>
            </w:tcMar>
            <w:vAlign w:val="center"/>
          </w:tcPr>
          <w:p w14:paraId="506A82DB" w14:textId="23A8332D"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 xml:space="preserve">Funds for the competitiveness of tourism enterprises </w:t>
            </w:r>
          </w:p>
        </w:tc>
        <w:tc>
          <w:tcPr>
            <w:tcW w:w="1418" w:type="dxa"/>
            <w:shd w:val="clear" w:color="auto" w:fill="C6EFCE"/>
            <w:tcMar>
              <w:left w:w="108" w:type="dxa"/>
              <w:right w:w="108" w:type="dxa"/>
            </w:tcMar>
            <w:vAlign w:val="center"/>
          </w:tcPr>
          <w:p w14:paraId="212AEB6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0695416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policy for the National Tourism Fund, </w:t>
            </w:r>
          </w:p>
        </w:tc>
      </w:tr>
      <w:tr w:rsidR="0039681A" w:rsidRPr="0070054C" w14:paraId="4D2B425D" w14:textId="77777777">
        <w:trPr>
          <w:trHeight w:val="300"/>
        </w:trPr>
        <w:tc>
          <w:tcPr>
            <w:tcW w:w="1435" w:type="dxa"/>
            <w:shd w:val="clear" w:color="auto" w:fill="C6EFCE"/>
            <w:tcMar>
              <w:left w:w="108" w:type="dxa"/>
              <w:right w:w="108" w:type="dxa"/>
            </w:tcMar>
            <w:vAlign w:val="center"/>
          </w:tcPr>
          <w:p w14:paraId="622676D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M1C3-24</w:t>
            </w:r>
          </w:p>
        </w:tc>
        <w:tc>
          <w:tcPr>
            <w:tcW w:w="3543" w:type="dxa"/>
            <w:shd w:val="clear" w:color="auto" w:fill="C6EFCE"/>
            <w:tcMar>
              <w:left w:w="108" w:type="dxa"/>
              <w:right w:w="108" w:type="dxa"/>
            </w:tcMar>
            <w:vAlign w:val="center"/>
          </w:tcPr>
          <w:p w14:paraId="78A8EE7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Funds for the competitiveness of tourism enterprises </w:t>
            </w:r>
          </w:p>
        </w:tc>
        <w:tc>
          <w:tcPr>
            <w:tcW w:w="1418" w:type="dxa"/>
            <w:shd w:val="clear" w:color="auto" w:fill="C6EFCE"/>
            <w:tcMar>
              <w:left w:w="108" w:type="dxa"/>
              <w:right w:w="108" w:type="dxa"/>
            </w:tcMar>
            <w:vAlign w:val="center"/>
          </w:tcPr>
          <w:p w14:paraId="03D224F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2FE05BB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policy for the: SME Guarantee Fund,</w:t>
            </w:r>
          </w:p>
        </w:tc>
      </w:tr>
      <w:tr w:rsidR="0039681A" w:rsidRPr="0070054C" w14:paraId="63CE0A96" w14:textId="77777777">
        <w:trPr>
          <w:trHeight w:val="300"/>
        </w:trPr>
        <w:tc>
          <w:tcPr>
            <w:tcW w:w="1435" w:type="dxa"/>
            <w:shd w:val="clear" w:color="auto" w:fill="C6EFCE"/>
            <w:tcMar>
              <w:left w:w="108" w:type="dxa"/>
              <w:right w:w="108" w:type="dxa"/>
            </w:tcMar>
            <w:vAlign w:val="center"/>
          </w:tcPr>
          <w:p w14:paraId="0F9DBD2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M1C3-25</w:t>
            </w:r>
          </w:p>
        </w:tc>
        <w:tc>
          <w:tcPr>
            <w:tcW w:w="3543" w:type="dxa"/>
            <w:shd w:val="clear" w:color="auto" w:fill="C6EFCE"/>
            <w:tcMar>
              <w:left w:w="108" w:type="dxa"/>
              <w:right w:w="108" w:type="dxa"/>
            </w:tcMar>
            <w:vAlign w:val="center"/>
          </w:tcPr>
          <w:p w14:paraId="316F6DE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Funds for the competitiveness of tourism enterprises </w:t>
            </w:r>
          </w:p>
        </w:tc>
        <w:tc>
          <w:tcPr>
            <w:tcW w:w="1418" w:type="dxa"/>
            <w:shd w:val="clear" w:color="auto" w:fill="C6EFCE"/>
            <w:tcMar>
              <w:left w:w="108" w:type="dxa"/>
              <w:right w:w="108" w:type="dxa"/>
            </w:tcMar>
            <w:vAlign w:val="center"/>
          </w:tcPr>
          <w:p w14:paraId="1AD8B2E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06541C4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policy for the Fondo Rotativo </w:t>
            </w:r>
          </w:p>
        </w:tc>
      </w:tr>
      <w:tr w:rsidR="0039681A" w:rsidRPr="0070054C" w14:paraId="1C9D92CF" w14:textId="77777777">
        <w:trPr>
          <w:trHeight w:val="300"/>
        </w:trPr>
        <w:tc>
          <w:tcPr>
            <w:tcW w:w="1435" w:type="dxa"/>
            <w:shd w:val="clear" w:color="auto" w:fill="C6EFCE"/>
            <w:tcMar>
              <w:left w:w="108" w:type="dxa"/>
              <w:right w:w="108" w:type="dxa"/>
            </w:tcMar>
            <w:vAlign w:val="center"/>
          </w:tcPr>
          <w:p w14:paraId="7279162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M1C3-26</w:t>
            </w:r>
          </w:p>
        </w:tc>
        <w:tc>
          <w:tcPr>
            <w:tcW w:w="3543" w:type="dxa"/>
            <w:shd w:val="clear" w:color="auto" w:fill="C6EFCE"/>
            <w:tcMar>
              <w:left w:w="108" w:type="dxa"/>
              <w:right w:w="108" w:type="dxa"/>
            </w:tcMar>
            <w:vAlign w:val="center"/>
          </w:tcPr>
          <w:p w14:paraId="2A54959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Funds for the competitiveness of tourism enterprises </w:t>
            </w:r>
          </w:p>
        </w:tc>
        <w:tc>
          <w:tcPr>
            <w:tcW w:w="1418" w:type="dxa"/>
            <w:shd w:val="clear" w:color="auto" w:fill="C6EFCE"/>
            <w:tcMar>
              <w:left w:w="108" w:type="dxa"/>
              <w:right w:w="108" w:type="dxa"/>
            </w:tcMar>
            <w:vAlign w:val="center"/>
          </w:tcPr>
          <w:p w14:paraId="09FB823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10BF794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implementing decree for the Tax credit for the redevelopment of accommodation facilities.</w:t>
            </w:r>
          </w:p>
        </w:tc>
      </w:tr>
      <w:tr w:rsidR="0039681A" w:rsidRPr="0070054C" w14:paraId="7ACE3726" w14:textId="77777777">
        <w:trPr>
          <w:trHeight w:val="300"/>
        </w:trPr>
        <w:tc>
          <w:tcPr>
            <w:tcW w:w="1435" w:type="dxa"/>
            <w:shd w:val="clear" w:color="auto" w:fill="C6EFCE"/>
            <w:tcMar>
              <w:left w:w="108" w:type="dxa"/>
              <w:right w:w="108" w:type="dxa"/>
            </w:tcMar>
            <w:vAlign w:val="center"/>
          </w:tcPr>
          <w:p w14:paraId="6415D12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M2C4-7</w:t>
            </w:r>
          </w:p>
        </w:tc>
        <w:tc>
          <w:tcPr>
            <w:tcW w:w="3543" w:type="dxa"/>
            <w:shd w:val="clear" w:color="auto" w:fill="C6EFCE"/>
            <w:tcMar>
              <w:left w:w="108" w:type="dxa"/>
              <w:right w:w="108" w:type="dxa"/>
            </w:tcMar>
            <w:vAlign w:val="center"/>
          </w:tcPr>
          <w:p w14:paraId="3404FF9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3.1: Adoption of national programs on air pollution control</w:t>
            </w:r>
          </w:p>
        </w:tc>
        <w:tc>
          <w:tcPr>
            <w:tcW w:w="1418" w:type="dxa"/>
            <w:shd w:val="clear" w:color="auto" w:fill="C6EFCE"/>
            <w:tcMar>
              <w:left w:w="108" w:type="dxa"/>
              <w:right w:w="108" w:type="dxa"/>
            </w:tcMar>
            <w:vAlign w:val="center"/>
          </w:tcPr>
          <w:p w14:paraId="3ECCF49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57D0A81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national air pollution control programme</w:t>
            </w:r>
          </w:p>
        </w:tc>
      </w:tr>
      <w:tr w:rsidR="0039681A" w:rsidRPr="0070054C" w14:paraId="6885931A" w14:textId="77777777">
        <w:trPr>
          <w:trHeight w:val="300"/>
        </w:trPr>
        <w:tc>
          <w:tcPr>
            <w:tcW w:w="1435" w:type="dxa"/>
            <w:shd w:val="clear" w:color="auto" w:fill="C6EFCE"/>
            <w:tcMar>
              <w:left w:w="108" w:type="dxa"/>
              <w:right w:w="108" w:type="dxa"/>
            </w:tcMar>
            <w:vAlign w:val="center"/>
          </w:tcPr>
          <w:p w14:paraId="5426AC1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M2C4-12</w:t>
            </w:r>
          </w:p>
        </w:tc>
        <w:tc>
          <w:tcPr>
            <w:tcW w:w="3543" w:type="dxa"/>
            <w:shd w:val="clear" w:color="auto" w:fill="C6EFCE"/>
            <w:tcMar>
              <w:left w:w="108" w:type="dxa"/>
              <w:right w:w="108" w:type="dxa"/>
            </w:tcMar>
            <w:vAlign w:val="center"/>
          </w:tcPr>
          <w:p w14:paraId="6AA5790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2.1.b. Measures for flood and hydrogeological risk reduction</w:t>
            </w:r>
          </w:p>
        </w:tc>
        <w:tc>
          <w:tcPr>
            <w:tcW w:w="1418" w:type="dxa"/>
            <w:shd w:val="clear" w:color="auto" w:fill="C6EFCE"/>
            <w:tcMar>
              <w:left w:w="108" w:type="dxa"/>
              <w:right w:w="108" w:type="dxa"/>
            </w:tcMar>
            <w:vAlign w:val="center"/>
          </w:tcPr>
          <w:p w14:paraId="6920C6A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2970D41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revised legal framework for interventions against flood and hydrogeological risks</w:t>
            </w:r>
          </w:p>
        </w:tc>
      </w:tr>
      <w:tr w:rsidR="0039681A" w:rsidRPr="0070054C" w14:paraId="485F4EBF" w14:textId="77777777">
        <w:trPr>
          <w:trHeight w:val="300"/>
        </w:trPr>
        <w:tc>
          <w:tcPr>
            <w:tcW w:w="1435" w:type="dxa"/>
            <w:shd w:val="clear" w:color="auto" w:fill="C6EFCE"/>
            <w:tcMar>
              <w:left w:w="108" w:type="dxa"/>
              <w:right w:w="108" w:type="dxa"/>
            </w:tcMar>
            <w:vAlign w:val="center"/>
          </w:tcPr>
          <w:p w14:paraId="67694C5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M2C4-18</w:t>
            </w:r>
          </w:p>
        </w:tc>
        <w:tc>
          <w:tcPr>
            <w:tcW w:w="3543" w:type="dxa"/>
            <w:shd w:val="clear" w:color="auto" w:fill="C6EFCE"/>
            <w:tcMar>
              <w:left w:w="108" w:type="dxa"/>
              <w:right w:w="108" w:type="dxa"/>
            </w:tcMar>
            <w:vAlign w:val="center"/>
          </w:tcPr>
          <w:p w14:paraId="4DA2CE7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Protection and enhancement of urban and peri-urban forests</w:t>
            </w:r>
          </w:p>
        </w:tc>
        <w:tc>
          <w:tcPr>
            <w:tcW w:w="1418" w:type="dxa"/>
            <w:shd w:val="clear" w:color="auto" w:fill="C6EFCE"/>
            <w:tcMar>
              <w:left w:w="108" w:type="dxa"/>
              <w:right w:w="108" w:type="dxa"/>
            </w:tcMar>
            <w:vAlign w:val="center"/>
          </w:tcPr>
          <w:p w14:paraId="79D8A1A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06BE2A0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revised legal changes for the protection and valorisation of urban and peri-urban green areas </w:t>
            </w:r>
          </w:p>
        </w:tc>
      </w:tr>
      <w:tr w:rsidR="0039681A" w:rsidRPr="0070054C" w14:paraId="603E2B54" w14:textId="77777777">
        <w:trPr>
          <w:trHeight w:val="300"/>
        </w:trPr>
        <w:tc>
          <w:tcPr>
            <w:tcW w:w="1435" w:type="dxa"/>
            <w:shd w:val="clear" w:color="auto" w:fill="C6EFCE"/>
            <w:tcMar>
              <w:left w:w="108" w:type="dxa"/>
              <w:right w:w="108" w:type="dxa"/>
            </w:tcMar>
            <w:vAlign w:val="center"/>
          </w:tcPr>
          <w:p w14:paraId="0B5CC71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w:t>
            </w:r>
          </w:p>
        </w:tc>
        <w:tc>
          <w:tcPr>
            <w:tcW w:w="3543" w:type="dxa"/>
            <w:shd w:val="clear" w:color="auto" w:fill="C6EFCE"/>
            <w:tcMar>
              <w:left w:w="108" w:type="dxa"/>
              <w:right w:w="108" w:type="dxa"/>
            </w:tcMar>
            <w:vAlign w:val="center"/>
          </w:tcPr>
          <w:p w14:paraId="014D63D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1.1 - Acceleration of the approval process of the Contract between the MIT and RFI</w:t>
            </w:r>
          </w:p>
        </w:tc>
        <w:tc>
          <w:tcPr>
            <w:tcW w:w="1418" w:type="dxa"/>
            <w:shd w:val="clear" w:color="auto" w:fill="C6EFCE"/>
            <w:tcMar>
              <w:left w:w="108" w:type="dxa"/>
              <w:right w:w="108" w:type="dxa"/>
            </w:tcMar>
            <w:vAlign w:val="center"/>
          </w:tcPr>
          <w:p w14:paraId="10FBFD5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2E3271A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legislative amendment on the approval process of the Contratti di Programma (CdP)</w:t>
            </w:r>
          </w:p>
        </w:tc>
      </w:tr>
      <w:tr w:rsidR="0039681A" w:rsidRPr="0070054C" w14:paraId="78D92A6A" w14:textId="77777777">
        <w:trPr>
          <w:trHeight w:val="300"/>
        </w:trPr>
        <w:tc>
          <w:tcPr>
            <w:tcW w:w="1435" w:type="dxa"/>
            <w:shd w:val="clear" w:color="auto" w:fill="C6EFCE"/>
            <w:tcMar>
              <w:left w:w="108" w:type="dxa"/>
              <w:right w:w="108" w:type="dxa"/>
            </w:tcMar>
            <w:vAlign w:val="center"/>
          </w:tcPr>
          <w:p w14:paraId="4C11250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M3C1-2</w:t>
            </w:r>
          </w:p>
        </w:tc>
        <w:tc>
          <w:tcPr>
            <w:tcW w:w="3543" w:type="dxa"/>
            <w:shd w:val="clear" w:color="auto" w:fill="C6EFCE"/>
            <w:tcMar>
              <w:left w:w="108" w:type="dxa"/>
              <w:right w:w="108" w:type="dxa"/>
            </w:tcMar>
            <w:vAlign w:val="center"/>
          </w:tcPr>
          <w:p w14:paraId="48C7125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1.2 - Acceleration of the authorization process of projects</w:t>
            </w:r>
          </w:p>
        </w:tc>
        <w:tc>
          <w:tcPr>
            <w:tcW w:w="1418" w:type="dxa"/>
            <w:shd w:val="clear" w:color="auto" w:fill="C6EFCE"/>
            <w:tcMar>
              <w:left w:w="108" w:type="dxa"/>
              <w:right w:w="108" w:type="dxa"/>
            </w:tcMar>
            <w:vAlign w:val="center"/>
          </w:tcPr>
          <w:p w14:paraId="1816F99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4472880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regulatory change that reduces the authorisation time of projects from 11 to six months</w:t>
            </w:r>
          </w:p>
        </w:tc>
      </w:tr>
      <w:tr w:rsidR="0039681A" w:rsidRPr="0070054C" w14:paraId="4390AB1F" w14:textId="77777777">
        <w:trPr>
          <w:trHeight w:val="300"/>
        </w:trPr>
        <w:tc>
          <w:tcPr>
            <w:tcW w:w="1435" w:type="dxa"/>
            <w:shd w:val="clear" w:color="auto" w:fill="C6EFCE"/>
            <w:tcMar>
              <w:left w:w="108" w:type="dxa"/>
              <w:right w:w="108" w:type="dxa"/>
            </w:tcMar>
            <w:vAlign w:val="center"/>
          </w:tcPr>
          <w:p w14:paraId="3E3D155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M3C1-21</w:t>
            </w:r>
          </w:p>
        </w:tc>
        <w:tc>
          <w:tcPr>
            <w:tcW w:w="3543" w:type="dxa"/>
            <w:shd w:val="clear" w:color="auto" w:fill="C6EFCE"/>
            <w:tcMar>
              <w:left w:w="108" w:type="dxa"/>
              <w:right w:w="108" w:type="dxa"/>
            </w:tcMar>
            <w:vAlign w:val="center"/>
          </w:tcPr>
          <w:p w14:paraId="4868E67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2.1 - Implementation of the recent “Decree Simplification” (converted into Law n.120 dated 11 September 2020) by issuing a decree concerning the adoption of “Guidelines for the classification and management of risks, the evaluation of security and the monitoring of existing bridges”</w:t>
            </w:r>
          </w:p>
        </w:tc>
        <w:tc>
          <w:tcPr>
            <w:tcW w:w="1418" w:type="dxa"/>
            <w:shd w:val="clear" w:color="auto" w:fill="C6EFCE"/>
            <w:tcMar>
              <w:left w:w="108" w:type="dxa"/>
              <w:right w:w="108" w:type="dxa"/>
            </w:tcMar>
            <w:vAlign w:val="center"/>
          </w:tcPr>
          <w:p w14:paraId="7B5DB1E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547FBD5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“Guidelines for the classification and management of risks, the evaluation of security and the monitoring of existing bridges”</w:t>
            </w:r>
          </w:p>
        </w:tc>
      </w:tr>
      <w:tr w:rsidR="0039681A" w:rsidRPr="0070054C" w14:paraId="443A6254" w14:textId="77777777">
        <w:trPr>
          <w:trHeight w:val="300"/>
        </w:trPr>
        <w:tc>
          <w:tcPr>
            <w:tcW w:w="1435" w:type="dxa"/>
            <w:shd w:val="clear" w:color="auto" w:fill="C6EFCE"/>
            <w:tcMar>
              <w:left w:w="108" w:type="dxa"/>
              <w:right w:w="108" w:type="dxa"/>
            </w:tcMar>
            <w:vAlign w:val="center"/>
          </w:tcPr>
          <w:p w14:paraId="2001944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M3C1-22</w:t>
            </w:r>
          </w:p>
        </w:tc>
        <w:tc>
          <w:tcPr>
            <w:tcW w:w="3543" w:type="dxa"/>
            <w:shd w:val="clear" w:color="auto" w:fill="C6EFCE"/>
            <w:tcMar>
              <w:left w:w="108" w:type="dxa"/>
              <w:right w:w="108" w:type="dxa"/>
            </w:tcMar>
            <w:vAlign w:val="center"/>
          </w:tcPr>
          <w:p w14:paraId="77A28E0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2.2 - Transfer the property of the bridges and viaducts from the lower level ranking roads to the higher ranking ones</w:t>
            </w:r>
          </w:p>
        </w:tc>
        <w:tc>
          <w:tcPr>
            <w:tcW w:w="1418" w:type="dxa"/>
            <w:shd w:val="clear" w:color="auto" w:fill="C6EFCE"/>
            <w:tcMar>
              <w:left w:w="108" w:type="dxa"/>
              <w:right w:w="108" w:type="dxa"/>
            </w:tcMar>
            <w:vAlign w:val="center"/>
          </w:tcPr>
          <w:p w14:paraId="3230B19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111A97B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Transfer the ownership of the bridges, viaducts and overpasses from the lower level ranking roads to the higher ranking ones (highways and main national roads)</w:t>
            </w:r>
          </w:p>
        </w:tc>
      </w:tr>
      <w:tr w:rsidR="0039681A" w:rsidRPr="0070054C" w14:paraId="0A15EC68" w14:textId="77777777">
        <w:trPr>
          <w:trHeight w:val="300"/>
        </w:trPr>
        <w:tc>
          <w:tcPr>
            <w:tcW w:w="1435" w:type="dxa"/>
            <w:shd w:val="clear" w:color="auto" w:fill="C6EFCE"/>
            <w:tcMar>
              <w:left w:w="108" w:type="dxa"/>
              <w:right w:w="108" w:type="dxa"/>
            </w:tcMar>
            <w:vAlign w:val="center"/>
          </w:tcPr>
          <w:p w14:paraId="0EDB021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M4C1-27</w:t>
            </w:r>
          </w:p>
        </w:tc>
        <w:tc>
          <w:tcPr>
            <w:tcW w:w="3543" w:type="dxa"/>
            <w:shd w:val="clear" w:color="auto" w:fill="C6EFCE"/>
            <w:tcMar>
              <w:left w:w="108" w:type="dxa"/>
              <w:right w:w="108" w:type="dxa"/>
            </w:tcMar>
            <w:vAlign w:val="center"/>
          </w:tcPr>
          <w:p w14:paraId="02ECE4F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1.7: Reform of student housing regulation and investment in student housing</w:t>
            </w:r>
          </w:p>
        </w:tc>
        <w:tc>
          <w:tcPr>
            <w:tcW w:w="1418" w:type="dxa"/>
            <w:shd w:val="clear" w:color="auto" w:fill="C6EFCE"/>
            <w:tcMar>
              <w:left w:w="108" w:type="dxa"/>
              <w:right w:w="108" w:type="dxa"/>
            </w:tcMar>
            <w:vAlign w:val="center"/>
          </w:tcPr>
          <w:p w14:paraId="55185D5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22C21114" w14:textId="78AA357E"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legislation</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to amend the current rules for student housing.</w:t>
            </w:r>
          </w:p>
        </w:tc>
      </w:tr>
      <w:tr w:rsidR="0039681A" w:rsidRPr="0070054C" w14:paraId="6091CB17" w14:textId="77777777">
        <w:trPr>
          <w:trHeight w:val="300"/>
        </w:trPr>
        <w:tc>
          <w:tcPr>
            <w:tcW w:w="1435" w:type="dxa"/>
            <w:shd w:val="clear" w:color="auto" w:fill="C6EFCE"/>
            <w:tcMar>
              <w:left w:w="108" w:type="dxa"/>
              <w:right w:w="108" w:type="dxa"/>
            </w:tcMar>
            <w:vAlign w:val="center"/>
          </w:tcPr>
          <w:p w14:paraId="061B17D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M5C3-10</w:t>
            </w:r>
          </w:p>
        </w:tc>
        <w:tc>
          <w:tcPr>
            <w:tcW w:w="3543" w:type="dxa"/>
            <w:shd w:val="clear" w:color="auto" w:fill="C6EFCE"/>
            <w:tcMar>
              <w:left w:w="108" w:type="dxa"/>
              <w:right w:w="108" w:type="dxa"/>
            </w:tcMar>
            <w:vAlign w:val="center"/>
          </w:tcPr>
          <w:p w14:paraId="586E669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Reform1: Simplification of the procedures and strengthening of the Commissioner in the Special Economic Zones</w:t>
            </w:r>
          </w:p>
        </w:tc>
        <w:tc>
          <w:tcPr>
            <w:tcW w:w="1418" w:type="dxa"/>
            <w:shd w:val="clear" w:color="auto" w:fill="C6EFCE"/>
            <w:tcMar>
              <w:left w:w="108" w:type="dxa"/>
              <w:right w:w="108" w:type="dxa"/>
            </w:tcMar>
            <w:vAlign w:val="center"/>
          </w:tcPr>
          <w:p w14:paraId="1E61FC9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3023982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regulation to simply the procedures and strengthen the role of the Commissioner in the Special Economic Zones</w:t>
            </w:r>
          </w:p>
        </w:tc>
      </w:tr>
      <w:tr w:rsidR="0039681A" w:rsidRPr="0070054C" w14:paraId="4EB32BCE" w14:textId="77777777">
        <w:trPr>
          <w:trHeight w:val="300"/>
        </w:trPr>
        <w:tc>
          <w:tcPr>
            <w:tcW w:w="1435" w:type="dxa"/>
            <w:shd w:val="clear" w:color="auto" w:fill="C6EFCE"/>
            <w:tcMar>
              <w:left w:w="108" w:type="dxa"/>
              <w:right w:w="108" w:type="dxa"/>
            </w:tcMar>
            <w:vAlign w:val="center"/>
          </w:tcPr>
          <w:p w14:paraId="54291BE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M5C3-11</w:t>
            </w:r>
          </w:p>
        </w:tc>
        <w:tc>
          <w:tcPr>
            <w:tcW w:w="3543" w:type="dxa"/>
            <w:shd w:val="clear" w:color="auto" w:fill="C6EFCE"/>
            <w:tcMar>
              <w:left w:w="108" w:type="dxa"/>
              <w:right w:w="108" w:type="dxa"/>
            </w:tcMar>
            <w:vAlign w:val="center"/>
          </w:tcPr>
          <w:p w14:paraId="482051F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1.4: Infrastructural investments for the Special Economic Zone </w:t>
            </w:r>
          </w:p>
        </w:tc>
        <w:tc>
          <w:tcPr>
            <w:tcW w:w="1418" w:type="dxa"/>
            <w:shd w:val="clear" w:color="auto" w:fill="C6EFCE"/>
            <w:tcMar>
              <w:left w:w="108" w:type="dxa"/>
              <w:right w:w="108" w:type="dxa"/>
            </w:tcMar>
            <w:vAlign w:val="center"/>
          </w:tcPr>
          <w:p w14:paraId="1AF67EC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63" w:type="dxa"/>
            <w:shd w:val="clear" w:color="auto" w:fill="C6EFCE"/>
            <w:tcMar>
              <w:left w:w="108" w:type="dxa"/>
              <w:right w:w="108" w:type="dxa"/>
            </w:tcMar>
            <w:vAlign w:val="center"/>
          </w:tcPr>
          <w:p w14:paraId="7D6960C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Ministry Decrees approving operational plans for all eight Special Economic Zones</w:t>
            </w:r>
          </w:p>
        </w:tc>
      </w:tr>
      <w:tr w:rsidR="0039681A" w:rsidRPr="0070054C" w14:paraId="712D48D7" w14:textId="77777777">
        <w:trPr>
          <w:trHeight w:val="300"/>
        </w:trPr>
        <w:tc>
          <w:tcPr>
            <w:tcW w:w="1435" w:type="dxa"/>
            <w:shd w:val="clear" w:color="auto" w:fill="C6EFCE"/>
            <w:tcMar>
              <w:left w:w="108" w:type="dxa"/>
              <w:right w:w="108" w:type="dxa"/>
            </w:tcMar>
            <w:vAlign w:val="center"/>
          </w:tcPr>
          <w:p w14:paraId="4AA4529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M6C2-4</w:t>
            </w:r>
          </w:p>
        </w:tc>
        <w:tc>
          <w:tcPr>
            <w:tcW w:w="3543" w:type="dxa"/>
            <w:shd w:val="clear" w:color="auto" w:fill="C6EFCE"/>
            <w:tcMar>
              <w:left w:w="108" w:type="dxa"/>
              <w:right w:w="108" w:type="dxa"/>
            </w:tcMar>
            <w:vAlign w:val="center"/>
          </w:tcPr>
          <w:p w14:paraId="1D00E25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1.1: Digital update of hospitals’ technological equipment</w:t>
            </w:r>
          </w:p>
        </w:tc>
        <w:tc>
          <w:tcPr>
            <w:tcW w:w="1418" w:type="dxa"/>
            <w:shd w:val="clear" w:color="auto" w:fill="C6EFCE"/>
            <w:tcMar>
              <w:left w:w="108" w:type="dxa"/>
              <w:right w:w="108" w:type="dxa"/>
            </w:tcMar>
            <w:vAlign w:val="center"/>
          </w:tcPr>
          <w:p w14:paraId="45F6FC2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Milestone</w:t>
            </w:r>
          </w:p>
        </w:tc>
        <w:tc>
          <w:tcPr>
            <w:tcW w:w="2963" w:type="dxa"/>
            <w:shd w:val="clear" w:color="auto" w:fill="C6EFCE"/>
            <w:tcMar>
              <w:left w:w="108" w:type="dxa"/>
              <w:right w:w="108" w:type="dxa"/>
            </w:tcMar>
            <w:vAlign w:val="center"/>
          </w:tcPr>
          <w:p w14:paraId="2F33CC3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Reorganization plan approved by Ministry of Health/Italian Regions</w:t>
            </w:r>
          </w:p>
        </w:tc>
      </w:tr>
      <w:tr w:rsidR="0039681A" w:rsidRPr="00647572" w14:paraId="2E17961E" w14:textId="77777777">
        <w:trPr>
          <w:trHeight w:val="300"/>
        </w:trPr>
        <w:tc>
          <w:tcPr>
            <w:tcW w:w="1435" w:type="dxa"/>
            <w:shd w:val="clear" w:color="auto" w:fill="C6EFCE"/>
            <w:tcMar>
              <w:left w:w="108" w:type="dxa"/>
              <w:right w:w="108" w:type="dxa"/>
            </w:tcMar>
            <w:vAlign w:val="center"/>
          </w:tcPr>
          <w:p w14:paraId="71506686"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3543" w:type="dxa"/>
            <w:shd w:val="clear" w:color="auto" w:fill="C6EFCE"/>
            <w:tcMar>
              <w:left w:w="108" w:type="dxa"/>
              <w:right w:w="108" w:type="dxa"/>
            </w:tcMar>
            <w:vAlign w:val="center"/>
          </w:tcPr>
          <w:p w14:paraId="347A1DC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418" w:type="dxa"/>
            <w:shd w:val="clear" w:color="auto" w:fill="C6EFCE"/>
            <w:tcMar>
              <w:left w:w="108" w:type="dxa"/>
              <w:right w:w="108" w:type="dxa"/>
            </w:tcMar>
            <w:vAlign w:val="center"/>
          </w:tcPr>
          <w:p w14:paraId="4BD592A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Instalment Amount</w:t>
            </w:r>
          </w:p>
        </w:tc>
        <w:tc>
          <w:tcPr>
            <w:tcW w:w="2963" w:type="dxa"/>
            <w:shd w:val="clear" w:color="auto" w:fill="C6EFCE"/>
            <w:tcMar>
              <w:left w:w="108" w:type="dxa"/>
              <w:right w:w="108" w:type="dxa"/>
            </w:tcMar>
            <w:vAlign w:val="center"/>
          </w:tcPr>
          <w:p w14:paraId="5B6789A0"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643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678</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161</w:t>
            </w:r>
          </w:p>
        </w:tc>
      </w:tr>
    </w:tbl>
    <w:p w14:paraId="59E6D251" w14:textId="77777777" w:rsidR="0039681A" w:rsidRPr="00647572" w:rsidRDefault="0039681A" w:rsidP="00351087">
      <w:pPr>
        <w:spacing w:after="0"/>
        <w:ind w:left="850"/>
        <w:contextualSpacing/>
        <w:jc w:val="both"/>
        <w:rPr>
          <w:rFonts w:ascii="Times New Roman" w:eastAsia="Times New Roman" w:hAnsi="Times New Roman" w:cs="Times New Roman"/>
          <w:noProof/>
          <w:lang w:eastAsia="en-GB"/>
        </w:rPr>
      </w:pPr>
    </w:p>
    <w:p w14:paraId="071F49F7" w14:textId="77777777" w:rsidR="0039681A" w:rsidRPr="00647572" w:rsidRDefault="0039681A" w:rsidP="00351087">
      <w:pPr>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br w:type="page"/>
      </w:r>
    </w:p>
    <w:p w14:paraId="566548B8" w14:textId="77777777" w:rsidR="0039681A" w:rsidRPr="00647572" w:rsidRDefault="0039681A" w:rsidP="0039681A">
      <w:pPr>
        <w:pStyle w:val="Heading3"/>
        <w:numPr>
          <w:ilvl w:val="1"/>
          <w:numId w:val="16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Second Instalment (loan support):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0"/>
        <w:gridCol w:w="2553"/>
        <w:gridCol w:w="1170"/>
        <w:gridCol w:w="4435"/>
      </w:tblGrid>
      <w:tr w:rsidR="0039681A" w:rsidRPr="00647572" w14:paraId="4D074372" w14:textId="77777777">
        <w:trPr>
          <w:trHeight w:val="900"/>
          <w:tblHeader/>
        </w:trPr>
        <w:tc>
          <w:tcPr>
            <w:tcW w:w="1200" w:type="dxa"/>
            <w:vMerge w:val="restart"/>
            <w:shd w:val="clear" w:color="auto" w:fill="BDD7EE"/>
            <w:tcMar>
              <w:left w:w="108" w:type="dxa"/>
              <w:right w:w="108" w:type="dxa"/>
            </w:tcMar>
            <w:vAlign w:val="center"/>
          </w:tcPr>
          <w:p w14:paraId="06A3995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2553" w:type="dxa"/>
            <w:vMerge w:val="restart"/>
            <w:shd w:val="clear" w:color="auto" w:fill="BDD7EE"/>
            <w:tcMar>
              <w:left w:w="108" w:type="dxa"/>
              <w:right w:w="108" w:type="dxa"/>
            </w:tcMar>
            <w:vAlign w:val="center"/>
          </w:tcPr>
          <w:p w14:paraId="4D3E073A"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170" w:type="dxa"/>
            <w:vMerge w:val="restart"/>
            <w:shd w:val="clear" w:color="auto" w:fill="BDD7EE"/>
            <w:tcMar>
              <w:left w:w="108" w:type="dxa"/>
              <w:right w:w="108" w:type="dxa"/>
            </w:tcMar>
            <w:vAlign w:val="center"/>
          </w:tcPr>
          <w:p w14:paraId="5FA8227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4435" w:type="dxa"/>
            <w:vMerge w:val="restart"/>
            <w:shd w:val="clear" w:color="auto" w:fill="BDD7EE"/>
            <w:tcMar>
              <w:left w:w="108" w:type="dxa"/>
              <w:right w:w="108" w:type="dxa"/>
            </w:tcMar>
            <w:vAlign w:val="center"/>
          </w:tcPr>
          <w:p w14:paraId="5040479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19465BAE" w14:textId="77777777">
        <w:trPr>
          <w:trHeight w:val="510"/>
        </w:trPr>
        <w:tc>
          <w:tcPr>
            <w:tcW w:w="1200" w:type="dxa"/>
            <w:vMerge/>
            <w:vAlign w:val="center"/>
          </w:tcPr>
          <w:p w14:paraId="2AB35338"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2553" w:type="dxa"/>
            <w:vMerge/>
            <w:vAlign w:val="center"/>
          </w:tcPr>
          <w:p w14:paraId="3C8C46EA"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170" w:type="dxa"/>
            <w:vMerge/>
            <w:vAlign w:val="center"/>
          </w:tcPr>
          <w:p w14:paraId="6C8941FE"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4435" w:type="dxa"/>
            <w:vMerge/>
            <w:vAlign w:val="center"/>
          </w:tcPr>
          <w:p w14:paraId="68B595F2"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2BD8ABA5" w14:textId="77777777">
        <w:trPr>
          <w:trHeight w:val="300"/>
        </w:trPr>
        <w:tc>
          <w:tcPr>
            <w:tcW w:w="1200" w:type="dxa"/>
            <w:shd w:val="clear" w:color="auto" w:fill="C6EFCE"/>
            <w:tcMar>
              <w:left w:w="108" w:type="dxa"/>
              <w:right w:w="108" w:type="dxa"/>
            </w:tcMar>
            <w:vAlign w:val="center"/>
          </w:tcPr>
          <w:p w14:paraId="3B37D1D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M1C2-28</w:t>
            </w:r>
          </w:p>
        </w:tc>
        <w:tc>
          <w:tcPr>
            <w:tcW w:w="2553" w:type="dxa"/>
            <w:shd w:val="clear" w:color="auto" w:fill="C6EFCE"/>
            <w:tcMar>
              <w:left w:w="108" w:type="dxa"/>
              <w:right w:w="108" w:type="dxa"/>
            </w:tcMar>
            <w:vAlign w:val="center"/>
          </w:tcPr>
          <w:p w14:paraId="677AF93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5.2: Competitiveness and resilience of supply chains</w:t>
            </w:r>
          </w:p>
        </w:tc>
        <w:tc>
          <w:tcPr>
            <w:tcW w:w="1170" w:type="dxa"/>
            <w:shd w:val="clear" w:color="auto" w:fill="C6EFCE"/>
            <w:tcMar>
              <w:left w:w="108" w:type="dxa"/>
              <w:right w:w="108" w:type="dxa"/>
            </w:tcMar>
            <w:vAlign w:val="center"/>
          </w:tcPr>
          <w:p w14:paraId="73B72BA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5511EDB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a decree including the investment policy of the Development Contracts</w:t>
            </w:r>
          </w:p>
        </w:tc>
      </w:tr>
      <w:tr w:rsidR="0039681A" w:rsidRPr="0070054C" w14:paraId="05747205" w14:textId="77777777">
        <w:trPr>
          <w:trHeight w:val="300"/>
        </w:trPr>
        <w:tc>
          <w:tcPr>
            <w:tcW w:w="1200" w:type="dxa"/>
            <w:shd w:val="clear" w:color="auto" w:fill="C6EFCE"/>
            <w:tcMar>
              <w:left w:w="108" w:type="dxa"/>
              <w:right w:w="108" w:type="dxa"/>
            </w:tcMar>
            <w:vAlign w:val="center"/>
          </w:tcPr>
          <w:p w14:paraId="323D949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M2C4-27</w:t>
            </w:r>
          </w:p>
        </w:tc>
        <w:tc>
          <w:tcPr>
            <w:tcW w:w="2553" w:type="dxa"/>
            <w:shd w:val="clear" w:color="auto" w:fill="C6EFCE"/>
            <w:tcMar>
              <w:left w:w="108" w:type="dxa"/>
              <w:right w:w="108" w:type="dxa"/>
            </w:tcMar>
            <w:vAlign w:val="center"/>
          </w:tcPr>
          <w:p w14:paraId="7F7A087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4.1. Simplification of legislation and strengthening of governance for the implementation of investments in the water supply infrastructures</w:t>
            </w:r>
          </w:p>
        </w:tc>
        <w:tc>
          <w:tcPr>
            <w:tcW w:w="1170" w:type="dxa"/>
            <w:shd w:val="clear" w:color="auto" w:fill="C6EFCE"/>
            <w:tcMar>
              <w:left w:w="108" w:type="dxa"/>
              <w:right w:w="108" w:type="dxa"/>
            </w:tcMar>
            <w:vAlign w:val="center"/>
          </w:tcPr>
          <w:p w14:paraId="07A2E1F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0EC3B7F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simplification of legislation for interventions in primary water infrastructure for the security of water supply </w:t>
            </w:r>
          </w:p>
        </w:tc>
      </w:tr>
      <w:tr w:rsidR="0039681A" w:rsidRPr="0070054C" w14:paraId="2823FD0D" w14:textId="77777777">
        <w:trPr>
          <w:trHeight w:val="300"/>
        </w:trPr>
        <w:tc>
          <w:tcPr>
            <w:tcW w:w="1200" w:type="dxa"/>
            <w:shd w:val="clear" w:color="auto" w:fill="C6EFCE"/>
            <w:tcMar>
              <w:left w:w="108" w:type="dxa"/>
              <w:right w:w="108" w:type="dxa"/>
            </w:tcMar>
            <w:vAlign w:val="center"/>
          </w:tcPr>
          <w:p w14:paraId="5F46D8A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M5C2-11</w:t>
            </w:r>
          </w:p>
        </w:tc>
        <w:tc>
          <w:tcPr>
            <w:tcW w:w="2553" w:type="dxa"/>
            <w:shd w:val="clear" w:color="auto" w:fill="C6EFCE"/>
            <w:tcMar>
              <w:left w:w="108" w:type="dxa"/>
              <w:right w:w="108" w:type="dxa"/>
            </w:tcMar>
            <w:vAlign w:val="center"/>
          </w:tcPr>
          <w:p w14:paraId="3BF21FF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4 - Investments in projects of urban regeneration, aimed at reducing situations of marginalization and social degradation</w:t>
            </w:r>
          </w:p>
        </w:tc>
        <w:tc>
          <w:tcPr>
            <w:tcW w:w="1170" w:type="dxa"/>
            <w:shd w:val="clear" w:color="auto" w:fill="C6EFCE"/>
            <w:tcMar>
              <w:left w:w="108" w:type="dxa"/>
              <w:right w:w="108" w:type="dxa"/>
            </w:tcMar>
            <w:vAlign w:val="center"/>
          </w:tcPr>
          <w:p w14:paraId="52C0068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2BC7B97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investments in urban regeneration to reduce situations of marginalisation and social degradation, with projects in line with the RRF objectives including the DNSH principle</w:t>
            </w:r>
          </w:p>
        </w:tc>
      </w:tr>
      <w:tr w:rsidR="0039681A" w:rsidRPr="0070054C" w14:paraId="45602490" w14:textId="77777777">
        <w:trPr>
          <w:trHeight w:val="300"/>
        </w:trPr>
        <w:tc>
          <w:tcPr>
            <w:tcW w:w="1200" w:type="dxa"/>
            <w:shd w:val="clear" w:color="auto" w:fill="C6EFCE"/>
            <w:tcMar>
              <w:left w:w="108" w:type="dxa"/>
              <w:right w:w="108" w:type="dxa"/>
            </w:tcMar>
            <w:vAlign w:val="center"/>
          </w:tcPr>
          <w:p w14:paraId="07AFB33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M5C2-15</w:t>
            </w:r>
          </w:p>
        </w:tc>
        <w:tc>
          <w:tcPr>
            <w:tcW w:w="2553" w:type="dxa"/>
            <w:shd w:val="clear" w:color="auto" w:fill="C6EFCE"/>
            <w:tcMar>
              <w:left w:w="108" w:type="dxa"/>
              <w:right w:w="108" w:type="dxa"/>
            </w:tcMar>
            <w:vAlign w:val="center"/>
          </w:tcPr>
          <w:p w14:paraId="7A7C0AF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5 - Urban Integrated Plans - Overcoming illegal settlements to fight labour exploitation in agriculture</w:t>
            </w:r>
          </w:p>
        </w:tc>
        <w:tc>
          <w:tcPr>
            <w:tcW w:w="1170" w:type="dxa"/>
            <w:shd w:val="clear" w:color="auto" w:fill="C6EFCE"/>
            <w:tcMar>
              <w:left w:w="108" w:type="dxa"/>
              <w:right w:w="108" w:type="dxa"/>
            </w:tcMar>
            <w:vAlign w:val="center"/>
          </w:tcPr>
          <w:p w14:paraId="03BE985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41E6914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Ministerial Decree setting out the mapping of illegal settlements is adopted by the “Tavolo di contrasto allo sfruttamento lavorativo in agricoltura” and the ministerial decree to allocate resources is adopted</w:t>
            </w:r>
          </w:p>
        </w:tc>
      </w:tr>
      <w:tr w:rsidR="0039681A" w:rsidRPr="0070054C" w14:paraId="6A73398F" w14:textId="77777777">
        <w:trPr>
          <w:trHeight w:val="300"/>
        </w:trPr>
        <w:tc>
          <w:tcPr>
            <w:tcW w:w="1200" w:type="dxa"/>
            <w:shd w:val="clear" w:color="auto" w:fill="C6EFCE"/>
            <w:tcMar>
              <w:left w:w="108" w:type="dxa"/>
              <w:right w:w="108" w:type="dxa"/>
            </w:tcMar>
            <w:vAlign w:val="center"/>
          </w:tcPr>
          <w:p w14:paraId="1467850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M5C2-19</w:t>
            </w:r>
          </w:p>
        </w:tc>
        <w:tc>
          <w:tcPr>
            <w:tcW w:w="2553" w:type="dxa"/>
            <w:shd w:val="clear" w:color="auto" w:fill="C6EFCE"/>
            <w:tcMar>
              <w:left w:w="108" w:type="dxa"/>
              <w:right w:w="108" w:type="dxa"/>
            </w:tcMar>
            <w:vAlign w:val="center"/>
          </w:tcPr>
          <w:p w14:paraId="62661EE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6 - Innovation Programme for Housing Quality</w:t>
            </w:r>
          </w:p>
        </w:tc>
        <w:tc>
          <w:tcPr>
            <w:tcW w:w="1170" w:type="dxa"/>
            <w:shd w:val="clear" w:color="auto" w:fill="C6EFCE"/>
            <w:tcMar>
              <w:left w:w="108" w:type="dxa"/>
              <w:right w:w="108" w:type="dxa"/>
            </w:tcMar>
            <w:vAlign w:val="center"/>
          </w:tcPr>
          <w:p w14:paraId="02BD405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315A261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Regions and Autonomous Provinces (including municipalities and/or metropolitan cities located in those territories) signed the agreements to redevelop and increase social housing</w:t>
            </w:r>
          </w:p>
        </w:tc>
      </w:tr>
      <w:tr w:rsidR="0039681A" w:rsidRPr="0070054C" w14:paraId="435FAA11" w14:textId="77777777">
        <w:trPr>
          <w:trHeight w:val="300"/>
        </w:trPr>
        <w:tc>
          <w:tcPr>
            <w:tcW w:w="1200" w:type="dxa"/>
            <w:shd w:val="clear" w:color="auto" w:fill="C6EFCE"/>
            <w:tcMar>
              <w:left w:w="108" w:type="dxa"/>
              <w:right w:w="108" w:type="dxa"/>
            </w:tcMar>
            <w:vAlign w:val="center"/>
          </w:tcPr>
          <w:p w14:paraId="61741C8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M1C2-16</w:t>
            </w:r>
          </w:p>
        </w:tc>
        <w:tc>
          <w:tcPr>
            <w:tcW w:w="2553" w:type="dxa"/>
            <w:shd w:val="clear" w:color="auto" w:fill="C6EFCE"/>
            <w:tcMar>
              <w:left w:w="108" w:type="dxa"/>
              <w:right w:w="108" w:type="dxa"/>
            </w:tcMar>
            <w:vAlign w:val="center"/>
          </w:tcPr>
          <w:p w14:paraId="3E786C3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Fast internet connections (Ultra-Broadband and 5G)</w:t>
            </w:r>
          </w:p>
        </w:tc>
        <w:tc>
          <w:tcPr>
            <w:tcW w:w="1170" w:type="dxa"/>
            <w:shd w:val="clear" w:color="auto" w:fill="C6EFCE"/>
            <w:tcMar>
              <w:left w:w="108" w:type="dxa"/>
              <w:right w:w="108" w:type="dxa"/>
            </w:tcMar>
            <w:vAlign w:val="center"/>
          </w:tcPr>
          <w:p w14:paraId="2CDC8B1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23D1D18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faster connection projects</w:t>
            </w:r>
          </w:p>
        </w:tc>
      </w:tr>
      <w:tr w:rsidR="0039681A" w:rsidRPr="0070054C" w14:paraId="74115CE1" w14:textId="77777777">
        <w:trPr>
          <w:trHeight w:val="300"/>
        </w:trPr>
        <w:tc>
          <w:tcPr>
            <w:tcW w:w="1200" w:type="dxa"/>
            <w:shd w:val="clear" w:color="auto" w:fill="C6EFCE"/>
            <w:tcMar>
              <w:left w:w="108" w:type="dxa"/>
              <w:right w:w="108" w:type="dxa"/>
            </w:tcMar>
            <w:vAlign w:val="center"/>
          </w:tcPr>
          <w:p w14:paraId="480C245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M1C3-12</w:t>
            </w:r>
          </w:p>
        </w:tc>
        <w:tc>
          <w:tcPr>
            <w:tcW w:w="2553" w:type="dxa"/>
            <w:shd w:val="clear" w:color="auto" w:fill="C6EFCE"/>
            <w:tcMar>
              <w:left w:w="108" w:type="dxa"/>
              <w:right w:w="108" w:type="dxa"/>
            </w:tcMar>
            <w:vAlign w:val="center"/>
          </w:tcPr>
          <w:p w14:paraId="14DB197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 – Attractiveness of small historic town</w:t>
            </w:r>
          </w:p>
        </w:tc>
        <w:tc>
          <w:tcPr>
            <w:tcW w:w="1170" w:type="dxa"/>
            <w:shd w:val="clear" w:color="auto" w:fill="C6EFCE"/>
            <w:tcMar>
              <w:left w:w="108" w:type="dxa"/>
              <w:right w:w="108" w:type="dxa"/>
            </w:tcMar>
            <w:vAlign w:val="center"/>
          </w:tcPr>
          <w:p w14:paraId="346CA75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475DC9BE" w14:textId="0A89F975"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Ministry of Culture decree for the allocation of resources to municipalities for the attractiveness of Small Historic Towns</w:t>
            </w:r>
            <w:r w:rsidR="00381DB1">
              <w:rPr>
                <w:rFonts w:ascii="Times New Roman" w:eastAsia="Times New Roman" w:hAnsi="Times New Roman" w:cs="Times New Roman"/>
                <w:noProof/>
                <w:color w:val="006100"/>
                <w:sz w:val="20"/>
                <w:szCs w:val="20"/>
                <w:lang w:val="en-IE" w:eastAsia="en-GB"/>
              </w:rPr>
              <w:t xml:space="preserve"> </w:t>
            </w:r>
          </w:p>
        </w:tc>
      </w:tr>
      <w:tr w:rsidR="0039681A" w:rsidRPr="0070054C" w14:paraId="59367700" w14:textId="77777777">
        <w:trPr>
          <w:trHeight w:val="300"/>
        </w:trPr>
        <w:tc>
          <w:tcPr>
            <w:tcW w:w="1200" w:type="dxa"/>
            <w:shd w:val="clear" w:color="auto" w:fill="C6EFCE"/>
            <w:tcMar>
              <w:left w:w="108" w:type="dxa"/>
              <w:right w:w="108" w:type="dxa"/>
            </w:tcMar>
            <w:vAlign w:val="center"/>
          </w:tcPr>
          <w:p w14:paraId="5925224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M1C3-13</w:t>
            </w:r>
          </w:p>
        </w:tc>
        <w:tc>
          <w:tcPr>
            <w:tcW w:w="2553" w:type="dxa"/>
            <w:shd w:val="clear" w:color="auto" w:fill="C6EFCE"/>
            <w:tcMar>
              <w:left w:w="108" w:type="dxa"/>
              <w:right w:w="108" w:type="dxa"/>
            </w:tcMar>
            <w:vAlign w:val="center"/>
          </w:tcPr>
          <w:p w14:paraId="00A1692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2.2 – Protection and enhancement of rural architecture and landscape</w:t>
            </w:r>
          </w:p>
        </w:tc>
        <w:tc>
          <w:tcPr>
            <w:tcW w:w="1170" w:type="dxa"/>
            <w:shd w:val="clear" w:color="auto" w:fill="C6EFCE"/>
            <w:tcMar>
              <w:left w:w="108" w:type="dxa"/>
              <w:right w:w="108" w:type="dxa"/>
            </w:tcMar>
            <w:vAlign w:val="center"/>
          </w:tcPr>
          <w:p w14:paraId="4B4B785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2955BCB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Ministry of Culture decree for the allocation of resources: for the protection and enhancement of rural architecture and landscape </w:t>
            </w:r>
          </w:p>
        </w:tc>
      </w:tr>
      <w:tr w:rsidR="0039681A" w:rsidRPr="0070054C" w14:paraId="344A4960" w14:textId="77777777">
        <w:trPr>
          <w:trHeight w:val="300"/>
        </w:trPr>
        <w:tc>
          <w:tcPr>
            <w:tcW w:w="1200" w:type="dxa"/>
            <w:shd w:val="clear" w:color="auto" w:fill="C6EFCE"/>
            <w:tcMar>
              <w:left w:w="108" w:type="dxa"/>
              <w:right w:w="108" w:type="dxa"/>
            </w:tcMar>
            <w:vAlign w:val="center"/>
          </w:tcPr>
          <w:p w14:paraId="19801AC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M1C3-14</w:t>
            </w:r>
          </w:p>
        </w:tc>
        <w:tc>
          <w:tcPr>
            <w:tcW w:w="2553" w:type="dxa"/>
            <w:shd w:val="clear" w:color="auto" w:fill="C6EFCE"/>
            <w:tcMar>
              <w:left w:w="108" w:type="dxa"/>
              <w:right w:w="108" w:type="dxa"/>
            </w:tcMar>
            <w:vAlign w:val="center"/>
          </w:tcPr>
          <w:p w14:paraId="628F638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2.3 – Programmes to enhance the identity of places, parks and historic gardens</w:t>
            </w:r>
          </w:p>
        </w:tc>
        <w:tc>
          <w:tcPr>
            <w:tcW w:w="1170" w:type="dxa"/>
            <w:shd w:val="clear" w:color="auto" w:fill="C6EFCE"/>
            <w:tcMar>
              <w:left w:w="108" w:type="dxa"/>
              <w:right w:w="108" w:type="dxa"/>
            </w:tcMar>
            <w:vAlign w:val="center"/>
          </w:tcPr>
          <w:p w14:paraId="31EB520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2BB75BD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Ministry of Culture decree for the allocation of resources: for projects to enhance the identity of places, parks and historic gardens </w:t>
            </w:r>
          </w:p>
        </w:tc>
      </w:tr>
      <w:tr w:rsidR="0039681A" w:rsidRPr="0070054C" w14:paraId="2459435E" w14:textId="77777777">
        <w:trPr>
          <w:trHeight w:val="300"/>
        </w:trPr>
        <w:tc>
          <w:tcPr>
            <w:tcW w:w="1200" w:type="dxa"/>
            <w:shd w:val="clear" w:color="auto" w:fill="C6EFCE"/>
            <w:tcMar>
              <w:left w:w="108" w:type="dxa"/>
              <w:right w:w="108" w:type="dxa"/>
            </w:tcMar>
            <w:vAlign w:val="center"/>
          </w:tcPr>
          <w:p w14:paraId="20EDC9A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M1C3-15</w:t>
            </w:r>
          </w:p>
        </w:tc>
        <w:tc>
          <w:tcPr>
            <w:tcW w:w="2553" w:type="dxa"/>
            <w:shd w:val="clear" w:color="auto" w:fill="C6EFCE"/>
            <w:tcMar>
              <w:left w:w="108" w:type="dxa"/>
              <w:right w:w="108" w:type="dxa"/>
            </w:tcMar>
            <w:vAlign w:val="center"/>
          </w:tcPr>
          <w:p w14:paraId="5D5E0D7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2.4 – Seismic safety of place of places of worship, restoration of FEC heritage and shelters for art works</w:t>
            </w:r>
          </w:p>
        </w:tc>
        <w:tc>
          <w:tcPr>
            <w:tcW w:w="1170" w:type="dxa"/>
            <w:shd w:val="clear" w:color="auto" w:fill="C6EFCE"/>
            <w:tcMar>
              <w:left w:w="108" w:type="dxa"/>
              <w:right w:w="108" w:type="dxa"/>
            </w:tcMar>
            <w:vAlign w:val="center"/>
          </w:tcPr>
          <w:p w14:paraId="7C3698F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559731A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Ministry of Culture decree for the allocation of resources: for seismic safety in place of worship and FEC (Fondo Edifici di Culto) heritage restoration </w:t>
            </w:r>
          </w:p>
        </w:tc>
      </w:tr>
      <w:tr w:rsidR="0039681A" w:rsidRPr="0070054C" w14:paraId="3226C33D" w14:textId="77777777">
        <w:trPr>
          <w:trHeight w:val="300"/>
        </w:trPr>
        <w:tc>
          <w:tcPr>
            <w:tcW w:w="1200" w:type="dxa"/>
            <w:shd w:val="clear" w:color="auto" w:fill="C6EFCE"/>
            <w:tcMar>
              <w:left w:w="108" w:type="dxa"/>
              <w:right w:w="108" w:type="dxa"/>
            </w:tcMar>
            <w:vAlign w:val="center"/>
          </w:tcPr>
          <w:p w14:paraId="0F7A234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M1C3-35</w:t>
            </w:r>
          </w:p>
        </w:tc>
        <w:tc>
          <w:tcPr>
            <w:tcW w:w="2553" w:type="dxa"/>
            <w:shd w:val="clear" w:color="auto" w:fill="C6EFCE"/>
            <w:tcMar>
              <w:left w:w="108" w:type="dxa"/>
              <w:right w:w="108" w:type="dxa"/>
            </w:tcMar>
            <w:vAlign w:val="center"/>
          </w:tcPr>
          <w:p w14:paraId="5BA7074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Investment - 4.3 Caput Mundi-Next Generation EU for touristic great events</w:t>
            </w:r>
          </w:p>
        </w:tc>
        <w:tc>
          <w:tcPr>
            <w:tcW w:w="1170" w:type="dxa"/>
            <w:shd w:val="clear" w:color="auto" w:fill="C6EFCE"/>
            <w:tcMar>
              <w:left w:w="108" w:type="dxa"/>
              <w:right w:w="108" w:type="dxa"/>
            </w:tcMar>
            <w:vAlign w:val="center"/>
          </w:tcPr>
          <w:p w14:paraId="31CEC4A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645BD5D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Signing of each Agreement for six Projects between a Ministry of Tourism and beneficiaries/implementing bodies</w:t>
            </w:r>
          </w:p>
        </w:tc>
      </w:tr>
      <w:tr w:rsidR="0039681A" w:rsidRPr="0070054C" w14:paraId="260C3772" w14:textId="77777777">
        <w:trPr>
          <w:trHeight w:val="300"/>
        </w:trPr>
        <w:tc>
          <w:tcPr>
            <w:tcW w:w="1200" w:type="dxa"/>
            <w:shd w:val="clear" w:color="auto" w:fill="C6EFCE"/>
            <w:tcMar>
              <w:left w:w="108" w:type="dxa"/>
              <w:right w:w="108" w:type="dxa"/>
            </w:tcMar>
            <w:vAlign w:val="center"/>
          </w:tcPr>
          <w:p w14:paraId="141CCED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M2C1-13</w:t>
            </w:r>
          </w:p>
        </w:tc>
        <w:tc>
          <w:tcPr>
            <w:tcW w:w="2553" w:type="dxa"/>
            <w:shd w:val="clear" w:color="auto" w:fill="C6EFCE"/>
            <w:tcMar>
              <w:left w:w="108" w:type="dxa"/>
              <w:right w:w="108" w:type="dxa"/>
            </w:tcMar>
            <w:vAlign w:val="center"/>
          </w:tcPr>
          <w:p w14:paraId="30387D4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1.2 - National Program for Waste Management</w:t>
            </w:r>
          </w:p>
        </w:tc>
        <w:tc>
          <w:tcPr>
            <w:tcW w:w="1170" w:type="dxa"/>
            <w:shd w:val="clear" w:color="auto" w:fill="C6EFCE"/>
            <w:tcMar>
              <w:left w:w="108" w:type="dxa"/>
              <w:right w:w="108" w:type="dxa"/>
            </w:tcMar>
            <w:vAlign w:val="center"/>
          </w:tcPr>
          <w:p w14:paraId="022ADED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41B3B3F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the Ministerial Decree for the National Program for Waste Management</w:t>
            </w:r>
          </w:p>
        </w:tc>
      </w:tr>
      <w:tr w:rsidR="0039681A" w:rsidRPr="00647572" w14:paraId="7C251CF8" w14:textId="77777777">
        <w:trPr>
          <w:trHeight w:val="300"/>
        </w:trPr>
        <w:tc>
          <w:tcPr>
            <w:tcW w:w="1200" w:type="dxa"/>
            <w:shd w:val="clear" w:color="auto" w:fill="C6EFCE"/>
            <w:tcMar>
              <w:left w:w="108" w:type="dxa"/>
              <w:right w:w="108" w:type="dxa"/>
            </w:tcMar>
            <w:vAlign w:val="center"/>
          </w:tcPr>
          <w:p w14:paraId="3DB7CEA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M2C2-52</w:t>
            </w:r>
          </w:p>
        </w:tc>
        <w:tc>
          <w:tcPr>
            <w:tcW w:w="2553" w:type="dxa"/>
            <w:shd w:val="clear" w:color="auto" w:fill="C6EFCE"/>
            <w:tcMar>
              <w:left w:w="108" w:type="dxa"/>
              <w:right w:w="108" w:type="dxa"/>
            </w:tcMar>
            <w:vAlign w:val="center"/>
          </w:tcPr>
          <w:p w14:paraId="4F80C0E0"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5.2 Hydrogen</w:t>
            </w:r>
          </w:p>
        </w:tc>
        <w:tc>
          <w:tcPr>
            <w:tcW w:w="1170" w:type="dxa"/>
            <w:shd w:val="clear" w:color="auto" w:fill="C6EFCE"/>
            <w:tcMar>
              <w:left w:w="108" w:type="dxa"/>
              <w:right w:w="108" w:type="dxa"/>
            </w:tcMar>
            <w:vAlign w:val="center"/>
          </w:tcPr>
          <w:p w14:paraId="19743F2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1BA74C41"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Production of electrolysers</w:t>
            </w:r>
          </w:p>
        </w:tc>
      </w:tr>
      <w:tr w:rsidR="0039681A" w:rsidRPr="0070054C" w14:paraId="392FFFDF" w14:textId="77777777">
        <w:trPr>
          <w:trHeight w:val="300"/>
        </w:trPr>
        <w:tc>
          <w:tcPr>
            <w:tcW w:w="1200" w:type="dxa"/>
            <w:shd w:val="clear" w:color="auto" w:fill="C6EFCE"/>
            <w:tcMar>
              <w:left w:w="108" w:type="dxa"/>
              <w:right w:w="108" w:type="dxa"/>
            </w:tcMar>
            <w:vAlign w:val="center"/>
          </w:tcPr>
          <w:p w14:paraId="36D5619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M4C2-11</w:t>
            </w:r>
          </w:p>
        </w:tc>
        <w:tc>
          <w:tcPr>
            <w:tcW w:w="2553" w:type="dxa"/>
            <w:shd w:val="clear" w:color="auto" w:fill="C6EFCE"/>
            <w:tcMar>
              <w:left w:w="108" w:type="dxa"/>
              <w:right w:w="108" w:type="dxa"/>
            </w:tcMar>
            <w:vAlign w:val="center"/>
          </w:tcPr>
          <w:p w14:paraId="330E7FE7"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Investment 2.1: IPCEI </w:t>
            </w:r>
          </w:p>
        </w:tc>
        <w:tc>
          <w:tcPr>
            <w:tcW w:w="1170" w:type="dxa"/>
            <w:shd w:val="clear" w:color="auto" w:fill="C6EFCE"/>
            <w:tcMar>
              <w:left w:w="108" w:type="dxa"/>
              <w:right w:w="108" w:type="dxa"/>
            </w:tcMar>
            <w:vAlign w:val="center"/>
          </w:tcPr>
          <w:p w14:paraId="4E4D9FC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12F76D7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national legal act allocating the necessary funding to provide support to project participants.</w:t>
            </w:r>
          </w:p>
        </w:tc>
      </w:tr>
      <w:tr w:rsidR="0039681A" w:rsidRPr="0070054C" w14:paraId="52E78B1F" w14:textId="77777777">
        <w:trPr>
          <w:trHeight w:val="300"/>
        </w:trPr>
        <w:tc>
          <w:tcPr>
            <w:tcW w:w="1200" w:type="dxa"/>
            <w:shd w:val="clear" w:color="auto" w:fill="C6EFCE"/>
            <w:tcMar>
              <w:left w:w="108" w:type="dxa"/>
              <w:right w:w="108" w:type="dxa"/>
            </w:tcMar>
            <w:vAlign w:val="center"/>
          </w:tcPr>
          <w:p w14:paraId="0177CEF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M4C2-17</w:t>
            </w:r>
          </w:p>
        </w:tc>
        <w:tc>
          <w:tcPr>
            <w:tcW w:w="2553" w:type="dxa"/>
            <w:shd w:val="clear" w:color="auto" w:fill="C6EFCE"/>
            <w:tcMar>
              <w:left w:w="108" w:type="dxa"/>
              <w:right w:w="108" w:type="dxa"/>
            </w:tcMar>
            <w:vAlign w:val="center"/>
          </w:tcPr>
          <w:p w14:paraId="6C4C12C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Fund for construction of an integrated system of research and innovation infrastructures; Investment</w:t>
            </w:r>
          </w:p>
        </w:tc>
        <w:tc>
          <w:tcPr>
            <w:tcW w:w="1170" w:type="dxa"/>
            <w:shd w:val="clear" w:color="auto" w:fill="C6EFCE"/>
            <w:tcMar>
              <w:left w:w="108" w:type="dxa"/>
              <w:right w:w="108" w:type="dxa"/>
            </w:tcMar>
            <w:vAlign w:val="center"/>
          </w:tcPr>
          <w:p w14:paraId="3D7A355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145D1B2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contracts for the projects concerning: a) integrated system of research and innovation infrastructures</w:t>
            </w:r>
          </w:p>
        </w:tc>
      </w:tr>
      <w:tr w:rsidR="0039681A" w:rsidRPr="0070054C" w14:paraId="7FB5245F" w14:textId="77777777">
        <w:trPr>
          <w:trHeight w:val="300"/>
        </w:trPr>
        <w:tc>
          <w:tcPr>
            <w:tcW w:w="1200" w:type="dxa"/>
            <w:shd w:val="clear" w:color="auto" w:fill="C6EFCE"/>
            <w:tcMar>
              <w:left w:w="108" w:type="dxa"/>
              <w:right w:w="108" w:type="dxa"/>
            </w:tcMar>
            <w:vAlign w:val="center"/>
          </w:tcPr>
          <w:p w14:paraId="17D109F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M4C2-18</w:t>
            </w:r>
          </w:p>
        </w:tc>
        <w:tc>
          <w:tcPr>
            <w:tcW w:w="2553" w:type="dxa"/>
            <w:shd w:val="clear" w:color="auto" w:fill="C6EFCE"/>
            <w:tcMar>
              <w:left w:w="108" w:type="dxa"/>
              <w:right w:w="108" w:type="dxa"/>
            </w:tcMar>
            <w:vAlign w:val="center"/>
          </w:tcPr>
          <w:p w14:paraId="497728A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Invesment1.5: Establishing and strengthening of “innovation ecosystems for sustainability", building “territorial leaders of R&amp;D”</w:t>
            </w:r>
          </w:p>
        </w:tc>
        <w:tc>
          <w:tcPr>
            <w:tcW w:w="1170" w:type="dxa"/>
            <w:shd w:val="clear" w:color="auto" w:fill="C6EFCE"/>
            <w:tcMar>
              <w:left w:w="108" w:type="dxa"/>
              <w:right w:w="108" w:type="dxa"/>
            </w:tcMar>
            <w:vAlign w:val="center"/>
          </w:tcPr>
          <w:p w14:paraId="7B609C0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444E022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contracts for projects concerning innovation ecosystems;</w:t>
            </w:r>
          </w:p>
        </w:tc>
      </w:tr>
      <w:tr w:rsidR="0039681A" w:rsidRPr="0070054C" w14:paraId="67B530B4" w14:textId="77777777">
        <w:trPr>
          <w:trHeight w:val="300"/>
        </w:trPr>
        <w:tc>
          <w:tcPr>
            <w:tcW w:w="1200" w:type="dxa"/>
            <w:shd w:val="clear" w:color="auto" w:fill="C6EFCE"/>
            <w:tcMar>
              <w:left w:w="108" w:type="dxa"/>
              <w:right w:w="108" w:type="dxa"/>
            </w:tcMar>
            <w:vAlign w:val="center"/>
          </w:tcPr>
          <w:p w14:paraId="6341560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M4C2-19</w:t>
            </w:r>
          </w:p>
        </w:tc>
        <w:tc>
          <w:tcPr>
            <w:tcW w:w="2553" w:type="dxa"/>
            <w:shd w:val="clear" w:color="auto" w:fill="C6EFCE"/>
            <w:tcMar>
              <w:left w:w="108" w:type="dxa"/>
              <w:right w:w="108" w:type="dxa"/>
            </w:tcMar>
            <w:vAlign w:val="center"/>
          </w:tcPr>
          <w:p w14:paraId="5C8E651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Strengthening research structures and supporting the creation of “national R&amp;D leaders” on some Key Enabling Technologies</w:t>
            </w:r>
          </w:p>
        </w:tc>
        <w:tc>
          <w:tcPr>
            <w:tcW w:w="1170" w:type="dxa"/>
            <w:shd w:val="clear" w:color="auto" w:fill="C6EFCE"/>
            <w:tcMar>
              <w:left w:w="108" w:type="dxa"/>
              <w:right w:w="108" w:type="dxa"/>
            </w:tcMar>
            <w:vAlign w:val="center"/>
          </w:tcPr>
          <w:p w14:paraId="5DCA258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2F0ED95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contracts for projects concerning national R&amp;D leaders on key enabling technologies</w:t>
            </w:r>
          </w:p>
        </w:tc>
      </w:tr>
      <w:tr w:rsidR="0039681A" w:rsidRPr="0070054C" w14:paraId="4FBBE761" w14:textId="77777777">
        <w:trPr>
          <w:trHeight w:val="300"/>
        </w:trPr>
        <w:tc>
          <w:tcPr>
            <w:tcW w:w="1200" w:type="dxa"/>
            <w:shd w:val="clear" w:color="auto" w:fill="C6EFCE"/>
            <w:tcMar>
              <w:left w:w="108" w:type="dxa"/>
              <w:right w:w="108" w:type="dxa"/>
            </w:tcMar>
            <w:vAlign w:val="center"/>
          </w:tcPr>
          <w:p w14:paraId="2D1A4F8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M4C2-20</w:t>
            </w:r>
          </w:p>
        </w:tc>
        <w:tc>
          <w:tcPr>
            <w:tcW w:w="2553" w:type="dxa"/>
            <w:shd w:val="clear" w:color="auto" w:fill="C6EFCE"/>
            <w:tcMar>
              <w:left w:w="108" w:type="dxa"/>
              <w:right w:w="108" w:type="dxa"/>
            </w:tcMar>
            <w:vAlign w:val="center"/>
          </w:tcPr>
          <w:p w14:paraId="65696AE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Equity injection into the Digital Transition Fund (“DTF”)</w:t>
            </w:r>
          </w:p>
        </w:tc>
        <w:tc>
          <w:tcPr>
            <w:tcW w:w="1170" w:type="dxa"/>
            <w:shd w:val="clear" w:color="auto" w:fill="C6EFCE"/>
            <w:tcMar>
              <w:left w:w="108" w:type="dxa"/>
              <w:right w:w="108" w:type="dxa"/>
            </w:tcMar>
            <w:vAlign w:val="center"/>
          </w:tcPr>
          <w:p w14:paraId="1836BB4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06BB050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The agreement between IT government and the implementing partner Cassa Depositi e Prestiti (CDP) establishing the financial instrument signed</w:t>
            </w:r>
          </w:p>
        </w:tc>
      </w:tr>
      <w:tr w:rsidR="0039681A" w:rsidRPr="0070054C" w14:paraId="25BA9858" w14:textId="77777777">
        <w:trPr>
          <w:trHeight w:val="300"/>
        </w:trPr>
        <w:tc>
          <w:tcPr>
            <w:tcW w:w="1200" w:type="dxa"/>
            <w:shd w:val="clear" w:color="auto" w:fill="C6EFCE"/>
            <w:tcMar>
              <w:left w:w="108" w:type="dxa"/>
              <w:right w:w="108" w:type="dxa"/>
            </w:tcMar>
            <w:vAlign w:val="center"/>
          </w:tcPr>
          <w:p w14:paraId="76A8634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M6C1-1</w:t>
            </w:r>
          </w:p>
        </w:tc>
        <w:tc>
          <w:tcPr>
            <w:tcW w:w="2553" w:type="dxa"/>
            <w:shd w:val="clear" w:color="auto" w:fill="C6EFCE"/>
            <w:tcMar>
              <w:left w:w="108" w:type="dxa"/>
              <w:right w:w="108" w:type="dxa"/>
            </w:tcMar>
            <w:vAlign w:val="center"/>
          </w:tcPr>
          <w:p w14:paraId="34F5A257" w14:textId="5D66CFDA"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Definition of a new organisational model for Territorial healthcare assistance network</w:t>
            </w:r>
          </w:p>
        </w:tc>
        <w:tc>
          <w:tcPr>
            <w:tcW w:w="1170" w:type="dxa"/>
            <w:shd w:val="clear" w:color="auto" w:fill="C6EFCE"/>
            <w:tcMar>
              <w:left w:w="108" w:type="dxa"/>
              <w:right w:w="108" w:type="dxa"/>
            </w:tcMar>
            <w:vAlign w:val="center"/>
          </w:tcPr>
          <w:p w14:paraId="4E61ADB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1451EB3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secondary legislation (Ministerial Decree) envisaging the reform of the organisation of healthcare.</w:t>
            </w:r>
          </w:p>
        </w:tc>
      </w:tr>
      <w:tr w:rsidR="0039681A" w:rsidRPr="0070054C" w14:paraId="5D018434" w14:textId="77777777">
        <w:trPr>
          <w:trHeight w:val="300"/>
        </w:trPr>
        <w:tc>
          <w:tcPr>
            <w:tcW w:w="1200" w:type="dxa"/>
            <w:shd w:val="clear" w:color="auto" w:fill="C6EFCE"/>
            <w:tcMar>
              <w:left w:w="108" w:type="dxa"/>
              <w:right w:w="108" w:type="dxa"/>
            </w:tcMar>
            <w:vAlign w:val="center"/>
          </w:tcPr>
          <w:p w14:paraId="0273344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M6C1-2</w:t>
            </w:r>
          </w:p>
        </w:tc>
        <w:tc>
          <w:tcPr>
            <w:tcW w:w="2553" w:type="dxa"/>
            <w:shd w:val="clear" w:color="auto" w:fill="C6EFCE"/>
            <w:tcMar>
              <w:left w:w="108" w:type="dxa"/>
              <w:right w:w="108" w:type="dxa"/>
            </w:tcMar>
            <w:vAlign w:val="center"/>
          </w:tcPr>
          <w:p w14:paraId="18A82B4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Community Health Houses to improve territorial health assistance</w:t>
            </w:r>
          </w:p>
        </w:tc>
        <w:tc>
          <w:tcPr>
            <w:tcW w:w="1170" w:type="dxa"/>
            <w:shd w:val="clear" w:color="auto" w:fill="C6EFCE"/>
            <w:tcMar>
              <w:left w:w="108" w:type="dxa"/>
              <w:right w:w="108" w:type="dxa"/>
            </w:tcMar>
            <w:vAlign w:val="center"/>
          </w:tcPr>
          <w:p w14:paraId="06912D3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0A7F9EF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Approval of an Institutional Development Contract </w:t>
            </w:r>
          </w:p>
        </w:tc>
      </w:tr>
      <w:tr w:rsidR="0039681A" w:rsidRPr="0070054C" w14:paraId="55183C1E" w14:textId="77777777">
        <w:trPr>
          <w:trHeight w:val="300"/>
        </w:trPr>
        <w:tc>
          <w:tcPr>
            <w:tcW w:w="1200" w:type="dxa"/>
            <w:shd w:val="clear" w:color="auto" w:fill="C6EFCE"/>
            <w:tcMar>
              <w:left w:w="108" w:type="dxa"/>
              <w:right w:w="108" w:type="dxa"/>
            </w:tcMar>
            <w:vAlign w:val="center"/>
          </w:tcPr>
          <w:p w14:paraId="1E39940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M6C1-4</w:t>
            </w:r>
          </w:p>
        </w:tc>
        <w:tc>
          <w:tcPr>
            <w:tcW w:w="2553" w:type="dxa"/>
            <w:shd w:val="clear" w:color="auto" w:fill="C6EFCE"/>
            <w:tcMar>
              <w:left w:w="108" w:type="dxa"/>
              <w:right w:w="108" w:type="dxa"/>
            </w:tcMar>
            <w:vAlign w:val="center"/>
          </w:tcPr>
          <w:p w14:paraId="21EFF7C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Home as the first place of care and telemedicine</w:t>
            </w:r>
          </w:p>
        </w:tc>
        <w:tc>
          <w:tcPr>
            <w:tcW w:w="1170" w:type="dxa"/>
            <w:shd w:val="clear" w:color="auto" w:fill="C6EFCE"/>
            <w:tcMar>
              <w:left w:w="108" w:type="dxa"/>
              <w:right w:w="108" w:type="dxa"/>
            </w:tcMar>
            <w:vAlign w:val="center"/>
          </w:tcPr>
          <w:p w14:paraId="0E00779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42F8927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Approval of the Guidelines containing the digital model for the implementation of Home Care</w:t>
            </w:r>
          </w:p>
        </w:tc>
      </w:tr>
      <w:tr w:rsidR="0039681A" w:rsidRPr="0070054C" w14:paraId="0F217DFC" w14:textId="77777777">
        <w:trPr>
          <w:trHeight w:val="300"/>
        </w:trPr>
        <w:tc>
          <w:tcPr>
            <w:tcW w:w="1200" w:type="dxa"/>
            <w:shd w:val="clear" w:color="auto" w:fill="C6EFCE"/>
            <w:tcMar>
              <w:left w:w="108" w:type="dxa"/>
              <w:right w:w="108" w:type="dxa"/>
            </w:tcMar>
            <w:vAlign w:val="center"/>
          </w:tcPr>
          <w:p w14:paraId="1DC7370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M6C1-5</w:t>
            </w:r>
          </w:p>
        </w:tc>
        <w:tc>
          <w:tcPr>
            <w:tcW w:w="2553" w:type="dxa"/>
            <w:shd w:val="clear" w:color="auto" w:fill="C6EFCE"/>
            <w:tcMar>
              <w:left w:w="108" w:type="dxa"/>
              <w:right w:w="108" w:type="dxa"/>
            </w:tcMar>
            <w:vAlign w:val="center"/>
          </w:tcPr>
          <w:p w14:paraId="7E9698C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Home as the first place of care and telemedicine</w:t>
            </w:r>
          </w:p>
        </w:tc>
        <w:tc>
          <w:tcPr>
            <w:tcW w:w="1170" w:type="dxa"/>
            <w:shd w:val="clear" w:color="auto" w:fill="C6EFCE"/>
            <w:tcMar>
              <w:left w:w="108" w:type="dxa"/>
              <w:right w:w="108" w:type="dxa"/>
            </w:tcMar>
            <w:vAlign w:val="center"/>
          </w:tcPr>
          <w:p w14:paraId="726FDB9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48480CD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Institutional Development Contract approved by Ministry of Health and regions </w:t>
            </w:r>
          </w:p>
        </w:tc>
      </w:tr>
      <w:tr w:rsidR="0039681A" w:rsidRPr="0070054C" w14:paraId="1E046419" w14:textId="77777777">
        <w:trPr>
          <w:trHeight w:val="300"/>
        </w:trPr>
        <w:tc>
          <w:tcPr>
            <w:tcW w:w="1200" w:type="dxa"/>
            <w:shd w:val="clear" w:color="auto" w:fill="C6EFCE"/>
            <w:tcMar>
              <w:left w:w="108" w:type="dxa"/>
              <w:right w:w="108" w:type="dxa"/>
            </w:tcMar>
            <w:vAlign w:val="center"/>
          </w:tcPr>
          <w:p w14:paraId="12EAD2E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M6C1-10</w:t>
            </w:r>
          </w:p>
        </w:tc>
        <w:tc>
          <w:tcPr>
            <w:tcW w:w="2553" w:type="dxa"/>
            <w:shd w:val="clear" w:color="auto" w:fill="C6EFCE"/>
            <w:tcMar>
              <w:left w:w="108" w:type="dxa"/>
              <w:right w:w="108" w:type="dxa"/>
            </w:tcMar>
            <w:vAlign w:val="center"/>
          </w:tcPr>
          <w:p w14:paraId="55AA0E7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Strengthening Intermediate Healthcare and its facilities (Community Hospitals)</w:t>
            </w:r>
          </w:p>
        </w:tc>
        <w:tc>
          <w:tcPr>
            <w:tcW w:w="1170" w:type="dxa"/>
            <w:shd w:val="clear" w:color="auto" w:fill="C6EFCE"/>
            <w:tcMar>
              <w:left w:w="108" w:type="dxa"/>
              <w:right w:w="108" w:type="dxa"/>
            </w:tcMar>
            <w:vAlign w:val="center"/>
          </w:tcPr>
          <w:p w14:paraId="77FA7CB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435" w:type="dxa"/>
            <w:shd w:val="clear" w:color="auto" w:fill="C6EFCE"/>
            <w:tcMar>
              <w:left w:w="108" w:type="dxa"/>
              <w:right w:w="108" w:type="dxa"/>
            </w:tcMar>
            <w:vAlign w:val="center"/>
          </w:tcPr>
          <w:p w14:paraId="5F8F783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Approval of an Institutional Development Contract (Contratto Istituzionale di Sviluppo)</w:t>
            </w:r>
          </w:p>
        </w:tc>
      </w:tr>
      <w:tr w:rsidR="0039681A" w:rsidRPr="0070054C" w14:paraId="1FB8C351" w14:textId="77777777">
        <w:trPr>
          <w:trHeight w:val="300"/>
        </w:trPr>
        <w:tc>
          <w:tcPr>
            <w:tcW w:w="1200" w:type="dxa"/>
            <w:shd w:val="clear" w:color="auto" w:fill="C6EFCE"/>
            <w:tcMar>
              <w:left w:w="108" w:type="dxa"/>
              <w:right w:w="108" w:type="dxa"/>
            </w:tcMar>
            <w:vAlign w:val="center"/>
          </w:tcPr>
          <w:p w14:paraId="2980E5C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M6C2-5</w:t>
            </w:r>
          </w:p>
        </w:tc>
        <w:tc>
          <w:tcPr>
            <w:tcW w:w="2553" w:type="dxa"/>
            <w:shd w:val="clear" w:color="auto" w:fill="C6EFCE"/>
            <w:tcMar>
              <w:left w:w="108" w:type="dxa"/>
              <w:right w:w="108" w:type="dxa"/>
            </w:tcMar>
            <w:vAlign w:val="center"/>
          </w:tcPr>
          <w:p w14:paraId="50FCD7B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1.1: Digital update of hospitals’ technological equipment</w:t>
            </w:r>
          </w:p>
        </w:tc>
        <w:tc>
          <w:tcPr>
            <w:tcW w:w="1170" w:type="dxa"/>
            <w:shd w:val="clear" w:color="auto" w:fill="C6EFCE"/>
            <w:tcMar>
              <w:left w:w="108" w:type="dxa"/>
              <w:right w:w="108" w:type="dxa"/>
            </w:tcMar>
            <w:vAlign w:val="center"/>
          </w:tcPr>
          <w:p w14:paraId="0EEB829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Milestone</w:t>
            </w:r>
          </w:p>
        </w:tc>
        <w:tc>
          <w:tcPr>
            <w:tcW w:w="4435" w:type="dxa"/>
            <w:shd w:val="clear" w:color="auto" w:fill="C6EFCE"/>
            <w:tcMar>
              <w:left w:w="108" w:type="dxa"/>
              <w:right w:w="108" w:type="dxa"/>
            </w:tcMar>
            <w:vAlign w:val="center"/>
          </w:tcPr>
          <w:p w14:paraId="7BFC78F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Approval of the Institutional Development Contract</w:t>
            </w:r>
          </w:p>
        </w:tc>
      </w:tr>
      <w:tr w:rsidR="0039681A" w:rsidRPr="00647572" w14:paraId="1B5422B2" w14:textId="77777777">
        <w:trPr>
          <w:trHeight w:val="300"/>
        </w:trPr>
        <w:tc>
          <w:tcPr>
            <w:tcW w:w="1200" w:type="dxa"/>
            <w:shd w:val="clear" w:color="auto" w:fill="C6EFCE"/>
            <w:tcMar>
              <w:left w:w="108" w:type="dxa"/>
              <w:right w:w="108" w:type="dxa"/>
            </w:tcMar>
            <w:vAlign w:val="center"/>
          </w:tcPr>
          <w:p w14:paraId="0E29C761"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2553" w:type="dxa"/>
            <w:shd w:val="clear" w:color="auto" w:fill="C6EFCE"/>
            <w:tcMar>
              <w:left w:w="108" w:type="dxa"/>
              <w:right w:w="108" w:type="dxa"/>
            </w:tcMar>
            <w:vAlign w:val="center"/>
          </w:tcPr>
          <w:p w14:paraId="73D29C9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170" w:type="dxa"/>
            <w:shd w:val="clear" w:color="auto" w:fill="C6EFCE"/>
            <w:tcMar>
              <w:left w:w="108" w:type="dxa"/>
              <w:right w:w="108" w:type="dxa"/>
            </w:tcMar>
            <w:vAlign w:val="center"/>
          </w:tcPr>
          <w:p w14:paraId="71CF4511"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4435" w:type="dxa"/>
            <w:shd w:val="clear" w:color="auto" w:fill="C6EFCE"/>
            <w:tcMar>
              <w:left w:w="108" w:type="dxa"/>
              <w:right w:w="108" w:type="dxa"/>
            </w:tcMar>
            <w:vAlign w:val="center"/>
          </w:tcPr>
          <w:p w14:paraId="37999E21"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643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678</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161</w:t>
            </w:r>
          </w:p>
        </w:tc>
      </w:tr>
    </w:tbl>
    <w:p w14:paraId="05C3BDD1" w14:textId="77777777" w:rsidR="0039681A" w:rsidRPr="00647572" w:rsidRDefault="0039681A" w:rsidP="0039681A">
      <w:pPr>
        <w:pStyle w:val="Heading3"/>
        <w:numPr>
          <w:ilvl w:val="1"/>
          <w:numId w:val="16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eastAsia="Times New Roman" w:hAnsi="Times New Roman" w:cs="Times New Roman"/>
          <w:noProof/>
          <w:lang w:eastAsia="en-GB"/>
        </w:rPr>
        <w:t xml:space="preserve"> </w:t>
      </w:r>
      <w:r w:rsidRPr="00647572">
        <w:rPr>
          <w:rFonts w:ascii="Times New Roman" w:hAnsi="Times New Roman" w:cs="Times New Roman"/>
          <w:noProof/>
          <w:color w:val="auto"/>
          <w:sz w:val="24"/>
          <w:szCs w:val="24"/>
          <w:lang w:eastAsia="en-GB"/>
        </w:rPr>
        <w:t>Third Instalment (loan support):</w:t>
      </w:r>
    </w:p>
    <w:tbl>
      <w:tblPr>
        <w:tblW w:w="9356"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3665"/>
        <w:gridCol w:w="1125"/>
        <w:gridCol w:w="3426"/>
      </w:tblGrid>
      <w:tr w:rsidR="0039681A" w:rsidRPr="00647572" w14:paraId="744C86BF" w14:textId="77777777">
        <w:trPr>
          <w:trHeight w:val="900"/>
          <w:tblHeader/>
        </w:trPr>
        <w:tc>
          <w:tcPr>
            <w:tcW w:w="1140" w:type="dxa"/>
            <w:vMerge w:val="restart"/>
            <w:shd w:val="clear" w:color="auto" w:fill="BDD7EE"/>
            <w:tcMar>
              <w:left w:w="108" w:type="dxa"/>
              <w:right w:w="108" w:type="dxa"/>
            </w:tcMar>
            <w:vAlign w:val="center"/>
          </w:tcPr>
          <w:p w14:paraId="4155A26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665" w:type="dxa"/>
            <w:vMerge w:val="restart"/>
            <w:shd w:val="clear" w:color="auto" w:fill="BDD7EE"/>
            <w:tcMar>
              <w:left w:w="108" w:type="dxa"/>
              <w:right w:w="108" w:type="dxa"/>
            </w:tcMar>
            <w:vAlign w:val="center"/>
          </w:tcPr>
          <w:p w14:paraId="0D448BC9"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125" w:type="dxa"/>
            <w:vMerge w:val="restart"/>
            <w:shd w:val="clear" w:color="auto" w:fill="BDD7EE"/>
            <w:tcMar>
              <w:left w:w="108" w:type="dxa"/>
              <w:right w:w="108" w:type="dxa"/>
            </w:tcMar>
            <w:vAlign w:val="center"/>
          </w:tcPr>
          <w:p w14:paraId="19B3583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426" w:type="dxa"/>
            <w:vMerge w:val="restart"/>
            <w:shd w:val="clear" w:color="auto" w:fill="BDD7EE"/>
            <w:tcMar>
              <w:left w:w="108" w:type="dxa"/>
              <w:right w:w="108" w:type="dxa"/>
            </w:tcMar>
            <w:vAlign w:val="center"/>
          </w:tcPr>
          <w:p w14:paraId="104CFB2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4C6D3920" w14:textId="77777777">
        <w:trPr>
          <w:trHeight w:val="465"/>
        </w:trPr>
        <w:tc>
          <w:tcPr>
            <w:tcW w:w="1140" w:type="dxa"/>
            <w:vMerge/>
            <w:vAlign w:val="center"/>
          </w:tcPr>
          <w:p w14:paraId="36DA3D55"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665" w:type="dxa"/>
            <w:vMerge/>
            <w:vAlign w:val="center"/>
          </w:tcPr>
          <w:p w14:paraId="6D6FA7BD"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125" w:type="dxa"/>
            <w:vMerge/>
            <w:vAlign w:val="center"/>
          </w:tcPr>
          <w:p w14:paraId="6F82F0E6"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426" w:type="dxa"/>
            <w:vMerge/>
            <w:vAlign w:val="center"/>
          </w:tcPr>
          <w:p w14:paraId="0D608F7C"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447E1B0E" w14:textId="77777777">
        <w:trPr>
          <w:trHeight w:val="300"/>
        </w:trPr>
        <w:tc>
          <w:tcPr>
            <w:tcW w:w="1140" w:type="dxa"/>
            <w:shd w:val="clear" w:color="auto" w:fill="C6EFCE"/>
            <w:tcMar>
              <w:left w:w="108" w:type="dxa"/>
              <w:right w:w="108" w:type="dxa"/>
            </w:tcMar>
            <w:vAlign w:val="center"/>
          </w:tcPr>
          <w:p w14:paraId="1535597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M2C1-18</w:t>
            </w:r>
          </w:p>
        </w:tc>
        <w:tc>
          <w:tcPr>
            <w:tcW w:w="3665" w:type="dxa"/>
            <w:shd w:val="clear" w:color="auto" w:fill="C6EFCE"/>
            <w:tcMar>
              <w:left w:w="108" w:type="dxa"/>
              <w:right w:w="108" w:type="dxa"/>
            </w:tcMar>
            <w:vAlign w:val="center"/>
          </w:tcPr>
          <w:p w14:paraId="3AB6FA96"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3.1: Green islands</w:t>
            </w:r>
          </w:p>
        </w:tc>
        <w:tc>
          <w:tcPr>
            <w:tcW w:w="1125" w:type="dxa"/>
            <w:shd w:val="clear" w:color="auto" w:fill="C6EFCE"/>
            <w:tcMar>
              <w:left w:w="108" w:type="dxa"/>
              <w:right w:w="108" w:type="dxa"/>
            </w:tcMar>
            <w:vAlign w:val="center"/>
          </w:tcPr>
          <w:p w14:paraId="18B80EB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6819E54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Directorial decree</w:t>
            </w:r>
          </w:p>
        </w:tc>
      </w:tr>
      <w:tr w:rsidR="0039681A" w:rsidRPr="0070054C" w14:paraId="2015C69A" w14:textId="77777777">
        <w:trPr>
          <w:trHeight w:val="300"/>
        </w:trPr>
        <w:tc>
          <w:tcPr>
            <w:tcW w:w="1140" w:type="dxa"/>
            <w:shd w:val="clear" w:color="auto" w:fill="C6EFCE"/>
            <w:tcMar>
              <w:left w:w="108" w:type="dxa"/>
              <w:right w:w="108" w:type="dxa"/>
            </w:tcMar>
            <w:vAlign w:val="center"/>
          </w:tcPr>
          <w:p w14:paraId="34E0B36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M2C1-20</w:t>
            </w:r>
          </w:p>
        </w:tc>
        <w:tc>
          <w:tcPr>
            <w:tcW w:w="3665" w:type="dxa"/>
            <w:shd w:val="clear" w:color="auto" w:fill="C6EFCE"/>
            <w:tcMar>
              <w:left w:w="108" w:type="dxa"/>
              <w:right w:w="108" w:type="dxa"/>
            </w:tcMar>
            <w:vAlign w:val="center"/>
          </w:tcPr>
          <w:p w14:paraId="2B4ECBDC"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3.2: Green Communities</w:t>
            </w:r>
          </w:p>
        </w:tc>
        <w:tc>
          <w:tcPr>
            <w:tcW w:w="1125" w:type="dxa"/>
            <w:shd w:val="clear" w:color="auto" w:fill="C6EFCE"/>
            <w:tcMar>
              <w:left w:w="108" w:type="dxa"/>
              <w:right w:w="108" w:type="dxa"/>
            </w:tcMar>
            <w:vAlign w:val="center"/>
          </w:tcPr>
          <w:p w14:paraId="08EF8A2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689465E4" w14:textId="2136F67C"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the selection of Green Communities</w:t>
            </w:r>
          </w:p>
        </w:tc>
      </w:tr>
      <w:tr w:rsidR="0039681A" w:rsidRPr="0070054C" w14:paraId="40A6330F" w14:textId="77777777">
        <w:trPr>
          <w:trHeight w:val="300"/>
        </w:trPr>
        <w:tc>
          <w:tcPr>
            <w:tcW w:w="1140" w:type="dxa"/>
            <w:shd w:val="clear" w:color="auto" w:fill="C6EFCE"/>
            <w:tcMar>
              <w:left w:w="108" w:type="dxa"/>
              <w:right w:w="108" w:type="dxa"/>
            </w:tcMar>
            <w:vAlign w:val="center"/>
          </w:tcPr>
          <w:p w14:paraId="7E70D59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M5C2-17</w:t>
            </w:r>
          </w:p>
        </w:tc>
        <w:tc>
          <w:tcPr>
            <w:tcW w:w="3665" w:type="dxa"/>
            <w:shd w:val="clear" w:color="auto" w:fill="C6EFCE"/>
            <w:tcMar>
              <w:left w:w="108" w:type="dxa"/>
              <w:right w:w="108" w:type="dxa"/>
            </w:tcMar>
            <w:vAlign w:val="center"/>
          </w:tcPr>
          <w:p w14:paraId="49BDEA6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5 - Urban Integrated Plans - EIB Fund-Of-Fund</w:t>
            </w:r>
          </w:p>
        </w:tc>
        <w:tc>
          <w:tcPr>
            <w:tcW w:w="1125" w:type="dxa"/>
            <w:shd w:val="clear" w:color="auto" w:fill="C6EFCE"/>
            <w:tcMar>
              <w:left w:w="108" w:type="dxa"/>
              <w:right w:w="108" w:type="dxa"/>
            </w:tcMar>
            <w:vAlign w:val="center"/>
          </w:tcPr>
          <w:p w14:paraId="15D72DD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7B066D9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The Fund’s investment strategy is approved by the Ministry of Finance (MEF)</w:t>
            </w:r>
          </w:p>
        </w:tc>
      </w:tr>
      <w:tr w:rsidR="0039681A" w:rsidRPr="0070054C" w14:paraId="288936A8" w14:textId="77777777">
        <w:trPr>
          <w:trHeight w:val="300"/>
        </w:trPr>
        <w:tc>
          <w:tcPr>
            <w:tcW w:w="1140" w:type="dxa"/>
            <w:shd w:val="clear" w:color="auto" w:fill="C6EFCE"/>
            <w:tcMar>
              <w:left w:w="108" w:type="dxa"/>
              <w:right w:w="108" w:type="dxa"/>
            </w:tcMar>
            <w:vAlign w:val="center"/>
          </w:tcPr>
          <w:p w14:paraId="4301A92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M1C1-123</w:t>
            </w:r>
          </w:p>
        </w:tc>
        <w:tc>
          <w:tcPr>
            <w:tcW w:w="3665" w:type="dxa"/>
            <w:shd w:val="clear" w:color="auto" w:fill="C6EFCE"/>
            <w:tcMar>
              <w:left w:w="108" w:type="dxa"/>
              <w:right w:w="108" w:type="dxa"/>
            </w:tcMar>
            <w:vAlign w:val="center"/>
          </w:tcPr>
          <w:p w14:paraId="31C2394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1.6.3 - Digitization of National Social Security Institute (INPS) and National Institute for Insurance against Accidents at work (INAIL)</w:t>
            </w:r>
          </w:p>
        </w:tc>
        <w:tc>
          <w:tcPr>
            <w:tcW w:w="1125" w:type="dxa"/>
            <w:shd w:val="clear" w:color="auto" w:fill="C6EFCE"/>
            <w:tcMar>
              <w:left w:w="108" w:type="dxa"/>
              <w:right w:w="108" w:type="dxa"/>
            </w:tcMar>
            <w:vAlign w:val="center"/>
          </w:tcPr>
          <w:p w14:paraId="031CD81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26" w:type="dxa"/>
            <w:shd w:val="clear" w:color="auto" w:fill="C6EFCE"/>
            <w:tcMar>
              <w:left w:w="108" w:type="dxa"/>
              <w:right w:w="108" w:type="dxa"/>
            </w:tcMar>
            <w:vAlign w:val="center"/>
          </w:tcPr>
          <w:p w14:paraId="049A24F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INPS - "One click by design" services/contents T1</w:t>
            </w:r>
          </w:p>
        </w:tc>
      </w:tr>
      <w:tr w:rsidR="0039681A" w:rsidRPr="0070054C" w14:paraId="5B8B7E4B" w14:textId="77777777">
        <w:trPr>
          <w:trHeight w:val="300"/>
        </w:trPr>
        <w:tc>
          <w:tcPr>
            <w:tcW w:w="1140" w:type="dxa"/>
            <w:shd w:val="clear" w:color="auto" w:fill="C6EFCE"/>
            <w:tcMar>
              <w:left w:w="108" w:type="dxa"/>
              <w:right w:w="108" w:type="dxa"/>
            </w:tcMar>
            <w:vAlign w:val="center"/>
          </w:tcPr>
          <w:p w14:paraId="33029F7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M1C1-124</w:t>
            </w:r>
          </w:p>
        </w:tc>
        <w:tc>
          <w:tcPr>
            <w:tcW w:w="3665" w:type="dxa"/>
            <w:shd w:val="clear" w:color="auto" w:fill="C6EFCE"/>
            <w:tcMar>
              <w:left w:w="108" w:type="dxa"/>
              <w:right w:w="108" w:type="dxa"/>
            </w:tcMar>
            <w:vAlign w:val="center"/>
          </w:tcPr>
          <w:p w14:paraId="06AC7E0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1.6.3 - Digitization of National Social Security Institute (INPS) and National Institute for Insurance against Accidents at work (INAIL)</w:t>
            </w:r>
          </w:p>
        </w:tc>
        <w:tc>
          <w:tcPr>
            <w:tcW w:w="1125" w:type="dxa"/>
            <w:shd w:val="clear" w:color="auto" w:fill="C6EFCE"/>
            <w:tcMar>
              <w:left w:w="108" w:type="dxa"/>
              <w:right w:w="108" w:type="dxa"/>
            </w:tcMar>
            <w:vAlign w:val="center"/>
          </w:tcPr>
          <w:p w14:paraId="226B699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26" w:type="dxa"/>
            <w:shd w:val="clear" w:color="auto" w:fill="C6EFCE"/>
            <w:tcMar>
              <w:left w:w="108" w:type="dxa"/>
              <w:right w:w="108" w:type="dxa"/>
            </w:tcMar>
            <w:vAlign w:val="center"/>
          </w:tcPr>
          <w:p w14:paraId="0DBE609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INPS - Employees with improved Information and Communication Technologies (ICT) skills T1</w:t>
            </w:r>
          </w:p>
        </w:tc>
      </w:tr>
      <w:tr w:rsidR="0039681A" w:rsidRPr="0070054C" w14:paraId="66870699" w14:textId="77777777">
        <w:trPr>
          <w:trHeight w:val="300"/>
        </w:trPr>
        <w:tc>
          <w:tcPr>
            <w:tcW w:w="1140" w:type="dxa"/>
            <w:shd w:val="clear" w:color="auto" w:fill="C6EFCE"/>
            <w:tcMar>
              <w:left w:w="108" w:type="dxa"/>
              <w:right w:w="108" w:type="dxa"/>
            </w:tcMar>
            <w:vAlign w:val="center"/>
          </w:tcPr>
          <w:p w14:paraId="1178DCC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M1C3-30</w:t>
            </w:r>
          </w:p>
        </w:tc>
        <w:tc>
          <w:tcPr>
            <w:tcW w:w="3665" w:type="dxa"/>
            <w:shd w:val="clear" w:color="auto" w:fill="C6EFCE"/>
            <w:tcMar>
              <w:left w:w="108" w:type="dxa"/>
              <w:right w:w="108" w:type="dxa"/>
            </w:tcMar>
            <w:vAlign w:val="center"/>
          </w:tcPr>
          <w:p w14:paraId="64B97748" w14:textId="791F7298"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Funds for the competitiveness of tourism enterprises</w:t>
            </w:r>
          </w:p>
        </w:tc>
        <w:tc>
          <w:tcPr>
            <w:tcW w:w="1125" w:type="dxa"/>
            <w:shd w:val="clear" w:color="auto" w:fill="C6EFCE"/>
            <w:tcMar>
              <w:left w:w="108" w:type="dxa"/>
              <w:right w:w="108" w:type="dxa"/>
            </w:tcMar>
            <w:vAlign w:val="center"/>
          </w:tcPr>
          <w:p w14:paraId="3A21F49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26" w:type="dxa"/>
            <w:shd w:val="clear" w:color="auto" w:fill="C6EFCE"/>
            <w:tcMar>
              <w:left w:w="108" w:type="dxa"/>
              <w:right w:w="108" w:type="dxa"/>
            </w:tcMar>
            <w:vAlign w:val="center"/>
          </w:tcPr>
          <w:p w14:paraId="43B0891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European Investment Bank Thematic Funds: Disbursement to the Fund of total of EUR 350</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w:t>
            </w:r>
          </w:p>
        </w:tc>
      </w:tr>
      <w:tr w:rsidR="0039681A" w:rsidRPr="0070054C" w14:paraId="5AB072EB" w14:textId="77777777">
        <w:trPr>
          <w:trHeight w:val="300"/>
        </w:trPr>
        <w:tc>
          <w:tcPr>
            <w:tcW w:w="1140" w:type="dxa"/>
            <w:shd w:val="clear" w:color="auto" w:fill="C6EFCE"/>
            <w:tcMar>
              <w:left w:w="108" w:type="dxa"/>
              <w:right w:w="108" w:type="dxa"/>
            </w:tcMar>
            <w:vAlign w:val="center"/>
          </w:tcPr>
          <w:p w14:paraId="651508F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M1C3-31</w:t>
            </w:r>
          </w:p>
        </w:tc>
        <w:tc>
          <w:tcPr>
            <w:tcW w:w="3665" w:type="dxa"/>
            <w:shd w:val="clear" w:color="auto" w:fill="C6EFCE"/>
            <w:tcMar>
              <w:left w:w="108" w:type="dxa"/>
              <w:right w:w="108" w:type="dxa"/>
            </w:tcMar>
            <w:vAlign w:val="center"/>
          </w:tcPr>
          <w:p w14:paraId="73064026" w14:textId="25ABEC1E"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Funds for the competitiveness of tourism enterprises</w:t>
            </w:r>
          </w:p>
        </w:tc>
        <w:tc>
          <w:tcPr>
            <w:tcW w:w="1125" w:type="dxa"/>
            <w:shd w:val="clear" w:color="auto" w:fill="C6EFCE"/>
            <w:tcMar>
              <w:left w:w="108" w:type="dxa"/>
              <w:right w:w="108" w:type="dxa"/>
            </w:tcMar>
            <w:vAlign w:val="center"/>
          </w:tcPr>
          <w:p w14:paraId="51D7F02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26" w:type="dxa"/>
            <w:shd w:val="clear" w:color="auto" w:fill="C6EFCE"/>
            <w:tcMar>
              <w:left w:w="108" w:type="dxa"/>
              <w:right w:w="108" w:type="dxa"/>
            </w:tcMar>
            <w:vAlign w:val="center"/>
          </w:tcPr>
          <w:p w14:paraId="64242BC8" w14:textId="22A63C70"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National Tourism Fund: Disbursement to the Fund of total of EUR</w:t>
            </w:r>
            <w:r w:rsidR="00CA574C" w:rsidRPr="00D72865">
              <w:rPr>
                <w:rFonts w:ascii="Arial Narrow" w:hAnsi="Arial Narrow"/>
                <w:noProof/>
                <w:color w:val="006100"/>
                <w:sz w:val="20"/>
                <w:lang w:val="en-IE"/>
              </w:rPr>
              <w:t> </w:t>
            </w:r>
            <w:r w:rsidRPr="00A36E36">
              <w:rPr>
                <w:rFonts w:ascii="Times New Roman" w:eastAsia="Times New Roman" w:hAnsi="Times New Roman" w:cs="Times New Roman"/>
                <w:noProof/>
                <w:color w:val="006100"/>
                <w:sz w:val="20"/>
                <w:szCs w:val="20"/>
                <w:lang w:val="en-IE" w:eastAsia="en-GB"/>
              </w:rPr>
              <w:t>150</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 for equity support.</w:t>
            </w:r>
          </w:p>
        </w:tc>
      </w:tr>
      <w:tr w:rsidR="0039681A" w:rsidRPr="0070054C" w14:paraId="28F742CE" w14:textId="77777777">
        <w:trPr>
          <w:trHeight w:val="300"/>
        </w:trPr>
        <w:tc>
          <w:tcPr>
            <w:tcW w:w="1140" w:type="dxa"/>
            <w:shd w:val="clear" w:color="auto" w:fill="C6EFCE"/>
            <w:tcMar>
              <w:left w:w="108" w:type="dxa"/>
              <w:right w:w="108" w:type="dxa"/>
            </w:tcMar>
            <w:vAlign w:val="center"/>
          </w:tcPr>
          <w:p w14:paraId="3E35845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M2C3-9</w:t>
            </w:r>
          </w:p>
        </w:tc>
        <w:tc>
          <w:tcPr>
            <w:tcW w:w="3665" w:type="dxa"/>
            <w:shd w:val="clear" w:color="auto" w:fill="C6EFCE"/>
            <w:tcMar>
              <w:left w:w="108" w:type="dxa"/>
              <w:right w:w="108" w:type="dxa"/>
            </w:tcMar>
            <w:vAlign w:val="center"/>
          </w:tcPr>
          <w:p w14:paraId="2623488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Promotion of efficient district heating</w:t>
            </w:r>
          </w:p>
        </w:tc>
        <w:tc>
          <w:tcPr>
            <w:tcW w:w="1125" w:type="dxa"/>
            <w:shd w:val="clear" w:color="auto" w:fill="C6EFCE"/>
            <w:tcMar>
              <w:left w:w="108" w:type="dxa"/>
              <w:right w:w="108" w:type="dxa"/>
            </w:tcMar>
            <w:vAlign w:val="center"/>
          </w:tcPr>
          <w:p w14:paraId="32A19EE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7D5B0C64" w14:textId="17401989"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Contracts to improve the heating</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 xml:space="preserve">networks are awarded by the Ministry of Ecological Transition following a public tendering procedure </w:t>
            </w:r>
          </w:p>
        </w:tc>
      </w:tr>
      <w:tr w:rsidR="0039681A" w:rsidRPr="0070054C" w14:paraId="2695D76A" w14:textId="77777777">
        <w:trPr>
          <w:trHeight w:val="300"/>
        </w:trPr>
        <w:tc>
          <w:tcPr>
            <w:tcW w:w="1140" w:type="dxa"/>
            <w:shd w:val="clear" w:color="auto" w:fill="C6EFCE"/>
            <w:tcMar>
              <w:left w:w="108" w:type="dxa"/>
              <w:right w:w="108" w:type="dxa"/>
            </w:tcMar>
            <w:vAlign w:val="center"/>
          </w:tcPr>
          <w:p w14:paraId="30CA90A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M2C4-19</w:t>
            </w:r>
          </w:p>
        </w:tc>
        <w:tc>
          <w:tcPr>
            <w:tcW w:w="3665" w:type="dxa"/>
            <w:shd w:val="clear" w:color="auto" w:fill="C6EFCE"/>
            <w:tcMar>
              <w:left w:w="108" w:type="dxa"/>
              <w:right w:w="108" w:type="dxa"/>
            </w:tcMar>
            <w:vAlign w:val="center"/>
          </w:tcPr>
          <w:p w14:paraId="661C633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Protection and enhancement of urban and peri-urban forests</w:t>
            </w:r>
          </w:p>
        </w:tc>
        <w:tc>
          <w:tcPr>
            <w:tcW w:w="1125" w:type="dxa"/>
            <w:shd w:val="clear" w:color="auto" w:fill="C6EFCE"/>
            <w:tcMar>
              <w:left w:w="108" w:type="dxa"/>
              <w:right w:w="108" w:type="dxa"/>
            </w:tcMar>
            <w:vAlign w:val="center"/>
          </w:tcPr>
          <w:p w14:paraId="6A17C55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26" w:type="dxa"/>
            <w:shd w:val="clear" w:color="auto" w:fill="C6EFCE"/>
            <w:tcMar>
              <w:left w:w="108" w:type="dxa"/>
              <w:right w:w="108" w:type="dxa"/>
            </w:tcMar>
            <w:vAlign w:val="center"/>
          </w:tcPr>
          <w:p w14:paraId="2CFAA4E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Plant trees for the protection and valorisation of urban and peri-urban green areas T1</w:t>
            </w:r>
          </w:p>
        </w:tc>
      </w:tr>
      <w:tr w:rsidR="0039681A" w:rsidRPr="0070054C" w14:paraId="7790AB4F" w14:textId="77777777">
        <w:trPr>
          <w:trHeight w:val="300"/>
        </w:trPr>
        <w:tc>
          <w:tcPr>
            <w:tcW w:w="1140" w:type="dxa"/>
            <w:shd w:val="clear" w:color="auto" w:fill="C6EFCE"/>
            <w:tcMar>
              <w:left w:w="108" w:type="dxa"/>
              <w:right w:w="108" w:type="dxa"/>
            </w:tcMar>
            <w:vAlign w:val="center"/>
          </w:tcPr>
          <w:p w14:paraId="5D75C3A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M2C4-24</w:t>
            </w:r>
          </w:p>
        </w:tc>
        <w:tc>
          <w:tcPr>
            <w:tcW w:w="3665" w:type="dxa"/>
            <w:shd w:val="clear" w:color="auto" w:fill="C6EFCE"/>
            <w:tcMar>
              <w:left w:w="108" w:type="dxa"/>
              <w:right w:w="108" w:type="dxa"/>
            </w:tcMar>
            <w:vAlign w:val="center"/>
          </w:tcPr>
          <w:p w14:paraId="09DF450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Remediation of “orphan-sites soil”</w:t>
            </w:r>
          </w:p>
        </w:tc>
        <w:tc>
          <w:tcPr>
            <w:tcW w:w="1125" w:type="dxa"/>
            <w:shd w:val="clear" w:color="auto" w:fill="C6EFCE"/>
            <w:tcMar>
              <w:left w:w="108" w:type="dxa"/>
              <w:right w:w="108" w:type="dxa"/>
            </w:tcMar>
            <w:vAlign w:val="center"/>
          </w:tcPr>
          <w:p w14:paraId="55678D8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00AC930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Legal framework for the remediation of orphan sites</w:t>
            </w:r>
          </w:p>
        </w:tc>
      </w:tr>
      <w:tr w:rsidR="0039681A" w:rsidRPr="0070054C" w14:paraId="057DD188" w14:textId="77777777">
        <w:trPr>
          <w:trHeight w:val="300"/>
        </w:trPr>
        <w:tc>
          <w:tcPr>
            <w:tcW w:w="1140" w:type="dxa"/>
            <w:shd w:val="clear" w:color="auto" w:fill="C6EFCE"/>
            <w:tcMar>
              <w:left w:w="108" w:type="dxa"/>
              <w:right w:w="108" w:type="dxa"/>
            </w:tcMar>
            <w:vAlign w:val="center"/>
          </w:tcPr>
          <w:p w14:paraId="0408F20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M3C1-3</w:t>
            </w:r>
          </w:p>
        </w:tc>
        <w:tc>
          <w:tcPr>
            <w:tcW w:w="3665" w:type="dxa"/>
            <w:shd w:val="clear" w:color="auto" w:fill="C6EFCE"/>
            <w:tcMar>
              <w:left w:w="108" w:type="dxa"/>
              <w:right w:w="108" w:type="dxa"/>
            </w:tcMar>
            <w:vAlign w:val="center"/>
          </w:tcPr>
          <w:p w14:paraId="663902E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 High-speed railway connections to the South for passengers and freight</w:t>
            </w:r>
          </w:p>
        </w:tc>
        <w:tc>
          <w:tcPr>
            <w:tcW w:w="1125" w:type="dxa"/>
            <w:shd w:val="clear" w:color="auto" w:fill="C6EFCE"/>
            <w:tcMar>
              <w:left w:w="108" w:type="dxa"/>
              <w:right w:w="108" w:type="dxa"/>
            </w:tcMar>
            <w:vAlign w:val="center"/>
          </w:tcPr>
          <w:p w14:paraId="343233E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04FD53A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contract (s) to build high-speed railway in the lines Napoli-Bari, and Palermo-Catania</w:t>
            </w:r>
          </w:p>
        </w:tc>
      </w:tr>
      <w:tr w:rsidR="0039681A" w:rsidRPr="0070054C" w14:paraId="5D463F6A" w14:textId="77777777">
        <w:trPr>
          <w:trHeight w:val="300"/>
        </w:trPr>
        <w:tc>
          <w:tcPr>
            <w:tcW w:w="1140" w:type="dxa"/>
            <w:shd w:val="clear" w:color="auto" w:fill="C6EFCE"/>
            <w:tcMar>
              <w:left w:w="108" w:type="dxa"/>
              <w:right w:w="108" w:type="dxa"/>
            </w:tcMar>
            <w:vAlign w:val="center"/>
          </w:tcPr>
          <w:p w14:paraId="46DC0EE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M3C1-12</w:t>
            </w:r>
          </w:p>
        </w:tc>
        <w:tc>
          <w:tcPr>
            <w:tcW w:w="3665" w:type="dxa"/>
            <w:shd w:val="clear" w:color="auto" w:fill="C6EFCE"/>
            <w:tcMar>
              <w:left w:w="108" w:type="dxa"/>
              <w:right w:w="108" w:type="dxa"/>
            </w:tcMar>
            <w:vAlign w:val="center"/>
          </w:tcPr>
          <w:p w14:paraId="0335364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 Introducing the European Rail Transport Management System (ERTMS)</w:t>
            </w:r>
          </w:p>
        </w:tc>
        <w:tc>
          <w:tcPr>
            <w:tcW w:w="1125" w:type="dxa"/>
            <w:shd w:val="clear" w:color="auto" w:fill="C6EFCE"/>
            <w:tcMar>
              <w:left w:w="108" w:type="dxa"/>
              <w:right w:w="108" w:type="dxa"/>
            </w:tcMar>
            <w:vAlign w:val="center"/>
          </w:tcPr>
          <w:p w14:paraId="2B6FDA4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7D16584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contracts for the European Rail Transport Management System</w:t>
            </w:r>
          </w:p>
        </w:tc>
      </w:tr>
      <w:tr w:rsidR="0039681A" w:rsidRPr="0070054C" w14:paraId="47737ACF" w14:textId="77777777">
        <w:trPr>
          <w:trHeight w:val="300"/>
        </w:trPr>
        <w:tc>
          <w:tcPr>
            <w:tcW w:w="1140" w:type="dxa"/>
            <w:shd w:val="clear" w:color="auto" w:fill="C6EFCE"/>
            <w:tcMar>
              <w:left w:w="108" w:type="dxa"/>
              <w:right w:w="108" w:type="dxa"/>
            </w:tcMar>
            <w:vAlign w:val="center"/>
          </w:tcPr>
          <w:p w14:paraId="6AFB9D3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M3C2-8</w:t>
            </w:r>
          </w:p>
        </w:tc>
        <w:tc>
          <w:tcPr>
            <w:tcW w:w="3665" w:type="dxa"/>
            <w:shd w:val="clear" w:color="auto" w:fill="C6EFCE"/>
            <w:tcMar>
              <w:left w:w="108" w:type="dxa"/>
              <w:right w:w="108" w:type="dxa"/>
            </w:tcMar>
            <w:vAlign w:val="center"/>
          </w:tcPr>
          <w:p w14:paraId="51CC6EA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Green ports: renewable energy and energy efficiency interventions at ports</w:t>
            </w:r>
          </w:p>
        </w:tc>
        <w:tc>
          <w:tcPr>
            <w:tcW w:w="1125" w:type="dxa"/>
            <w:shd w:val="clear" w:color="auto" w:fill="C6EFCE"/>
            <w:tcMar>
              <w:left w:w="108" w:type="dxa"/>
              <w:right w:w="108" w:type="dxa"/>
            </w:tcMar>
            <w:vAlign w:val="center"/>
          </w:tcPr>
          <w:p w14:paraId="2ABCC9F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26" w:type="dxa"/>
            <w:shd w:val="clear" w:color="auto" w:fill="C6EFCE"/>
            <w:tcMar>
              <w:left w:w="108" w:type="dxa"/>
              <w:right w:w="108" w:type="dxa"/>
            </w:tcMar>
            <w:vAlign w:val="center"/>
          </w:tcPr>
          <w:p w14:paraId="279CDA6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Green ports: assignment of works</w:t>
            </w:r>
          </w:p>
        </w:tc>
      </w:tr>
      <w:tr w:rsidR="0039681A" w:rsidRPr="0070054C" w14:paraId="283FF7AB" w14:textId="77777777">
        <w:trPr>
          <w:trHeight w:val="300"/>
        </w:trPr>
        <w:tc>
          <w:tcPr>
            <w:tcW w:w="1140" w:type="dxa"/>
            <w:shd w:val="clear" w:color="auto" w:fill="C6EFCE"/>
            <w:tcMar>
              <w:left w:w="108" w:type="dxa"/>
              <w:right w:w="108" w:type="dxa"/>
            </w:tcMar>
            <w:vAlign w:val="center"/>
          </w:tcPr>
          <w:p w14:paraId="343B256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M4C1-29</w:t>
            </w:r>
          </w:p>
        </w:tc>
        <w:tc>
          <w:tcPr>
            <w:tcW w:w="3665" w:type="dxa"/>
            <w:shd w:val="clear" w:color="auto" w:fill="C6EFCE"/>
            <w:tcMar>
              <w:left w:w="108" w:type="dxa"/>
              <w:right w:w="108" w:type="dxa"/>
            </w:tcMar>
            <w:vAlign w:val="center"/>
          </w:tcPr>
          <w:p w14:paraId="5C17925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Reform 1.7: Reform of student housing regulation and investment in student housing </w:t>
            </w:r>
          </w:p>
        </w:tc>
        <w:tc>
          <w:tcPr>
            <w:tcW w:w="1125" w:type="dxa"/>
            <w:shd w:val="clear" w:color="auto" w:fill="C6EFCE"/>
            <w:tcMar>
              <w:left w:w="108" w:type="dxa"/>
              <w:right w:w="108" w:type="dxa"/>
            </w:tcMar>
            <w:vAlign w:val="center"/>
          </w:tcPr>
          <w:p w14:paraId="0F5652A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7DAE715D" w14:textId="500C6526"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reform on student housing legislation.</w:t>
            </w:r>
            <w:r w:rsidR="00381DB1">
              <w:rPr>
                <w:rFonts w:ascii="Times New Roman" w:eastAsia="Times New Roman" w:hAnsi="Times New Roman" w:cs="Times New Roman"/>
                <w:noProof/>
                <w:color w:val="006100"/>
                <w:sz w:val="20"/>
                <w:szCs w:val="20"/>
                <w:lang w:val="en-IE" w:eastAsia="en-GB"/>
              </w:rPr>
              <w:t xml:space="preserve"> </w:t>
            </w:r>
          </w:p>
        </w:tc>
      </w:tr>
      <w:tr w:rsidR="0039681A" w:rsidRPr="0070054C" w14:paraId="3AFC68DF" w14:textId="77777777">
        <w:trPr>
          <w:trHeight w:val="300"/>
        </w:trPr>
        <w:tc>
          <w:tcPr>
            <w:tcW w:w="1140" w:type="dxa"/>
            <w:shd w:val="clear" w:color="auto" w:fill="C6EFCE"/>
            <w:tcMar>
              <w:left w:w="108" w:type="dxa"/>
              <w:right w:w="108" w:type="dxa"/>
            </w:tcMar>
            <w:vAlign w:val="center"/>
          </w:tcPr>
          <w:p w14:paraId="390D30C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M5C2-13</w:t>
            </w:r>
          </w:p>
        </w:tc>
        <w:tc>
          <w:tcPr>
            <w:tcW w:w="3665" w:type="dxa"/>
            <w:shd w:val="clear" w:color="auto" w:fill="C6EFCE"/>
            <w:tcMar>
              <w:left w:w="108" w:type="dxa"/>
              <w:right w:w="108" w:type="dxa"/>
            </w:tcMar>
            <w:vAlign w:val="center"/>
          </w:tcPr>
          <w:p w14:paraId="4A149A4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5 - Urban Integrated Plans - general projects</w:t>
            </w:r>
          </w:p>
        </w:tc>
        <w:tc>
          <w:tcPr>
            <w:tcW w:w="1125" w:type="dxa"/>
            <w:shd w:val="clear" w:color="auto" w:fill="C6EFCE"/>
            <w:tcMar>
              <w:left w:w="108" w:type="dxa"/>
              <w:right w:w="108" w:type="dxa"/>
            </w:tcMar>
            <w:vAlign w:val="center"/>
          </w:tcPr>
          <w:p w14:paraId="136F962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26" w:type="dxa"/>
            <w:shd w:val="clear" w:color="auto" w:fill="C6EFCE"/>
            <w:tcMar>
              <w:left w:w="108" w:type="dxa"/>
              <w:right w:w="108" w:type="dxa"/>
            </w:tcMar>
            <w:vAlign w:val="center"/>
          </w:tcPr>
          <w:p w14:paraId="3ADFE90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investment Plan for urban regeneration projects in metropolitan areas</w:t>
            </w:r>
          </w:p>
        </w:tc>
      </w:tr>
      <w:tr w:rsidR="0039681A" w:rsidRPr="0070054C" w14:paraId="5027B55F" w14:textId="77777777">
        <w:trPr>
          <w:trHeight w:val="300"/>
        </w:trPr>
        <w:tc>
          <w:tcPr>
            <w:tcW w:w="1140" w:type="dxa"/>
            <w:shd w:val="clear" w:color="auto" w:fill="C6EFCE"/>
            <w:tcMar>
              <w:left w:w="108" w:type="dxa"/>
              <w:right w:w="108" w:type="dxa"/>
            </w:tcMar>
            <w:vAlign w:val="center"/>
          </w:tcPr>
          <w:p w14:paraId="005001F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M6C2-7</w:t>
            </w:r>
          </w:p>
        </w:tc>
        <w:tc>
          <w:tcPr>
            <w:tcW w:w="3665" w:type="dxa"/>
            <w:shd w:val="clear" w:color="auto" w:fill="C6EFCE"/>
            <w:tcMar>
              <w:left w:w="108" w:type="dxa"/>
              <w:right w:w="108" w:type="dxa"/>
            </w:tcMar>
            <w:vAlign w:val="center"/>
          </w:tcPr>
          <w:p w14:paraId="18690B9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1.1: Digital update of hospitals’ technological equipment</w:t>
            </w:r>
          </w:p>
        </w:tc>
        <w:tc>
          <w:tcPr>
            <w:tcW w:w="1125" w:type="dxa"/>
            <w:shd w:val="clear" w:color="auto" w:fill="C6EFCE"/>
            <w:tcMar>
              <w:left w:w="108" w:type="dxa"/>
              <w:right w:w="108" w:type="dxa"/>
            </w:tcMar>
            <w:vAlign w:val="center"/>
          </w:tcPr>
          <w:p w14:paraId="10EF9BE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Milestone</w:t>
            </w:r>
          </w:p>
        </w:tc>
        <w:tc>
          <w:tcPr>
            <w:tcW w:w="3426" w:type="dxa"/>
            <w:shd w:val="clear" w:color="auto" w:fill="C6EFCE"/>
            <w:tcMar>
              <w:left w:w="108" w:type="dxa"/>
              <w:right w:w="108" w:type="dxa"/>
            </w:tcMar>
            <w:vAlign w:val="center"/>
          </w:tcPr>
          <w:p w14:paraId="533C6CD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Award of all public contracts</w:t>
            </w:r>
          </w:p>
        </w:tc>
      </w:tr>
      <w:tr w:rsidR="0039681A" w:rsidRPr="00647572" w14:paraId="3AA85DA6" w14:textId="77777777">
        <w:trPr>
          <w:trHeight w:val="300"/>
        </w:trPr>
        <w:tc>
          <w:tcPr>
            <w:tcW w:w="1140" w:type="dxa"/>
            <w:shd w:val="clear" w:color="auto" w:fill="C6EFCE"/>
            <w:tcMar>
              <w:left w:w="108" w:type="dxa"/>
              <w:right w:w="108" w:type="dxa"/>
            </w:tcMar>
            <w:vAlign w:val="center"/>
          </w:tcPr>
          <w:p w14:paraId="1E65DDF2"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3665" w:type="dxa"/>
            <w:shd w:val="clear" w:color="auto" w:fill="C6EFCE"/>
            <w:tcMar>
              <w:left w:w="108" w:type="dxa"/>
              <w:right w:w="108" w:type="dxa"/>
            </w:tcMar>
            <w:vAlign w:val="center"/>
          </w:tcPr>
          <w:p w14:paraId="45005DF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125" w:type="dxa"/>
            <w:shd w:val="clear" w:color="auto" w:fill="C6EFCE"/>
            <w:tcMar>
              <w:left w:w="108" w:type="dxa"/>
              <w:right w:w="108" w:type="dxa"/>
            </w:tcMar>
            <w:vAlign w:val="center"/>
          </w:tcPr>
          <w:p w14:paraId="3A227AEB"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426" w:type="dxa"/>
            <w:shd w:val="clear" w:color="auto" w:fill="C6EFCE"/>
            <w:tcMar>
              <w:left w:w="108" w:type="dxa"/>
              <w:right w:w="108" w:type="dxa"/>
            </w:tcMar>
            <w:vAlign w:val="center"/>
          </w:tcPr>
          <w:p w14:paraId="57D25233"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9</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825</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328</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389</w:t>
            </w:r>
          </w:p>
        </w:tc>
      </w:tr>
    </w:tbl>
    <w:p w14:paraId="681D6B17" w14:textId="77777777" w:rsidR="0039681A" w:rsidRPr="00647572" w:rsidRDefault="0039681A" w:rsidP="00351087">
      <w:pPr>
        <w:spacing w:after="200" w:line="276"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t xml:space="preserve"> </w:t>
      </w:r>
    </w:p>
    <w:p w14:paraId="4BA23DA0" w14:textId="77777777" w:rsidR="0039681A" w:rsidRPr="00647572" w:rsidRDefault="0039681A" w:rsidP="00351087">
      <w:pPr>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br w:type="page"/>
      </w:r>
    </w:p>
    <w:p w14:paraId="2A230F06" w14:textId="77777777" w:rsidR="0039681A" w:rsidRPr="00647572" w:rsidRDefault="0039681A" w:rsidP="0039681A">
      <w:pPr>
        <w:pStyle w:val="Heading3"/>
        <w:numPr>
          <w:ilvl w:val="1"/>
          <w:numId w:val="16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Fourth Instalment (loan support):</w:t>
      </w:r>
    </w:p>
    <w:tbl>
      <w:tblPr>
        <w:tblW w:w="9357"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0"/>
        <w:gridCol w:w="3171"/>
        <w:gridCol w:w="1230"/>
        <w:gridCol w:w="3666"/>
      </w:tblGrid>
      <w:tr w:rsidR="0039681A" w:rsidRPr="00647572" w14:paraId="60AC8620" w14:textId="77777777">
        <w:trPr>
          <w:trHeight w:val="900"/>
          <w:tblHeader/>
        </w:trPr>
        <w:tc>
          <w:tcPr>
            <w:tcW w:w="1290" w:type="dxa"/>
            <w:vMerge w:val="restart"/>
            <w:shd w:val="clear" w:color="auto" w:fill="BDD7EE"/>
            <w:tcMar>
              <w:left w:w="108" w:type="dxa"/>
              <w:right w:w="108" w:type="dxa"/>
            </w:tcMar>
            <w:vAlign w:val="center"/>
          </w:tcPr>
          <w:p w14:paraId="1E04223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171" w:type="dxa"/>
            <w:vMerge w:val="restart"/>
            <w:shd w:val="clear" w:color="auto" w:fill="BDD7EE"/>
            <w:tcMar>
              <w:left w:w="108" w:type="dxa"/>
              <w:right w:w="108" w:type="dxa"/>
            </w:tcMar>
            <w:vAlign w:val="center"/>
          </w:tcPr>
          <w:p w14:paraId="1FA23576"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30" w:type="dxa"/>
            <w:vMerge w:val="restart"/>
            <w:shd w:val="clear" w:color="auto" w:fill="BDD7EE"/>
            <w:tcMar>
              <w:left w:w="108" w:type="dxa"/>
              <w:right w:w="108" w:type="dxa"/>
            </w:tcMar>
            <w:vAlign w:val="center"/>
          </w:tcPr>
          <w:p w14:paraId="2CE9A54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666" w:type="dxa"/>
            <w:vMerge w:val="restart"/>
            <w:shd w:val="clear" w:color="auto" w:fill="BDD7EE"/>
            <w:tcMar>
              <w:left w:w="108" w:type="dxa"/>
              <w:right w:w="108" w:type="dxa"/>
            </w:tcMar>
            <w:vAlign w:val="center"/>
          </w:tcPr>
          <w:p w14:paraId="1A76F54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061A4BA1" w14:textId="77777777">
        <w:trPr>
          <w:trHeight w:val="510"/>
        </w:trPr>
        <w:tc>
          <w:tcPr>
            <w:tcW w:w="1290" w:type="dxa"/>
            <w:vMerge/>
            <w:vAlign w:val="center"/>
          </w:tcPr>
          <w:p w14:paraId="55A25197"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171" w:type="dxa"/>
            <w:vMerge/>
            <w:vAlign w:val="center"/>
          </w:tcPr>
          <w:p w14:paraId="4F20F123"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230" w:type="dxa"/>
            <w:vMerge/>
            <w:vAlign w:val="center"/>
          </w:tcPr>
          <w:p w14:paraId="3DCF990B"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666" w:type="dxa"/>
            <w:vMerge/>
            <w:vAlign w:val="center"/>
          </w:tcPr>
          <w:p w14:paraId="602EFFDB"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0DD5C60D" w14:textId="77777777">
        <w:trPr>
          <w:trHeight w:val="300"/>
        </w:trPr>
        <w:tc>
          <w:tcPr>
            <w:tcW w:w="1290" w:type="dxa"/>
            <w:shd w:val="clear" w:color="auto" w:fill="C6EFCE"/>
            <w:tcMar>
              <w:left w:w="108" w:type="dxa"/>
              <w:right w:w="108" w:type="dxa"/>
            </w:tcMar>
            <w:vAlign w:val="center"/>
          </w:tcPr>
          <w:p w14:paraId="39D4158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M1C1-125</w:t>
            </w:r>
          </w:p>
        </w:tc>
        <w:tc>
          <w:tcPr>
            <w:tcW w:w="3171" w:type="dxa"/>
            <w:shd w:val="clear" w:color="auto" w:fill="C6EFCE"/>
            <w:tcMar>
              <w:left w:w="108" w:type="dxa"/>
              <w:right w:w="108" w:type="dxa"/>
            </w:tcMar>
            <w:vAlign w:val="center"/>
          </w:tcPr>
          <w:p w14:paraId="184A1B0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 Cloud enablement for local PA</w:t>
            </w:r>
          </w:p>
        </w:tc>
        <w:tc>
          <w:tcPr>
            <w:tcW w:w="1230" w:type="dxa"/>
            <w:shd w:val="clear" w:color="auto" w:fill="C6EFCE"/>
            <w:tcMar>
              <w:left w:w="108" w:type="dxa"/>
              <w:right w:w="108" w:type="dxa"/>
            </w:tcMar>
            <w:vAlign w:val="center"/>
          </w:tcPr>
          <w:p w14:paraId="6DFADC1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4BDA395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calls for Cloud enablement for local Public Administration tenders</w:t>
            </w:r>
          </w:p>
        </w:tc>
      </w:tr>
      <w:tr w:rsidR="0039681A" w:rsidRPr="0070054C" w14:paraId="32C8ED42" w14:textId="77777777">
        <w:trPr>
          <w:trHeight w:val="300"/>
        </w:trPr>
        <w:tc>
          <w:tcPr>
            <w:tcW w:w="1290" w:type="dxa"/>
            <w:shd w:val="clear" w:color="auto" w:fill="C6EFCE"/>
            <w:tcMar>
              <w:left w:w="108" w:type="dxa"/>
              <w:right w:w="108" w:type="dxa"/>
            </w:tcMar>
            <w:vAlign w:val="center"/>
          </w:tcPr>
          <w:p w14:paraId="5D1B8A3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M1C2-22</w:t>
            </w:r>
          </w:p>
        </w:tc>
        <w:tc>
          <w:tcPr>
            <w:tcW w:w="3171" w:type="dxa"/>
            <w:shd w:val="clear" w:color="auto" w:fill="C6EFCE"/>
            <w:tcMar>
              <w:left w:w="108" w:type="dxa"/>
              <w:right w:w="108" w:type="dxa"/>
            </w:tcMar>
            <w:vAlign w:val="center"/>
          </w:tcPr>
          <w:p w14:paraId="0492EB6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 Satellite Technology and Space economy</w:t>
            </w:r>
          </w:p>
        </w:tc>
        <w:tc>
          <w:tcPr>
            <w:tcW w:w="1230" w:type="dxa"/>
            <w:shd w:val="clear" w:color="auto" w:fill="C6EFCE"/>
            <w:tcMar>
              <w:left w:w="108" w:type="dxa"/>
              <w:right w:w="108" w:type="dxa"/>
            </w:tcMar>
            <w:vAlign w:val="center"/>
          </w:tcPr>
          <w:p w14:paraId="135D8C7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06E24DA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satellite technology and space projects</w:t>
            </w:r>
          </w:p>
        </w:tc>
      </w:tr>
      <w:tr w:rsidR="0039681A" w:rsidRPr="0070054C" w14:paraId="42D3BE59" w14:textId="77777777">
        <w:trPr>
          <w:trHeight w:val="300"/>
        </w:trPr>
        <w:tc>
          <w:tcPr>
            <w:tcW w:w="1290" w:type="dxa"/>
            <w:shd w:val="clear" w:color="auto" w:fill="C6EFCE"/>
            <w:tcMar>
              <w:left w:w="108" w:type="dxa"/>
              <w:right w:w="108" w:type="dxa"/>
            </w:tcMar>
            <w:vAlign w:val="center"/>
          </w:tcPr>
          <w:p w14:paraId="6142D9A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M2C2-48</w:t>
            </w:r>
          </w:p>
        </w:tc>
        <w:tc>
          <w:tcPr>
            <w:tcW w:w="3171" w:type="dxa"/>
            <w:shd w:val="clear" w:color="auto" w:fill="C6EFCE"/>
            <w:tcMar>
              <w:left w:w="108" w:type="dxa"/>
              <w:right w:w="108" w:type="dxa"/>
            </w:tcMar>
            <w:vAlign w:val="center"/>
          </w:tcPr>
          <w:p w14:paraId="5CA51CA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Production of Hydrogen in brownfield sites (Hydrogen Valleys)</w:t>
            </w:r>
          </w:p>
        </w:tc>
        <w:tc>
          <w:tcPr>
            <w:tcW w:w="1230" w:type="dxa"/>
            <w:shd w:val="clear" w:color="auto" w:fill="C6EFCE"/>
            <w:tcMar>
              <w:left w:w="108" w:type="dxa"/>
              <w:right w:w="108" w:type="dxa"/>
            </w:tcMar>
            <w:vAlign w:val="center"/>
          </w:tcPr>
          <w:p w14:paraId="454A3BD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4BE59D6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 for the projects the production of hydrogen in abandoned industrial areas centres</w:t>
            </w:r>
          </w:p>
        </w:tc>
      </w:tr>
      <w:tr w:rsidR="0039681A" w:rsidRPr="0070054C" w14:paraId="0EA8AADF" w14:textId="77777777">
        <w:trPr>
          <w:trHeight w:val="300"/>
        </w:trPr>
        <w:tc>
          <w:tcPr>
            <w:tcW w:w="1290" w:type="dxa"/>
            <w:shd w:val="clear" w:color="auto" w:fill="C6EFCE"/>
            <w:tcMar>
              <w:left w:w="108" w:type="dxa"/>
              <w:right w:w="108" w:type="dxa"/>
            </w:tcMar>
            <w:vAlign w:val="center"/>
          </w:tcPr>
          <w:p w14:paraId="503A3EF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M2C2-50</w:t>
            </w:r>
          </w:p>
        </w:tc>
        <w:tc>
          <w:tcPr>
            <w:tcW w:w="3171" w:type="dxa"/>
            <w:shd w:val="clear" w:color="auto" w:fill="C6EFCE"/>
            <w:tcMar>
              <w:left w:w="108" w:type="dxa"/>
              <w:right w:w="108" w:type="dxa"/>
            </w:tcMar>
            <w:vAlign w:val="center"/>
          </w:tcPr>
          <w:p w14:paraId="658D588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Hydrogen Use in hard-to-abate industry</w:t>
            </w:r>
          </w:p>
        </w:tc>
        <w:tc>
          <w:tcPr>
            <w:tcW w:w="1230" w:type="dxa"/>
            <w:shd w:val="clear" w:color="auto" w:fill="C6EFCE"/>
            <w:tcMar>
              <w:left w:w="108" w:type="dxa"/>
              <w:right w:w="108" w:type="dxa"/>
            </w:tcMar>
            <w:vAlign w:val="center"/>
          </w:tcPr>
          <w:p w14:paraId="7A89F6A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19C7523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Agreement to promote the transition from methane to green hydrogen</w:t>
            </w:r>
          </w:p>
        </w:tc>
      </w:tr>
      <w:tr w:rsidR="0039681A" w:rsidRPr="0070054C" w14:paraId="45BA0895" w14:textId="77777777">
        <w:trPr>
          <w:trHeight w:val="300"/>
        </w:trPr>
        <w:tc>
          <w:tcPr>
            <w:tcW w:w="1290" w:type="dxa"/>
            <w:shd w:val="clear" w:color="auto" w:fill="C6EFCE"/>
            <w:tcMar>
              <w:left w:w="108" w:type="dxa"/>
              <w:right w:w="108" w:type="dxa"/>
            </w:tcMar>
            <w:vAlign w:val="center"/>
          </w:tcPr>
          <w:p w14:paraId="77AFDFA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M5C2-21</w:t>
            </w:r>
          </w:p>
        </w:tc>
        <w:tc>
          <w:tcPr>
            <w:tcW w:w="3171" w:type="dxa"/>
            <w:shd w:val="clear" w:color="auto" w:fill="C6EFCE"/>
            <w:tcMar>
              <w:left w:w="108" w:type="dxa"/>
              <w:right w:w="108" w:type="dxa"/>
            </w:tcMar>
            <w:vAlign w:val="center"/>
          </w:tcPr>
          <w:p w14:paraId="31244E8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7 - The Sport and Social Inclusion project</w:t>
            </w:r>
          </w:p>
        </w:tc>
        <w:tc>
          <w:tcPr>
            <w:tcW w:w="1230" w:type="dxa"/>
            <w:shd w:val="clear" w:color="auto" w:fill="C6EFCE"/>
            <w:tcMar>
              <w:left w:w="108" w:type="dxa"/>
              <w:right w:w="108" w:type="dxa"/>
            </w:tcMar>
            <w:vAlign w:val="center"/>
          </w:tcPr>
          <w:p w14:paraId="58E48B4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52C0B3A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projects on sport and social inclusion following a public call for proposal</w:t>
            </w:r>
          </w:p>
        </w:tc>
      </w:tr>
      <w:tr w:rsidR="0039681A" w:rsidRPr="0070054C" w14:paraId="25060D68" w14:textId="77777777">
        <w:trPr>
          <w:trHeight w:val="300"/>
        </w:trPr>
        <w:tc>
          <w:tcPr>
            <w:tcW w:w="1290" w:type="dxa"/>
            <w:shd w:val="clear" w:color="auto" w:fill="C6EFCE"/>
            <w:tcMar>
              <w:left w:w="108" w:type="dxa"/>
              <w:right w:w="108" w:type="dxa"/>
            </w:tcMar>
            <w:vAlign w:val="center"/>
          </w:tcPr>
          <w:p w14:paraId="0CE804F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M1C3-20</w:t>
            </w:r>
          </w:p>
        </w:tc>
        <w:tc>
          <w:tcPr>
            <w:tcW w:w="3171" w:type="dxa"/>
            <w:shd w:val="clear" w:color="auto" w:fill="C6EFCE"/>
            <w:tcMar>
              <w:left w:w="108" w:type="dxa"/>
              <w:right w:w="108" w:type="dxa"/>
            </w:tcMar>
            <w:vAlign w:val="center"/>
          </w:tcPr>
          <w:p w14:paraId="3C131A2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- 3.2 Development of the film industry (Cinecittà project)</w:t>
            </w:r>
          </w:p>
        </w:tc>
        <w:tc>
          <w:tcPr>
            <w:tcW w:w="1230" w:type="dxa"/>
            <w:shd w:val="clear" w:color="auto" w:fill="C6EFCE"/>
            <w:tcMar>
              <w:left w:w="108" w:type="dxa"/>
              <w:right w:w="108" w:type="dxa"/>
            </w:tcMar>
            <w:vAlign w:val="center"/>
          </w:tcPr>
          <w:p w14:paraId="43DDFF6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369C4B6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Signature of the contracts between the implementing entity Cinecittà SPA and the companies in relation to the construction of nine studios</w:t>
            </w:r>
          </w:p>
        </w:tc>
      </w:tr>
      <w:tr w:rsidR="0039681A" w:rsidRPr="0070054C" w14:paraId="7CCAD2A1" w14:textId="77777777">
        <w:trPr>
          <w:trHeight w:val="300"/>
        </w:trPr>
        <w:tc>
          <w:tcPr>
            <w:tcW w:w="1290" w:type="dxa"/>
            <w:shd w:val="clear" w:color="auto" w:fill="C6EFCE"/>
            <w:tcMar>
              <w:left w:w="108" w:type="dxa"/>
              <w:right w:w="108" w:type="dxa"/>
            </w:tcMar>
            <w:vAlign w:val="center"/>
          </w:tcPr>
          <w:p w14:paraId="743D17D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M2C4-21</w:t>
            </w:r>
          </w:p>
        </w:tc>
        <w:tc>
          <w:tcPr>
            <w:tcW w:w="3171" w:type="dxa"/>
            <w:shd w:val="clear" w:color="auto" w:fill="C6EFCE"/>
            <w:tcMar>
              <w:left w:w="108" w:type="dxa"/>
              <w:right w:w="108" w:type="dxa"/>
            </w:tcMar>
            <w:vAlign w:val="center"/>
          </w:tcPr>
          <w:p w14:paraId="66C84A6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3.3 Re-naturification of Po area</w:t>
            </w:r>
          </w:p>
        </w:tc>
        <w:tc>
          <w:tcPr>
            <w:tcW w:w="1230" w:type="dxa"/>
            <w:shd w:val="clear" w:color="auto" w:fill="C6EFCE"/>
            <w:tcMar>
              <w:left w:w="108" w:type="dxa"/>
              <w:right w:w="108" w:type="dxa"/>
            </w:tcMar>
            <w:vAlign w:val="center"/>
          </w:tcPr>
          <w:p w14:paraId="2CDB2D5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6F67D10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Revision of the legal framework for interventions for the re-naturification of the Po area </w:t>
            </w:r>
          </w:p>
        </w:tc>
      </w:tr>
      <w:tr w:rsidR="0039681A" w:rsidRPr="0070054C" w14:paraId="1CE8293E" w14:textId="77777777">
        <w:trPr>
          <w:trHeight w:val="300"/>
        </w:trPr>
        <w:tc>
          <w:tcPr>
            <w:tcW w:w="1290" w:type="dxa"/>
            <w:shd w:val="clear" w:color="auto" w:fill="C6EFCE"/>
            <w:tcMar>
              <w:left w:w="108" w:type="dxa"/>
              <w:right w:w="108" w:type="dxa"/>
            </w:tcMar>
            <w:vAlign w:val="center"/>
          </w:tcPr>
          <w:p w14:paraId="0BFF69A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M4C1-28</w:t>
            </w:r>
          </w:p>
        </w:tc>
        <w:tc>
          <w:tcPr>
            <w:tcW w:w="3171" w:type="dxa"/>
            <w:shd w:val="clear" w:color="auto" w:fill="C6EFCE"/>
            <w:tcMar>
              <w:left w:w="108" w:type="dxa"/>
              <w:right w:w="108" w:type="dxa"/>
            </w:tcMar>
            <w:vAlign w:val="center"/>
          </w:tcPr>
          <w:p w14:paraId="60849BD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1.7: Reform of student housing regulation and investment in student housing</w:t>
            </w:r>
          </w:p>
        </w:tc>
        <w:tc>
          <w:tcPr>
            <w:tcW w:w="1230" w:type="dxa"/>
            <w:shd w:val="clear" w:color="auto" w:fill="C6EFCE"/>
            <w:tcMar>
              <w:left w:w="108" w:type="dxa"/>
              <w:right w:w="108" w:type="dxa"/>
            </w:tcMar>
            <w:vAlign w:val="center"/>
          </w:tcPr>
          <w:p w14:paraId="5A5C143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1981A01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Awards of initial contracts for the creation of additional sleeping accommodation units (beds)</w:t>
            </w:r>
          </w:p>
        </w:tc>
      </w:tr>
      <w:tr w:rsidR="0039681A" w:rsidRPr="0070054C" w14:paraId="56E13C3E" w14:textId="77777777">
        <w:trPr>
          <w:trHeight w:val="300"/>
        </w:trPr>
        <w:tc>
          <w:tcPr>
            <w:tcW w:w="1290" w:type="dxa"/>
            <w:shd w:val="clear" w:color="auto" w:fill="C6EFCE"/>
            <w:tcMar>
              <w:left w:w="108" w:type="dxa"/>
              <w:right w:w="108" w:type="dxa"/>
            </w:tcMar>
            <w:vAlign w:val="center"/>
          </w:tcPr>
          <w:p w14:paraId="1182E58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M4C2-12</w:t>
            </w:r>
          </w:p>
        </w:tc>
        <w:tc>
          <w:tcPr>
            <w:tcW w:w="3171" w:type="dxa"/>
            <w:shd w:val="clear" w:color="auto" w:fill="C6EFCE"/>
            <w:tcMar>
              <w:left w:w="108" w:type="dxa"/>
              <w:right w:w="108" w:type="dxa"/>
            </w:tcMar>
            <w:vAlign w:val="center"/>
          </w:tcPr>
          <w:p w14:paraId="65AD0446"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2.1: IPCEI</w:t>
            </w:r>
          </w:p>
        </w:tc>
        <w:tc>
          <w:tcPr>
            <w:tcW w:w="1230" w:type="dxa"/>
            <w:shd w:val="clear" w:color="auto" w:fill="C6EFCE"/>
            <w:tcMar>
              <w:left w:w="108" w:type="dxa"/>
              <w:right w:w="108" w:type="dxa"/>
            </w:tcMar>
            <w:vAlign w:val="center"/>
          </w:tcPr>
          <w:p w14:paraId="3989D82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666" w:type="dxa"/>
            <w:shd w:val="clear" w:color="auto" w:fill="C6EFCE"/>
            <w:tcMar>
              <w:left w:w="108" w:type="dxa"/>
              <w:right w:w="108" w:type="dxa"/>
            </w:tcMar>
            <w:vAlign w:val="center"/>
          </w:tcPr>
          <w:p w14:paraId="7836517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The list of participants to IPCEI projects is finalised by 30/06/2023</w:t>
            </w:r>
          </w:p>
        </w:tc>
      </w:tr>
      <w:tr w:rsidR="0039681A" w:rsidRPr="00647572" w14:paraId="3CA14236" w14:textId="77777777">
        <w:trPr>
          <w:trHeight w:val="300"/>
        </w:trPr>
        <w:tc>
          <w:tcPr>
            <w:tcW w:w="1290" w:type="dxa"/>
            <w:shd w:val="clear" w:color="auto" w:fill="C6EFCE"/>
            <w:tcMar>
              <w:left w:w="108" w:type="dxa"/>
              <w:right w:w="108" w:type="dxa"/>
            </w:tcMar>
            <w:vAlign w:val="center"/>
          </w:tcPr>
          <w:p w14:paraId="19D0FEE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M4C2-16</w:t>
            </w:r>
          </w:p>
        </w:tc>
        <w:tc>
          <w:tcPr>
            <w:tcW w:w="3171" w:type="dxa"/>
            <w:shd w:val="clear" w:color="auto" w:fill="C6EFCE"/>
            <w:tcMar>
              <w:left w:w="108" w:type="dxa"/>
              <w:right w:w="108" w:type="dxa"/>
            </w:tcMar>
            <w:vAlign w:val="center"/>
          </w:tcPr>
          <w:p w14:paraId="01CF985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Research and innovation infrastructures</w:t>
            </w:r>
          </w:p>
        </w:tc>
        <w:tc>
          <w:tcPr>
            <w:tcW w:w="1230" w:type="dxa"/>
            <w:shd w:val="clear" w:color="auto" w:fill="C6EFCE"/>
            <w:tcMar>
              <w:left w:w="108" w:type="dxa"/>
              <w:right w:w="108" w:type="dxa"/>
            </w:tcMar>
            <w:vAlign w:val="center"/>
          </w:tcPr>
          <w:p w14:paraId="14152DA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666" w:type="dxa"/>
            <w:shd w:val="clear" w:color="auto" w:fill="C6EFCE"/>
            <w:tcMar>
              <w:left w:w="108" w:type="dxa"/>
              <w:right w:w="108" w:type="dxa"/>
            </w:tcMar>
            <w:vAlign w:val="center"/>
          </w:tcPr>
          <w:p w14:paraId="0B865CC2"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Number of infrastructures funded</w:t>
            </w:r>
          </w:p>
        </w:tc>
      </w:tr>
      <w:tr w:rsidR="0039681A" w:rsidRPr="0070054C" w14:paraId="25CFFA77" w14:textId="77777777">
        <w:trPr>
          <w:trHeight w:val="300"/>
        </w:trPr>
        <w:tc>
          <w:tcPr>
            <w:tcW w:w="1290" w:type="dxa"/>
            <w:shd w:val="clear" w:color="auto" w:fill="C6EFCE"/>
            <w:tcMar>
              <w:left w:w="108" w:type="dxa"/>
              <w:right w:w="108" w:type="dxa"/>
            </w:tcMar>
            <w:vAlign w:val="center"/>
          </w:tcPr>
          <w:p w14:paraId="1175F34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M5C1-18</w:t>
            </w:r>
          </w:p>
        </w:tc>
        <w:tc>
          <w:tcPr>
            <w:tcW w:w="3171" w:type="dxa"/>
            <w:shd w:val="clear" w:color="auto" w:fill="C6EFCE"/>
            <w:tcMar>
              <w:left w:w="108" w:type="dxa"/>
              <w:right w:w="108" w:type="dxa"/>
            </w:tcMar>
            <w:vAlign w:val="center"/>
          </w:tcPr>
          <w:p w14:paraId="7501ABB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5 - Creation of women's enterprises</w:t>
            </w:r>
          </w:p>
        </w:tc>
        <w:tc>
          <w:tcPr>
            <w:tcW w:w="1230" w:type="dxa"/>
            <w:shd w:val="clear" w:color="auto" w:fill="C6EFCE"/>
            <w:tcMar>
              <w:left w:w="108" w:type="dxa"/>
              <w:right w:w="108" w:type="dxa"/>
            </w:tcMar>
            <w:vAlign w:val="center"/>
          </w:tcPr>
          <w:p w14:paraId="5C25D15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666" w:type="dxa"/>
            <w:shd w:val="clear" w:color="auto" w:fill="C6EFCE"/>
            <w:tcMar>
              <w:left w:w="108" w:type="dxa"/>
              <w:right w:w="108" w:type="dxa"/>
            </w:tcMar>
            <w:vAlign w:val="center"/>
          </w:tcPr>
          <w:p w14:paraId="31DDD20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Financial support to enterprises has been committed </w:t>
            </w:r>
          </w:p>
        </w:tc>
      </w:tr>
      <w:tr w:rsidR="0039681A" w:rsidRPr="0070054C" w14:paraId="07A69668" w14:textId="77777777">
        <w:trPr>
          <w:trHeight w:val="300"/>
        </w:trPr>
        <w:tc>
          <w:tcPr>
            <w:tcW w:w="1290" w:type="dxa"/>
            <w:shd w:val="clear" w:color="auto" w:fill="C6EFCE"/>
            <w:tcMar>
              <w:left w:w="108" w:type="dxa"/>
              <w:right w:w="108" w:type="dxa"/>
            </w:tcMar>
            <w:vAlign w:val="center"/>
          </w:tcPr>
          <w:p w14:paraId="36C8747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M6C2-14</w:t>
            </w:r>
          </w:p>
        </w:tc>
        <w:tc>
          <w:tcPr>
            <w:tcW w:w="3171" w:type="dxa"/>
            <w:shd w:val="clear" w:color="auto" w:fill="C6EFCE"/>
            <w:tcMar>
              <w:left w:w="108" w:type="dxa"/>
              <w:right w:w="108" w:type="dxa"/>
            </w:tcMar>
            <w:vAlign w:val="center"/>
          </w:tcPr>
          <w:p w14:paraId="432976F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2.2: Development of technical-professional, digital and managerial skills of professionals in the healthcare system</w:t>
            </w:r>
          </w:p>
        </w:tc>
        <w:tc>
          <w:tcPr>
            <w:tcW w:w="1230" w:type="dxa"/>
            <w:shd w:val="clear" w:color="auto" w:fill="C6EFCE"/>
            <w:tcMar>
              <w:left w:w="108" w:type="dxa"/>
              <w:right w:w="108" w:type="dxa"/>
            </w:tcMar>
            <w:vAlign w:val="center"/>
          </w:tcPr>
          <w:p w14:paraId="28C4B06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666" w:type="dxa"/>
            <w:shd w:val="clear" w:color="auto" w:fill="C6EFCE"/>
            <w:tcMar>
              <w:left w:w="108" w:type="dxa"/>
              <w:right w:w="108" w:type="dxa"/>
            </w:tcMar>
            <w:vAlign w:val="center"/>
          </w:tcPr>
          <w:p w14:paraId="1CAF2EE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Scholarships for specific training in general medical practice are awarded.</w:t>
            </w:r>
          </w:p>
        </w:tc>
      </w:tr>
      <w:tr w:rsidR="0039681A" w:rsidRPr="00647572" w14:paraId="4DAFDA98" w14:textId="77777777">
        <w:trPr>
          <w:trHeight w:val="300"/>
        </w:trPr>
        <w:tc>
          <w:tcPr>
            <w:tcW w:w="1290" w:type="dxa"/>
            <w:shd w:val="clear" w:color="auto" w:fill="C6EFCE"/>
            <w:tcMar>
              <w:left w:w="108" w:type="dxa"/>
              <w:right w:w="108" w:type="dxa"/>
            </w:tcMar>
            <w:vAlign w:val="center"/>
          </w:tcPr>
          <w:p w14:paraId="1CE4C264"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3171" w:type="dxa"/>
            <w:shd w:val="clear" w:color="auto" w:fill="C6EFCE"/>
            <w:tcMar>
              <w:left w:w="108" w:type="dxa"/>
              <w:right w:w="108" w:type="dxa"/>
            </w:tcMar>
            <w:vAlign w:val="center"/>
          </w:tcPr>
          <w:p w14:paraId="0F02290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30" w:type="dxa"/>
            <w:shd w:val="clear" w:color="auto" w:fill="C6EFCE"/>
            <w:tcMar>
              <w:left w:w="108" w:type="dxa"/>
              <w:right w:w="108" w:type="dxa"/>
            </w:tcMar>
            <w:vAlign w:val="center"/>
          </w:tcPr>
          <w:p w14:paraId="60EDD6CD"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666" w:type="dxa"/>
            <w:shd w:val="clear" w:color="auto" w:fill="C6EFCE"/>
            <w:tcMar>
              <w:left w:w="108" w:type="dxa"/>
              <w:right w:w="108" w:type="dxa"/>
            </w:tcMar>
            <w:vAlign w:val="center"/>
          </w:tcPr>
          <w:p w14:paraId="1F5652B6"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16</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611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453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220</w:t>
            </w:r>
          </w:p>
        </w:tc>
      </w:tr>
    </w:tbl>
    <w:p w14:paraId="6E61E82F" w14:textId="77777777" w:rsidR="0039681A" w:rsidRPr="005D46BA" w:rsidRDefault="0039681A" w:rsidP="00351087">
      <w:pPr>
        <w:spacing w:before="120" w:after="120" w:line="240" w:lineRule="auto"/>
        <w:jc w:val="both"/>
        <w:rPr>
          <w:rFonts w:ascii="Times New Roman" w:eastAsia="Times New Roman" w:hAnsi="Times New Roman" w:cs="Times New Roman"/>
          <w:noProof/>
          <w:sz w:val="2"/>
          <w:szCs w:val="2"/>
          <w:lang w:eastAsia="en-GB"/>
        </w:rPr>
      </w:pPr>
      <w:r w:rsidRPr="00647572">
        <w:rPr>
          <w:rFonts w:ascii="Times New Roman" w:eastAsia="Times New Roman" w:hAnsi="Times New Roman" w:cs="Times New Roman"/>
          <w:noProof/>
          <w:lang w:eastAsia="en-GB"/>
        </w:rPr>
        <w:t xml:space="preserve"> </w:t>
      </w:r>
    </w:p>
    <w:p w14:paraId="3D1553A7" w14:textId="77777777" w:rsidR="0039681A" w:rsidRPr="00647572" w:rsidRDefault="0039681A" w:rsidP="0039681A">
      <w:pPr>
        <w:pStyle w:val="Heading3"/>
        <w:numPr>
          <w:ilvl w:val="1"/>
          <w:numId w:val="16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Fifth Instalment (loan support):</w:t>
      </w:r>
    </w:p>
    <w:tbl>
      <w:tblPr>
        <w:tblW w:w="9358" w:type="dxa"/>
        <w:tblInd w:w="120" w:type="dxa"/>
        <w:tblLayout w:type="fixed"/>
        <w:tblLook w:val="04A0" w:firstRow="1" w:lastRow="0" w:firstColumn="1" w:lastColumn="0" w:noHBand="0" w:noVBand="1"/>
      </w:tblPr>
      <w:tblGrid>
        <w:gridCol w:w="1320"/>
        <w:gridCol w:w="2770"/>
        <w:gridCol w:w="1200"/>
        <w:gridCol w:w="4068"/>
      </w:tblGrid>
      <w:tr w:rsidR="0039681A" w:rsidRPr="00647572" w14:paraId="7B10540C" w14:textId="77777777">
        <w:trPr>
          <w:trHeight w:val="900"/>
          <w:tblHeader/>
        </w:trPr>
        <w:tc>
          <w:tcPr>
            <w:tcW w:w="132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7636FBD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277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36676C13"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38A9E52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4068" w:type="dxa"/>
            <w:vMerge w:val="restart"/>
            <w:tcBorders>
              <w:top w:val="single" w:sz="4" w:space="0" w:color="auto"/>
              <w:left w:val="single" w:sz="4" w:space="0" w:color="auto"/>
              <w:bottom w:val="single" w:sz="4" w:space="0" w:color="auto"/>
              <w:right w:val="single" w:sz="4" w:space="0" w:color="auto"/>
            </w:tcBorders>
            <w:shd w:val="clear" w:color="auto" w:fill="BDD7EE"/>
            <w:tcMar>
              <w:left w:w="108" w:type="dxa"/>
              <w:right w:w="108" w:type="dxa"/>
            </w:tcMar>
            <w:vAlign w:val="center"/>
          </w:tcPr>
          <w:p w14:paraId="68C8D13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35BCAEA7" w14:textId="77777777">
        <w:trPr>
          <w:trHeight w:val="510"/>
        </w:trPr>
        <w:tc>
          <w:tcPr>
            <w:tcW w:w="1320" w:type="dxa"/>
            <w:vMerge/>
            <w:tcBorders>
              <w:top w:val="single" w:sz="4" w:space="0" w:color="auto"/>
              <w:left w:val="single" w:sz="4" w:space="0" w:color="auto"/>
              <w:bottom w:val="single" w:sz="4" w:space="0" w:color="auto"/>
              <w:right w:val="single" w:sz="4" w:space="0" w:color="auto"/>
            </w:tcBorders>
            <w:vAlign w:val="center"/>
          </w:tcPr>
          <w:p w14:paraId="3C753B5C"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2770" w:type="dxa"/>
            <w:vMerge/>
            <w:tcBorders>
              <w:top w:val="single" w:sz="4" w:space="0" w:color="auto"/>
              <w:left w:val="single" w:sz="4" w:space="0" w:color="auto"/>
              <w:bottom w:val="single" w:sz="4" w:space="0" w:color="auto"/>
              <w:right w:val="single" w:sz="4" w:space="0" w:color="auto"/>
            </w:tcBorders>
            <w:vAlign w:val="center"/>
          </w:tcPr>
          <w:p w14:paraId="7872FA95"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200" w:type="dxa"/>
            <w:vMerge/>
            <w:tcBorders>
              <w:top w:val="single" w:sz="4" w:space="0" w:color="auto"/>
              <w:left w:val="single" w:sz="4" w:space="0" w:color="auto"/>
              <w:bottom w:val="single" w:sz="4" w:space="0" w:color="auto"/>
              <w:right w:val="single" w:sz="4" w:space="0" w:color="auto"/>
            </w:tcBorders>
            <w:vAlign w:val="center"/>
          </w:tcPr>
          <w:p w14:paraId="6E040EE0"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4068" w:type="dxa"/>
            <w:vMerge/>
            <w:tcBorders>
              <w:top w:val="single" w:sz="4" w:space="0" w:color="auto"/>
              <w:left w:val="single" w:sz="4" w:space="0" w:color="auto"/>
              <w:bottom w:val="single" w:sz="4" w:space="0" w:color="auto"/>
              <w:right w:val="single" w:sz="4" w:space="0" w:color="auto"/>
            </w:tcBorders>
            <w:vAlign w:val="center"/>
          </w:tcPr>
          <w:p w14:paraId="2CBBA52E"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6800E3B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85077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7B84E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1.1: Construction of new schools through building replacement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A60EE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97436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Award of all public contracts for the construction of new schools through building replacement to upgrade energy in school buildings, following a public tendering procedure </w:t>
            </w:r>
          </w:p>
        </w:tc>
      </w:tr>
      <w:tr w:rsidR="0039681A" w:rsidRPr="0070054C" w14:paraId="7A603980"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2D9B0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1A165C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4.1. Investments in primary water infrastructures for the security of water supply</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7CAAEB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9E063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Award of funding to all projects (for investments in primary water infrastructure and for the security of water supply </w:t>
            </w:r>
          </w:p>
        </w:tc>
      </w:tr>
      <w:tr w:rsidR="0039681A" w:rsidRPr="0070054C" w14:paraId="244238B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8ACA1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M2C4-30</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772E5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 Reduction of losses in water distribution networks, including digitization and monitoring of networks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3AA27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7792A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funding to all projects for interventions in water distribution networks, including digitization and monitoring of networks</w:t>
            </w:r>
          </w:p>
        </w:tc>
      </w:tr>
      <w:tr w:rsidR="0039681A" w:rsidRPr="0070054C" w14:paraId="7DFE61AD"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8747E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DD7CC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1.6.5: Digitization of the Council of State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0973D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8AD5E1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Council of State - Court documents available for analysis in data warehouse T1</w:t>
            </w:r>
          </w:p>
        </w:tc>
      </w:tr>
      <w:tr w:rsidR="0039681A" w:rsidRPr="0070054C" w14:paraId="59292AD8"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F6303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9A3BBD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1.6.5: Digitization of the Council of State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96AF4F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45506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Council of State - Court documents available for analysis in data warehouse T2</w:t>
            </w:r>
          </w:p>
        </w:tc>
      </w:tr>
      <w:tr w:rsidR="0039681A" w:rsidRPr="0070054C" w14:paraId="03C23CB7"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5D949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1AECF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1.4.3 - Adoption scale up of PagoPA platform services and the “IO” app</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02178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4D4E5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scale up of PagoPA platform services T1</w:t>
            </w:r>
          </w:p>
        </w:tc>
      </w:tr>
      <w:tr w:rsidR="0039681A" w:rsidRPr="0070054C" w14:paraId="56A5FED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9FF07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D85FE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1.4.3 - Adoption scale up of PagoPA platform services and the “IO” app</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E482A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7760B8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scale up of “IO” app T1</w:t>
            </w:r>
          </w:p>
        </w:tc>
      </w:tr>
      <w:tr w:rsidR="0039681A" w:rsidRPr="0070054C" w14:paraId="1918EFD5"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2F013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4E2C7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1.4.5 - Digitization of public notices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0BAAE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7A7BD6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scale up of digital public notices T1</w:t>
            </w:r>
          </w:p>
        </w:tc>
      </w:tr>
      <w:tr w:rsidR="0039681A" w:rsidRPr="0070054C" w14:paraId="296A4BF2"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B57DB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M1C1-129</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A3DBC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1.6.1 - Digitization of the Ministry of the Interior</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33FB8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B460CE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Ministry of the Interior - Fully re-engineered and digitized processes T1</w:t>
            </w:r>
          </w:p>
        </w:tc>
      </w:tr>
      <w:tr w:rsidR="0039681A" w:rsidRPr="00647572" w14:paraId="2AB5176E"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F03BB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M1C1-130</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2F82D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1.6.2 - Digitization of the Ministry of Justice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BA73B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4F589D3"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Digitized judicial files T1</w:t>
            </w:r>
          </w:p>
        </w:tc>
      </w:tr>
      <w:tr w:rsidR="0039681A" w:rsidRPr="0070054C" w14:paraId="212D8D5A"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509E2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M1C1-131</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FCFBA5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1.6.2 - Digitization of the Ministry of Justice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F2CB80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9DE38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Justice Data Lake knowledge systems T1</w:t>
            </w:r>
          </w:p>
        </w:tc>
      </w:tr>
      <w:tr w:rsidR="0039681A" w:rsidRPr="0070054C" w14:paraId="7638E845"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94861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M1C1-132</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E9283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1.6.3 - Digitization of National Social Security Institute (INPS) and National Institute for Insurance against Accidents at work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B9826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CC85E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INPS - “One click by design” services/contents T2</w:t>
            </w:r>
          </w:p>
        </w:tc>
      </w:tr>
      <w:tr w:rsidR="0039681A" w:rsidRPr="0070054C" w14:paraId="321ECC7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0338F9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M1C1-133</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1926E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1.6.3 - Digitization of National Social Security Institute (INPS) and National Institute for Insurance against Accidents at work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0F6D7A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BBA7B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INPS - Employees with improved Information and Communication Technologies (ICT) skills T2</w:t>
            </w:r>
          </w:p>
        </w:tc>
      </w:tr>
      <w:tr w:rsidR="0039681A" w:rsidRPr="0070054C" w14:paraId="5075EB21"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2978E2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36727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1.6.3 - Digitization of National Social Security Institute (INPS) and National Institute for Insurance against Accidents at work (INAIL)</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D1634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DB130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INAIL - Fully re-engineered and digitized processes/services T1</w:t>
            </w:r>
          </w:p>
        </w:tc>
      </w:tr>
      <w:tr w:rsidR="0039681A" w:rsidRPr="0070054C" w14:paraId="1E70D297"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CA26E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4445F6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0D2F0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AD1673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Ministry of Defence - Digitalisation of procedures T1</w:t>
            </w:r>
          </w:p>
        </w:tc>
      </w:tr>
      <w:tr w:rsidR="0039681A" w:rsidRPr="0070054C" w14:paraId="79B9958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4BB42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4A6EE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A8DFCC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427E64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Ministry of Defence - Digitalisation of certificates T1</w:t>
            </w:r>
          </w:p>
        </w:tc>
      </w:tr>
      <w:tr w:rsidR="0039681A" w:rsidRPr="0070054C" w14:paraId="0A4C6DEA"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AAE35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9E0658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0A405F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84F23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Ministry of Defence - Commissioning of institutional web portals and intranet portals</w:t>
            </w:r>
          </w:p>
        </w:tc>
      </w:tr>
      <w:tr w:rsidR="0039681A" w:rsidRPr="00647572" w14:paraId="3E30F31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121664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95C809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BDE47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BF196BF" w14:textId="77777777" w:rsidR="0039681A" w:rsidRPr="00647572" w:rsidRDefault="0039681A">
            <w:pPr>
              <w:spacing w:after="0" w:line="240" w:lineRule="auto"/>
              <w:rPr>
                <w:rFonts w:ascii="Times New Roman" w:eastAsia="Times New Roman" w:hAnsi="Times New Roman" w:cs="Times New Roman"/>
                <w:noProof/>
                <w:lang w:eastAsia="en-GB"/>
              </w:rPr>
            </w:pPr>
            <w:r w:rsidRPr="00A36E36">
              <w:rPr>
                <w:rFonts w:ascii="Times New Roman" w:eastAsia="Times New Roman" w:hAnsi="Times New Roman" w:cs="Times New Roman"/>
                <w:noProof/>
                <w:color w:val="006100"/>
                <w:sz w:val="20"/>
                <w:szCs w:val="20"/>
                <w:lang w:val="en-IE" w:eastAsia="en-GB"/>
              </w:rPr>
              <w:t xml:space="preserve">Ministry of Defence - Migration of non-mission critical applications into Solution for Complete Information Protection by Infrastructure Openness (S.C.I.P.I.O.) </w:t>
            </w:r>
            <w:r w:rsidRPr="00647572">
              <w:rPr>
                <w:rFonts w:ascii="Times New Roman" w:eastAsia="Times New Roman" w:hAnsi="Times New Roman" w:cs="Times New Roman"/>
                <w:noProof/>
                <w:color w:val="006100"/>
                <w:sz w:val="20"/>
                <w:szCs w:val="20"/>
                <w:lang w:eastAsia="en-GB"/>
              </w:rPr>
              <w:t>T1</w:t>
            </w:r>
          </w:p>
        </w:tc>
      </w:tr>
      <w:tr w:rsidR="0039681A" w:rsidRPr="00647572" w14:paraId="783FE1A0"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6EB24D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M1C2-29</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F1BB6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5.2: Competitiveness and resilience of supply chains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5B024B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17DF580"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Development Contracts approved</w:t>
            </w:r>
          </w:p>
        </w:tc>
      </w:tr>
      <w:tr w:rsidR="0039681A" w:rsidRPr="0070054C" w14:paraId="43EBFA22"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5BFA4D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M2C1-15bis</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422E321" w14:textId="5D5C3D02"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1.2 National Program for Waste Management:</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Investment 1.1 - Implementation of new waste management plants and modernization of existing plants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7056D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5C00E2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irregular landfills (T2)</w:t>
            </w:r>
          </w:p>
        </w:tc>
      </w:tr>
      <w:tr w:rsidR="0039681A" w:rsidRPr="0070054C" w14:paraId="0C1E6F45"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E7CFE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M2C1-15ter</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E1EC94D" w14:textId="4BC8C1EF"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1.2 National Program for Waste Management:</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Investment 1.1 - Implementation of new waste management plants and modernization of existing plants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E1D4B4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DE3830"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Regional differences in separate collection</w:t>
            </w:r>
          </w:p>
        </w:tc>
      </w:tr>
      <w:tr w:rsidR="0039681A" w:rsidRPr="0070054C" w14:paraId="2E32AA23"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9F57DA"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M2C1-15 quater</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F9F90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 Implementation of new waste management plants and modernization of existing plants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D22E5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B47D7E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Bio-waste separate collection obligation</w:t>
            </w:r>
          </w:p>
        </w:tc>
      </w:tr>
      <w:tr w:rsidR="0039681A" w:rsidRPr="0070054C" w14:paraId="0471D56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B5C5C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0720F1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Development of Rapid Mass Transport systems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B968A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F0A83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w:t>
            </w:r>
            <w:r w:rsidRPr="00A36E36">
              <w:rPr>
                <w:rFonts w:ascii="Times New Roman" w:eastAsia="Times New Roman" w:hAnsi="Times New Roman" w:cs="Times New Roman"/>
                <w:noProof/>
                <w:color w:val="0000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all public contracts for the build-up of metros, tramways, trolleybus and cableway metropolitan areas</w:t>
            </w:r>
          </w:p>
        </w:tc>
      </w:tr>
      <w:tr w:rsidR="0039681A" w:rsidRPr="0070054C" w14:paraId="68741C52"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E152D6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M2C2-32</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7AD55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4.4.1: Strengthening of the regional public transport bus fleet with zero-emission buses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C56D15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AA61B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strengthening of the regional public transport bus fleet with zero-emission low-floor buses</w:t>
            </w:r>
          </w:p>
        </w:tc>
      </w:tr>
      <w:tr w:rsidR="0039681A" w:rsidRPr="0070054C" w14:paraId="782A6EDF"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96F6A6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50D6F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Construction of buildings, requalification and strengthening of real estate assets of the administration of justice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549A4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2AE6A2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to construct new buildings, requalify and strengthen real estate assets of the administration of justice are signed by the contracting authority following a public tendering procedure</w:t>
            </w:r>
          </w:p>
        </w:tc>
      </w:tr>
      <w:tr w:rsidR="0039681A" w:rsidRPr="0070054C" w14:paraId="30617E33"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EC4DA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M2C4-33</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A6BE08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Investments in the resilience of the irrigation agrosystem for better management of water resources</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9255B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F02FA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funding to all projects for the resilience of the irrigation agrosystem for the better management of water resources</w:t>
            </w:r>
          </w:p>
        </w:tc>
      </w:tr>
      <w:tr w:rsidR="0039681A" w:rsidRPr="0070054C" w14:paraId="59B5800C"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733448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M2C4-36</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D85B8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 Investments in sewerage and purification</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B3D747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FA9A1E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sewerage and purification</w:t>
            </w:r>
          </w:p>
        </w:tc>
      </w:tr>
      <w:tr w:rsidR="0039681A" w:rsidRPr="0070054C" w14:paraId="37568E6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2FE37E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M3C1-4</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DB2A5A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 High-speed railway connections to the South for passengers and freight</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8AD01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5EC27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contract to build high-speed railway in the lines Salerno Reggio Calabria</w:t>
            </w:r>
          </w:p>
        </w:tc>
      </w:tr>
      <w:tr w:rsidR="0039681A" w:rsidRPr="0070054C" w14:paraId="65979B24"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EA2743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M3C1-17</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951378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 Upgrading, electrification and resilience of railways in the South</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CCE05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C6FAF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150 km of works completed related to the upgrading, electrification and resilience of railways in the South, ready for the authorisation and operational phases.</w:t>
            </w:r>
          </w:p>
        </w:tc>
      </w:tr>
      <w:tr w:rsidR="0039681A" w:rsidRPr="0070054C" w14:paraId="21ED7486"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427AF1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M4C2-5</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175A8C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1.1: Research Projects of Significant National Interest (PRIN)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D7B6F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392630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research projects awarded </w:t>
            </w:r>
          </w:p>
        </w:tc>
      </w:tr>
      <w:tr w:rsidR="0039681A" w:rsidRPr="0070054C" w14:paraId="04B88D1B"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9BEF4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M6C1-8</w:t>
            </w: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236D6D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Home as the first place of care and telemedicine</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CDCAAB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88F18D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At least one telemedicine project assigned to each region (considering both projects that will be implemented in the individual region and those that may be developed as part of consortia among regions)</w:t>
            </w:r>
          </w:p>
        </w:tc>
      </w:tr>
      <w:tr w:rsidR="0039681A" w:rsidRPr="00647572" w14:paraId="00DC6A05" w14:textId="77777777">
        <w:trPr>
          <w:trHeight w:val="300"/>
        </w:trPr>
        <w:tc>
          <w:tcPr>
            <w:tcW w:w="132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0A0399"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277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638E6A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0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F5D8AF"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4068"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5866BA5" w14:textId="6BF5CD60"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w:t>
            </w:r>
            <w:r w:rsidR="00381DB1">
              <w:rPr>
                <w:rFonts w:ascii="Times New Roman" w:eastAsia="Times New Roman" w:hAnsi="Times New Roman" w:cs="Times New Roman"/>
                <w:noProof/>
                <w:color w:val="006100"/>
                <w:sz w:val="20"/>
                <w:szCs w:val="20"/>
                <w:lang w:eastAsia="en-GB"/>
              </w:rPr>
              <w:t xml:space="preserve"> </w:t>
            </w:r>
            <w:r w:rsidRPr="00647572">
              <w:rPr>
                <w:rFonts w:ascii="Times New Roman" w:eastAsia="Times New Roman" w:hAnsi="Times New Roman" w:cs="Times New Roman"/>
                <w:noProof/>
                <w:color w:val="006100"/>
                <w:sz w:val="20"/>
                <w:szCs w:val="20"/>
                <w:lang w:eastAsia="en-GB"/>
              </w:rPr>
              <w:t>9</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030</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593</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086</w:t>
            </w:r>
          </w:p>
        </w:tc>
      </w:tr>
    </w:tbl>
    <w:p w14:paraId="22DBE376" w14:textId="77777777" w:rsidR="0039681A" w:rsidRPr="00647572" w:rsidRDefault="0039681A" w:rsidP="00351087">
      <w:pPr>
        <w:spacing w:after="0"/>
        <w:ind w:left="850"/>
        <w:contextualSpacing/>
        <w:jc w:val="both"/>
        <w:rPr>
          <w:rFonts w:ascii="Times New Roman" w:eastAsia="Times New Roman" w:hAnsi="Times New Roman" w:cs="Times New Roman"/>
          <w:noProof/>
          <w:lang w:eastAsia="en-GB"/>
        </w:rPr>
      </w:pPr>
    </w:p>
    <w:p w14:paraId="68B1EEB2" w14:textId="77777777" w:rsidR="0039681A" w:rsidRPr="00647572" w:rsidRDefault="0039681A" w:rsidP="0039681A">
      <w:pPr>
        <w:pStyle w:val="Heading3"/>
        <w:numPr>
          <w:ilvl w:val="1"/>
          <w:numId w:val="16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Sixth Instalment (loan support):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4209"/>
        <w:gridCol w:w="1110"/>
        <w:gridCol w:w="2884"/>
      </w:tblGrid>
      <w:tr w:rsidR="0039681A" w:rsidRPr="00647572" w14:paraId="4C6172EC" w14:textId="77777777">
        <w:trPr>
          <w:trHeight w:val="900"/>
          <w:tblHeader/>
        </w:trPr>
        <w:tc>
          <w:tcPr>
            <w:tcW w:w="1155" w:type="dxa"/>
            <w:vMerge w:val="restart"/>
            <w:shd w:val="clear" w:color="auto" w:fill="BDD7EE"/>
            <w:tcMar>
              <w:left w:w="108" w:type="dxa"/>
              <w:right w:w="108" w:type="dxa"/>
            </w:tcMar>
            <w:vAlign w:val="center"/>
          </w:tcPr>
          <w:p w14:paraId="0D1F1D4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4209" w:type="dxa"/>
            <w:vMerge w:val="restart"/>
            <w:shd w:val="clear" w:color="auto" w:fill="BDD7EE"/>
            <w:tcMar>
              <w:left w:w="108" w:type="dxa"/>
              <w:right w:w="108" w:type="dxa"/>
            </w:tcMar>
            <w:vAlign w:val="center"/>
          </w:tcPr>
          <w:p w14:paraId="7DB349FD"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110" w:type="dxa"/>
            <w:vMerge w:val="restart"/>
            <w:shd w:val="clear" w:color="auto" w:fill="BDD7EE"/>
            <w:tcMar>
              <w:left w:w="108" w:type="dxa"/>
              <w:right w:w="108" w:type="dxa"/>
            </w:tcMar>
            <w:vAlign w:val="center"/>
          </w:tcPr>
          <w:p w14:paraId="622A724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2884" w:type="dxa"/>
            <w:vMerge w:val="restart"/>
            <w:shd w:val="clear" w:color="auto" w:fill="BDD7EE"/>
            <w:tcMar>
              <w:left w:w="108" w:type="dxa"/>
              <w:right w:w="108" w:type="dxa"/>
            </w:tcMar>
            <w:vAlign w:val="center"/>
          </w:tcPr>
          <w:p w14:paraId="116E37D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7EDC5CB5" w14:textId="77777777">
        <w:trPr>
          <w:trHeight w:val="510"/>
        </w:trPr>
        <w:tc>
          <w:tcPr>
            <w:tcW w:w="1155" w:type="dxa"/>
            <w:vMerge/>
            <w:vAlign w:val="center"/>
          </w:tcPr>
          <w:p w14:paraId="5182A193"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4209" w:type="dxa"/>
            <w:vMerge/>
            <w:vAlign w:val="center"/>
          </w:tcPr>
          <w:p w14:paraId="1B7D5614"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110" w:type="dxa"/>
            <w:vMerge/>
            <w:vAlign w:val="center"/>
          </w:tcPr>
          <w:p w14:paraId="325BF04B"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2884" w:type="dxa"/>
            <w:vMerge/>
            <w:vAlign w:val="center"/>
          </w:tcPr>
          <w:p w14:paraId="0C1E3B7A"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6C0021DB" w14:textId="77777777">
        <w:trPr>
          <w:trHeight w:val="300"/>
        </w:trPr>
        <w:tc>
          <w:tcPr>
            <w:tcW w:w="1155" w:type="dxa"/>
            <w:shd w:val="clear" w:color="auto" w:fill="C6EFCE"/>
            <w:tcMar>
              <w:left w:w="108" w:type="dxa"/>
              <w:right w:w="108" w:type="dxa"/>
            </w:tcMar>
            <w:vAlign w:val="center"/>
          </w:tcPr>
          <w:p w14:paraId="66DD7E1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M3C1-10</w:t>
            </w:r>
          </w:p>
        </w:tc>
        <w:tc>
          <w:tcPr>
            <w:tcW w:w="4209" w:type="dxa"/>
            <w:shd w:val="clear" w:color="auto" w:fill="C6EFCE"/>
            <w:tcMar>
              <w:left w:w="108" w:type="dxa"/>
              <w:right w:w="108" w:type="dxa"/>
            </w:tcMar>
            <w:vAlign w:val="center"/>
          </w:tcPr>
          <w:p w14:paraId="5A3B3FC0"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1.3 - Diagonal connections</w:t>
            </w:r>
          </w:p>
        </w:tc>
        <w:tc>
          <w:tcPr>
            <w:tcW w:w="1110" w:type="dxa"/>
            <w:shd w:val="clear" w:color="auto" w:fill="C6EFCE"/>
            <w:tcMar>
              <w:left w:w="108" w:type="dxa"/>
              <w:right w:w="108" w:type="dxa"/>
            </w:tcMar>
            <w:vAlign w:val="center"/>
          </w:tcPr>
          <w:p w14:paraId="2E098B3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3F2E3DA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the contract (s) to build the connections in the lines Orte-Falconara and Taranto -Metaponto-Potenza-Battipaglia</w:t>
            </w:r>
          </w:p>
        </w:tc>
      </w:tr>
      <w:tr w:rsidR="0039681A" w:rsidRPr="0070054C" w14:paraId="45DB7B27" w14:textId="77777777">
        <w:trPr>
          <w:trHeight w:val="300"/>
        </w:trPr>
        <w:tc>
          <w:tcPr>
            <w:tcW w:w="1155" w:type="dxa"/>
            <w:shd w:val="clear" w:color="auto" w:fill="C6EFCE"/>
            <w:tcMar>
              <w:left w:w="108" w:type="dxa"/>
              <w:right w:w="108" w:type="dxa"/>
            </w:tcMar>
            <w:vAlign w:val="center"/>
          </w:tcPr>
          <w:p w14:paraId="5C1FC7D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M7-35</w:t>
            </w:r>
          </w:p>
        </w:tc>
        <w:tc>
          <w:tcPr>
            <w:tcW w:w="4209" w:type="dxa"/>
            <w:shd w:val="clear" w:color="auto" w:fill="C6EFCE"/>
            <w:tcMar>
              <w:left w:w="108" w:type="dxa"/>
              <w:right w:w="108" w:type="dxa"/>
            </w:tcMar>
            <w:vAlign w:val="center"/>
          </w:tcPr>
          <w:p w14:paraId="4A436C7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Adriatic Line Phase 1 (Sulmona compressor station and Sestino-Minerbio gas pipeline)</w:t>
            </w:r>
          </w:p>
        </w:tc>
        <w:tc>
          <w:tcPr>
            <w:tcW w:w="1110" w:type="dxa"/>
            <w:shd w:val="clear" w:color="auto" w:fill="C6EFCE"/>
            <w:tcMar>
              <w:left w:w="108" w:type="dxa"/>
              <w:right w:w="108" w:type="dxa"/>
            </w:tcMar>
            <w:vAlign w:val="center"/>
          </w:tcPr>
          <w:p w14:paraId="17A5ACE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49E734A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and update of relevant environmental impact assessments (VIncA)</w:t>
            </w:r>
          </w:p>
        </w:tc>
      </w:tr>
      <w:tr w:rsidR="0039681A" w:rsidRPr="0070054C" w14:paraId="216A7BF4" w14:textId="77777777">
        <w:trPr>
          <w:trHeight w:val="300"/>
        </w:trPr>
        <w:tc>
          <w:tcPr>
            <w:tcW w:w="1155" w:type="dxa"/>
            <w:shd w:val="clear" w:color="auto" w:fill="C6EFCE"/>
            <w:tcMar>
              <w:left w:w="108" w:type="dxa"/>
              <w:right w:w="108" w:type="dxa"/>
            </w:tcMar>
            <w:vAlign w:val="center"/>
          </w:tcPr>
          <w:p w14:paraId="10105F8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M7-40</w:t>
            </w:r>
          </w:p>
        </w:tc>
        <w:tc>
          <w:tcPr>
            <w:tcW w:w="4209" w:type="dxa"/>
            <w:shd w:val="clear" w:color="auto" w:fill="C6EFCE"/>
            <w:tcMar>
              <w:left w:w="108" w:type="dxa"/>
              <w:right w:w="108" w:type="dxa"/>
            </w:tcMar>
            <w:vAlign w:val="center"/>
          </w:tcPr>
          <w:p w14:paraId="5F2CDDFC"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Investment 15: Transizione 5.0 </w:t>
            </w:r>
          </w:p>
        </w:tc>
        <w:tc>
          <w:tcPr>
            <w:tcW w:w="1110" w:type="dxa"/>
            <w:shd w:val="clear" w:color="auto" w:fill="C6EFCE"/>
            <w:tcMar>
              <w:left w:w="108" w:type="dxa"/>
              <w:right w:w="108" w:type="dxa"/>
            </w:tcMar>
            <w:vAlign w:val="center"/>
          </w:tcPr>
          <w:p w14:paraId="574CEBA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3CF86C9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Entry into force of the legal act establishing the criteria of eligible interventions</w:t>
            </w:r>
          </w:p>
        </w:tc>
      </w:tr>
      <w:tr w:rsidR="0039681A" w:rsidRPr="0070054C" w14:paraId="5120E925" w14:textId="77777777">
        <w:trPr>
          <w:trHeight w:val="300"/>
        </w:trPr>
        <w:tc>
          <w:tcPr>
            <w:tcW w:w="1155" w:type="dxa"/>
            <w:shd w:val="clear" w:color="auto" w:fill="C6EFCE"/>
            <w:tcMar>
              <w:left w:w="108" w:type="dxa"/>
              <w:right w:w="108" w:type="dxa"/>
            </w:tcMar>
            <w:vAlign w:val="center"/>
          </w:tcPr>
          <w:p w14:paraId="0D2201B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M2C1-15</w:t>
            </w:r>
          </w:p>
        </w:tc>
        <w:tc>
          <w:tcPr>
            <w:tcW w:w="4209" w:type="dxa"/>
            <w:shd w:val="clear" w:color="auto" w:fill="C6EFCE"/>
            <w:tcMar>
              <w:left w:w="108" w:type="dxa"/>
              <w:right w:w="108" w:type="dxa"/>
            </w:tcMar>
            <w:vAlign w:val="center"/>
          </w:tcPr>
          <w:p w14:paraId="6CA91E5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1.2 National Program for Waste Management</w:t>
            </w:r>
          </w:p>
        </w:tc>
        <w:tc>
          <w:tcPr>
            <w:tcW w:w="1110" w:type="dxa"/>
            <w:shd w:val="clear" w:color="auto" w:fill="C6EFCE"/>
            <w:tcMar>
              <w:left w:w="108" w:type="dxa"/>
              <w:right w:w="108" w:type="dxa"/>
            </w:tcMar>
            <w:vAlign w:val="center"/>
          </w:tcPr>
          <w:p w14:paraId="2EFE3E1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884" w:type="dxa"/>
            <w:shd w:val="clear" w:color="auto" w:fill="C6EFCE"/>
            <w:tcMar>
              <w:left w:w="108" w:type="dxa"/>
              <w:right w:w="108" w:type="dxa"/>
            </w:tcMar>
            <w:vAlign w:val="center"/>
          </w:tcPr>
          <w:p w14:paraId="6AA182B9" w14:textId="30FDE031"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irregular landfills (T1)</w:t>
            </w:r>
            <w:r w:rsidR="00381DB1">
              <w:rPr>
                <w:rFonts w:ascii="Times New Roman" w:eastAsia="Times New Roman" w:hAnsi="Times New Roman" w:cs="Times New Roman"/>
                <w:noProof/>
                <w:color w:val="006100"/>
                <w:sz w:val="20"/>
                <w:szCs w:val="20"/>
                <w:lang w:val="en-IE" w:eastAsia="en-GB"/>
              </w:rPr>
              <w:t xml:space="preserve"> </w:t>
            </w:r>
          </w:p>
        </w:tc>
      </w:tr>
      <w:tr w:rsidR="0039681A" w:rsidRPr="00647572" w14:paraId="0742A692" w14:textId="77777777">
        <w:trPr>
          <w:trHeight w:val="300"/>
        </w:trPr>
        <w:tc>
          <w:tcPr>
            <w:tcW w:w="1155" w:type="dxa"/>
            <w:shd w:val="clear" w:color="auto" w:fill="C6EFCE"/>
            <w:tcMar>
              <w:left w:w="108" w:type="dxa"/>
              <w:right w:w="108" w:type="dxa"/>
            </w:tcMar>
            <w:vAlign w:val="center"/>
          </w:tcPr>
          <w:p w14:paraId="769D0688"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M2C1-16bis</w:t>
            </w:r>
          </w:p>
        </w:tc>
        <w:tc>
          <w:tcPr>
            <w:tcW w:w="4209" w:type="dxa"/>
            <w:shd w:val="clear" w:color="auto" w:fill="C6EFCE"/>
            <w:tcMar>
              <w:left w:w="108" w:type="dxa"/>
              <w:right w:w="108" w:type="dxa"/>
            </w:tcMar>
            <w:vAlign w:val="center"/>
          </w:tcPr>
          <w:p w14:paraId="0110844C"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1.2 National Program for Waste Management</w:t>
            </w:r>
          </w:p>
        </w:tc>
        <w:tc>
          <w:tcPr>
            <w:tcW w:w="1110" w:type="dxa"/>
            <w:shd w:val="clear" w:color="auto" w:fill="C6EFCE"/>
            <w:tcMar>
              <w:left w:w="108" w:type="dxa"/>
              <w:right w:w="108" w:type="dxa"/>
            </w:tcMar>
            <w:vAlign w:val="center"/>
          </w:tcPr>
          <w:p w14:paraId="71B018DF"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884" w:type="dxa"/>
            <w:shd w:val="clear" w:color="auto" w:fill="C6EFCE"/>
            <w:tcMar>
              <w:left w:w="108" w:type="dxa"/>
              <w:right w:w="108" w:type="dxa"/>
            </w:tcMar>
            <w:vAlign w:val="center"/>
          </w:tcPr>
          <w:p w14:paraId="0BB704DF"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Irregular landfills</w:t>
            </w:r>
          </w:p>
        </w:tc>
      </w:tr>
      <w:tr w:rsidR="0039681A" w:rsidRPr="00647572" w14:paraId="129569A8" w14:textId="77777777">
        <w:trPr>
          <w:trHeight w:val="300"/>
        </w:trPr>
        <w:tc>
          <w:tcPr>
            <w:tcW w:w="1155" w:type="dxa"/>
            <w:shd w:val="clear" w:color="auto" w:fill="C6EFCE"/>
            <w:tcMar>
              <w:left w:w="108" w:type="dxa"/>
              <w:right w:w="108" w:type="dxa"/>
            </w:tcMar>
            <w:vAlign w:val="center"/>
          </w:tcPr>
          <w:p w14:paraId="22FCF46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M2C1-22</w:t>
            </w:r>
          </w:p>
        </w:tc>
        <w:tc>
          <w:tcPr>
            <w:tcW w:w="4209" w:type="dxa"/>
            <w:shd w:val="clear" w:color="auto" w:fill="C6EFCE"/>
            <w:tcMar>
              <w:left w:w="108" w:type="dxa"/>
              <w:right w:w="108" w:type="dxa"/>
            </w:tcMar>
            <w:vAlign w:val="center"/>
          </w:tcPr>
          <w:p w14:paraId="5D39B4B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Fondo Contratti di Filiera (FCF) to support supply-chains contracts for the agri-food, fishing and aquaculture, forestry, floriculture and plant nursery sectors</w:t>
            </w:r>
          </w:p>
        </w:tc>
        <w:tc>
          <w:tcPr>
            <w:tcW w:w="1110" w:type="dxa"/>
            <w:shd w:val="clear" w:color="auto" w:fill="C6EFCE"/>
            <w:tcMar>
              <w:left w:w="108" w:type="dxa"/>
              <w:right w:w="108" w:type="dxa"/>
            </w:tcMar>
            <w:vAlign w:val="center"/>
          </w:tcPr>
          <w:p w14:paraId="09D6B66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0D1FA8A5"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39681A" w:rsidRPr="0070054C" w14:paraId="66F734C0" w14:textId="77777777">
        <w:trPr>
          <w:trHeight w:val="300"/>
        </w:trPr>
        <w:tc>
          <w:tcPr>
            <w:tcW w:w="1155" w:type="dxa"/>
            <w:shd w:val="clear" w:color="auto" w:fill="C6EFCE"/>
            <w:tcMar>
              <w:left w:w="108" w:type="dxa"/>
              <w:right w:w="108" w:type="dxa"/>
            </w:tcMar>
            <w:vAlign w:val="center"/>
          </w:tcPr>
          <w:p w14:paraId="09030FD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M2C2-31</w:t>
            </w:r>
          </w:p>
        </w:tc>
        <w:tc>
          <w:tcPr>
            <w:tcW w:w="4209" w:type="dxa"/>
            <w:shd w:val="clear" w:color="auto" w:fill="C6EFCE"/>
            <w:tcMar>
              <w:left w:w="108" w:type="dxa"/>
              <w:right w:w="108" w:type="dxa"/>
            </w:tcMar>
            <w:vAlign w:val="center"/>
          </w:tcPr>
          <w:p w14:paraId="5583CC0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4.4.3: Renewal fleet for the National fire brigade command</w:t>
            </w:r>
          </w:p>
        </w:tc>
        <w:tc>
          <w:tcPr>
            <w:tcW w:w="1110" w:type="dxa"/>
            <w:shd w:val="clear" w:color="auto" w:fill="C6EFCE"/>
            <w:tcMar>
              <w:left w:w="108" w:type="dxa"/>
              <w:right w:w="108" w:type="dxa"/>
            </w:tcMar>
            <w:vAlign w:val="center"/>
          </w:tcPr>
          <w:p w14:paraId="3C37EED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48D3231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renewal fleet for the National fire brigade command</w:t>
            </w:r>
          </w:p>
        </w:tc>
      </w:tr>
      <w:tr w:rsidR="0039681A" w:rsidRPr="0070054C" w14:paraId="046F6EC3" w14:textId="77777777">
        <w:trPr>
          <w:trHeight w:val="300"/>
        </w:trPr>
        <w:tc>
          <w:tcPr>
            <w:tcW w:w="1155" w:type="dxa"/>
            <w:shd w:val="clear" w:color="auto" w:fill="C6EFCE"/>
            <w:tcMar>
              <w:left w:w="108" w:type="dxa"/>
              <w:right w:w="108" w:type="dxa"/>
            </w:tcMar>
            <w:vAlign w:val="center"/>
          </w:tcPr>
          <w:p w14:paraId="34AF977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M2C4-6</w:t>
            </w:r>
          </w:p>
        </w:tc>
        <w:tc>
          <w:tcPr>
            <w:tcW w:w="4209" w:type="dxa"/>
            <w:shd w:val="clear" w:color="auto" w:fill="C6EFCE"/>
            <w:tcMar>
              <w:left w:w="108" w:type="dxa"/>
              <w:right w:w="108" w:type="dxa"/>
            </w:tcMar>
            <w:vAlign w:val="center"/>
          </w:tcPr>
          <w:p w14:paraId="4F51C74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Digitization of national parks</w:t>
            </w:r>
          </w:p>
        </w:tc>
        <w:tc>
          <w:tcPr>
            <w:tcW w:w="1110" w:type="dxa"/>
            <w:shd w:val="clear" w:color="auto" w:fill="C6EFCE"/>
            <w:tcMar>
              <w:left w:w="108" w:type="dxa"/>
              <w:right w:w="108" w:type="dxa"/>
            </w:tcMar>
            <w:vAlign w:val="center"/>
          </w:tcPr>
          <w:p w14:paraId="0F55F67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884" w:type="dxa"/>
            <w:shd w:val="clear" w:color="auto" w:fill="C6EFCE"/>
            <w:tcMar>
              <w:left w:w="108" w:type="dxa"/>
              <w:right w:w="108" w:type="dxa"/>
            </w:tcMar>
            <w:vAlign w:val="center"/>
          </w:tcPr>
          <w:p w14:paraId="6FDCCB4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Administrative simplification and development of digital services to visitors to national parks and marine protected areas </w:t>
            </w:r>
          </w:p>
        </w:tc>
      </w:tr>
      <w:tr w:rsidR="0039681A" w:rsidRPr="00647572" w14:paraId="3436E764" w14:textId="77777777">
        <w:trPr>
          <w:trHeight w:val="300"/>
        </w:trPr>
        <w:tc>
          <w:tcPr>
            <w:tcW w:w="1155" w:type="dxa"/>
            <w:shd w:val="clear" w:color="auto" w:fill="C6EFCE"/>
            <w:tcMar>
              <w:left w:w="108" w:type="dxa"/>
              <w:right w:w="108" w:type="dxa"/>
            </w:tcMar>
            <w:vAlign w:val="center"/>
          </w:tcPr>
          <w:p w14:paraId="41F8EE0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M3C2-10</w:t>
            </w:r>
          </w:p>
        </w:tc>
        <w:tc>
          <w:tcPr>
            <w:tcW w:w="4209" w:type="dxa"/>
            <w:shd w:val="clear" w:color="auto" w:fill="C6EFCE"/>
            <w:tcMar>
              <w:left w:w="108" w:type="dxa"/>
              <w:right w:w="108" w:type="dxa"/>
            </w:tcMar>
            <w:vAlign w:val="center"/>
          </w:tcPr>
          <w:p w14:paraId="05CF7AED" w14:textId="72F25ABA"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2.2: Establishment of a National Digital Logistics Platform, in order to introduce the digitalization of freight and/or passenger</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services</w:t>
            </w:r>
          </w:p>
        </w:tc>
        <w:tc>
          <w:tcPr>
            <w:tcW w:w="1110" w:type="dxa"/>
            <w:shd w:val="clear" w:color="auto" w:fill="C6EFCE"/>
            <w:tcMar>
              <w:left w:w="108" w:type="dxa"/>
              <w:right w:w="108" w:type="dxa"/>
            </w:tcMar>
            <w:vAlign w:val="center"/>
          </w:tcPr>
          <w:p w14:paraId="03AB926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681CCED0"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National Digital Logistics Platform </w:t>
            </w:r>
          </w:p>
        </w:tc>
      </w:tr>
      <w:tr w:rsidR="0039681A" w:rsidRPr="0070054C" w14:paraId="04308878" w14:textId="77777777">
        <w:trPr>
          <w:trHeight w:val="300"/>
        </w:trPr>
        <w:tc>
          <w:tcPr>
            <w:tcW w:w="1155" w:type="dxa"/>
            <w:shd w:val="clear" w:color="auto" w:fill="C6EFCE"/>
            <w:tcMar>
              <w:left w:w="108" w:type="dxa"/>
              <w:right w:w="108" w:type="dxa"/>
            </w:tcMar>
            <w:vAlign w:val="center"/>
          </w:tcPr>
          <w:p w14:paraId="3957BB6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M6C2-15</w:t>
            </w:r>
          </w:p>
        </w:tc>
        <w:tc>
          <w:tcPr>
            <w:tcW w:w="4209" w:type="dxa"/>
            <w:shd w:val="clear" w:color="auto" w:fill="C6EFCE"/>
            <w:tcMar>
              <w:left w:w="108" w:type="dxa"/>
              <w:right w:w="108" w:type="dxa"/>
            </w:tcMar>
            <w:vAlign w:val="center"/>
          </w:tcPr>
          <w:p w14:paraId="75BD0A4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2.2: Development of technical-professional, digital and managerial skills of professionals in the healthcare system</w:t>
            </w:r>
          </w:p>
        </w:tc>
        <w:tc>
          <w:tcPr>
            <w:tcW w:w="1110" w:type="dxa"/>
            <w:shd w:val="clear" w:color="auto" w:fill="C6EFCE"/>
            <w:tcMar>
              <w:left w:w="108" w:type="dxa"/>
              <w:right w:w="108" w:type="dxa"/>
            </w:tcMar>
            <w:vAlign w:val="center"/>
          </w:tcPr>
          <w:p w14:paraId="703F1D0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2884" w:type="dxa"/>
            <w:shd w:val="clear" w:color="auto" w:fill="C6EFCE"/>
            <w:tcMar>
              <w:left w:w="108" w:type="dxa"/>
              <w:right w:w="108" w:type="dxa"/>
            </w:tcMar>
            <w:vAlign w:val="center"/>
          </w:tcPr>
          <w:p w14:paraId="404A79D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Additional scholarships for specific training in general medical practice are awarded.</w:t>
            </w:r>
          </w:p>
        </w:tc>
      </w:tr>
      <w:tr w:rsidR="0039681A" w:rsidRPr="00647572" w14:paraId="080BF0FA" w14:textId="77777777">
        <w:trPr>
          <w:trHeight w:val="300"/>
        </w:trPr>
        <w:tc>
          <w:tcPr>
            <w:tcW w:w="1155" w:type="dxa"/>
            <w:shd w:val="clear" w:color="auto" w:fill="C6EFCE"/>
            <w:tcMar>
              <w:left w:w="108" w:type="dxa"/>
              <w:right w:w="108" w:type="dxa"/>
            </w:tcMar>
            <w:vAlign w:val="center"/>
          </w:tcPr>
          <w:p w14:paraId="54F01DE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M7-36</w:t>
            </w:r>
          </w:p>
        </w:tc>
        <w:tc>
          <w:tcPr>
            <w:tcW w:w="4209" w:type="dxa"/>
            <w:shd w:val="clear" w:color="auto" w:fill="C6EFCE"/>
            <w:tcMar>
              <w:left w:w="108" w:type="dxa"/>
              <w:right w:w="108" w:type="dxa"/>
            </w:tcMar>
            <w:vAlign w:val="center"/>
          </w:tcPr>
          <w:p w14:paraId="1AB7737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Adriatic Line Phase 1 (Sulmona compressor station and Sestino-Minerbio gas pipeline)</w:t>
            </w:r>
          </w:p>
        </w:tc>
        <w:tc>
          <w:tcPr>
            <w:tcW w:w="1110" w:type="dxa"/>
            <w:shd w:val="clear" w:color="auto" w:fill="C6EFCE"/>
            <w:tcMar>
              <w:left w:w="108" w:type="dxa"/>
              <w:right w:w="108" w:type="dxa"/>
            </w:tcMar>
            <w:vAlign w:val="center"/>
          </w:tcPr>
          <w:p w14:paraId="0AD4981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18DA4168"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Award of contracts</w:t>
            </w:r>
          </w:p>
        </w:tc>
      </w:tr>
      <w:tr w:rsidR="0039681A" w:rsidRPr="00647572" w14:paraId="4173F7BB" w14:textId="77777777">
        <w:trPr>
          <w:trHeight w:val="300"/>
        </w:trPr>
        <w:tc>
          <w:tcPr>
            <w:tcW w:w="1155" w:type="dxa"/>
            <w:shd w:val="clear" w:color="auto" w:fill="C6EFCE"/>
            <w:tcMar>
              <w:left w:w="108" w:type="dxa"/>
              <w:right w:w="108" w:type="dxa"/>
            </w:tcMar>
            <w:vAlign w:val="center"/>
          </w:tcPr>
          <w:p w14:paraId="4D28512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M7-38</w:t>
            </w:r>
          </w:p>
        </w:tc>
        <w:tc>
          <w:tcPr>
            <w:tcW w:w="4209" w:type="dxa"/>
            <w:shd w:val="clear" w:color="auto" w:fill="C6EFCE"/>
            <w:tcMar>
              <w:left w:w="108" w:type="dxa"/>
              <w:right w:w="108" w:type="dxa"/>
            </w:tcMar>
            <w:vAlign w:val="center"/>
          </w:tcPr>
          <w:p w14:paraId="1EBE3710"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14: Cross-border gas export infrastructure</w:t>
            </w:r>
          </w:p>
        </w:tc>
        <w:tc>
          <w:tcPr>
            <w:tcW w:w="1110" w:type="dxa"/>
            <w:shd w:val="clear" w:color="auto" w:fill="C6EFCE"/>
            <w:tcMar>
              <w:left w:w="108" w:type="dxa"/>
              <w:right w:w="108" w:type="dxa"/>
            </w:tcMar>
            <w:vAlign w:val="center"/>
          </w:tcPr>
          <w:p w14:paraId="025317E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884" w:type="dxa"/>
            <w:shd w:val="clear" w:color="auto" w:fill="C6EFCE"/>
            <w:tcMar>
              <w:left w:w="108" w:type="dxa"/>
              <w:right w:w="108" w:type="dxa"/>
            </w:tcMar>
            <w:vAlign w:val="center"/>
          </w:tcPr>
          <w:p w14:paraId="48C82659"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Award of contracts</w:t>
            </w:r>
          </w:p>
        </w:tc>
      </w:tr>
      <w:tr w:rsidR="0039681A" w:rsidRPr="00647572" w14:paraId="32D66011" w14:textId="77777777">
        <w:trPr>
          <w:trHeight w:val="300"/>
        </w:trPr>
        <w:tc>
          <w:tcPr>
            <w:tcW w:w="1155" w:type="dxa"/>
            <w:shd w:val="clear" w:color="auto" w:fill="C6EFCE"/>
            <w:tcMar>
              <w:left w:w="108" w:type="dxa"/>
              <w:right w:w="108" w:type="dxa"/>
            </w:tcMar>
            <w:vAlign w:val="center"/>
          </w:tcPr>
          <w:p w14:paraId="18F391C9"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4209" w:type="dxa"/>
            <w:shd w:val="clear" w:color="auto" w:fill="C6EFCE"/>
            <w:tcMar>
              <w:left w:w="108" w:type="dxa"/>
              <w:right w:w="108" w:type="dxa"/>
            </w:tcMar>
            <w:vAlign w:val="center"/>
          </w:tcPr>
          <w:p w14:paraId="532C7F1F"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 </w:t>
            </w:r>
          </w:p>
        </w:tc>
        <w:tc>
          <w:tcPr>
            <w:tcW w:w="1110" w:type="dxa"/>
            <w:shd w:val="clear" w:color="auto" w:fill="C6EFCE"/>
            <w:tcMar>
              <w:left w:w="108" w:type="dxa"/>
              <w:right w:w="108" w:type="dxa"/>
            </w:tcMar>
            <w:vAlign w:val="center"/>
          </w:tcPr>
          <w:p w14:paraId="6D159D74"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2884" w:type="dxa"/>
            <w:shd w:val="clear" w:color="auto" w:fill="C6EFCE"/>
            <w:tcMar>
              <w:left w:w="108" w:type="dxa"/>
              <w:right w:w="108" w:type="dxa"/>
            </w:tcMar>
            <w:vAlign w:val="center"/>
          </w:tcPr>
          <w:p w14:paraId="71465922"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7</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908</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481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227</w:t>
            </w:r>
          </w:p>
        </w:tc>
      </w:tr>
    </w:tbl>
    <w:p w14:paraId="6530499C" w14:textId="77777777" w:rsidR="0039681A" w:rsidRPr="005D46BA" w:rsidRDefault="0039681A" w:rsidP="00351087">
      <w:pPr>
        <w:spacing w:after="0"/>
        <w:ind w:left="850"/>
        <w:contextualSpacing/>
        <w:jc w:val="both"/>
        <w:rPr>
          <w:rFonts w:ascii="Times New Roman" w:eastAsia="Times New Roman" w:hAnsi="Times New Roman" w:cs="Times New Roman"/>
          <w:noProof/>
          <w:sz w:val="2"/>
          <w:szCs w:val="2"/>
          <w:lang w:eastAsia="en-GB"/>
        </w:rPr>
      </w:pPr>
    </w:p>
    <w:p w14:paraId="0884D2EC" w14:textId="77777777" w:rsidR="0039681A" w:rsidRPr="00647572" w:rsidRDefault="0039681A" w:rsidP="0039681A">
      <w:pPr>
        <w:pStyle w:val="Heading3"/>
        <w:numPr>
          <w:ilvl w:val="1"/>
          <w:numId w:val="16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Seventh Instalment (loan support):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0"/>
        <w:gridCol w:w="3628"/>
        <w:gridCol w:w="1110"/>
        <w:gridCol w:w="3480"/>
      </w:tblGrid>
      <w:tr w:rsidR="0039681A" w:rsidRPr="00647572" w14:paraId="6A65260C" w14:textId="77777777">
        <w:trPr>
          <w:trHeight w:val="900"/>
          <w:tblHeader/>
        </w:trPr>
        <w:tc>
          <w:tcPr>
            <w:tcW w:w="1140" w:type="dxa"/>
            <w:vMerge w:val="restart"/>
            <w:shd w:val="clear" w:color="auto" w:fill="BDD7EE"/>
            <w:tcMar>
              <w:left w:w="108" w:type="dxa"/>
              <w:right w:w="108" w:type="dxa"/>
            </w:tcMar>
            <w:vAlign w:val="center"/>
          </w:tcPr>
          <w:p w14:paraId="6A9C54C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628" w:type="dxa"/>
            <w:vMerge w:val="restart"/>
            <w:shd w:val="clear" w:color="auto" w:fill="BDD7EE"/>
            <w:tcMar>
              <w:left w:w="108" w:type="dxa"/>
              <w:right w:w="108" w:type="dxa"/>
            </w:tcMar>
            <w:vAlign w:val="center"/>
          </w:tcPr>
          <w:p w14:paraId="0A6CC36A"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110" w:type="dxa"/>
            <w:vMerge w:val="restart"/>
            <w:shd w:val="clear" w:color="auto" w:fill="BDD7EE"/>
            <w:tcMar>
              <w:left w:w="108" w:type="dxa"/>
              <w:right w:w="108" w:type="dxa"/>
            </w:tcMar>
            <w:vAlign w:val="center"/>
          </w:tcPr>
          <w:p w14:paraId="099175A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480" w:type="dxa"/>
            <w:vMerge w:val="restart"/>
            <w:shd w:val="clear" w:color="auto" w:fill="BDD7EE"/>
            <w:tcMar>
              <w:left w:w="108" w:type="dxa"/>
              <w:right w:w="108" w:type="dxa"/>
            </w:tcMar>
            <w:vAlign w:val="center"/>
          </w:tcPr>
          <w:p w14:paraId="2C5C423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609A3D28" w14:textId="77777777">
        <w:trPr>
          <w:trHeight w:val="510"/>
        </w:trPr>
        <w:tc>
          <w:tcPr>
            <w:tcW w:w="1140" w:type="dxa"/>
            <w:vMerge/>
            <w:vAlign w:val="center"/>
          </w:tcPr>
          <w:p w14:paraId="4571940B"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628" w:type="dxa"/>
            <w:vMerge/>
            <w:vAlign w:val="center"/>
          </w:tcPr>
          <w:p w14:paraId="3149433D"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110" w:type="dxa"/>
            <w:vMerge/>
            <w:vAlign w:val="center"/>
          </w:tcPr>
          <w:p w14:paraId="62A53B72"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480" w:type="dxa"/>
            <w:vMerge/>
            <w:vAlign w:val="center"/>
          </w:tcPr>
          <w:p w14:paraId="77E67EC5"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647572" w14:paraId="7ADCAF92" w14:textId="77777777">
        <w:trPr>
          <w:trHeight w:val="300"/>
        </w:trPr>
        <w:tc>
          <w:tcPr>
            <w:tcW w:w="1140" w:type="dxa"/>
            <w:shd w:val="clear" w:color="auto" w:fill="C6EFCE"/>
            <w:tcMar>
              <w:left w:w="108" w:type="dxa"/>
              <w:right w:w="108" w:type="dxa"/>
            </w:tcMar>
            <w:vAlign w:val="center"/>
          </w:tcPr>
          <w:p w14:paraId="18290F7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M1C1-139</w:t>
            </w:r>
          </w:p>
        </w:tc>
        <w:tc>
          <w:tcPr>
            <w:tcW w:w="3628" w:type="dxa"/>
            <w:shd w:val="clear" w:color="auto" w:fill="C6EFCE"/>
            <w:tcMar>
              <w:left w:w="108" w:type="dxa"/>
              <w:right w:w="108" w:type="dxa"/>
            </w:tcMar>
            <w:vAlign w:val="center"/>
          </w:tcPr>
          <w:p w14:paraId="7A42D2D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 Cloud enablement for local PA</w:t>
            </w:r>
          </w:p>
        </w:tc>
        <w:tc>
          <w:tcPr>
            <w:tcW w:w="1110" w:type="dxa"/>
            <w:shd w:val="clear" w:color="auto" w:fill="C6EFCE"/>
            <w:tcMar>
              <w:left w:w="108" w:type="dxa"/>
              <w:right w:w="108" w:type="dxa"/>
            </w:tcMar>
            <w:vAlign w:val="center"/>
          </w:tcPr>
          <w:p w14:paraId="70A086E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596460A6"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Cloud enablement for local Public Administration T1</w:t>
            </w:r>
          </w:p>
        </w:tc>
      </w:tr>
      <w:tr w:rsidR="0039681A" w:rsidRPr="0070054C" w14:paraId="1774FE65" w14:textId="77777777">
        <w:trPr>
          <w:trHeight w:val="300"/>
        </w:trPr>
        <w:tc>
          <w:tcPr>
            <w:tcW w:w="1140" w:type="dxa"/>
            <w:shd w:val="clear" w:color="auto" w:fill="C6EFCE"/>
            <w:tcMar>
              <w:left w:w="108" w:type="dxa"/>
              <w:right w:w="108" w:type="dxa"/>
            </w:tcMar>
            <w:vAlign w:val="center"/>
          </w:tcPr>
          <w:p w14:paraId="7F486A1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M2C2-25</w:t>
            </w:r>
          </w:p>
        </w:tc>
        <w:tc>
          <w:tcPr>
            <w:tcW w:w="3628" w:type="dxa"/>
            <w:shd w:val="clear" w:color="auto" w:fill="C6EFCE"/>
            <w:tcMar>
              <w:left w:w="108" w:type="dxa"/>
              <w:right w:w="108" w:type="dxa"/>
            </w:tcMar>
            <w:vAlign w:val="center"/>
          </w:tcPr>
          <w:p w14:paraId="181C31A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Development of Rapid Mass Transport systems </w:t>
            </w:r>
          </w:p>
        </w:tc>
        <w:tc>
          <w:tcPr>
            <w:tcW w:w="1110" w:type="dxa"/>
            <w:shd w:val="clear" w:color="auto" w:fill="C6EFCE"/>
            <w:tcMar>
              <w:left w:w="108" w:type="dxa"/>
              <w:right w:w="108" w:type="dxa"/>
            </w:tcMar>
            <w:vAlign w:val="center"/>
          </w:tcPr>
          <w:p w14:paraId="0CA9C06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6746854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w:t>
            </w:r>
            <w:r w:rsidRPr="00A36E36">
              <w:rPr>
                <w:rFonts w:ascii="Times New Roman" w:eastAsia="Times New Roman" w:hAnsi="Times New Roman" w:cs="Times New Roman"/>
                <w:noProof/>
                <w:color w:val="0000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all public contracts for the purchase of zero-emission rolling stock and interventions for the upgrade of the infrastructure of rapid mass transport systems</w:t>
            </w:r>
          </w:p>
        </w:tc>
      </w:tr>
      <w:tr w:rsidR="0039681A" w:rsidRPr="0070054C" w14:paraId="251B2996" w14:textId="77777777">
        <w:trPr>
          <w:trHeight w:val="300"/>
        </w:trPr>
        <w:tc>
          <w:tcPr>
            <w:tcW w:w="1140" w:type="dxa"/>
            <w:shd w:val="clear" w:color="auto" w:fill="C6EFCE"/>
            <w:tcMar>
              <w:left w:w="108" w:type="dxa"/>
              <w:right w:w="108" w:type="dxa"/>
            </w:tcMar>
            <w:vAlign w:val="center"/>
          </w:tcPr>
          <w:p w14:paraId="7E50223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M2C4-11</w:t>
            </w:r>
          </w:p>
        </w:tc>
        <w:tc>
          <w:tcPr>
            <w:tcW w:w="3628" w:type="dxa"/>
            <w:shd w:val="clear" w:color="auto" w:fill="C6EFCE"/>
            <w:tcMar>
              <w:left w:w="108" w:type="dxa"/>
              <w:right w:w="108" w:type="dxa"/>
            </w:tcMar>
            <w:vAlign w:val="center"/>
          </w:tcPr>
          <w:p w14:paraId="633E44D1"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2.1.a. Measures for flood and hydrogeological risk reduction – Interventions in Emilia Romagna, Toscana and Marche</w:t>
            </w:r>
          </w:p>
        </w:tc>
        <w:tc>
          <w:tcPr>
            <w:tcW w:w="1110" w:type="dxa"/>
            <w:shd w:val="clear" w:color="auto" w:fill="C6EFCE"/>
            <w:tcMar>
              <w:left w:w="108" w:type="dxa"/>
              <w:right w:w="108" w:type="dxa"/>
            </w:tcMar>
            <w:vAlign w:val="center"/>
          </w:tcPr>
          <w:p w14:paraId="66E2EAD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2A58A0B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Identification of the interventions by ordinance(s) of the Commissioner of Emergency</w:t>
            </w:r>
          </w:p>
        </w:tc>
      </w:tr>
      <w:tr w:rsidR="0039681A" w:rsidRPr="0070054C" w14:paraId="78AFBCEB" w14:textId="77777777">
        <w:trPr>
          <w:trHeight w:val="300"/>
        </w:trPr>
        <w:tc>
          <w:tcPr>
            <w:tcW w:w="1140" w:type="dxa"/>
            <w:shd w:val="clear" w:color="auto" w:fill="C6EFCE"/>
            <w:tcMar>
              <w:left w:w="108" w:type="dxa"/>
              <w:right w:w="108" w:type="dxa"/>
            </w:tcMar>
            <w:vAlign w:val="center"/>
          </w:tcPr>
          <w:p w14:paraId="1E17187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M7-46</w:t>
            </w:r>
          </w:p>
        </w:tc>
        <w:tc>
          <w:tcPr>
            <w:tcW w:w="3628" w:type="dxa"/>
            <w:shd w:val="clear" w:color="auto" w:fill="C6EFCE"/>
            <w:tcMar>
              <w:left w:w="108" w:type="dxa"/>
              <w:right w:w="108" w:type="dxa"/>
            </w:tcMar>
            <w:vAlign w:val="center"/>
          </w:tcPr>
          <w:p w14:paraId="77115C5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Financial instrument for energy renovations of public residential housing</w:t>
            </w:r>
          </w:p>
        </w:tc>
        <w:tc>
          <w:tcPr>
            <w:tcW w:w="1110" w:type="dxa"/>
            <w:shd w:val="clear" w:color="auto" w:fill="C6EFCE"/>
            <w:tcMar>
              <w:left w:w="108" w:type="dxa"/>
              <w:right w:w="108" w:type="dxa"/>
            </w:tcMar>
            <w:vAlign w:val="center"/>
          </w:tcPr>
          <w:p w14:paraId="700FBB9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269D396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Definition of the target of the terms of reference</w:t>
            </w:r>
          </w:p>
        </w:tc>
      </w:tr>
      <w:tr w:rsidR="0039681A" w:rsidRPr="0070054C" w14:paraId="54238A18" w14:textId="77777777">
        <w:trPr>
          <w:trHeight w:val="300"/>
        </w:trPr>
        <w:tc>
          <w:tcPr>
            <w:tcW w:w="1140" w:type="dxa"/>
            <w:shd w:val="clear" w:color="auto" w:fill="C6EFCE"/>
            <w:tcMar>
              <w:left w:w="108" w:type="dxa"/>
              <w:right w:w="108" w:type="dxa"/>
            </w:tcMar>
            <w:vAlign w:val="center"/>
          </w:tcPr>
          <w:p w14:paraId="08EF6C6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M1C1-140</w:t>
            </w:r>
          </w:p>
        </w:tc>
        <w:tc>
          <w:tcPr>
            <w:tcW w:w="3628" w:type="dxa"/>
            <w:shd w:val="clear" w:color="auto" w:fill="C6EFCE"/>
            <w:tcMar>
              <w:left w:w="108" w:type="dxa"/>
              <w:right w:w="108" w:type="dxa"/>
            </w:tcMar>
            <w:vAlign w:val="center"/>
          </w:tcPr>
          <w:p w14:paraId="641F382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1.4.1 - Citizen experience - Improvement of the quality and the usability of digital public services</w:t>
            </w:r>
          </w:p>
        </w:tc>
        <w:tc>
          <w:tcPr>
            <w:tcW w:w="1110" w:type="dxa"/>
            <w:shd w:val="clear" w:color="auto" w:fill="C6EFCE"/>
            <w:tcMar>
              <w:left w:w="108" w:type="dxa"/>
              <w:right w:w="108" w:type="dxa"/>
            </w:tcMar>
            <w:vAlign w:val="center"/>
          </w:tcPr>
          <w:p w14:paraId="1CBB51D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593EAA9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Improvement of the quality and the usability of digital public services T1</w:t>
            </w:r>
          </w:p>
        </w:tc>
      </w:tr>
      <w:tr w:rsidR="0039681A" w:rsidRPr="0070054C" w14:paraId="16BAABEE" w14:textId="77777777">
        <w:trPr>
          <w:trHeight w:val="300"/>
        </w:trPr>
        <w:tc>
          <w:tcPr>
            <w:tcW w:w="1140" w:type="dxa"/>
            <w:shd w:val="clear" w:color="auto" w:fill="C6EFCE"/>
            <w:tcMar>
              <w:left w:w="108" w:type="dxa"/>
              <w:right w:w="108" w:type="dxa"/>
            </w:tcMar>
            <w:vAlign w:val="center"/>
          </w:tcPr>
          <w:p w14:paraId="7275A4B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M1C1-141</w:t>
            </w:r>
          </w:p>
        </w:tc>
        <w:tc>
          <w:tcPr>
            <w:tcW w:w="3628" w:type="dxa"/>
            <w:shd w:val="clear" w:color="auto" w:fill="C6EFCE"/>
            <w:tcMar>
              <w:left w:w="108" w:type="dxa"/>
              <w:right w:w="108" w:type="dxa"/>
            </w:tcMar>
            <w:vAlign w:val="center"/>
          </w:tcPr>
          <w:p w14:paraId="263DE7B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110" w:type="dxa"/>
            <w:shd w:val="clear" w:color="auto" w:fill="C6EFCE"/>
            <w:tcMar>
              <w:left w:w="108" w:type="dxa"/>
              <w:right w:w="108" w:type="dxa"/>
            </w:tcMar>
            <w:vAlign w:val="center"/>
          </w:tcPr>
          <w:p w14:paraId="2FEE1CB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5CCF45E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Digitalisation of procedures of the Ministry of Defence T2</w:t>
            </w:r>
          </w:p>
        </w:tc>
      </w:tr>
      <w:tr w:rsidR="0039681A" w:rsidRPr="0070054C" w14:paraId="5DBB66C6" w14:textId="77777777">
        <w:trPr>
          <w:trHeight w:val="300"/>
        </w:trPr>
        <w:tc>
          <w:tcPr>
            <w:tcW w:w="1140" w:type="dxa"/>
            <w:shd w:val="clear" w:color="auto" w:fill="C6EFCE"/>
            <w:tcMar>
              <w:left w:w="108" w:type="dxa"/>
              <w:right w:w="108" w:type="dxa"/>
            </w:tcMar>
            <w:vAlign w:val="center"/>
          </w:tcPr>
          <w:p w14:paraId="1262959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M1C1-142</w:t>
            </w:r>
          </w:p>
        </w:tc>
        <w:tc>
          <w:tcPr>
            <w:tcW w:w="3628" w:type="dxa"/>
            <w:shd w:val="clear" w:color="auto" w:fill="C6EFCE"/>
            <w:tcMar>
              <w:left w:w="108" w:type="dxa"/>
              <w:right w:w="108" w:type="dxa"/>
            </w:tcMar>
            <w:vAlign w:val="center"/>
          </w:tcPr>
          <w:p w14:paraId="6B118A4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110" w:type="dxa"/>
            <w:shd w:val="clear" w:color="auto" w:fill="C6EFCE"/>
            <w:tcMar>
              <w:left w:w="108" w:type="dxa"/>
              <w:right w:w="108" w:type="dxa"/>
            </w:tcMar>
            <w:vAlign w:val="center"/>
          </w:tcPr>
          <w:p w14:paraId="1AF3EB5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1A983F2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Digitalisation of certificates of the Ministry of Defence T2</w:t>
            </w:r>
          </w:p>
        </w:tc>
      </w:tr>
      <w:tr w:rsidR="0039681A" w:rsidRPr="00647572" w14:paraId="30571E95" w14:textId="77777777">
        <w:trPr>
          <w:trHeight w:val="300"/>
        </w:trPr>
        <w:tc>
          <w:tcPr>
            <w:tcW w:w="1140" w:type="dxa"/>
            <w:shd w:val="clear" w:color="auto" w:fill="C6EFCE"/>
            <w:tcMar>
              <w:left w:w="108" w:type="dxa"/>
              <w:right w:w="108" w:type="dxa"/>
            </w:tcMar>
            <w:vAlign w:val="center"/>
          </w:tcPr>
          <w:p w14:paraId="7962AF3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M1C1-143</w:t>
            </w:r>
          </w:p>
        </w:tc>
        <w:tc>
          <w:tcPr>
            <w:tcW w:w="3628" w:type="dxa"/>
            <w:shd w:val="clear" w:color="auto" w:fill="C6EFCE"/>
            <w:tcMar>
              <w:left w:w="108" w:type="dxa"/>
              <w:right w:w="108" w:type="dxa"/>
            </w:tcMar>
            <w:vAlign w:val="center"/>
          </w:tcPr>
          <w:p w14:paraId="59E7CEE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1.6.4 - Digitization of the Ministry of Defence</w:t>
            </w:r>
          </w:p>
        </w:tc>
        <w:tc>
          <w:tcPr>
            <w:tcW w:w="1110" w:type="dxa"/>
            <w:shd w:val="clear" w:color="auto" w:fill="C6EFCE"/>
            <w:tcMar>
              <w:left w:w="108" w:type="dxa"/>
              <w:right w:w="108" w:type="dxa"/>
            </w:tcMar>
            <w:vAlign w:val="center"/>
          </w:tcPr>
          <w:p w14:paraId="2CF9678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7705B0A8" w14:textId="77777777" w:rsidR="0039681A" w:rsidRPr="00647572" w:rsidRDefault="0039681A">
            <w:pPr>
              <w:spacing w:after="0" w:line="240" w:lineRule="auto"/>
              <w:rPr>
                <w:rFonts w:ascii="Times New Roman" w:eastAsia="Times New Roman" w:hAnsi="Times New Roman" w:cs="Times New Roman"/>
                <w:noProof/>
                <w:lang w:eastAsia="en-GB"/>
              </w:rPr>
            </w:pPr>
            <w:r w:rsidRPr="00A36E36">
              <w:rPr>
                <w:rFonts w:ascii="Times New Roman" w:eastAsia="Times New Roman" w:hAnsi="Times New Roman" w:cs="Times New Roman"/>
                <w:noProof/>
                <w:color w:val="006100"/>
                <w:sz w:val="20"/>
                <w:szCs w:val="20"/>
                <w:lang w:val="en-IE" w:eastAsia="en-GB"/>
              </w:rPr>
              <w:t xml:space="preserve">Ministry of Defence - Migration of mission critical and non-mission critical applications into Solution for Complete Information Protection by Infrastructure Openness (S.C.I.P.I.O.) </w:t>
            </w:r>
            <w:r w:rsidRPr="00647572">
              <w:rPr>
                <w:rFonts w:ascii="Times New Roman" w:eastAsia="Times New Roman" w:hAnsi="Times New Roman" w:cs="Times New Roman"/>
                <w:noProof/>
                <w:color w:val="006100"/>
                <w:sz w:val="20"/>
                <w:szCs w:val="20"/>
                <w:lang w:eastAsia="en-GB"/>
              </w:rPr>
              <w:t>T2</w:t>
            </w:r>
          </w:p>
        </w:tc>
      </w:tr>
      <w:tr w:rsidR="0039681A" w:rsidRPr="0070054C" w14:paraId="5013A13C" w14:textId="77777777">
        <w:trPr>
          <w:trHeight w:val="300"/>
        </w:trPr>
        <w:tc>
          <w:tcPr>
            <w:tcW w:w="1140" w:type="dxa"/>
            <w:shd w:val="clear" w:color="auto" w:fill="C6EFCE"/>
            <w:tcMar>
              <w:left w:w="108" w:type="dxa"/>
              <w:right w:w="108" w:type="dxa"/>
            </w:tcMar>
            <w:vAlign w:val="center"/>
          </w:tcPr>
          <w:p w14:paraId="193D163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M1C2-19</w:t>
            </w:r>
          </w:p>
        </w:tc>
        <w:tc>
          <w:tcPr>
            <w:tcW w:w="3628" w:type="dxa"/>
            <w:shd w:val="clear" w:color="auto" w:fill="C6EFCE"/>
            <w:tcMar>
              <w:left w:w="108" w:type="dxa"/>
              <w:right w:w="108" w:type="dxa"/>
            </w:tcMar>
            <w:vAlign w:val="center"/>
          </w:tcPr>
          <w:p w14:paraId="578A1EE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Fast internet connections (Ultra-Broadband and 5G)</w:t>
            </w:r>
          </w:p>
        </w:tc>
        <w:tc>
          <w:tcPr>
            <w:tcW w:w="1110" w:type="dxa"/>
            <w:shd w:val="clear" w:color="auto" w:fill="C6EFCE"/>
            <w:tcMar>
              <w:left w:w="108" w:type="dxa"/>
              <w:right w:w="108" w:type="dxa"/>
            </w:tcMar>
            <w:vAlign w:val="center"/>
          </w:tcPr>
          <w:p w14:paraId="68CFBB4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0451C58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Islands provided with ultra-broadband connectivity</w:t>
            </w:r>
          </w:p>
        </w:tc>
      </w:tr>
      <w:tr w:rsidR="0039681A" w:rsidRPr="0070054C" w14:paraId="06364B09" w14:textId="77777777">
        <w:trPr>
          <w:trHeight w:val="300"/>
        </w:trPr>
        <w:tc>
          <w:tcPr>
            <w:tcW w:w="1140" w:type="dxa"/>
            <w:shd w:val="clear" w:color="auto" w:fill="C6EFCE"/>
            <w:tcMar>
              <w:left w:w="108" w:type="dxa"/>
              <w:right w:w="108" w:type="dxa"/>
            </w:tcMar>
            <w:vAlign w:val="center"/>
          </w:tcPr>
          <w:p w14:paraId="1C1D68C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M1C3-27</w:t>
            </w:r>
          </w:p>
        </w:tc>
        <w:tc>
          <w:tcPr>
            <w:tcW w:w="3628" w:type="dxa"/>
            <w:shd w:val="clear" w:color="auto" w:fill="C6EFCE"/>
            <w:tcMar>
              <w:left w:w="108" w:type="dxa"/>
              <w:right w:w="108" w:type="dxa"/>
            </w:tcMar>
            <w:vAlign w:val="center"/>
          </w:tcPr>
          <w:p w14:paraId="2F4A001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Caput Mundi-Next Generation EU for touristic great events</w:t>
            </w:r>
          </w:p>
        </w:tc>
        <w:tc>
          <w:tcPr>
            <w:tcW w:w="1110" w:type="dxa"/>
            <w:shd w:val="clear" w:color="auto" w:fill="C6EFCE"/>
            <w:tcMar>
              <w:left w:w="108" w:type="dxa"/>
              <w:right w:w="108" w:type="dxa"/>
            </w:tcMar>
            <w:vAlign w:val="center"/>
          </w:tcPr>
          <w:p w14:paraId="44F29C7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2A68815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cultural and touristic sites whose requalification reached, on average, 50% of Stato Avanzamento Lavori (SAL)(first batch) </w:t>
            </w:r>
          </w:p>
        </w:tc>
      </w:tr>
      <w:tr w:rsidR="0039681A" w:rsidRPr="0070054C" w14:paraId="4577FFCE" w14:textId="77777777">
        <w:trPr>
          <w:trHeight w:val="300"/>
        </w:trPr>
        <w:tc>
          <w:tcPr>
            <w:tcW w:w="1140" w:type="dxa"/>
            <w:shd w:val="clear" w:color="auto" w:fill="C6EFCE"/>
            <w:tcMar>
              <w:left w:w="108" w:type="dxa"/>
              <w:right w:w="108" w:type="dxa"/>
            </w:tcMar>
            <w:vAlign w:val="center"/>
          </w:tcPr>
          <w:p w14:paraId="6BE951B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M2C1-16ter</w:t>
            </w:r>
          </w:p>
        </w:tc>
        <w:tc>
          <w:tcPr>
            <w:tcW w:w="3628" w:type="dxa"/>
            <w:shd w:val="clear" w:color="auto" w:fill="C6EFCE"/>
            <w:tcMar>
              <w:left w:w="108" w:type="dxa"/>
              <w:right w:w="108" w:type="dxa"/>
            </w:tcMar>
            <w:vAlign w:val="center"/>
          </w:tcPr>
          <w:p w14:paraId="70F1A5B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 Implementation of new waste management plants and modernization of existing plants</w:t>
            </w:r>
          </w:p>
        </w:tc>
        <w:tc>
          <w:tcPr>
            <w:tcW w:w="1110" w:type="dxa"/>
            <w:shd w:val="clear" w:color="auto" w:fill="C6EFCE"/>
            <w:tcMar>
              <w:left w:w="108" w:type="dxa"/>
              <w:right w:w="108" w:type="dxa"/>
            </w:tcMar>
            <w:vAlign w:val="center"/>
          </w:tcPr>
          <w:p w14:paraId="016F203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1F34BE5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Regional differences in separate collection rates</w:t>
            </w:r>
          </w:p>
        </w:tc>
      </w:tr>
      <w:tr w:rsidR="0039681A" w:rsidRPr="0070054C" w14:paraId="7C720436" w14:textId="77777777">
        <w:trPr>
          <w:trHeight w:val="300"/>
        </w:trPr>
        <w:tc>
          <w:tcPr>
            <w:tcW w:w="1140" w:type="dxa"/>
            <w:shd w:val="clear" w:color="auto" w:fill="C6EFCE"/>
            <w:tcMar>
              <w:left w:w="108" w:type="dxa"/>
              <w:right w:w="108" w:type="dxa"/>
            </w:tcMar>
            <w:vAlign w:val="center"/>
          </w:tcPr>
          <w:p w14:paraId="279D572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M2C1-25</w:t>
            </w:r>
          </w:p>
        </w:tc>
        <w:tc>
          <w:tcPr>
            <w:tcW w:w="3628" w:type="dxa"/>
            <w:shd w:val="clear" w:color="auto" w:fill="C6EFCE"/>
            <w:tcMar>
              <w:left w:w="108" w:type="dxa"/>
              <w:right w:w="108" w:type="dxa"/>
            </w:tcMar>
            <w:vAlign w:val="center"/>
          </w:tcPr>
          <w:p w14:paraId="5A24E561" w14:textId="5A9C2456"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Fondo</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Contratti di Filiera (FCF) to support supply-chains contracts for the agri-food, fishing and aquaculture, forestry, floriculture and plant nursery sectors</w:t>
            </w:r>
          </w:p>
        </w:tc>
        <w:tc>
          <w:tcPr>
            <w:tcW w:w="1110" w:type="dxa"/>
            <w:shd w:val="clear" w:color="auto" w:fill="C6EFCE"/>
            <w:tcMar>
              <w:left w:w="108" w:type="dxa"/>
              <w:right w:w="108" w:type="dxa"/>
            </w:tcMar>
            <w:vAlign w:val="center"/>
          </w:tcPr>
          <w:p w14:paraId="5480AA4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67106EA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Ministry has transferred the overall amount of resources</w:t>
            </w:r>
          </w:p>
        </w:tc>
      </w:tr>
      <w:tr w:rsidR="0039681A" w:rsidRPr="0070054C" w14:paraId="7E543019" w14:textId="77777777">
        <w:trPr>
          <w:trHeight w:val="300"/>
        </w:trPr>
        <w:tc>
          <w:tcPr>
            <w:tcW w:w="1140" w:type="dxa"/>
            <w:shd w:val="clear" w:color="auto" w:fill="C6EFCE"/>
            <w:tcMar>
              <w:left w:w="108" w:type="dxa"/>
              <w:right w:w="108" w:type="dxa"/>
            </w:tcMar>
            <w:vAlign w:val="center"/>
          </w:tcPr>
          <w:p w14:paraId="3D187C0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M2C2-9</w:t>
            </w:r>
          </w:p>
        </w:tc>
        <w:tc>
          <w:tcPr>
            <w:tcW w:w="3628" w:type="dxa"/>
            <w:shd w:val="clear" w:color="auto" w:fill="C6EFCE"/>
            <w:tcMar>
              <w:left w:w="108" w:type="dxa"/>
              <w:right w:w="108" w:type="dxa"/>
            </w:tcMar>
            <w:vAlign w:val="center"/>
          </w:tcPr>
          <w:p w14:paraId="6F5A443F"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2.1 Strengthening smart grids</w:t>
            </w:r>
          </w:p>
        </w:tc>
        <w:tc>
          <w:tcPr>
            <w:tcW w:w="1110" w:type="dxa"/>
            <w:shd w:val="clear" w:color="auto" w:fill="C6EFCE"/>
            <w:tcMar>
              <w:left w:w="108" w:type="dxa"/>
              <w:right w:w="108" w:type="dxa"/>
            </w:tcMar>
            <w:vAlign w:val="center"/>
          </w:tcPr>
          <w:p w14:paraId="74F917D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1313EC1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Smart grids- Increase network capacity for the distribution of renewable energies</w:t>
            </w:r>
          </w:p>
        </w:tc>
      </w:tr>
      <w:tr w:rsidR="0039681A" w:rsidRPr="0070054C" w14:paraId="5CEA8F6A" w14:textId="77777777">
        <w:trPr>
          <w:trHeight w:val="300"/>
        </w:trPr>
        <w:tc>
          <w:tcPr>
            <w:tcW w:w="1140" w:type="dxa"/>
            <w:shd w:val="clear" w:color="auto" w:fill="C6EFCE"/>
            <w:tcMar>
              <w:left w:w="108" w:type="dxa"/>
              <w:right w:w="108" w:type="dxa"/>
            </w:tcMar>
            <w:vAlign w:val="center"/>
          </w:tcPr>
          <w:p w14:paraId="7EC62CC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M2C2-34</w:t>
            </w:r>
          </w:p>
        </w:tc>
        <w:tc>
          <w:tcPr>
            <w:tcW w:w="3628" w:type="dxa"/>
            <w:shd w:val="clear" w:color="auto" w:fill="C6EFCE"/>
            <w:tcMar>
              <w:left w:w="108" w:type="dxa"/>
              <w:right w:w="108" w:type="dxa"/>
            </w:tcMar>
            <w:vAlign w:val="center"/>
          </w:tcPr>
          <w:p w14:paraId="13B1F99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4.4.1: Strengthening of the regional public transport bus fleet with zero-emission buses</w:t>
            </w:r>
          </w:p>
        </w:tc>
        <w:tc>
          <w:tcPr>
            <w:tcW w:w="1110" w:type="dxa"/>
            <w:shd w:val="clear" w:color="auto" w:fill="C6EFCE"/>
            <w:tcMar>
              <w:left w:w="108" w:type="dxa"/>
              <w:right w:w="108" w:type="dxa"/>
            </w:tcMar>
            <w:vAlign w:val="center"/>
          </w:tcPr>
          <w:p w14:paraId="2DC1AB9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79E18CF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zero-emission low-floor buses registered T1</w:t>
            </w:r>
          </w:p>
        </w:tc>
      </w:tr>
      <w:tr w:rsidR="0039681A" w:rsidRPr="0070054C" w14:paraId="63EEB785" w14:textId="77777777">
        <w:trPr>
          <w:trHeight w:val="300"/>
        </w:trPr>
        <w:tc>
          <w:tcPr>
            <w:tcW w:w="1140" w:type="dxa"/>
            <w:shd w:val="clear" w:color="auto" w:fill="C6EFCE"/>
            <w:tcMar>
              <w:left w:w="108" w:type="dxa"/>
              <w:right w:w="108" w:type="dxa"/>
            </w:tcMar>
            <w:vAlign w:val="center"/>
          </w:tcPr>
          <w:p w14:paraId="2D8CB6B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M2C2-34bis</w:t>
            </w:r>
          </w:p>
        </w:tc>
        <w:tc>
          <w:tcPr>
            <w:tcW w:w="3628" w:type="dxa"/>
            <w:shd w:val="clear" w:color="auto" w:fill="C6EFCE"/>
            <w:tcMar>
              <w:left w:w="108" w:type="dxa"/>
              <w:right w:w="108" w:type="dxa"/>
            </w:tcMar>
            <w:vAlign w:val="center"/>
          </w:tcPr>
          <w:p w14:paraId="0A496E55" w14:textId="0EBD6C1F"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4.4.2:</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Strengthening of the regional public transport railway fleet with zero emission trains and universal service</w:t>
            </w:r>
          </w:p>
        </w:tc>
        <w:tc>
          <w:tcPr>
            <w:tcW w:w="1110" w:type="dxa"/>
            <w:shd w:val="clear" w:color="auto" w:fill="C6EFCE"/>
            <w:tcMar>
              <w:left w:w="108" w:type="dxa"/>
              <w:right w:w="108" w:type="dxa"/>
            </w:tcMar>
            <w:vAlign w:val="center"/>
          </w:tcPr>
          <w:p w14:paraId="3E1A780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187BE436"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Number of Zero Emission trains</w:t>
            </w:r>
          </w:p>
        </w:tc>
      </w:tr>
      <w:tr w:rsidR="0039681A" w:rsidRPr="00647572" w14:paraId="0AA411BA" w14:textId="77777777">
        <w:trPr>
          <w:trHeight w:val="300"/>
        </w:trPr>
        <w:tc>
          <w:tcPr>
            <w:tcW w:w="1140" w:type="dxa"/>
            <w:shd w:val="clear" w:color="auto" w:fill="C6EFCE"/>
            <w:tcMar>
              <w:left w:w="108" w:type="dxa"/>
              <w:right w:w="108" w:type="dxa"/>
            </w:tcMar>
            <w:vAlign w:val="center"/>
          </w:tcPr>
          <w:p w14:paraId="5803433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M2C2-38bis</w:t>
            </w:r>
          </w:p>
        </w:tc>
        <w:tc>
          <w:tcPr>
            <w:tcW w:w="3628" w:type="dxa"/>
            <w:shd w:val="clear" w:color="auto" w:fill="C6EFCE"/>
            <w:tcMar>
              <w:left w:w="108" w:type="dxa"/>
              <w:right w:w="108" w:type="dxa"/>
            </w:tcMar>
            <w:vAlign w:val="center"/>
          </w:tcPr>
          <w:p w14:paraId="10370714"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5.1: Support to the production system for the Ecological Transition, Net Zero Technologies, and competitiveness and resilience of strategic supply chains</w:t>
            </w:r>
          </w:p>
        </w:tc>
        <w:tc>
          <w:tcPr>
            <w:tcW w:w="1110" w:type="dxa"/>
            <w:shd w:val="clear" w:color="auto" w:fill="C6EFCE"/>
            <w:tcMar>
              <w:left w:w="108" w:type="dxa"/>
              <w:right w:w="108" w:type="dxa"/>
            </w:tcMar>
            <w:vAlign w:val="center"/>
          </w:tcPr>
          <w:p w14:paraId="2A17392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57F91B95"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39681A" w:rsidRPr="0070054C" w14:paraId="6429ABAE" w14:textId="77777777">
        <w:trPr>
          <w:trHeight w:val="300"/>
        </w:trPr>
        <w:tc>
          <w:tcPr>
            <w:tcW w:w="1140" w:type="dxa"/>
            <w:shd w:val="clear" w:color="auto" w:fill="C6EFCE"/>
            <w:tcMar>
              <w:left w:w="108" w:type="dxa"/>
              <w:right w:w="108" w:type="dxa"/>
            </w:tcMar>
            <w:vAlign w:val="center"/>
          </w:tcPr>
          <w:p w14:paraId="5348C3F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M2C2-39</w:t>
            </w:r>
          </w:p>
        </w:tc>
        <w:tc>
          <w:tcPr>
            <w:tcW w:w="3628" w:type="dxa"/>
            <w:shd w:val="clear" w:color="auto" w:fill="C6EFCE"/>
            <w:tcMar>
              <w:left w:w="108" w:type="dxa"/>
              <w:right w:w="108" w:type="dxa"/>
            </w:tcMar>
            <w:vAlign w:val="center"/>
          </w:tcPr>
          <w:p w14:paraId="2991D74F"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5.1. Support to the production system for the Ecological Transition, Net Zero Technologies, and competitiveness and resilience of strategic supply</w:t>
            </w:r>
          </w:p>
        </w:tc>
        <w:tc>
          <w:tcPr>
            <w:tcW w:w="1110" w:type="dxa"/>
            <w:shd w:val="clear" w:color="auto" w:fill="C6EFCE"/>
            <w:tcMar>
              <w:left w:w="108" w:type="dxa"/>
              <w:right w:w="108" w:type="dxa"/>
            </w:tcMar>
            <w:vAlign w:val="center"/>
          </w:tcPr>
          <w:p w14:paraId="5AFDB49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5206A661"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The Ministry of Enterprises and Made in Italy has completed the transfer of funds to Invitalia S.p.A</w:t>
            </w:r>
          </w:p>
        </w:tc>
      </w:tr>
      <w:tr w:rsidR="0039681A" w:rsidRPr="0070054C" w14:paraId="48D4C342" w14:textId="77777777">
        <w:trPr>
          <w:trHeight w:val="300"/>
        </w:trPr>
        <w:tc>
          <w:tcPr>
            <w:tcW w:w="1140" w:type="dxa"/>
            <w:shd w:val="clear" w:color="auto" w:fill="C6EFCE"/>
            <w:tcMar>
              <w:left w:w="108" w:type="dxa"/>
              <w:right w:w="108" w:type="dxa"/>
            </w:tcMar>
            <w:vAlign w:val="center"/>
          </w:tcPr>
          <w:p w14:paraId="2DAC2740"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M2C2-42bis</w:t>
            </w:r>
          </w:p>
        </w:tc>
        <w:tc>
          <w:tcPr>
            <w:tcW w:w="3628" w:type="dxa"/>
            <w:shd w:val="clear" w:color="auto" w:fill="C6EFCE"/>
            <w:tcMar>
              <w:left w:w="108" w:type="dxa"/>
              <w:right w:w="108" w:type="dxa"/>
            </w:tcMar>
            <w:vAlign w:val="center"/>
          </w:tcPr>
          <w:p w14:paraId="406A917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5.4 – Equity injection into the Green Transition Fund (“GTF”)</w:t>
            </w:r>
          </w:p>
        </w:tc>
        <w:tc>
          <w:tcPr>
            <w:tcW w:w="1110" w:type="dxa"/>
            <w:shd w:val="clear" w:color="auto" w:fill="C6EFCE"/>
            <w:tcMar>
              <w:left w:w="108" w:type="dxa"/>
              <w:right w:w="108" w:type="dxa"/>
            </w:tcMar>
            <w:vAlign w:val="center"/>
          </w:tcPr>
          <w:p w14:paraId="535AC26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5BE05975"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Equity injection into the Green Transition Fund</w:t>
            </w:r>
          </w:p>
        </w:tc>
      </w:tr>
      <w:tr w:rsidR="0039681A" w:rsidRPr="0070054C" w14:paraId="6E41DF98" w14:textId="77777777">
        <w:trPr>
          <w:trHeight w:val="300"/>
        </w:trPr>
        <w:tc>
          <w:tcPr>
            <w:tcW w:w="1140" w:type="dxa"/>
            <w:shd w:val="clear" w:color="auto" w:fill="C6EFCE"/>
            <w:tcMar>
              <w:left w:w="108" w:type="dxa"/>
              <w:right w:w="108" w:type="dxa"/>
            </w:tcMar>
            <w:vAlign w:val="center"/>
          </w:tcPr>
          <w:p w14:paraId="2553881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M2C2-44</w:t>
            </w:r>
          </w:p>
        </w:tc>
        <w:tc>
          <w:tcPr>
            <w:tcW w:w="3628" w:type="dxa"/>
            <w:shd w:val="clear" w:color="auto" w:fill="C6EFCE"/>
            <w:tcMar>
              <w:left w:w="108" w:type="dxa"/>
              <w:right w:w="108" w:type="dxa"/>
            </w:tcMar>
            <w:vAlign w:val="center"/>
          </w:tcPr>
          <w:p w14:paraId="10983D9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Development of agri-voltaic systems</w:t>
            </w:r>
          </w:p>
        </w:tc>
        <w:tc>
          <w:tcPr>
            <w:tcW w:w="1110" w:type="dxa"/>
            <w:shd w:val="clear" w:color="auto" w:fill="C6EFCE"/>
            <w:tcMar>
              <w:left w:w="108" w:type="dxa"/>
              <w:right w:w="108" w:type="dxa"/>
            </w:tcMar>
            <w:vAlign w:val="center"/>
          </w:tcPr>
          <w:p w14:paraId="3B7F608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20A8293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Award of all public contracts for the installation of photovoltaic solar panels in agri-voltaic systems</w:t>
            </w:r>
          </w:p>
        </w:tc>
      </w:tr>
      <w:tr w:rsidR="0039681A" w:rsidRPr="0070054C" w14:paraId="3155B7CC" w14:textId="77777777">
        <w:trPr>
          <w:trHeight w:val="300"/>
        </w:trPr>
        <w:tc>
          <w:tcPr>
            <w:tcW w:w="1140" w:type="dxa"/>
            <w:shd w:val="clear" w:color="auto" w:fill="C6EFCE"/>
            <w:tcMar>
              <w:left w:w="108" w:type="dxa"/>
              <w:right w:w="108" w:type="dxa"/>
            </w:tcMar>
            <w:vAlign w:val="center"/>
          </w:tcPr>
          <w:p w14:paraId="702BC86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M2C4-22</w:t>
            </w:r>
          </w:p>
        </w:tc>
        <w:tc>
          <w:tcPr>
            <w:tcW w:w="3628" w:type="dxa"/>
            <w:shd w:val="clear" w:color="auto" w:fill="C6EFCE"/>
            <w:tcMar>
              <w:left w:w="108" w:type="dxa"/>
              <w:right w:w="108" w:type="dxa"/>
            </w:tcMar>
            <w:vAlign w:val="center"/>
          </w:tcPr>
          <w:p w14:paraId="5AB3C66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3.3 Re-naturification of Po area</w:t>
            </w:r>
          </w:p>
        </w:tc>
        <w:tc>
          <w:tcPr>
            <w:tcW w:w="1110" w:type="dxa"/>
            <w:shd w:val="clear" w:color="auto" w:fill="C6EFCE"/>
            <w:tcMar>
              <w:left w:w="108" w:type="dxa"/>
              <w:right w:w="108" w:type="dxa"/>
            </w:tcMar>
            <w:vAlign w:val="center"/>
          </w:tcPr>
          <w:p w14:paraId="3DCF0CB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4B26FA1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Reduction of riverbed artificiality for the re-naturification of the Po area T1 </w:t>
            </w:r>
          </w:p>
        </w:tc>
      </w:tr>
      <w:tr w:rsidR="0039681A" w:rsidRPr="0070054C" w14:paraId="063B2751" w14:textId="77777777">
        <w:trPr>
          <w:trHeight w:val="300"/>
        </w:trPr>
        <w:tc>
          <w:tcPr>
            <w:tcW w:w="1140" w:type="dxa"/>
            <w:shd w:val="clear" w:color="auto" w:fill="C6EFCE"/>
            <w:tcMar>
              <w:left w:w="108" w:type="dxa"/>
              <w:right w:w="108" w:type="dxa"/>
            </w:tcMar>
            <w:vAlign w:val="center"/>
          </w:tcPr>
          <w:p w14:paraId="4078ECB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M2C4-31</w:t>
            </w:r>
          </w:p>
        </w:tc>
        <w:tc>
          <w:tcPr>
            <w:tcW w:w="3628" w:type="dxa"/>
            <w:shd w:val="clear" w:color="auto" w:fill="C6EFCE"/>
            <w:tcMar>
              <w:left w:w="108" w:type="dxa"/>
              <w:right w:w="108" w:type="dxa"/>
            </w:tcMar>
            <w:vAlign w:val="center"/>
          </w:tcPr>
          <w:p w14:paraId="7A1E1FF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 Reduction of losses in water distribution networks, including digitization and monitoring of networks</w:t>
            </w:r>
          </w:p>
        </w:tc>
        <w:tc>
          <w:tcPr>
            <w:tcW w:w="1110" w:type="dxa"/>
            <w:shd w:val="clear" w:color="auto" w:fill="C6EFCE"/>
            <w:tcMar>
              <w:left w:w="108" w:type="dxa"/>
              <w:right w:w="108" w:type="dxa"/>
            </w:tcMar>
            <w:vAlign w:val="center"/>
          </w:tcPr>
          <w:p w14:paraId="70BE223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4934B61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in water distribution networks, including digitization and monitoring of networks T1</w:t>
            </w:r>
          </w:p>
        </w:tc>
      </w:tr>
      <w:tr w:rsidR="0039681A" w:rsidRPr="0070054C" w14:paraId="37A4A53A" w14:textId="77777777">
        <w:trPr>
          <w:trHeight w:val="300"/>
        </w:trPr>
        <w:tc>
          <w:tcPr>
            <w:tcW w:w="1140" w:type="dxa"/>
            <w:shd w:val="clear" w:color="auto" w:fill="C6EFCE"/>
            <w:tcMar>
              <w:left w:w="108" w:type="dxa"/>
              <w:right w:w="108" w:type="dxa"/>
            </w:tcMar>
            <w:vAlign w:val="center"/>
          </w:tcPr>
          <w:p w14:paraId="26600B6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M2C4-34</w:t>
            </w:r>
          </w:p>
        </w:tc>
        <w:tc>
          <w:tcPr>
            <w:tcW w:w="3628" w:type="dxa"/>
            <w:shd w:val="clear" w:color="auto" w:fill="C6EFCE"/>
            <w:tcMar>
              <w:left w:w="108" w:type="dxa"/>
              <w:right w:w="108" w:type="dxa"/>
            </w:tcMar>
            <w:vAlign w:val="center"/>
          </w:tcPr>
          <w:p w14:paraId="4DA2DC2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Investments in the resilience of the irrigation agrosystem for better management of water resources</w:t>
            </w:r>
          </w:p>
        </w:tc>
        <w:tc>
          <w:tcPr>
            <w:tcW w:w="1110" w:type="dxa"/>
            <w:shd w:val="clear" w:color="auto" w:fill="C6EFCE"/>
            <w:tcMar>
              <w:left w:w="108" w:type="dxa"/>
              <w:right w:w="108" w:type="dxa"/>
            </w:tcMar>
            <w:vAlign w:val="center"/>
          </w:tcPr>
          <w:p w14:paraId="7BE51E5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1FCA86D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for the resilience of the irrigation agrosystem for the better management of water resources T1</w:t>
            </w:r>
          </w:p>
        </w:tc>
      </w:tr>
      <w:tr w:rsidR="0039681A" w:rsidRPr="0070054C" w14:paraId="6FBE1DC0" w14:textId="77777777">
        <w:trPr>
          <w:trHeight w:val="300"/>
        </w:trPr>
        <w:tc>
          <w:tcPr>
            <w:tcW w:w="1140" w:type="dxa"/>
            <w:shd w:val="clear" w:color="auto" w:fill="C6EFCE"/>
            <w:tcMar>
              <w:left w:w="108" w:type="dxa"/>
              <w:right w:w="108" w:type="dxa"/>
            </w:tcMar>
            <w:vAlign w:val="center"/>
          </w:tcPr>
          <w:p w14:paraId="42636CD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M2C4-35</w:t>
            </w:r>
          </w:p>
        </w:tc>
        <w:tc>
          <w:tcPr>
            <w:tcW w:w="3628" w:type="dxa"/>
            <w:shd w:val="clear" w:color="auto" w:fill="C6EFCE"/>
            <w:tcMar>
              <w:left w:w="108" w:type="dxa"/>
              <w:right w:w="108" w:type="dxa"/>
            </w:tcMar>
            <w:vAlign w:val="center"/>
          </w:tcPr>
          <w:p w14:paraId="7B53A54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Investments in the resilience of the irrigation agrosystem for better management of water resources</w:t>
            </w:r>
          </w:p>
        </w:tc>
        <w:tc>
          <w:tcPr>
            <w:tcW w:w="1110" w:type="dxa"/>
            <w:shd w:val="clear" w:color="auto" w:fill="C6EFCE"/>
            <w:tcMar>
              <w:left w:w="108" w:type="dxa"/>
              <w:right w:w="108" w:type="dxa"/>
            </w:tcMar>
            <w:vAlign w:val="center"/>
          </w:tcPr>
          <w:p w14:paraId="52F9B7C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510CB66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for the resilience of the irrigation agrosystem for the better management of water resources T1</w:t>
            </w:r>
          </w:p>
        </w:tc>
      </w:tr>
      <w:tr w:rsidR="0039681A" w:rsidRPr="0070054C" w14:paraId="17065BFC" w14:textId="77777777">
        <w:trPr>
          <w:trHeight w:val="300"/>
        </w:trPr>
        <w:tc>
          <w:tcPr>
            <w:tcW w:w="1140" w:type="dxa"/>
            <w:shd w:val="clear" w:color="auto" w:fill="C6EFCE"/>
            <w:tcMar>
              <w:left w:w="108" w:type="dxa"/>
              <w:right w:w="108" w:type="dxa"/>
            </w:tcMar>
            <w:vAlign w:val="center"/>
          </w:tcPr>
          <w:p w14:paraId="6B883F8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M3C1-15</w:t>
            </w:r>
          </w:p>
        </w:tc>
        <w:tc>
          <w:tcPr>
            <w:tcW w:w="3628" w:type="dxa"/>
            <w:shd w:val="clear" w:color="auto" w:fill="C6EFCE"/>
            <w:tcMar>
              <w:left w:w="108" w:type="dxa"/>
              <w:right w:w="108" w:type="dxa"/>
            </w:tcMar>
            <w:vAlign w:val="center"/>
          </w:tcPr>
          <w:p w14:paraId="64F9930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1.5-Strengthening metropolitan nodes and key national links</w:t>
            </w:r>
          </w:p>
        </w:tc>
        <w:tc>
          <w:tcPr>
            <w:tcW w:w="1110" w:type="dxa"/>
            <w:shd w:val="clear" w:color="auto" w:fill="C6EFCE"/>
            <w:tcMar>
              <w:left w:w="108" w:type="dxa"/>
              <w:right w:w="108" w:type="dxa"/>
            </w:tcMar>
            <w:vAlign w:val="center"/>
          </w:tcPr>
          <w:p w14:paraId="558A58E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3782265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700 km of upgraded line sections built on metropolitan nodes and key national links</w:t>
            </w:r>
          </w:p>
        </w:tc>
      </w:tr>
      <w:tr w:rsidR="0039681A" w:rsidRPr="0070054C" w14:paraId="1697CA9B" w14:textId="77777777">
        <w:trPr>
          <w:trHeight w:val="300"/>
        </w:trPr>
        <w:tc>
          <w:tcPr>
            <w:tcW w:w="1140" w:type="dxa"/>
            <w:shd w:val="clear" w:color="auto" w:fill="C6EFCE"/>
            <w:tcMar>
              <w:left w:w="108" w:type="dxa"/>
              <w:right w:w="108" w:type="dxa"/>
            </w:tcMar>
            <w:vAlign w:val="center"/>
          </w:tcPr>
          <w:p w14:paraId="6A038DB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M3C1-19</w:t>
            </w:r>
          </w:p>
        </w:tc>
        <w:tc>
          <w:tcPr>
            <w:tcW w:w="3628" w:type="dxa"/>
            <w:shd w:val="clear" w:color="auto" w:fill="C6EFCE"/>
            <w:tcMar>
              <w:left w:w="108" w:type="dxa"/>
              <w:right w:w="108" w:type="dxa"/>
            </w:tcMar>
            <w:vAlign w:val="center"/>
          </w:tcPr>
          <w:p w14:paraId="2561788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 Upgrading railway stations (RFI management; in South)</w:t>
            </w:r>
          </w:p>
        </w:tc>
        <w:tc>
          <w:tcPr>
            <w:tcW w:w="1110" w:type="dxa"/>
            <w:shd w:val="clear" w:color="auto" w:fill="C6EFCE"/>
            <w:tcMar>
              <w:left w:w="108" w:type="dxa"/>
              <w:right w:w="108" w:type="dxa"/>
            </w:tcMar>
            <w:vAlign w:val="center"/>
          </w:tcPr>
          <w:p w14:paraId="2759D05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3B99CE9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Upgraded and accessible railway stations</w:t>
            </w:r>
          </w:p>
        </w:tc>
      </w:tr>
      <w:tr w:rsidR="0039681A" w:rsidRPr="0070054C" w14:paraId="139B9A93" w14:textId="77777777">
        <w:trPr>
          <w:trHeight w:val="300"/>
        </w:trPr>
        <w:tc>
          <w:tcPr>
            <w:tcW w:w="1140" w:type="dxa"/>
            <w:shd w:val="clear" w:color="auto" w:fill="C6EFCE"/>
            <w:tcMar>
              <w:left w:w="108" w:type="dxa"/>
              <w:right w:w="108" w:type="dxa"/>
            </w:tcMar>
            <w:vAlign w:val="center"/>
          </w:tcPr>
          <w:p w14:paraId="58445BE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M4C2-21bis</w:t>
            </w:r>
          </w:p>
        </w:tc>
        <w:tc>
          <w:tcPr>
            <w:tcW w:w="3628" w:type="dxa"/>
            <w:shd w:val="clear" w:color="auto" w:fill="C6EFCE"/>
            <w:tcMar>
              <w:left w:w="108" w:type="dxa"/>
              <w:right w:w="108" w:type="dxa"/>
            </w:tcMar>
            <w:vAlign w:val="center"/>
          </w:tcPr>
          <w:p w14:paraId="51874EB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 Equity injection into the Digital Transition Fund (“DTF”)</w:t>
            </w:r>
          </w:p>
        </w:tc>
        <w:tc>
          <w:tcPr>
            <w:tcW w:w="1110" w:type="dxa"/>
            <w:shd w:val="clear" w:color="auto" w:fill="C6EFCE"/>
            <w:tcMar>
              <w:left w:w="108" w:type="dxa"/>
              <w:right w:w="108" w:type="dxa"/>
            </w:tcMar>
            <w:vAlign w:val="center"/>
          </w:tcPr>
          <w:p w14:paraId="4EE498F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32CD9360"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Equity injection into the Digital Transition Fund</w:t>
            </w:r>
          </w:p>
        </w:tc>
      </w:tr>
      <w:tr w:rsidR="0039681A" w:rsidRPr="0070054C" w14:paraId="0D5306D7" w14:textId="77777777">
        <w:trPr>
          <w:trHeight w:val="300"/>
        </w:trPr>
        <w:tc>
          <w:tcPr>
            <w:tcW w:w="1140" w:type="dxa"/>
            <w:shd w:val="clear" w:color="auto" w:fill="C6EFCE"/>
            <w:tcMar>
              <w:left w:w="108" w:type="dxa"/>
              <w:right w:w="108" w:type="dxa"/>
            </w:tcMar>
            <w:vAlign w:val="center"/>
          </w:tcPr>
          <w:p w14:paraId="5385C4EE"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M5C3-12</w:t>
            </w:r>
          </w:p>
        </w:tc>
        <w:tc>
          <w:tcPr>
            <w:tcW w:w="3628" w:type="dxa"/>
            <w:shd w:val="clear" w:color="auto" w:fill="C6EFCE"/>
            <w:tcMar>
              <w:left w:w="108" w:type="dxa"/>
              <w:right w:w="108" w:type="dxa"/>
            </w:tcMar>
            <w:vAlign w:val="center"/>
          </w:tcPr>
          <w:p w14:paraId="4DE0BBE5"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 Infrastructural investments for the Special Economic Zone</w:t>
            </w:r>
          </w:p>
        </w:tc>
        <w:tc>
          <w:tcPr>
            <w:tcW w:w="1110" w:type="dxa"/>
            <w:shd w:val="clear" w:color="auto" w:fill="C6EFCE"/>
            <w:tcMar>
              <w:left w:w="108" w:type="dxa"/>
              <w:right w:w="108" w:type="dxa"/>
            </w:tcMar>
            <w:vAlign w:val="center"/>
          </w:tcPr>
          <w:p w14:paraId="41952D70"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12FCF516"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Start of works for infrastructural interventions projects in the Special Economic Zones</w:t>
            </w:r>
          </w:p>
        </w:tc>
      </w:tr>
      <w:tr w:rsidR="0039681A" w:rsidRPr="0070054C" w14:paraId="7B0FBB24" w14:textId="77777777">
        <w:trPr>
          <w:trHeight w:val="300"/>
        </w:trPr>
        <w:tc>
          <w:tcPr>
            <w:tcW w:w="1140" w:type="dxa"/>
            <w:shd w:val="clear" w:color="auto" w:fill="C6EFCE"/>
            <w:tcMar>
              <w:left w:w="108" w:type="dxa"/>
              <w:right w:w="108" w:type="dxa"/>
            </w:tcMar>
            <w:vAlign w:val="center"/>
          </w:tcPr>
          <w:p w14:paraId="453A224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M6C1-7</w:t>
            </w:r>
          </w:p>
        </w:tc>
        <w:tc>
          <w:tcPr>
            <w:tcW w:w="3628" w:type="dxa"/>
            <w:shd w:val="clear" w:color="auto" w:fill="C6EFCE"/>
            <w:tcMar>
              <w:left w:w="108" w:type="dxa"/>
              <w:right w:w="108" w:type="dxa"/>
            </w:tcMar>
            <w:vAlign w:val="center"/>
          </w:tcPr>
          <w:p w14:paraId="6241ABC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Home as the first place of care and telemedicine</w:t>
            </w:r>
          </w:p>
        </w:tc>
        <w:tc>
          <w:tcPr>
            <w:tcW w:w="1110" w:type="dxa"/>
            <w:shd w:val="clear" w:color="auto" w:fill="C6EFCE"/>
            <w:tcMar>
              <w:left w:w="108" w:type="dxa"/>
              <w:right w:w="108" w:type="dxa"/>
            </w:tcMar>
            <w:vAlign w:val="center"/>
          </w:tcPr>
          <w:p w14:paraId="0C689F2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24AF7B0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Coordination Centres fully operational (second batch)</w:t>
            </w:r>
          </w:p>
        </w:tc>
      </w:tr>
      <w:tr w:rsidR="0039681A" w:rsidRPr="00647572" w14:paraId="370B51BA" w14:textId="77777777">
        <w:trPr>
          <w:trHeight w:val="300"/>
        </w:trPr>
        <w:tc>
          <w:tcPr>
            <w:tcW w:w="1140" w:type="dxa"/>
            <w:shd w:val="clear" w:color="auto" w:fill="C6EFCE"/>
            <w:tcMar>
              <w:left w:w="108" w:type="dxa"/>
              <w:right w:w="108" w:type="dxa"/>
            </w:tcMar>
            <w:vAlign w:val="center"/>
          </w:tcPr>
          <w:p w14:paraId="258B611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M7-43</w:t>
            </w:r>
          </w:p>
        </w:tc>
        <w:tc>
          <w:tcPr>
            <w:tcW w:w="3628" w:type="dxa"/>
            <w:shd w:val="clear" w:color="auto" w:fill="C6EFCE"/>
            <w:tcMar>
              <w:left w:w="108" w:type="dxa"/>
              <w:right w:w="108" w:type="dxa"/>
            </w:tcMar>
            <w:vAlign w:val="center"/>
          </w:tcPr>
          <w:p w14:paraId="6F18A9D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 Support to SMEs for self-production from renewable energy sources</w:t>
            </w:r>
          </w:p>
        </w:tc>
        <w:tc>
          <w:tcPr>
            <w:tcW w:w="1110" w:type="dxa"/>
            <w:shd w:val="clear" w:color="auto" w:fill="C6EFCE"/>
            <w:tcMar>
              <w:left w:w="108" w:type="dxa"/>
              <w:right w:w="108" w:type="dxa"/>
            </w:tcMar>
            <w:vAlign w:val="center"/>
          </w:tcPr>
          <w:p w14:paraId="20395C7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539C879C"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39681A" w:rsidRPr="0070054C" w14:paraId="34FE3409" w14:textId="77777777">
        <w:trPr>
          <w:trHeight w:val="300"/>
        </w:trPr>
        <w:tc>
          <w:tcPr>
            <w:tcW w:w="1140" w:type="dxa"/>
            <w:shd w:val="clear" w:color="auto" w:fill="C6EFCE"/>
            <w:tcMar>
              <w:left w:w="108" w:type="dxa"/>
              <w:right w:w="108" w:type="dxa"/>
            </w:tcMar>
            <w:vAlign w:val="center"/>
          </w:tcPr>
          <w:p w14:paraId="484B0F2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M7-44</w:t>
            </w:r>
          </w:p>
        </w:tc>
        <w:tc>
          <w:tcPr>
            <w:tcW w:w="3628" w:type="dxa"/>
            <w:shd w:val="clear" w:color="auto" w:fill="C6EFCE"/>
            <w:tcMar>
              <w:left w:w="108" w:type="dxa"/>
              <w:right w:w="108" w:type="dxa"/>
            </w:tcMar>
            <w:vAlign w:val="center"/>
          </w:tcPr>
          <w:p w14:paraId="029243E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 Support to SMEs for self-production from renewable energy sources</w:t>
            </w:r>
          </w:p>
        </w:tc>
        <w:tc>
          <w:tcPr>
            <w:tcW w:w="1110" w:type="dxa"/>
            <w:shd w:val="clear" w:color="auto" w:fill="C6EFCE"/>
            <w:tcMar>
              <w:left w:w="108" w:type="dxa"/>
              <w:right w:w="108" w:type="dxa"/>
            </w:tcMar>
            <w:vAlign w:val="center"/>
          </w:tcPr>
          <w:p w14:paraId="4044003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80" w:type="dxa"/>
            <w:shd w:val="clear" w:color="auto" w:fill="C6EFCE"/>
            <w:tcMar>
              <w:left w:w="108" w:type="dxa"/>
              <w:right w:w="108" w:type="dxa"/>
            </w:tcMar>
            <w:vAlign w:val="center"/>
          </w:tcPr>
          <w:p w14:paraId="0BC8E4C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The Ministry of Enterprises and Made in Italy has completed the transfer of funds to Invitalia</w:t>
            </w:r>
          </w:p>
        </w:tc>
      </w:tr>
      <w:tr w:rsidR="0039681A" w:rsidRPr="0070054C" w14:paraId="565A0ED8" w14:textId="77777777">
        <w:trPr>
          <w:trHeight w:val="300"/>
        </w:trPr>
        <w:tc>
          <w:tcPr>
            <w:tcW w:w="1140" w:type="dxa"/>
            <w:shd w:val="clear" w:color="auto" w:fill="C6EFCE"/>
            <w:tcMar>
              <w:left w:w="108" w:type="dxa"/>
              <w:right w:w="108" w:type="dxa"/>
            </w:tcMar>
            <w:vAlign w:val="center"/>
          </w:tcPr>
          <w:p w14:paraId="171F138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M2C4-20</w:t>
            </w:r>
          </w:p>
        </w:tc>
        <w:tc>
          <w:tcPr>
            <w:tcW w:w="3628" w:type="dxa"/>
            <w:shd w:val="clear" w:color="auto" w:fill="C6EFCE"/>
            <w:tcMar>
              <w:left w:w="108" w:type="dxa"/>
              <w:right w:w="108" w:type="dxa"/>
            </w:tcMar>
            <w:vAlign w:val="center"/>
          </w:tcPr>
          <w:p w14:paraId="1E3C650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Protection and enhancement of urban and peri-urban forests</w:t>
            </w:r>
          </w:p>
        </w:tc>
        <w:tc>
          <w:tcPr>
            <w:tcW w:w="1110" w:type="dxa"/>
            <w:shd w:val="clear" w:color="auto" w:fill="C6EFCE"/>
            <w:tcMar>
              <w:left w:w="108" w:type="dxa"/>
              <w:right w:w="108" w:type="dxa"/>
            </w:tcMar>
            <w:vAlign w:val="center"/>
          </w:tcPr>
          <w:p w14:paraId="0DFD831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80" w:type="dxa"/>
            <w:shd w:val="clear" w:color="auto" w:fill="C6EFCE"/>
            <w:tcMar>
              <w:left w:w="108" w:type="dxa"/>
              <w:right w:w="108" w:type="dxa"/>
            </w:tcMar>
            <w:vAlign w:val="center"/>
          </w:tcPr>
          <w:p w14:paraId="519B856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Plant trees for the protection and valorisation of urban and peri-urban green areas T2 </w:t>
            </w:r>
          </w:p>
        </w:tc>
      </w:tr>
      <w:tr w:rsidR="0039681A" w:rsidRPr="00647572" w14:paraId="4402E687" w14:textId="77777777">
        <w:trPr>
          <w:trHeight w:val="300"/>
        </w:trPr>
        <w:tc>
          <w:tcPr>
            <w:tcW w:w="1140" w:type="dxa"/>
            <w:shd w:val="clear" w:color="auto" w:fill="C6EFCE"/>
            <w:tcMar>
              <w:left w:w="108" w:type="dxa"/>
              <w:right w:w="108" w:type="dxa"/>
            </w:tcMar>
            <w:vAlign w:val="center"/>
          </w:tcPr>
          <w:p w14:paraId="57F85E6B"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3628" w:type="dxa"/>
            <w:shd w:val="clear" w:color="auto" w:fill="C6EFCE"/>
            <w:tcMar>
              <w:left w:w="108" w:type="dxa"/>
              <w:right w:w="108" w:type="dxa"/>
            </w:tcMar>
            <w:vAlign w:val="center"/>
          </w:tcPr>
          <w:p w14:paraId="6E4B029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110" w:type="dxa"/>
            <w:shd w:val="clear" w:color="auto" w:fill="C6EFCE"/>
            <w:tcMar>
              <w:left w:w="108" w:type="dxa"/>
              <w:right w:w="108" w:type="dxa"/>
            </w:tcMar>
            <w:vAlign w:val="center"/>
          </w:tcPr>
          <w:p w14:paraId="4EAE4A65"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480" w:type="dxa"/>
            <w:shd w:val="clear" w:color="auto" w:fill="C6EFCE"/>
            <w:tcMar>
              <w:left w:w="108" w:type="dxa"/>
              <w:right w:w="108" w:type="dxa"/>
            </w:tcMar>
            <w:vAlign w:val="center"/>
          </w:tcPr>
          <w:p w14:paraId="0F68D6BE"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15</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715</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972</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025</w:t>
            </w:r>
          </w:p>
        </w:tc>
      </w:tr>
    </w:tbl>
    <w:p w14:paraId="3E52A907" w14:textId="77777777" w:rsidR="0039681A" w:rsidRPr="00647572" w:rsidRDefault="0039681A" w:rsidP="00351087">
      <w:pPr>
        <w:spacing w:after="0"/>
        <w:ind w:left="850"/>
        <w:contextualSpacing/>
        <w:jc w:val="both"/>
        <w:rPr>
          <w:rFonts w:ascii="Times New Roman" w:eastAsia="Times New Roman" w:hAnsi="Times New Roman" w:cs="Times New Roman"/>
          <w:noProof/>
          <w:lang w:eastAsia="en-GB"/>
        </w:rPr>
      </w:pPr>
    </w:p>
    <w:p w14:paraId="042B3F2C" w14:textId="77777777" w:rsidR="0039681A" w:rsidRPr="00647572" w:rsidRDefault="0039681A" w:rsidP="00351087">
      <w:pPr>
        <w:rPr>
          <w:rFonts w:ascii="Times New Roman" w:eastAsia="Times New Roman" w:hAnsi="Times New Roman" w:cs="Times New Roman"/>
          <w:noProof/>
          <w:lang w:eastAsia="en-GB"/>
        </w:rPr>
      </w:pPr>
      <w:r w:rsidRPr="00647572">
        <w:rPr>
          <w:rFonts w:ascii="Times New Roman" w:eastAsia="Times New Roman" w:hAnsi="Times New Roman" w:cs="Times New Roman"/>
          <w:noProof/>
          <w:lang w:eastAsia="en-GB"/>
        </w:rPr>
        <w:br w:type="page"/>
      </w:r>
    </w:p>
    <w:p w14:paraId="0A23355B" w14:textId="77777777" w:rsidR="0039681A" w:rsidRPr="00647572" w:rsidRDefault="0039681A" w:rsidP="0039681A">
      <w:pPr>
        <w:pStyle w:val="Heading3"/>
        <w:numPr>
          <w:ilvl w:val="1"/>
          <w:numId w:val="16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Eighth Instalment (loan support):</w:t>
      </w:r>
    </w:p>
    <w:tbl>
      <w:tblPr>
        <w:tblW w:w="935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5"/>
        <w:gridCol w:w="3784"/>
        <w:gridCol w:w="1260"/>
        <w:gridCol w:w="2979"/>
      </w:tblGrid>
      <w:tr w:rsidR="0039681A" w:rsidRPr="00647572" w14:paraId="2500ABA4" w14:textId="77777777">
        <w:trPr>
          <w:trHeight w:val="900"/>
          <w:tblHeader/>
        </w:trPr>
        <w:tc>
          <w:tcPr>
            <w:tcW w:w="1335" w:type="dxa"/>
            <w:vMerge w:val="restart"/>
            <w:shd w:val="clear" w:color="auto" w:fill="BDD7EE"/>
            <w:tcMar>
              <w:left w:w="108" w:type="dxa"/>
              <w:right w:w="108" w:type="dxa"/>
            </w:tcMar>
            <w:vAlign w:val="center"/>
          </w:tcPr>
          <w:p w14:paraId="03C2AAA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784" w:type="dxa"/>
            <w:vMerge w:val="restart"/>
            <w:shd w:val="clear" w:color="auto" w:fill="BDD7EE"/>
            <w:tcMar>
              <w:left w:w="108" w:type="dxa"/>
              <w:right w:w="108" w:type="dxa"/>
            </w:tcMar>
            <w:vAlign w:val="center"/>
          </w:tcPr>
          <w:p w14:paraId="5E193376"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60" w:type="dxa"/>
            <w:vMerge w:val="restart"/>
            <w:shd w:val="clear" w:color="auto" w:fill="BDD7EE"/>
            <w:tcMar>
              <w:left w:w="108" w:type="dxa"/>
              <w:right w:w="108" w:type="dxa"/>
            </w:tcMar>
            <w:vAlign w:val="center"/>
          </w:tcPr>
          <w:p w14:paraId="07D8269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2979" w:type="dxa"/>
            <w:vMerge w:val="restart"/>
            <w:shd w:val="clear" w:color="auto" w:fill="BDD7EE"/>
            <w:tcMar>
              <w:left w:w="108" w:type="dxa"/>
              <w:right w:w="108" w:type="dxa"/>
            </w:tcMar>
            <w:vAlign w:val="center"/>
          </w:tcPr>
          <w:p w14:paraId="0A4C1CF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70AF57CC" w14:textId="77777777">
        <w:trPr>
          <w:trHeight w:val="510"/>
        </w:trPr>
        <w:tc>
          <w:tcPr>
            <w:tcW w:w="1335" w:type="dxa"/>
            <w:vMerge/>
            <w:vAlign w:val="center"/>
          </w:tcPr>
          <w:p w14:paraId="25C57FFB"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784" w:type="dxa"/>
            <w:vMerge/>
            <w:vAlign w:val="center"/>
          </w:tcPr>
          <w:p w14:paraId="24CB8C03"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260" w:type="dxa"/>
            <w:vMerge/>
            <w:vAlign w:val="center"/>
          </w:tcPr>
          <w:p w14:paraId="2FC72209"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2979" w:type="dxa"/>
            <w:vMerge/>
            <w:vAlign w:val="center"/>
          </w:tcPr>
          <w:p w14:paraId="05719009"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647572" w14:paraId="5645D601" w14:textId="77777777">
        <w:trPr>
          <w:trHeight w:val="300"/>
        </w:trPr>
        <w:tc>
          <w:tcPr>
            <w:tcW w:w="1335" w:type="dxa"/>
            <w:shd w:val="clear" w:color="auto" w:fill="C6EFCE"/>
            <w:tcMar>
              <w:left w:w="108" w:type="dxa"/>
              <w:right w:w="108" w:type="dxa"/>
            </w:tcMar>
            <w:vAlign w:val="center"/>
          </w:tcPr>
          <w:p w14:paraId="11C8259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M7-47</w:t>
            </w:r>
          </w:p>
        </w:tc>
        <w:tc>
          <w:tcPr>
            <w:tcW w:w="3784" w:type="dxa"/>
            <w:shd w:val="clear" w:color="auto" w:fill="C6EFCE"/>
            <w:tcMar>
              <w:left w:w="108" w:type="dxa"/>
              <w:right w:w="108" w:type="dxa"/>
            </w:tcMar>
            <w:vAlign w:val="center"/>
          </w:tcPr>
          <w:p w14:paraId="4657150E"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Financial instrument for energy renovations of public residential housing</w:t>
            </w:r>
          </w:p>
        </w:tc>
        <w:tc>
          <w:tcPr>
            <w:tcW w:w="1260" w:type="dxa"/>
            <w:shd w:val="clear" w:color="auto" w:fill="C6EFCE"/>
            <w:tcMar>
              <w:left w:w="108" w:type="dxa"/>
              <w:right w:w="108" w:type="dxa"/>
            </w:tcMar>
            <w:vAlign w:val="center"/>
          </w:tcPr>
          <w:p w14:paraId="15CF95F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79" w:type="dxa"/>
            <w:shd w:val="clear" w:color="auto" w:fill="C6EFCE"/>
            <w:tcMar>
              <w:left w:w="108" w:type="dxa"/>
              <w:right w:w="108" w:type="dxa"/>
            </w:tcMar>
            <w:vAlign w:val="center"/>
          </w:tcPr>
          <w:p w14:paraId="57B85947"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39681A" w:rsidRPr="0070054C" w14:paraId="08C4AFC6" w14:textId="77777777">
        <w:trPr>
          <w:trHeight w:val="300"/>
        </w:trPr>
        <w:tc>
          <w:tcPr>
            <w:tcW w:w="1335" w:type="dxa"/>
            <w:shd w:val="clear" w:color="auto" w:fill="C6EFCE"/>
            <w:tcMar>
              <w:left w:w="108" w:type="dxa"/>
              <w:right w:w="108" w:type="dxa"/>
            </w:tcMar>
            <w:vAlign w:val="center"/>
          </w:tcPr>
          <w:p w14:paraId="502FBCB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M7-48</w:t>
            </w:r>
          </w:p>
        </w:tc>
        <w:tc>
          <w:tcPr>
            <w:tcW w:w="3784" w:type="dxa"/>
            <w:shd w:val="clear" w:color="auto" w:fill="C6EFCE"/>
            <w:tcMar>
              <w:left w:w="108" w:type="dxa"/>
              <w:right w:w="108" w:type="dxa"/>
            </w:tcMar>
            <w:vAlign w:val="center"/>
          </w:tcPr>
          <w:p w14:paraId="5267252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Financial instrument for energy renovations of public residential housing</w:t>
            </w:r>
          </w:p>
        </w:tc>
        <w:tc>
          <w:tcPr>
            <w:tcW w:w="1260" w:type="dxa"/>
            <w:shd w:val="clear" w:color="auto" w:fill="C6EFCE"/>
            <w:tcMar>
              <w:left w:w="108" w:type="dxa"/>
              <w:right w:w="108" w:type="dxa"/>
            </w:tcMar>
            <w:vAlign w:val="center"/>
          </w:tcPr>
          <w:p w14:paraId="5A0901E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79" w:type="dxa"/>
            <w:shd w:val="clear" w:color="auto" w:fill="C6EFCE"/>
            <w:tcMar>
              <w:left w:w="108" w:type="dxa"/>
              <w:right w:w="108" w:type="dxa"/>
            </w:tcMar>
            <w:vAlign w:val="center"/>
          </w:tcPr>
          <w:p w14:paraId="269A4E9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Ministry has completed the investment</w:t>
            </w:r>
          </w:p>
        </w:tc>
      </w:tr>
      <w:tr w:rsidR="0039681A" w:rsidRPr="00647572" w14:paraId="36B66452" w14:textId="77777777">
        <w:trPr>
          <w:trHeight w:val="300"/>
        </w:trPr>
        <w:tc>
          <w:tcPr>
            <w:tcW w:w="1335" w:type="dxa"/>
            <w:shd w:val="clear" w:color="auto" w:fill="C6EFCE"/>
            <w:tcMar>
              <w:left w:w="108" w:type="dxa"/>
              <w:right w:w="108" w:type="dxa"/>
            </w:tcMar>
            <w:vAlign w:val="center"/>
          </w:tcPr>
          <w:p w14:paraId="7C980103"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M1C1-146</w:t>
            </w:r>
          </w:p>
        </w:tc>
        <w:tc>
          <w:tcPr>
            <w:tcW w:w="3784" w:type="dxa"/>
            <w:shd w:val="clear" w:color="auto" w:fill="C6EFCE"/>
            <w:tcMar>
              <w:left w:w="108" w:type="dxa"/>
              <w:right w:w="108" w:type="dxa"/>
            </w:tcMar>
            <w:vAlign w:val="center"/>
          </w:tcPr>
          <w:p w14:paraId="6E6BD83B"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1.4.4 - Adoption scale up of the National Digital Identity platforms (SPID, CIE) and the national registry (ANPR)</w:t>
            </w:r>
          </w:p>
        </w:tc>
        <w:tc>
          <w:tcPr>
            <w:tcW w:w="1260" w:type="dxa"/>
            <w:shd w:val="clear" w:color="auto" w:fill="C6EFCE"/>
            <w:tcMar>
              <w:left w:w="108" w:type="dxa"/>
              <w:right w:w="108" w:type="dxa"/>
            </w:tcMar>
            <w:vAlign w:val="center"/>
          </w:tcPr>
          <w:p w14:paraId="3A535149"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79" w:type="dxa"/>
            <w:shd w:val="clear" w:color="auto" w:fill="C6EFCE"/>
            <w:tcMar>
              <w:left w:w="108" w:type="dxa"/>
              <w:right w:w="108" w:type="dxa"/>
            </w:tcMar>
            <w:vAlign w:val="center"/>
          </w:tcPr>
          <w:p w14:paraId="29622F1E"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National Digital Identity platform (CIE)</w:t>
            </w:r>
          </w:p>
        </w:tc>
      </w:tr>
      <w:tr w:rsidR="0039681A" w:rsidRPr="0070054C" w14:paraId="33469F3E" w14:textId="77777777">
        <w:trPr>
          <w:trHeight w:val="300"/>
        </w:trPr>
        <w:tc>
          <w:tcPr>
            <w:tcW w:w="1335" w:type="dxa"/>
            <w:shd w:val="clear" w:color="auto" w:fill="C6EFCE"/>
            <w:tcMar>
              <w:left w:w="108" w:type="dxa"/>
              <w:right w:w="108" w:type="dxa"/>
            </w:tcMar>
            <w:vAlign w:val="center"/>
          </w:tcPr>
          <w:p w14:paraId="0E33702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M1C3-16</w:t>
            </w:r>
          </w:p>
        </w:tc>
        <w:tc>
          <w:tcPr>
            <w:tcW w:w="3784" w:type="dxa"/>
            <w:shd w:val="clear" w:color="auto" w:fill="C6EFCE"/>
            <w:tcMar>
              <w:left w:w="108" w:type="dxa"/>
              <w:right w:w="108" w:type="dxa"/>
            </w:tcMar>
            <w:vAlign w:val="center"/>
          </w:tcPr>
          <w:p w14:paraId="6661BA17"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 2.1 Attractiveness of Small Historic Towns</w:t>
            </w:r>
          </w:p>
        </w:tc>
        <w:tc>
          <w:tcPr>
            <w:tcW w:w="1260" w:type="dxa"/>
            <w:shd w:val="clear" w:color="auto" w:fill="C6EFCE"/>
            <w:tcMar>
              <w:left w:w="108" w:type="dxa"/>
              <w:right w:w="108" w:type="dxa"/>
            </w:tcMar>
            <w:vAlign w:val="center"/>
          </w:tcPr>
          <w:p w14:paraId="4E2CFA3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79" w:type="dxa"/>
            <w:shd w:val="clear" w:color="auto" w:fill="C6EFCE"/>
            <w:tcMar>
              <w:left w:w="108" w:type="dxa"/>
              <w:right w:w="108" w:type="dxa"/>
            </w:tcMar>
            <w:vAlign w:val="center"/>
          </w:tcPr>
          <w:p w14:paraId="2E88057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Adoption of Decree(s) listing firms supported in Small Historic Towns</w:t>
            </w:r>
          </w:p>
        </w:tc>
      </w:tr>
      <w:tr w:rsidR="0039681A" w:rsidRPr="0070054C" w14:paraId="601676BF" w14:textId="77777777">
        <w:trPr>
          <w:trHeight w:val="300"/>
        </w:trPr>
        <w:tc>
          <w:tcPr>
            <w:tcW w:w="1335" w:type="dxa"/>
            <w:shd w:val="clear" w:color="auto" w:fill="C6EFCE"/>
            <w:tcMar>
              <w:left w:w="108" w:type="dxa"/>
              <w:right w:w="108" w:type="dxa"/>
            </w:tcMar>
            <w:vAlign w:val="center"/>
          </w:tcPr>
          <w:p w14:paraId="3757CE6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M2C4-9</w:t>
            </w:r>
          </w:p>
        </w:tc>
        <w:tc>
          <w:tcPr>
            <w:tcW w:w="3784" w:type="dxa"/>
            <w:shd w:val="clear" w:color="auto" w:fill="C6EFCE"/>
            <w:tcMar>
              <w:left w:w="108" w:type="dxa"/>
              <w:right w:w="108" w:type="dxa"/>
            </w:tcMar>
            <w:vAlign w:val="center"/>
          </w:tcPr>
          <w:p w14:paraId="3E967786"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Implementation of an advanced and integrated monitoring and forecasting system</w:t>
            </w:r>
          </w:p>
        </w:tc>
        <w:tc>
          <w:tcPr>
            <w:tcW w:w="1260" w:type="dxa"/>
            <w:shd w:val="clear" w:color="auto" w:fill="C6EFCE"/>
            <w:tcMar>
              <w:left w:w="108" w:type="dxa"/>
              <w:right w:w="108" w:type="dxa"/>
            </w:tcMar>
            <w:vAlign w:val="center"/>
          </w:tcPr>
          <w:p w14:paraId="2D74204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79" w:type="dxa"/>
            <w:shd w:val="clear" w:color="auto" w:fill="C6EFCE"/>
            <w:tcMar>
              <w:left w:w="108" w:type="dxa"/>
              <w:right w:w="108" w:type="dxa"/>
            </w:tcMar>
            <w:vAlign w:val="center"/>
          </w:tcPr>
          <w:p w14:paraId="5B0814E5" w14:textId="02694EEF"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The monitoring and forecast system is accessible</w:t>
            </w:r>
            <w:r w:rsidR="00381DB1">
              <w:rPr>
                <w:rFonts w:ascii="Times New Roman" w:eastAsia="Times New Roman" w:hAnsi="Times New Roman" w:cs="Times New Roman"/>
                <w:noProof/>
                <w:color w:val="006100"/>
                <w:sz w:val="20"/>
                <w:szCs w:val="20"/>
                <w:lang w:val="en-IE" w:eastAsia="en-GB"/>
              </w:rPr>
              <w:t xml:space="preserve"> </w:t>
            </w:r>
          </w:p>
        </w:tc>
      </w:tr>
      <w:tr w:rsidR="0039681A" w:rsidRPr="0070054C" w14:paraId="6C3F8AEC" w14:textId="77777777">
        <w:trPr>
          <w:trHeight w:val="300"/>
        </w:trPr>
        <w:tc>
          <w:tcPr>
            <w:tcW w:w="1335" w:type="dxa"/>
            <w:shd w:val="clear" w:color="auto" w:fill="C6EFCE"/>
            <w:tcMar>
              <w:left w:w="108" w:type="dxa"/>
              <w:right w:w="108" w:type="dxa"/>
            </w:tcMar>
            <w:vAlign w:val="center"/>
          </w:tcPr>
          <w:p w14:paraId="58D66A4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M2C4-26</w:t>
            </w:r>
          </w:p>
        </w:tc>
        <w:tc>
          <w:tcPr>
            <w:tcW w:w="3784" w:type="dxa"/>
            <w:shd w:val="clear" w:color="auto" w:fill="C6EFCE"/>
            <w:tcMar>
              <w:left w:w="108" w:type="dxa"/>
              <w:right w:w="108" w:type="dxa"/>
            </w:tcMar>
            <w:vAlign w:val="center"/>
          </w:tcPr>
          <w:p w14:paraId="34B73CE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3.5. Restoration and protection of the seabed and marine habitats</w:t>
            </w:r>
          </w:p>
        </w:tc>
        <w:tc>
          <w:tcPr>
            <w:tcW w:w="1260" w:type="dxa"/>
            <w:shd w:val="clear" w:color="auto" w:fill="C6EFCE"/>
            <w:tcMar>
              <w:left w:w="108" w:type="dxa"/>
              <w:right w:w="108" w:type="dxa"/>
            </w:tcMar>
            <w:vAlign w:val="center"/>
          </w:tcPr>
          <w:p w14:paraId="74A7EBA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79" w:type="dxa"/>
            <w:shd w:val="clear" w:color="auto" w:fill="C6EFCE"/>
            <w:tcMar>
              <w:left w:w="108" w:type="dxa"/>
              <w:right w:w="108" w:type="dxa"/>
            </w:tcMar>
            <w:vAlign w:val="center"/>
          </w:tcPr>
          <w:p w14:paraId="6907D33C"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Restoration and protection of seabed and marine habitats </w:t>
            </w:r>
          </w:p>
        </w:tc>
      </w:tr>
      <w:tr w:rsidR="0039681A" w:rsidRPr="0070054C" w14:paraId="130962F9" w14:textId="77777777">
        <w:trPr>
          <w:trHeight w:val="300"/>
        </w:trPr>
        <w:tc>
          <w:tcPr>
            <w:tcW w:w="1335" w:type="dxa"/>
            <w:shd w:val="clear" w:color="auto" w:fill="C6EFCE"/>
            <w:tcMar>
              <w:left w:w="108" w:type="dxa"/>
              <w:right w:w="108" w:type="dxa"/>
            </w:tcMar>
            <w:vAlign w:val="center"/>
          </w:tcPr>
          <w:p w14:paraId="5CC16FA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M4C2-6</w:t>
            </w:r>
          </w:p>
        </w:tc>
        <w:tc>
          <w:tcPr>
            <w:tcW w:w="3784" w:type="dxa"/>
            <w:shd w:val="clear" w:color="auto" w:fill="C6EFCE"/>
            <w:tcMar>
              <w:left w:w="108" w:type="dxa"/>
              <w:right w:w="108" w:type="dxa"/>
            </w:tcMar>
            <w:vAlign w:val="center"/>
          </w:tcPr>
          <w:p w14:paraId="03E6281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Research Projects of Significant National Interest (PRIN)</w:t>
            </w:r>
          </w:p>
        </w:tc>
        <w:tc>
          <w:tcPr>
            <w:tcW w:w="1260" w:type="dxa"/>
            <w:shd w:val="clear" w:color="auto" w:fill="C6EFCE"/>
            <w:tcMar>
              <w:left w:w="108" w:type="dxa"/>
              <w:right w:w="108" w:type="dxa"/>
            </w:tcMar>
            <w:vAlign w:val="center"/>
          </w:tcPr>
          <w:p w14:paraId="2F9C2DC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2979" w:type="dxa"/>
            <w:shd w:val="clear" w:color="auto" w:fill="C6EFCE"/>
            <w:tcMar>
              <w:left w:w="108" w:type="dxa"/>
              <w:right w:w="108" w:type="dxa"/>
            </w:tcMar>
            <w:vAlign w:val="center"/>
          </w:tcPr>
          <w:p w14:paraId="15951312"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Publication of the decree(s) awarding the projects </w:t>
            </w:r>
          </w:p>
        </w:tc>
      </w:tr>
      <w:tr w:rsidR="0039681A" w:rsidRPr="0070054C" w14:paraId="0B49C54C" w14:textId="77777777">
        <w:trPr>
          <w:trHeight w:val="300"/>
        </w:trPr>
        <w:tc>
          <w:tcPr>
            <w:tcW w:w="1335" w:type="dxa"/>
            <w:shd w:val="clear" w:color="auto" w:fill="C6EFCE"/>
            <w:tcMar>
              <w:left w:w="108" w:type="dxa"/>
              <w:right w:w="108" w:type="dxa"/>
            </w:tcMar>
            <w:vAlign w:val="center"/>
          </w:tcPr>
          <w:p w14:paraId="6A269E3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M4C2-7</w:t>
            </w:r>
          </w:p>
        </w:tc>
        <w:tc>
          <w:tcPr>
            <w:tcW w:w="3784" w:type="dxa"/>
            <w:shd w:val="clear" w:color="auto" w:fill="C6EFCE"/>
            <w:tcMar>
              <w:left w:w="108" w:type="dxa"/>
              <w:right w:w="108" w:type="dxa"/>
            </w:tcMar>
            <w:vAlign w:val="center"/>
          </w:tcPr>
          <w:p w14:paraId="66912AF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Research Projects of Significant National Interest (PRIN)</w:t>
            </w:r>
          </w:p>
        </w:tc>
        <w:tc>
          <w:tcPr>
            <w:tcW w:w="1260" w:type="dxa"/>
            <w:shd w:val="clear" w:color="auto" w:fill="C6EFCE"/>
            <w:tcMar>
              <w:left w:w="108" w:type="dxa"/>
              <w:right w:w="108" w:type="dxa"/>
            </w:tcMar>
            <w:vAlign w:val="center"/>
          </w:tcPr>
          <w:p w14:paraId="6A2AA81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79" w:type="dxa"/>
            <w:shd w:val="clear" w:color="auto" w:fill="C6EFCE"/>
            <w:tcMar>
              <w:left w:w="108" w:type="dxa"/>
              <w:right w:w="108" w:type="dxa"/>
            </w:tcMar>
            <w:vAlign w:val="center"/>
          </w:tcPr>
          <w:p w14:paraId="017F4A15"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fixed-term researchers hired</w:t>
            </w:r>
          </w:p>
        </w:tc>
      </w:tr>
      <w:tr w:rsidR="0039681A" w:rsidRPr="0070054C" w14:paraId="2DF43378" w14:textId="77777777">
        <w:trPr>
          <w:trHeight w:val="300"/>
        </w:trPr>
        <w:tc>
          <w:tcPr>
            <w:tcW w:w="1335" w:type="dxa"/>
            <w:shd w:val="clear" w:color="auto" w:fill="C6EFCE"/>
            <w:tcMar>
              <w:left w:w="108" w:type="dxa"/>
              <w:right w:w="108" w:type="dxa"/>
            </w:tcMar>
            <w:vAlign w:val="center"/>
          </w:tcPr>
          <w:p w14:paraId="2822BAE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M4C2-8</w:t>
            </w:r>
          </w:p>
        </w:tc>
        <w:tc>
          <w:tcPr>
            <w:tcW w:w="3784" w:type="dxa"/>
            <w:shd w:val="clear" w:color="auto" w:fill="C6EFCE"/>
            <w:tcMar>
              <w:left w:w="108" w:type="dxa"/>
              <w:right w:w="108" w:type="dxa"/>
            </w:tcMar>
            <w:vAlign w:val="center"/>
          </w:tcPr>
          <w:p w14:paraId="5768B0B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Partnerships extended to universities, research centers, companies and funding of basic research projects</w:t>
            </w:r>
          </w:p>
        </w:tc>
        <w:tc>
          <w:tcPr>
            <w:tcW w:w="1260" w:type="dxa"/>
            <w:shd w:val="clear" w:color="auto" w:fill="C6EFCE"/>
            <w:tcMar>
              <w:left w:w="108" w:type="dxa"/>
              <w:right w:w="108" w:type="dxa"/>
            </w:tcMar>
            <w:vAlign w:val="center"/>
          </w:tcPr>
          <w:p w14:paraId="664FD2D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79" w:type="dxa"/>
            <w:shd w:val="clear" w:color="auto" w:fill="C6EFCE"/>
            <w:tcMar>
              <w:left w:w="108" w:type="dxa"/>
              <w:right w:w="108" w:type="dxa"/>
            </w:tcMar>
            <w:vAlign w:val="center"/>
          </w:tcPr>
          <w:p w14:paraId="1F58D51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research partnerships signed </w:t>
            </w:r>
          </w:p>
        </w:tc>
      </w:tr>
      <w:tr w:rsidR="0039681A" w:rsidRPr="00647572" w14:paraId="10F45CA4" w14:textId="77777777">
        <w:trPr>
          <w:trHeight w:val="300"/>
        </w:trPr>
        <w:tc>
          <w:tcPr>
            <w:tcW w:w="1335" w:type="dxa"/>
            <w:shd w:val="clear" w:color="auto" w:fill="C6EFCE"/>
            <w:tcMar>
              <w:left w:w="108" w:type="dxa"/>
              <w:right w:w="108" w:type="dxa"/>
            </w:tcMar>
            <w:vAlign w:val="center"/>
          </w:tcPr>
          <w:p w14:paraId="0C67411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M4C2-22</w:t>
            </w:r>
          </w:p>
        </w:tc>
        <w:tc>
          <w:tcPr>
            <w:tcW w:w="3784" w:type="dxa"/>
            <w:shd w:val="clear" w:color="auto" w:fill="C6EFCE"/>
            <w:tcMar>
              <w:left w:w="108" w:type="dxa"/>
              <w:right w:w="108" w:type="dxa"/>
            </w:tcMar>
            <w:vAlign w:val="center"/>
          </w:tcPr>
          <w:p w14:paraId="7038AF33"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Investment 2.1: IPCEI</w:t>
            </w:r>
          </w:p>
        </w:tc>
        <w:tc>
          <w:tcPr>
            <w:tcW w:w="1260" w:type="dxa"/>
            <w:shd w:val="clear" w:color="auto" w:fill="C6EFCE"/>
            <w:tcMar>
              <w:left w:w="108" w:type="dxa"/>
              <w:right w:w="108" w:type="dxa"/>
            </w:tcMar>
            <w:vAlign w:val="center"/>
          </w:tcPr>
          <w:p w14:paraId="49A618E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2979" w:type="dxa"/>
            <w:shd w:val="clear" w:color="auto" w:fill="C6EFCE"/>
            <w:tcMar>
              <w:left w:w="108" w:type="dxa"/>
              <w:right w:w="108" w:type="dxa"/>
            </w:tcMar>
            <w:vAlign w:val="center"/>
          </w:tcPr>
          <w:p w14:paraId="041767C3"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Number of projects supported</w:t>
            </w:r>
          </w:p>
        </w:tc>
      </w:tr>
      <w:tr w:rsidR="0039681A" w:rsidRPr="00647572" w14:paraId="7E1AD559" w14:textId="77777777">
        <w:trPr>
          <w:trHeight w:val="300"/>
        </w:trPr>
        <w:tc>
          <w:tcPr>
            <w:tcW w:w="1335" w:type="dxa"/>
            <w:shd w:val="clear" w:color="auto" w:fill="C6EFCE"/>
            <w:tcMar>
              <w:left w:w="108" w:type="dxa"/>
              <w:right w:w="108" w:type="dxa"/>
            </w:tcMar>
            <w:vAlign w:val="center"/>
          </w:tcPr>
          <w:p w14:paraId="0992A6EB"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M6C1-6</w:t>
            </w:r>
          </w:p>
        </w:tc>
        <w:tc>
          <w:tcPr>
            <w:tcW w:w="3784" w:type="dxa"/>
            <w:shd w:val="clear" w:color="auto" w:fill="C6EFCE"/>
            <w:tcMar>
              <w:left w:w="108" w:type="dxa"/>
              <w:right w:w="108" w:type="dxa"/>
            </w:tcMar>
            <w:vAlign w:val="center"/>
          </w:tcPr>
          <w:p w14:paraId="5A1A46B5"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1.2: Home as the first place of care and telemedicine</w:t>
            </w:r>
          </w:p>
        </w:tc>
        <w:tc>
          <w:tcPr>
            <w:tcW w:w="1260" w:type="dxa"/>
            <w:shd w:val="clear" w:color="auto" w:fill="C6EFCE"/>
            <w:tcMar>
              <w:left w:w="108" w:type="dxa"/>
              <w:right w:w="108" w:type="dxa"/>
            </w:tcMar>
            <w:vAlign w:val="center"/>
          </w:tcPr>
          <w:p w14:paraId="3D177694"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2979" w:type="dxa"/>
            <w:shd w:val="clear" w:color="auto" w:fill="C6EFCE"/>
            <w:tcMar>
              <w:left w:w="108" w:type="dxa"/>
              <w:right w:w="108" w:type="dxa"/>
            </w:tcMar>
            <w:vAlign w:val="center"/>
          </w:tcPr>
          <w:p w14:paraId="482CEA06"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Home care treatment</w:t>
            </w:r>
          </w:p>
        </w:tc>
      </w:tr>
      <w:tr w:rsidR="0039681A" w:rsidRPr="00647572" w14:paraId="5E12AD7E" w14:textId="77777777">
        <w:trPr>
          <w:trHeight w:val="300"/>
        </w:trPr>
        <w:tc>
          <w:tcPr>
            <w:tcW w:w="1335" w:type="dxa"/>
            <w:shd w:val="clear" w:color="auto" w:fill="C6EFCE"/>
            <w:tcMar>
              <w:left w:w="108" w:type="dxa"/>
              <w:right w:w="108" w:type="dxa"/>
            </w:tcMar>
            <w:vAlign w:val="center"/>
          </w:tcPr>
          <w:p w14:paraId="6677AA1F"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784" w:type="dxa"/>
            <w:shd w:val="clear" w:color="auto" w:fill="C6EFCE"/>
            <w:tcMar>
              <w:left w:w="108" w:type="dxa"/>
              <w:right w:w="108" w:type="dxa"/>
            </w:tcMar>
            <w:vAlign w:val="center"/>
          </w:tcPr>
          <w:p w14:paraId="17C64B98"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260" w:type="dxa"/>
            <w:shd w:val="clear" w:color="auto" w:fill="C6EFCE"/>
            <w:tcMar>
              <w:left w:w="108" w:type="dxa"/>
              <w:right w:w="108" w:type="dxa"/>
            </w:tcMar>
            <w:vAlign w:val="center"/>
          </w:tcPr>
          <w:p w14:paraId="2D4EC203"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2979" w:type="dxa"/>
            <w:shd w:val="clear" w:color="auto" w:fill="C6EFCE"/>
            <w:tcMar>
              <w:left w:w="108" w:type="dxa"/>
              <w:right w:w="108" w:type="dxa"/>
            </w:tcMar>
            <w:vAlign w:val="center"/>
          </w:tcPr>
          <w:p w14:paraId="4175C4FB" w14:textId="77777777" w:rsidR="0039681A" w:rsidRPr="00647572" w:rsidRDefault="0039681A">
            <w:pPr>
              <w:spacing w:after="0" w:line="240" w:lineRule="auto"/>
              <w:rPr>
                <w:rFonts w:ascii="Times New Roman" w:eastAsia="Times New Roman" w:hAnsi="Times New Roman" w:cs="Times New Roman"/>
                <w:noProof/>
                <w:highlight w:val="yellow"/>
                <w:lang w:eastAsia="en-GB"/>
              </w:rPr>
            </w:pPr>
            <w:r w:rsidRPr="00647572">
              <w:rPr>
                <w:rFonts w:ascii="Times New Roman" w:eastAsia="Times New Roman" w:hAnsi="Times New Roman" w:cs="Times New Roman"/>
                <w:noProof/>
                <w:color w:val="006100"/>
                <w:sz w:val="20"/>
                <w:szCs w:val="20"/>
                <w:lang w:eastAsia="en-GB"/>
              </w:rPr>
              <w:t>EUR 11</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184</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566</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013</w:t>
            </w:r>
          </w:p>
        </w:tc>
      </w:tr>
    </w:tbl>
    <w:p w14:paraId="0D96B296" w14:textId="77777777" w:rsidR="0039681A" w:rsidRPr="005D46BA" w:rsidRDefault="0039681A" w:rsidP="00351087">
      <w:pPr>
        <w:spacing w:before="120" w:after="120" w:line="240" w:lineRule="auto"/>
        <w:jc w:val="both"/>
        <w:rPr>
          <w:rFonts w:ascii="Times New Roman" w:eastAsia="Times New Roman" w:hAnsi="Times New Roman" w:cs="Times New Roman"/>
          <w:noProof/>
          <w:sz w:val="2"/>
          <w:szCs w:val="2"/>
          <w:lang w:eastAsia="en-GB"/>
        </w:rPr>
      </w:pPr>
      <w:r w:rsidRPr="00647572">
        <w:rPr>
          <w:rFonts w:ascii="Times New Roman" w:eastAsia="Times New Roman" w:hAnsi="Times New Roman" w:cs="Times New Roman"/>
          <w:noProof/>
          <w:lang w:eastAsia="en-GB"/>
        </w:rPr>
        <w:t xml:space="preserve"> </w:t>
      </w:r>
    </w:p>
    <w:p w14:paraId="694DE8F9" w14:textId="77777777" w:rsidR="0039681A" w:rsidRPr="00647572" w:rsidRDefault="0039681A" w:rsidP="0039681A">
      <w:pPr>
        <w:pStyle w:val="Heading3"/>
        <w:numPr>
          <w:ilvl w:val="1"/>
          <w:numId w:val="16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Ninth Instalment (loan support):</w:t>
      </w:r>
    </w:p>
    <w:tbl>
      <w:tblPr>
        <w:tblW w:w="9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4"/>
        <w:gridCol w:w="3541"/>
        <w:gridCol w:w="1276"/>
        <w:gridCol w:w="3260"/>
      </w:tblGrid>
      <w:tr w:rsidR="0039681A" w:rsidRPr="00647572" w14:paraId="7A44595B" w14:textId="77777777">
        <w:trPr>
          <w:trHeight w:val="900"/>
          <w:tblHeader/>
        </w:trPr>
        <w:tc>
          <w:tcPr>
            <w:tcW w:w="1154" w:type="dxa"/>
            <w:vMerge w:val="restart"/>
            <w:shd w:val="clear" w:color="auto" w:fill="BDD7EE"/>
            <w:tcMar>
              <w:left w:w="108" w:type="dxa"/>
              <w:right w:w="108" w:type="dxa"/>
            </w:tcMar>
            <w:vAlign w:val="center"/>
          </w:tcPr>
          <w:p w14:paraId="6CEF996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541" w:type="dxa"/>
            <w:vMerge w:val="restart"/>
            <w:shd w:val="clear" w:color="auto" w:fill="BDD7EE"/>
            <w:tcMar>
              <w:left w:w="108" w:type="dxa"/>
              <w:right w:w="108" w:type="dxa"/>
            </w:tcMar>
            <w:vAlign w:val="center"/>
          </w:tcPr>
          <w:p w14:paraId="3EDD1BC6"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276" w:type="dxa"/>
            <w:vMerge w:val="restart"/>
            <w:shd w:val="clear" w:color="auto" w:fill="BDD7EE"/>
            <w:tcMar>
              <w:left w:w="108" w:type="dxa"/>
              <w:right w:w="108" w:type="dxa"/>
            </w:tcMar>
            <w:vAlign w:val="center"/>
          </w:tcPr>
          <w:p w14:paraId="437F5179"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260" w:type="dxa"/>
            <w:vMerge w:val="restart"/>
            <w:shd w:val="clear" w:color="auto" w:fill="BDD7EE"/>
            <w:tcMar>
              <w:left w:w="108" w:type="dxa"/>
              <w:right w:w="108" w:type="dxa"/>
            </w:tcMar>
            <w:vAlign w:val="center"/>
          </w:tcPr>
          <w:p w14:paraId="066560EF"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647572" w14:paraId="375933F3" w14:textId="77777777">
        <w:trPr>
          <w:trHeight w:val="510"/>
        </w:trPr>
        <w:tc>
          <w:tcPr>
            <w:tcW w:w="1154" w:type="dxa"/>
            <w:vMerge/>
            <w:vAlign w:val="center"/>
          </w:tcPr>
          <w:p w14:paraId="2B250287"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541" w:type="dxa"/>
            <w:vMerge/>
            <w:vAlign w:val="center"/>
          </w:tcPr>
          <w:p w14:paraId="45DEC24B" w14:textId="77777777" w:rsidR="0039681A" w:rsidRPr="00647572" w:rsidRDefault="0039681A">
            <w:pPr>
              <w:spacing w:after="0" w:line="240" w:lineRule="auto"/>
              <w:rPr>
                <w:rFonts w:ascii="Times New Roman" w:eastAsia="Times New Roman" w:hAnsi="Times New Roman" w:cs="Times New Roman"/>
                <w:noProof/>
                <w:lang w:eastAsia="en-GB"/>
              </w:rPr>
            </w:pPr>
          </w:p>
        </w:tc>
        <w:tc>
          <w:tcPr>
            <w:tcW w:w="1276" w:type="dxa"/>
            <w:vMerge/>
            <w:vAlign w:val="center"/>
          </w:tcPr>
          <w:p w14:paraId="0DD09B81" w14:textId="77777777" w:rsidR="0039681A" w:rsidRPr="00647572" w:rsidRDefault="0039681A">
            <w:pPr>
              <w:spacing w:after="0" w:line="240" w:lineRule="auto"/>
              <w:jc w:val="center"/>
              <w:rPr>
                <w:rFonts w:ascii="Times New Roman" w:eastAsia="Times New Roman" w:hAnsi="Times New Roman" w:cs="Times New Roman"/>
                <w:noProof/>
                <w:lang w:eastAsia="en-GB"/>
              </w:rPr>
            </w:pPr>
          </w:p>
        </w:tc>
        <w:tc>
          <w:tcPr>
            <w:tcW w:w="3260" w:type="dxa"/>
            <w:vMerge/>
            <w:vAlign w:val="center"/>
          </w:tcPr>
          <w:p w14:paraId="16EA58B1" w14:textId="77777777" w:rsidR="0039681A" w:rsidRPr="00647572" w:rsidRDefault="0039681A">
            <w:pPr>
              <w:spacing w:after="0" w:line="240" w:lineRule="auto"/>
              <w:rPr>
                <w:rFonts w:ascii="Times New Roman" w:eastAsia="Times New Roman" w:hAnsi="Times New Roman" w:cs="Times New Roman"/>
                <w:noProof/>
                <w:lang w:eastAsia="en-GB"/>
              </w:rPr>
            </w:pPr>
          </w:p>
        </w:tc>
      </w:tr>
      <w:tr w:rsidR="0039681A" w:rsidRPr="0070054C" w14:paraId="07E1964F" w14:textId="77777777">
        <w:trPr>
          <w:trHeight w:val="300"/>
        </w:trPr>
        <w:tc>
          <w:tcPr>
            <w:tcW w:w="1154" w:type="dxa"/>
            <w:shd w:val="clear" w:color="auto" w:fill="C6EFCE"/>
            <w:tcMar>
              <w:left w:w="108" w:type="dxa"/>
              <w:right w:w="108" w:type="dxa"/>
            </w:tcMar>
            <w:vAlign w:val="center"/>
          </w:tcPr>
          <w:p w14:paraId="742ACD36"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M1C1-145</w:t>
            </w:r>
          </w:p>
        </w:tc>
        <w:tc>
          <w:tcPr>
            <w:tcW w:w="3541" w:type="dxa"/>
            <w:shd w:val="clear" w:color="auto" w:fill="C6EFCE"/>
            <w:tcMar>
              <w:left w:w="108" w:type="dxa"/>
              <w:right w:w="108" w:type="dxa"/>
            </w:tcMar>
            <w:vAlign w:val="center"/>
          </w:tcPr>
          <w:p w14:paraId="290F8BF3"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1.4.4 -Adoption scale up of the National Digital Identity platform (SPID, CIE) and the national registry (ANPR)</w:t>
            </w:r>
          </w:p>
        </w:tc>
        <w:tc>
          <w:tcPr>
            <w:tcW w:w="1276" w:type="dxa"/>
            <w:shd w:val="clear" w:color="auto" w:fill="C6EFCE"/>
            <w:tcMar>
              <w:left w:w="108" w:type="dxa"/>
              <w:right w:w="108" w:type="dxa"/>
            </w:tcMar>
            <w:vAlign w:val="center"/>
          </w:tcPr>
          <w:p w14:paraId="5478C284"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shd w:val="clear" w:color="auto" w:fill="C6EFCE"/>
            <w:tcMar>
              <w:left w:w="108" w:type="dxa"/>
              <w:right w:w="108" w:type="dxa"/>
            </w:tcMar>
            <w:vAlign w:val="center"/>
          </w:tcPr>
          <w:p w14:paraId="37CB289B"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National Digital Identity platform (CIE) and the national registry (ANPR)</w:t>
            </w:r>
          </w:p>
        </w:tc>
      </w:tr>
      <w:tr w:rsidR="0039681A" w:rsidRPr="0070054C" w14:paraId="7ED7735E" w14:textId="77777777">
        <w:trPr>
          <w:trHeight w:val="300"/>
        </w:trPr>
        <w:tc>
          <w:tcPr>
            <w:tcW w:w="1154" w:type="dxa"/>
            <w:shd w:val="clear" w:color="auto" w:fill="C6EFCE"/>
            <w:tcMar>
              <w:left w:w="108" w:type="dxa"/>
              <w:right w:w="108" w:type="dxa"/>
            </w:tcMar>
            <w:vAlign w:val="center"/>
          </w:tcPr>
          <w:p w14:paraId="744FF99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M1C3-28</w:t>
            </w:r>
          </w:p>
        </w:tc>
        <w:tc>
          <w:tcPr>
            <w:tcW w:w="3541" w:type="dxa"/>
            <w:shd w:val="clear" w:color="auto" w:fill="C6EFCE"/>
            <w:tcMar>
              <w:left w:w="108" w:type="dxa"/>
              <w:right w:w="108" w:type="dxa"/>
            </w:tcMar>
            <w:vAlign w:val="center"/>
          </w:tcPr>
          <w:p w14:paraId="3B25F13D" w14:textId="0183D0F5"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Funds for the competitiveness of tourism enterprises</w:t>
            </w:r>
          </w:p>
        </w:tc>
        <w:tc>
          <w:tcPr>
            <w:tcW w:w="1276" w:type="dxa"/>
            <w:shd w:val="clear" w:color="auto" w:fill="C6EFCE"/>
            <w:tcMar>
              <w:left w:w="108" w:type="dxa"/>
              <w:right w:w="108" w:type="dxa"/>
            </w:tcMar>
            <w:vAlign w:val="center"/>
          </w:tcPr>
          <w:p w14:paraId="39A4889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shd w:val="clear" w:color="auto" w:fill="C6EFCE"/>
            <w:tcMar>
              <w:left w:w="108" w:type="dxa"/>
              <w:right w:w="108" w:type="dxa"/>
            </w:tcMar>
            <w:vAlign w:val="center"/>
          </w:tcPr>
          <w:p w14:paraId="781954CF"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E74433">
              <w:rPr>
                <w:rFonts w:ascii="Times New Roman" w:eastAsia="Times New Roman" w:hAnsi="Times New Roman" w:cs="Times New Roman"/>
                <w:noProof/>
                <w:color w:val="006100"/>
                <w:sz w:val="20"/>
                <w:szCs w:val="20"/>
                <w:lang w:val="en-IE" w:eastAsia="en-GB"/>
              </w:rPr>
              <w:t xml:space="preserve">Decree(s) awarding the tax credit and/or the grant and receipts of the request for disbursement </w:t>
            </w:r>
          </w:p>
        </w:tc>
      </w:tr>
      <w:tr w:rsidR="0039681A" w:rsidRPr="0070054C" w14:paraId="034C1E84" w14:textId="77777777">
        <w:trPr>
          <w:trHeight w:val="300"/>
        </w:trPr>
        <w:tc>
          <w:tcPr>
            <w:tcW w:w="1154" w:type="dxa"/>
            <w:shd w:val="clear" w:color="auto" w:fill="C6EFCE"/>
            <w:tcMar>
              <w:left w:w="108" w:type="dxa"/>
              <w:right w:w="108" w:type="dxa"/>
            </w:tcMar>
            <w:vAlign w:val="center"/>
          </w:tcPr>
          <w:p w14:paraId="2A71EC30"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M1C3-32</w:t>
            </w:r>
          </w:p>
        </w:tc>
        <w:tc>
          <w:tcPr>
            <w:tcW w:w="3541" w:type="dxa"/>
            <w:shd w:val="clear" w:color="auto" w:fill="C6EFCE"/>
            <w:tcMar>
              <w:left w:w="108" w:type="dxa"/>
              <w:right w:w="108" w:type="dxa"/>
            </w:tcMar>
            <w:vAlign w:val="center"/>
          </w:tcPr>
          <w:p w14:paraId="6F7EBDD5" w14:textId="025E980D"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 xml:space="preserve">Funds for the competitiveness of tourism enterprises </w:t>
            </w:r>
          </w:p>
        </w:tc>
        <w:tc>
          <w:tcPr>
            <w:tcW w:w="1276" w:type="dxa"/>
            <w:shd w:val="clear" w:color="auto" w:fill="C6EFCE"/>
            <w:tcMar>
              <w:left w:w="108" w:type="dxa"/>
              <w:right w:w="108" w:type="dxa"/>
            </w:tcMar>
            <w:vAlign w:val="center"/>
          </w:tcPr>
          <w:p w14:paraId="6C4590C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shd w:val="clear" w:color="auto" w:fill="C6EFCE"/>
            <w:tcMar>
              <w:left w:w="108" w:type="dxa"/>
              <w:right w:w="108" w:type="dxa"/>
            </w:tcMar>
            <w:vAlign w:val="center"/>
          </w:tcPr>
          <w:p w14:paraId="43CF5065" w14:textId="4A91F281"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enterprises to be supported through the SME’s Guarantee Fund </w:t>
            </w:r>
          </w:p>
        </w:tc>
      </w:tr>
      <w:tr w:rsidR="0039681A" w:rsidRPr="0070054C" w14:paraId="6EBA04C2" w14:textId="77777777">
        <w:trPr>
          <w:trHeight w:val="300"/>
        </w:trPr>
        <w:tc>
          <w:tcPr>
            <w:tcW w:w="1154" w:type="dxa"/>
            <w:shd w:val="clear" w:color="auto" w:fill="C6EFCE"/>
            <w:tcMar>
              <w:left w:w="108" w:type="dxa"/>
              <w:right w:w="108" w:type="dxa"/>
            </w:tcMar>
            <w:vAlign w:val="center"/>
          </w:tcPr>
          <w:p w14:paraId="1A3B700B"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M6C2-8</w:t>
            </w:r>
          </w:p>
        </w:tc>
        <w:tc>
          <w:tcPr>
            <w:tcW w:w="3541" w:type="dxa"/>
            <w:shd w:val="clear" w:color="auto" w:fill="C6EFCE"/>
            <w:tcMar>
              <w:left w:w="108" w:type="dxa"/>
              <w:right w:w="108" w:type="dxa"/>
            </w:tcMar>
            <w:vAlign w:val="center"/>
          </w:tcPr>
          <w:p w14:paraId="7546116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1.1: Digital update of hospitals’ technological equipment</w:t>
            </w:r>
          </w:p>
        </w:tc>
        <w:tc>
          <w:tcPr>
            <w:tcW w:w="1276" w:type="dxa"/>
            <w:shd w:val="clear" w:color="auto" w:fill="C6EFCE"/>
            <w:tcMar>
              <w:left w:w="108" w:type="dxa"/>
              <w:right w:w="108" w:type="dxa"/>
            </w:tcMar>
            <w:vAlign w:val="center"/>
          </w:tcPr>
          <w:p w14:paraId="1C1701ED"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260" w:type="dxa"/>
            <w:shd w:val="clear" w:color="auto" w:fill="C6EFCE"/>
            <w:tcMar>
              <w:left w:w="108" w:type="dxa"/>
              <w:right w:w="108" w:type="dxa"/>
            </w:tcMar>
            <w:vAlign w:val="center"/>
          </w:tcPr>
          <w:p w14:paraId="39B1A2A9"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Hospitals are digitized (DEA - Emergency and Admission Departments - Level I and Level II)</w:t>
            </w:r>
          </w:p>
        </w:tc>
      </w:tr>
      <w:tr w:rsidR="0039681A" w:rsidRPr="0070054C" w14:paraId="4013B19A" w14:textId="77777777">
        <w:trPr>
          <w:trHeight w:val="300"/>
        </w:trPr>
        <w:tc>
          <w:tcPr>
            <w:tcW w:w="1154" w:type="dxa"/>
            <w:shd w:val="clear" w:color="auto" w:fill="C6EFCE"/>
            <w:tcMar>
              <w:left w:w="108" w:type="dxa"/>
              <w:right w:w="108" w:type="dxa"/>
            </w:tcMar>
            <w:vAlign w:val="center"/>
          </w:tcPr>
          <w:p w14:paraId="71557EBC"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M6C2-11</w:t>
            </w:r>
          </w:p>
        </w:tc>
        <w:tc>
          <w:tcPr>
            <w:tcW w:w="3541" w:type="dxa"/>
            <w:shd w:val="clear" w:color="auto" w:fill="C6EFCE"/>
            <w:tcMar>
              <w:left w:w="108" w:type="dxa"/>
              <w:right w:w="108" w:type="dxa"/>
            </w:tcMar>
            <w:vAlign w:val="center"/>
          </w:tcPr>
          <w:p w14:paraId="77EBE0AA"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1.3: Strengthening of the technological infrastructure and of the tools for data collection, data processing, data analysis and simulation</w:t>
            </w:r>
          </w:p>
        </w:tc>
        <w:tc>
          <w:tcPr>
            <w:tcW w:w="1276" w:type="dxa"/>
            <w:shd w:val="clear" w:color="auto" w:fill="C6EFCE"/>
            <w:tcMar>
              <w:left w:w="108" w:type="dxa"/>
              <w:right w:w="108" w:type="dxa"/>
            </w:tcMar>
            <w:vAlign w:val="center"/>
          </w:tcPr>
          <w:p w14:paraId="2F16C907"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260" w:type="dxa"/>
            <w:shd w:val="clear" w:color="auto" w:fill="C6EFCE"/>
            <w:tcMar>
              <w:left w:w="108" w:type="dxa"/>
              <w:right w:w="108" w:type="dxa"/>
            </w:tcMar>
            <w:vAlign w:val="center"/>
          </w:tcPr>
          <w:p w14:paraId="182AE158"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General practitioners feeding the Electronic Health Record.</w:t>
            </w:r>
          </w:p>
        </w:tc>
      </w:tr>
      <w:tr w:rsidR="0039681A" w:rsidRPr="0070054C" w14:paraId="5C51101E" w14:textId="77777777">
        <w:trPr>
          <w:trHeight w:val="300"/>
        </w:trPr>
        <w:tc>
          <w:tcPr>
            <w:tcW w:w="1154" w:type="dxa"/>
            <w:shd w:val="clear" w:color="auto" w:fill="C6EFCE"/>
            <w:tcMar>
              <w:left w:w="108" w:type="dxa"/>
              <w:right w:w="108" w:type="dxa"/>
            </w:tcMar>
            <w:vAlign w:val="center"/>
          </w:tcPr>
          <w:p w14:paraId="4E914978"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M1C3-33</w:t>
            </w:r>
          </w:p>
        </w:tc>
        <w:tc>
          <w:tcPr>
            <w:tcW w:w="3541" w:type="dxa"/>
            <w:shd w:val="clear" w:color="auto" w:fill="C6EFCE"/>
            <w:tcMar>
              <w:left w:w="108" w:type="dxa"/>
              <w:right w:w="108" w:type="dxa"/>
            </w:tcMar>
            <w:vAlign w:val="center"/>
          </w:tcPr>
          <w:p w14:paraId="36BC6958" w14:textId="369C3B4C"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Funds for the competitiveness of tourism enterprises</w:t>
            </w:r>
          </w:p>
        </w:tc>
        <w:tc>
          <w:tcPr>
            <w:tcW w:w="1276" w:type="dxa"/>
            <w:shd w:val="clear" w:color="auto" w:fill="C6EFCE"/>
            <w:tcMar>
              <w:left w:w="108" w:type="dxa"/>
              <w:right w:w="108" w:type="dxa"/>
            </w:tcMar>
            <w:vAlign w:val="center"/>
          </w:tcPr>
          <w:p w14:paraId="75222C42"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shd w:val="clear" w:color="auto" w:fill="C6EFCE"/>
            <w:tcMar>
              <w:left w:w="108" w:type="dxa"/>
              <w:right w:w="108" w:type="dxa"/>
            </w:tcMar>
            <w:vAlign w:val="center"/>
          </w:tcPr>
          <w:p w14:paraId="3B08D145" w14:textId="4841E64E"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Fondo Rotativo: Legal agreement signed with final beneficiaries</w:t>
            </w:r>
            <w:r w:rsidR="00381DB1">
              <w:rPr>
                <w:rFonts w:ascii="Times New Roman" w:eastAsia="Times New Roman" w:hAnsi="Times New Roman" w:cs="Times New Roman"/>
                <w:noProof/>
                <w:color w:val="006100"/>
                <w:sz w:val="20"/>
                <w:szCs w:val="20"/>
                <w:lang w:val="en-IE" w:eastAsia="en-GB"/>
              </w:rPr>
              <w:t xml:space="preserve"> </w:t>
            </w:r>
          </w:p>
        </w:tc>
      </w:tr>
      <w:tr w:rsidR="0039681A" w:rsidRPr="0070054C" w14:paraId="189AEE01"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CE436C0"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M1C3-9bis</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A153426"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4.1 Digital Tourism Hub</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A7E6BD3"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EFB4535" w14:textId="16CE27F3"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Registration of enterprises, including individual operators, in the Digital Tourism Hub and access to the services provided by the Hub and accessibility of services in the Digital Tourism Hub</w:t>
            </w:r>
            <w:r w:rsidR="00381DB1">
              <w:rPr>
                <w:rFonts w:ascii="Times New Roman" w:eastAsia="Times New Roman" w:hAnsi="Times New Roman" w:cs="Times New Roman"/>
                <w:noProof/>
                <w:color w:val="006100"/>
                <w:sz w:val="20"/>
                <w:szCs w:val="20"/>
                <w:lang w:val="en-IE" w:eastAsia="en-GB"/>
              </w:rPr>
              <w:t xml:space="preserve"> </w:t>
            </w:r>
          </w:p>
        </w:tc>
      </w:tr>
      <w:tr w:rsidR="0039681A" w:rsidRPr="0070054C" w14:paraId="2623CDDD" w14:textId="77777777">
        <w:trPr>
          <w:trHeight w:val="300"/>
        </w:trPr>
        <w:tc>
          <w:tcPr>
            <w:tcW w:w="1154" w:type="dxa"/>
            <w:shd w:val="clear" w:color="auto" w:fill="C6EFCE"/>
            <w:tcMar>
              <w:left w:w="108" w:type="dxa"/>
              <w:right w:w="108" w:type="dxa"/>
            </w:tcMar>
            <w:vAlign w:val="center"/>
          </w:tcPr>
          <w:p w14:paraId="0AA9577C"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M1C3-18</w:t>
            </w:r>
          </w:p>
        </w:tc>
        <w:tc>
          <w:tcPr>
            <w:tcW w:w="3541" w:type="dxa"/>
            <w:shd w:val="clear" w:color="auto" w:fill="C6EFCE"/>
            <w:tcMar>
              <w:left w:w="108" w:type="dxa"/>
              <w:right w:w="108" w:type="dxa"/>
            </w:tcMar>
            <w:vAlign w:val="center"/>
          </w:tcPr>
          <w:p w14:paraId="1D8DEF97"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2.3 Programmes to preserve and refurbish historical</w:t>
            </w:r>
            <w:r>
              <w:rPr>
                <w:rFonts w:ascii="Times New Roman" w:eastAsia="Times New Roman" w:hAnsi="Times New Roman" w:cs="Times New Roman"/>
                <w:noProof/>
                <w:color w:val="006100"/>
                <w:sz w:val="20"/>
                <w:szCs w:val="20"/>
                <w:lang w:val="en-IE" w:eastAsia="en-GB"/>
              </w:rPr>
              <w:t xml:space="preserve"> parks</w:t>
            </w:r>
            <w:r w:rsidRPr="00A36E36">
              <w:rPr>
                <w:rFonts w:ascii="Times New Roman" w:eastAsia="Times New Roman" w:hAnsi="Times New Roman" w:cs="Times New Roman"/>
                <w:noProof/>
                <w:color w:val="006100"/>
                <w:sz w:val="20"/>
                <w:szCs w:val="20"/>
                <w:lang w:val="en-IE" w:eastAsia="en-GB"/>
              </w:rPr>
              <w:t xml:space="preserve"> and gardens</w:t>
            </w:r>
          </w:p>
        </w:tc>
        <w:tc>
          <w:tcPr>
            <w:tcW w:w="1276" w:type="dxa"/>
            <w:shd w:val="clear" w:color="auto" w:fill="C6EFCE"/>
            <w:tcMar>
              <w:left w:w="108" w:type="dxa"/>
              <w:right w:w="108" w:type="dxa"/>
            </w:tcMar>
            <w:vAlign w:val="center"/>
          </w:tcPr>
          <w:p w14:paraId="692D2887"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shd w:val="clear" w:color="auto" w:fill="C6EFCE"/>
            <w:tcMar>
              <w:left w:w="108" w:type="dxa"/>
              <w:right w:w="108" w:type="dxa"/>
            </w:tcMar>
            <w:vAlign w:val="center"/>
          </w:tcPr>
          <w:p w14:paraId="0478B77C"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Number of historical parks and gardens refurbished</w:t>
            </w:r>
          </w:p>
        </w:tc>
      </w:tr>
      <w:tr w:rsidR="0039681A" w:rsidRPr="0070054C" w14:paraId="62427125" w14:textId="77777777">
        <w:trPr>
          <w:trHeight w:val="300"/>
        </w:trPr>
        <w:tc>
          <w:tcPr>
            <w:tcW w:w="1154" w:type="dxa"/>
            <w:shd w:val="clear" w:color="auto" w:fill="C6EFCE"/>
            <w:tcMar>
              <w:left w:w="108" w:type="dxa"/>
              <w:right w:w="108" w:type="dxa"/>
            </w:tcMar>
            <w:vAlign w:val="center"/>
          </w:tcPr>
          <w:p w14:paraId="469D6B81"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M2C1-23</w:t>
            </w:r>
          </w:p>
        </w:tc>
        <w:tc>
          <w:tcPr>
            <w:tcW w:w="3541" w:type="dxa"/>
            <w:shd w:val="clear" w:color="auto" w:fill="C6EFCE"/>
            <w:tcMar>
              <w:left w:w="108" w:type="dxa"/>
              <w:right w:w="108" w:type="dxa"/>
            </w:tcMar>
            <w:vAlign w:val="center"/>
          </w:tcPr>
          <w:p w14:paraId="20321400"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Fondo Contratti di Filiera (FCF) to support supply-chains contracts for the agri-food, fishing and aquaculture, forestry, floriculture and plant nursery sectors</w:t>
            </w:r>
          </w:p>
        </w:tc>
        <w:tc>
          <w:tcPr>
            <w:tcW w:w="1276" w:type="dxa"/>
            <w:shd w:val="clear" w:color="auto" w:fill="C6EFCE"/>
            <w:tcMar>
              <w:left w:w="108" w:type="dxa"/>
              <w:right w:w="108" w:type="dxa"/>
            </w:tcMar>
            <w:vAlign w:val="center"/>
          </w:tcPr>
          <w:p w14:paraId="3C35F933"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260" w:type="dxa"/>
            <w:shd w:val="clear" w:color="auto" w:fill="C6EFCE"/>
            <w:tcMar>
              <w:left w:w="108" w:type="dxa"/>
              <w:right w:w="108" w:type="dxa"/>
            </w:tcMar>
            <w:vAlign w:val="center"/>
          </w:tcPr>
          <w:p w14:paraId="7DA5F204"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Resources transferred to ISMEA and amendment of the implementing agreement</w:t>
            </w:r>
          </w:p>
        </w:tc>
      </w:tr>
      <w:tr w:rsidR="0039681A" w:rsidRPr="00647572" w14:paraId="7724A9A4"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FB95A6"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M4C1-31</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3A8C8CA"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5: Student housing fund</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D2BABCC"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6A96B6"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39681A" w:rsidRPr="0070054C" w14:paraId="44B182B5"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8CFD80"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M5C1-19bis</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E5FA55"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5 - Creation of women's enterprises</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4C158C1"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76E810"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Implementing Agreement and transfer to Invitalia</w:t>
            </w:r>
          </w:p>
        </w:tc>
      </w:tr>
      <w:tr w:rsidR="0039681A" w:rsidRPr="00647572" w14:paraId="4579EEC9"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8F02BE0"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M1C2-30</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0D00D36"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7 – National Connectivity Fund</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897AC7B"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DC0B8AF"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39681A" w:rsidRPr="00647572" w14:paraId="3AB23494"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bottom"/>
          </w:tcPr>
          <w:p w14:paraId="71CA6D5B"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M2C1-26</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DD2422D"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 Agri-Solar Park Facility</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41BDF3"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320C1A9" w14:textId="77777777" w:rsidR="0039681A" w:rsidRPr="00647572" w:rsidRDefault="0039681A">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Implementing Agreement</w:t>
            </w:r>
          </w:p>
        </w:tc>
      </w:tr>
      <w:tr w:rsidR="0039681A" w:rsidRPr="0070054C" w14:paraId="18453698" w14:textId="77777777">
        <w:trPr>
          <w:trHeight w:val="300"/>
        </w:trPr>
        <w:tc>
          <w:tcPr>
            <w:tcW w:w="115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197F6D8"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M5C2-18</w:t>
            </w:r>
          </w:p>
        </w:tc>
        <w:tc>
          <w:tcPr>
            <w:tcW w:w="3541"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E59795" w14:textId="77777777"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5 - Urban Integrated Plans - EIB Fund-Of-Fund</w:t>
            </w:r>
          </w:p>
        </w:tc>
        <w:tc>
          <w:tcPr>
            <w:tcW w:w="127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BF5042D"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260"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ADEC0B" w14:textId="3C1D1769" w:rsidR="0039681A" w:rsidRPr="00A36E36" w:rsidRDefault="0039681A">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Legal agreements signed with final beneficiaries for an investment value of underlying projects of at least EUR</w:t>
            </w:r>
            <w:r w:rsidR="00CA574C" w:rsidRPr="00D72865">
              <w:rPr>
                <w:rFonts w:ascii="Arial Narrow" w:hAnsi="Arial Narrow"/>
                <w:noProof/>
                <w:color w:val="006100"/>
                <w:sz w:val="20"/>
                <w:lang w:val="en-IE"/>
              </w:rPr>
              <w:t> </w:t>
            </w:r>
            <w:r w:rsidRPr="00A36E36">
              <w:rPr>
                <w:rFonts w:ascii="Times New Roman" w:eastAsia="Times New Roman" w:hAnsi="Times New Roman" w:cs="Times New Roman"/>
                <w:noProof/>
                <w:color w:val="006100"/>
                <w:sz w:val="20"/>
                <w:szCs w:val="20"/>
                <w:lang w:val="en-IE" w:eastAsia="en-GB"/>
              </w:rPr>
              <w:t>545</w:t>
            </w:r>
            <w:r w:rsidR="00CA574C" w:rsidRPr="00D72865">
              <w:rPr>
                <w:rFonts w:ascii="Arial Narrow" w:hAnsi="Arial Narrow"/>
                <w:noProof/>
                <w:color w:val="006100"/>
                <w:sz w:val="20"/>
                <w:lang w:val="en-IE"/>
              </w:rPr>
              <w:t> </w:t>
            </w:r>
            <w:r w:rsidRPr="00A36E36">
              <w:rPr>
                <w:rFonts w:ascii="Times New Roman" w:eastAsia="Times New Roman" w:hAnsi="Times New Roman" w:cs="Times New Roman"/>
                <w:noProof/>
                <w:color w:val="006100"/>
                <w:sz w:val="20"/>
                <w:szCs w:val="20"/>
                <w:lang w:val="en-IE" w:eastAsia="en-GB"/>
              </w:rPr>
              <w:t>000</w:t>
            </w:r>
            <w:r w:rsidR="00CA574C" w:rsidRPr="00D72865">
              <w:rPr>
                <w:rFonts w:ascii="Arial Narrow" w:hAnsi="Arial Narrow"/>
                <w:noProof/>
                <w:color w:val="006100"/>
                <w:sz w:val="20"/>
                <w:lang w:val="en-IE"/>
              </w:rPr>
              <w:t> </w:t>
            </w:r>
            <w:r w:rsidRPr="00A36E36">
              <w:rPr>
                <w:rFonts w:ascii="Times New Roman" w:eastAsia="Times New Roman" w:hAnsi="Times New Roman" w:cs="Times New Roman"/>
                <w:noProof/>
                <w:color w:val="006100"/>
                <w:sz w:val="20"/>
                <w:szCs w:val="20"/>
                <w:lang w:val="en-IE" w:eastAsia="en-GB"/>
              </w:rPr>
              <w:t>000</w:t>
            </w:r>
            <w:r w:rsidR="00381DB1">
              <w:rPr>
                <w:rFonts w:ascii="Times New Roman" w:eastAsia="Times New Roman" w:hAnsi="Times New Roman" w:cs="Times New Roman"/>
                <w:noProof/>
                <w:color w:val="006100"/>
                <w:sz w:val="20"/>
                <w:szCs w:val="20"/>
                <w:lang w:val="en-IE" w:eastAsia="en-GB"/>
              </w:rPr>
              <w:t xml:space="preserve"> </w:t>
            </w:r>
          </w:p>
        </w:tc>
      </w:tr>
      <w:tr w:rsidR="0039681A" w:rsidRPr="00647572" w14:paraId="62E336AB" w14:textId="77777777">
        <w:trPr>
          <w:trHeight w:val="300"/>
        </w:trPr>
        <w:tc>
          <w:tcPr>
            <w:tcW w:w="1154" w:type="dxa"/>
            <w:shd w:val="clear" w:color="auto" w:fill="C6EFCE"/>
            <w:tcMar>
              <w:left w:w="108" w:type="dxa"/>
              <w:right w:w="108" w:type="dxa"/>
            </w:tcMar>
            <w:vAlign w:val="center"/>
          </w:tcPr>
          <w:p w14:paraId="324C1B78"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p>
        </w:tc>
        <w:tc>
          <w:tcPr>
            <w:tcW w:w="3541" w:type="dxa"/>
            <w:shd w:val="clear" w:color="auto" w:fill="C6EFCE"/>
            <w:tcMar>
              <w:left w:w="108" w:type="dxa"/>
              <w:right w:w="108" w:type="dxa"/>
            </w:tcMar>
            <w:vAlign w:val="center"/>
          </w:tcPr>
          <w:p w14:paraId="2CC6918D" w14:textId="77777777" w:rsidR="0039681A" w:rsidRPr="00A36E36" w:rsidRDefault="0039681A">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 </w:t>
            </w:r>
          </w:p>
        </w:tc>
        <w:tc>
          <w:tcPr>
            <w:tcW w:w="1276" w:type="dxa"/>
            <w:shd w:val="clear" w:color="auto" w:fill="C6EFCE"/>
            <w:tcMar>
              <w:left w:w="108" w:type="dxa"/>
              <w:right w:w="108" w:type="dxa"/>
            </w:tcMar>
            <w:vAlign w:val="center"/>
          </w:tcPr>
          <w:p w14:paraId="58CAA896" w14:textId="77777777" w:rsidR="0039681A" w:rsidRPr="00647572" w:rsidRDefault="0039681A">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260" w:type="dxa"/>
            <w:shd w:val="clear" w:color="auto" w:fill="C6EFCE"/>
            <w:tcMar>
              <w:left w:w="108" w:type="dxa"/>
              <w:right w:w="108" w:type="dxa"/>
            </w:tcMar>
            <w:vAlign w:val="center"/>
          </w:tcPr>
          <w:p w14:paraId="71B25E94" w14:textId="77777777" w:rsidR="0039681A" w:rsidRPr="00647572" w:rsidRDefault="0039681A">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EUR 7</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118</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464</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154</w:t>
            </w:r>
          </w:p>
        </w:tc>
      </w:tr>
    </w:tbl>
    <w:p w14:paraId="41B53555" w14:textId="77777777" w:rsidR="0039681A" w:rsidRPr="005D46BA" w:rsidRDefault="0039681A" w:rsidP="00351087">
      <w:pPr>
        <w:rPr>
          <w:rFonts w:ascii="Times New Roman" w:eastAsia="Times New Roman" w:hAnsi="Times New Roman" w:cs="Times New Roman"/>
          <w:noProof/>
          <w:sz w:val="2"/>
          <w:szCs w:val="2"/>
          <w:lang w:eastAsia="en-GB"/>
        </w:rPr>
      </w:pPr>
    </w:p>
    <w:p w14:paraId="5FCBD757" w14:textId="77777777" w:rsidR="0039681A" w:rsidRPr="00647572" w:rsidRDefault="0039681A" w:rsidP="0039681A">
      <w:pPr>
        <w:pStyle w:val="Heading3"/>
        <w:numPr>
          <w:ilvl w:val="1"/>
          <w:numId w:val="166"/>
        </w:numPr>
        <w:tabs>
          <w:tab w:val="clear" w:pos="850"/>
          <w:tab w:val="num" w:pos="1440"/>
        </w:tabs>
        <w:ind w:left="1440" w:hanging="360"/>
        <w:rPr>
          <w:rFonts w:ascii="Times New Roman" w:hAnsi="Times New Roman" w:cs="Times New Roman"/>
          <w:noProof/>
          <w:color w:val="auto"/>
          <w:sz w:val="24"/>
          <w:szCs w:val="24"/>
          <w:lang w:eastAsia="en-GB"/>
        </w:rPr>
      </w:pPr>
      <w:r w:rsidRPr="00647572">
        <w:rPr>
          <w:rFonts w:ascii="Times New Roman" w:hAnsi="Times New Roman" w:cs="Times New Roman"/>
          <w:noProof/>
          <w:color w:val="auto"/>
          <w:sz w:val="24"/>
          <w:szCs w:val="24"/>
          <w:lang w:eastAsia="en-GB"/>
        </w:rPr>
        <w:t>Tenth Instalment (loan support):</w:t>
      </w:r>
    </w:p>
    <w:tbl>
      <w:tblPr>
        <w:tblW w:w="9231"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6"/>
        <w:gridCol w:w="3449"/>
        <w:gridCol w:w="1134"/>
        <w:gridCol w:w="3402"/>
      </w:tblGrid>
      <w:tr w:rsidR="0039681A" w:rsidRPr="00647572" w14:paraId="2C915BB0" w14:textId="77777777" w:rsidTr="00351087">
        <w:trPr>
          <w:trHeight w:val="1410"/>
          <w:tblHeader/>
        </w:trPr>
        <w:tc>
          <w:tcPr>
            <w:tcW w:w="1246" w:type="dxa"/>
            <w:shd w:val="clear" w:color="auto" w:fill="BDD7EE"/>
            <w:tcMar>
              <w:left w:w="108" w:type="dxa"/>
              <w:right w:w="108" w:type="dxa"/>
            </w:tcMar>
            <w:vAlign w:val="center"/>
          </w:tcPr>
          <w:p w14:paraId="2A11202A"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Sequential Number</w:t>
            </w:r>
          </w:p>
        </w:tc>
        <w:tc>
          <w:tcPr>
            <w:tcW w:w="3449" w:type="dxa"/>
            <w:shd w:val="clear" w:color="auto" w:fill="BDD7EE"/>
            <w:tcMar>
              <w:left w:w="108" w:type="dxa"/>
              <w:right w:w="108" w:type="dxa"/>
            </w:tcMar>
            <w:vAlign w:val="center"/>
          </w:tcPr>
          <w:p w14:paraId="6E0BB2E3" w14:textId="77777777" w:rsidR="0039681A" w:rsidRPr="00A36E36" w:rsidRDefault="0039681A">
            <w:pPr>
              <w:spacing w:after="0" w:line="240" w:lineRule="auto"/>
              <w:jc w:val="center"/>
              <w:rPr>
                <w:rFonts w:ascii="Times New Roman" w:eastAsia="Times New Roman" w:hAnsi="Times New Roman" w:cs="Times New Roman"/>
                <w:noProof/>
                <w:lang w:val="en-IE" w:eastAsia="en-GB"/>
              </w:rPr>
            </w:pPr>
            <w:r w:rsidRPr="00A36E36">
              <w:rPr>
                <w:rFonts w:ascii="Times New Roman" w:eastAsia="Times New Roman" w:hAnsi="Times New Roman" w:cs="Times New Roman"/>
                <w:b/>
                <w:bCs/>
                <w:noProof/>
                <w:color w:val="000000"/>
                <w:sz w:val="20"/>
                <w:szCs w:val="20"/>
                <w:lang w:val="en-IE" w:eastAsia="en-GB"/>
              </w:rPr>
              <w:t>Related Measure (Reform or Investment)</w:t>
            </w:r>
          </w:p>
        </w:tc>
        <w:tc>
          <w:tcPr>
            <w:tcW w:w="1134" w:type="dxa"/>
            <w:shd w:val="clear" w:color="auto" w:fill="BDD7EE"/>
            <w:tcMar>
              <w:left w:w="108" w:type="dxa"/>
              <w:right w:w="108" w:type="dxa"/>
            </w:tcMar>
            <w:vAlign w:val="center"/>
          </w:tcPr>
          <w:p w14:paraId="51DAA12E"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Milestone / Target</w:t>
            </w:r>
          </w:p>
        </w:tc>
        <w:tc>
          <w:tcPr>
            <w:tcW w:w="3402" w:type="dxa"/>
            <w:shd w:val="clear" w:color="auto" w:fill="BDD7EE"/>
            <w:tcMar>
              <w:left w:w="108" w:type="dxa"/>
              <w:right w:w="108" w:type="dxa"/>
            </w:tcMar>
            <w:vAlign w:val="center"/>
          </w:tcPr>
          <w:p w14:paraId="4B663F25" w14:textId="77777777" w:rsidR="0039681A" w:rsidRPr="00647572" w:rsidRDefault="0039681A">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b/>
                <w:bCs/>
                <w:noProof/>
                <w:color w:val="000000"/>
                <w:sz w:val="20"/>
                <w:szCs w:val="20"/>
                <w:lang w:eastAsia="en-GB"/>
              </w:rPr>
              <w:t>Name</w:t>
            </w:r>
          </w:p>
        </w:tc>
      </w:tr>
      <w:tr w:rsidR="0039681A" w:rsidRPr="0070054C" w14:paraId="7959505F" w14:textId="77777777" w:rsidTr="00324E17">
        <w:trPr>
          <w:trHeight w:val="300"/>
        </w:trPr>
        <w:tc>
          <w:tcPr>
            <w:tcW w:w="1246" w:type="dxa"/>
            <w:shd w:val="clear" w:color="auto" w:fill="C1F0C7" w:themeFill="accent3" w:themeFillTint="33"/>
            <w:tcMar>
              <w:left w:w="108" w:type="dxa"/>
              <w:right w:w="108" w:type="dxa"/>
            </w:tcMar>
            <w:vAlign w:val="center"/>
          </w:tcPr>
          <w:p w14:paraId="5F774255"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M1C1-26</w:t>
            </w:r>
          </w:p>
        </w:tc>
        <w:tc>
          <w:tcPr>
            <w:tcW w:w="3449" w:type="dxa"/>
            <w:shd w:val="clear" w:color="auto" w:fill="C1F0C7" w:themeFill="accent3" w:themeFillTint="33"/>
            <w:tcMar>
              <w:left w:w="108" w:type="dxa"/>
              <w:right w:w="108" w:type="dxa"/>
            </w:tcMar>
            <w:vAlign w:val="center"/>
          </w:tcPr>
          <w:p w14:paraId="7D389715" w14:textId="77777777" w:rsidR="0039681A" w:rsidRPr="00C639DB" w:rsidRDefault="0039681A" w:rsidP="00351087">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1.1: Digital infrastructure</w:t>
            </w:r>
          </w:p>
        </w:tc>
        <w:tc>
          <w:tcPr>
            <w:tcW w:w="1134" w:type="dxa"/>
            <w:shd w:val="clear" w:color="auto" w:fill="C1F0C7" w:themeFill="accent3" w:themeFillTint="33"/>
            <w:tcMar>
              <w:left w:w="108" w:type="dxa"/>
              <w:right w:w="108" w:type="dxa"/>
            </w:tcMar>
            <w:vAlign w:val="center"/>
          </w:tcPr>
          <w:p w14:paraId="7F090985"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1F0C7" w:themeFill="accent3" w:themeFillTint="33"/>
            <w:tcMar>
              <w:left w:w="108" w:type="dxa"/>
              <w:right w:w="108" w:type="dxa"/>
            </w:tcMar>
            <w:vAlign w:val="center"/>
          </w:tcPr>
          <w:p w14:paraId="18BF2E20" w14:textId="77777777" w:rsidR="0039681A" w:rsidRPr="00324E17" w:rsidDel="00F4072E" w:rsidRDefault="0039681A" w:rsidP="00351087">
            <w:pPr>
              <w:spacing w:after="0" w:line="240" w:lineRule="auto"/>
              <w:rPr>
                <w:rFonts w:ascii="Times New Roman" w:eastAsia="Times New Roman" w:hAnsi="Times New Roman" w:cs="Times New Roman"/>
                <w:noProof/>
                <w:color w:val="006100"/>
                <w:sz w:val="20"/>
                <w:szCs w:val="20"/>
                <w:lang w:eastAsia="en-GB"/>
              </w:rPr>
            </w:pPr>
            <w:r w:rsidRPr="00324E17">
              <w:rPr>
                <w:rFonts w:ascii="Times New Roman" w:eastAsia="Times New Roman" w:hAnsi="Times New Roman" w:cs="Times New Roman"/>
                <w:noProof/>
                <w:color w:val="006100"/>
                <w:sz w:val="20"/>
                <w:szCs w:val="20"/>
                <w:lang w:eastAsia="en-GB"/>
              </w:rPr>
              <w:t>Migration to the Polo Strategico Nazionale or to a secure, certified public cloud environment</w:t>
            </w:r>
          </w:p>
        </w:tc>
      </w:tr>
      <w:tr w:rsidR="0039681A" w:rsidRPr="003D6841" w14:paraId="4FE36251" w14:textId="77777777">
        <w:trPr>
          <w:trHeight w:val="300"/>
        </w:trPr>
        <w:tc>
          <w:tcPr>
            <w:tcW w:w="1246" w:type="dxa"/>
            <w:shd w:val="clear" w:color="auto" w:fill="C6EFCE"/>
            <w:tcMar>
              <w:left w:w="108" w:type="dxa"/>
              <w:right w:w="108" w:type="dxa"/>
            </w:tcMar>
            <w:vAlign w:val="center"/>
          </w:tcPr>
          <w:p w14:paraId="726D490A"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M2C3-6</w:t>
            </w:r>
          </w:p>
        </w:tc>
        <w:tc>
          <w:tcPr>
            <w:tcW w:w="3449" w:type="dxa"/>
            <w:shd w:val="clear" w:color="auto" w:fill="C6EFCE"/>
            <w:tcMar>
              <w:left w:w="108" w:type="dxa"/>
              <w:right w:w="108" w:type="dxa"/>
            </w:tcMar>
            <w:vAlign w:val="center"/>
          </w:tcPr>
          <w:p w14:paraId="659800A3"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Construction of new schools through building replacement</w:t>
            </w:r>
          </w:p>
        </w:tc>
        <w:tc>
          <w:tcPr>
            <w:tcW w:w="1134" w:type="dxa"/>
            <w:shd w:val="clear" w:color="auto" w:fill="C6EFCE"/>
            <w:tcMar>
              <w:left w:w="108" w:type="dxa"/>
              <w:right w:w="108" w:type="dxa"/>
            </w:tcMar>
            <w:vAlign w:val="center"/>
          </w:tcPr>
          <w:p w14:paraId="135D5EBC"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0080CE5" w14:textId="37810B58" w:rsidR="0039681A" w:rsidRPr="00A36E36" w:rsidRDefault="0039681A" w:rsidP="00351087">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100"/>
                <w:sz w:val="20"/>
                <w:szCs w:val="20"/>
                <w:lang w:val="en-IE" w:eastAsia="en-GB"/>
              </w:rPr>
              <w:t>Construction of new schools</w:t>
            </w:r>
          </w:p>
        </w:tc>
      </w:tr>
      <w:tr w:rsidR="0039681A" w:rsidRPr="0070054C" w14:paraId="7E1ECC28" w14:textId="77777777">
        <w:trPr>
          <w:trHeight w:val="300"/>
        </w:trPr>
        <w:tc>
          <w:tcPr>
            <w:tcW w:w="1246" w:type="dxa"/>
            <w:shd w:val="clear" w:color="auto" w:fill="C6EFCE"/>
            <w:tcMar>
              <w:left w:w="108" w:type="dxa"/>
              <w:right w:w="108" w:type="dxa"/>
            </w:tcMar>
            <w:vAlign w:val="center"/>
          </w:tcPr>
          <w:p w14:paraId="613F8EF3"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M2C3-8</w:t>
            </w:r>
          </w:p>
        </w:tc>
        <w:tc>
          <w:tcPr>
            <w:tcW w:w="3449" w:type="dxa"/>
            <w:shd w:val="clear" w:color="auto" w:fill="C6EFCE"/>
            <w:tcMar>
              <w:left w:w="108" w:type="dxa"/>
              <w:right w:w="108" w:type="dxa"/>
            </w:tcMar>
            <w:vAlign w:val="center"/>
          </w:tcPr>
          <w:p w14:paraId="5E5BD95E"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1.2- Requalification of public real estate assets partly or wholly used by the administration of justice</w:t>
            </w:r>
          </w:p>
        </w:tc>
        <w:tc>
          <w:tcPr>
            <w:tcW w:w="1134" w:type="dxa"/>
            <w:shd w:val="clear" w:color="auto" w:fill="C6EFCE"/>
            <w:tcMar>
              <w:left w:w="108" w:type="dxa"/>
              <w:right w:w="108" w:type="dxa"/>
            </w:tcMar>
            <w:vAlign w:val="center"/>
          </w:tcPr>
          <w:p w14:paraId="04AEC3D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F9CD186"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Works for at least 289</w:t>
            </w:r>
            <w:r>
              <w:rPr>
                <w:rFonts w:ascii="Times New Roman" w:eastAsia="Times New Roman" w:hAnsi="Times New Roman" w:cs="Times New Roman"/>
                <w:noProof/>
                <w:color w:val="006100"/>
                <w:sz w:val="20"/>
                <w:szCs w:val="20"/>
                <w:lang w:val="en-IE" w:eastAsia="en-GB"/>
              </w:rPr>
              <w:t> </w:t>
            </w:r>
            <w:r w:rsidRPr="00A36E36">
              <w:rPr>
                <w:rFonts w:ascii="Times New Roman" w:eastAsia="Times New Roman" w:hAnsi="Times New Roman" w:cs="Times New Roman"/>
                <w:noProof/>
                <w:color w:val="006100"/>
                <w:sz w:val="20"/>
                <w:szCs w:val="20"/>
                <w:lang w:val="en-IE" w:eastAsia="en-GB"/>
              </w:rPr>
              <w:t>000 sq</w:t>
            </w:r>
            <w:r>
              <w:rPr>
                <w:rFonts w:ascii="Times New Roman" w:eastAsia="Times New Roman" w:hAnsi="Times New Roman" w:cs="Times New Roman"/>
                <w:noProof/>
                <w:color w:val="006100"/>
                <w:sz w:val="20"/>
                <w:szCs w:val="20"/>
                <w:lang w:val="en-IE" w:eastAsia="en-GB"/>
              </w:rPr>
              <w:t xml:space="preserve">uare </w:t>
            </w:r>
            <w:r w:rsidRPr="00A36E36">
              <w:rPr>
                <w:rFonts w:ascii="Times New Roman" w:eastAsia="Times New Roman" w:hAnsi="Times New Roman" w:cs="Times New Roman"/>
                <w:noProof/>
                <w:color w:val="006100"/>
                <w:sz w:val="20"/>
                <w:szCs w:val="20"/>
                <w:lang w:val="en-IE" w:eastAsia="en-GB"/>
              </w:rPr>
              <w:t>m</w:t>
            </w:r>
            <w:r>
              <w:rPr>
                <w:rFonts w:ascii="Times New Roman" w:eastAsia="Times New Roman" w:hAnsi="Times New Roman" w:cs="Times New Roman"/>
                <w:noProof/>
                <w:color w:val="006100"/>
                <w:sz w:val="20"/>
                <w:szCs w:val="20"/>
                <w:lang w:val="en-IE" w:eastAsia="en-GB"/>
              </w:rPr>
              <w:t>e</w:t>
            </w:r>
            <w:r w:rsidRPr="00A36E36">
              <w:rPr>
                <w:rFonts w:ascii="Times New Roman" w:eastAsia="Times New Roman" w:hAnsi="Times New Roman" w:cs="Times New Roman"/>
                <w:noProof/>
                <w:color w:val="006100"/>
                <w:sz w:val="20"/>
                <w:szCs w:val="20"/>
                <w:lang w:val="en-IE" w:eastAsia="en-GB"/>
              </w:rPr>
              <w:t>t</w:t>
            </w:r>
            <w:r>
              <w:rPr>
                <w:rFonts w:ascii="Times New Roman" w:eastAsia="Times New Roman" w:hAnsi="Times New Roman" w:cs="Times New Roman"/>
                <w:noProof/>
                <w:color w:val="006100"/>
                <w:sz w:val="20"/>
                <w:szCs w:val="20"/>
                <w:lang w:val="en-IE" w:eastAsia="en-GB"/>
              </w:rPr>
              <w:t>ers</w:t>
            </w:r>
            <w:r w:rsidRPr="00A36E36">
              <w:rPr>
                <w:rFonts w:ascii="Times New Roman" w:eastAsia="Times New Roman" w:hAnsi="Times New Roman" w:cs="Times New Roman"/>
                <w:noProof/>
                <w:color w:val="006100"/>
                <w:sz w:val="20"/>
                <w:szCs w:val="20"/>
                <w:lang w:val="en-IE" w:eastAsia="en-GB"/>
              </w:rPr>
              <w:t xml:space="preserve"> of public real estate assets carried out</w:t>
            </w:r>
          </w:p>
        </w:tc>
      </w:tr>
      <w:tr w:rsidR="0039681A" w:rsidRPr="0070054C" w14:paraId="3A380168" w14:textId="77777777">
        <w:trPr>
          <w:trHeight w:val="300"/>
        </w:trPr>
        <w:tc>
          <w:tcPr>
            <w:tcW w:w="1246" w:type="dxa"/>
            <w:shd w:val="clear" w:color="auto" w:fill="C6EFCE"/>
            <w:tcMar>
              <w:left w:w="108" w:type="dxa"/>
              <w:right w:w="108" w:type="dxa"/>
            </w:tcMar>
            <w:vAlign w:val="center"/>
          </w:tcPr>
          <w:p w14:paraId="7E8B097F"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M2C3-10</w:t>
            </w:r>
          </w:p>
        </w:tc>
        <w:tc>
          <w:tcPr>
            <w:tcW w:w="3449" w:type="dxa"/>
            <w:shd w:val="clear" w:color="auto" w:fill="C6EFCE"/>
            <w:tcMar>
              <w:left w:w="108" w:type="dxa"/>
              <w:right w:w="108" w:type="dxa"/>
            </w:tcMar>
            <w:vAlign w:val="center"/>
          </w:tcPr>
          <w:p w14:paraId="36F84DCA"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Promotion of efficient district heating</w:t>
            </w:r>
          </w:p>
        </w:tc>
        <w:tc>
          <w:tcPr>
            <w:tcW w:w="1134" w:type="dxa"/>
            <w:shd w:val="clear" w:color="auto" w:fill="C6EFCE"/>
            <w:tcMar>
              <w:left w:w="108" w:type="dxa"/>
              <w:right w:w="108" w:type="dxa"/>
            </w:tcMar>
            <w:vAlign w:val="center"/>
          </w:tcPr>
          <w:p w14:paraId="6ECD1393"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C74DC66"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Build or extension of networks for district heating to reduce energy consumption </w:t>
            </w:r>
          </w:p>
        </w:tc>
      </w:tr>
      <w:tr w:rsidR="0039681A" w:rsidRPr="0070054C" w14:paraId="4AF0DFEC" w14:textId="77777777">
        <w:trPr>
          <w:trHeight w:val="300"/>
        </w:trPr>
        <w:tc>
          <w:tcPr>
            <w:tcW w:w="1246" w:type="dxa"/>
            <w:shd w:val="clear" w:color="auto" w:fill="C6EFCE"/>
            <w:tcMar>
              <w:left w:w="108" w:type="dxa"/>
              <w:right w:w="108" w:type="dxa"/>
            </w:tcMar>
            <w:vAlign w:val="center"/>
          </w:tcPr>
          <w:p w14:paraId="119AD025"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M2C4-23</w:t>
            </w:r>
          </w:p>
        </w:tc>
        <w:tc>
          <w:tcPr>
            <w:tcW w:w="3449" w:type="dxa"/>
            <w:shd w:val="clear" w:color="auto" w:fill="C6EFCE"/>
            <w:tcMar>
              <w:left w:w="108" w:type="dxa"/>
              <w:right w:w="108" w:type="dxa"/>
            </w:tcMar>
            <w:vAlign w:val="center"/>
          </w:tcPr>
          <w:p w14:paraId="7B2FDB5A"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3.3 Re-naturification of Po area</w:t>
            </w:r>
          </w:p>
        </w:tc>
        <w:tc>
          <w:tcPr>
            <w:tcW w:w="1134" w:type="dxa"/>
            <w:shd w:val="clear" w:color="auto" w:fill="C6EFCE"/>
            <w:tcMar>
              <w:left w:w="108" w:type="dxa"/>
              <w:right w:w="108" w:type="dxa"/>
            </w:tcMar>
            <w:vAlign w:val="center"/>
          </w:tcPr>
          <w:p w14:paraId="75FF0992"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541F2C3C"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Reduction of riverbed artificiality for the re-naturification of the Po area T2</w:t>
            </w:r>
          </w:p>
        </w:tc>
      </w:tr>
      <w:tr w:rsidR="0039681A" w:rsidRPr="00647572" w14:paraId="37087390" w14:textId="77777777">
        <w:trPr>
          <w:trHeight w:val="300"/>
        </w:trPr>
        <w:tc>
          <w:tcPr>
            <w:tcW w:w="1246" w:type="dxa"/>
            <w:shd w:val="clear" w:color="auto" w:fill="C6EFCE"/>
            <w:tcMar>
              <w:left w:w="108" w:type="dxa"/>
              <w:right w:w="108" w:type="dxa"/>
            </w:tcMar>
            <w:vAlign w:val="center"/>
          </w:tcPr>
          <w:p w14:paraId="15CB50A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M2C4-25</w:t>
            </w:r>
          </w:p>
        </w:tc>
        <w:tc>
          <w:tcPr>
            <w:tcW w:w="3449" w:type="dxa"/>
            <w:shd w:val="clear" w:color="auto" w:fill="C6EFCE"/>
            <w:tcMar>
              <w:left w:w="108" w:type="dxa"/>
              <w:right w:w="108" w:type="dxa"/>
            </w:tcMar>
            <w:vAlign w:val="center"/>
          </w:tcPr>
          <w:p w14:paraId="33E2E4ED"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3.4. Remediation of “orphan-sites soil”</w:t>
            </w:r>
          </w:p>
        </w:tc>
        <w:tc>
          <w:tcPr>
            <w:tcW w:w="1134" w:type="dxa"/>
            <w:shd w:val="clear" w:color="auto" w:fill="C6EFCE"/>
            <w:tcMar>
              <w:left w:w="108" w:type="dxa"/>
              <w:right w:w="108" w:type="dxa"/>
            </w:tcMar>
            <w:vAlign w:val="center"/>
          </w:tcPr>
          <w:p w14:paraId="2275170A"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101A44B" w14:textId="0A83338A" w:rsidR="0039681A" w:rsidRPr="00647572" w:rsidRDefault="0039681A" w:rsidP="00351087">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Revitalisation of</w:t>
            </w:r>
            <w:r w:rsidR="00381DB1">
              <w:rPr>
                <w:rFonts w:ascii="Times New Roman" w:eastAsia="Times New Roman" w:hAnsi="Times New Roman" w:cs="Times New Roman"/>
                <w:noProof/>
                <w:color w:val="006100"/>
                <w:sz w:val="20"/>
                <w:szCs w:val="20"/>
                <w:lang w:eastAsia="en-GB"/>
              </w:rPr>
              <w:t xml:space="preserve"> </w:t>
            </w:r>
            <w:r w:rsidRPr="00647572">
              <w:rPr>
                <w:rFonts w:ascii="Times New Roman" w:eastAsia="Times New Roman" w:hAnsi="Times New Roman" w:cs="Times New Roman"/>
                <w:noProof/>
                <w:color w:val="006100"/>
                <w:sz w:val="20"/>
                <w:szCs w:val="20"/>
                <w:lang w:eastAsia="en-GB"/>
              </w:rPr>
              <w:t xml:space="preserve">orphan sites </w:t>
            </w:r>
          </w:p>
        </w:tc>
      </w:tr>
      <w:tr w:rsidR="0039681A" w:rsidRPr="0070054C" w14:paraId="7596C5B8" w14:textId="77777777">
        <w:trPr>
          <w:trHeight w:val="300"/>
        </w:trPr>
        <w:tc>
          <w:tcPr>
            <w:tcW w:w="1246" w:type="dxa"/>
            <w:shd w:val="clear" w:color="auto" w:fill="C6EFCE"/>
            <w:tcMar>
              <w:left w:w="108" w:type="dxa"/>
              <w:right w:w="108" w:type="dxa"/>
            </w:tcMar>
            <w:vAlign w:val="center"/>
          </w:tcPr>
          <w:p w14:paraId="5A463C7F"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M2C4-29</w:t>
            </w:r>
          </w:p>
        </w:tc>
        <w:tc>
          <w:tcPr>
            <w:tcW w:w="3449" w:type="dxa"/>
            <w:shd w:val="clear" w:color="auto" w:fill="C6EFCE"/>
            <w:tcMar>
              <w:left w:w="108" w:type="dxa"/>
              <w:right w:w="108" w:type="dxa"/>
            </w:tcMar>
            <w:vAlign w:val="center"/>
          </w:tcPr>
          <w:p w14:paraId="538BA9A1"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4.1. Investments in primary water infrastructures for the security of water supply</w:t>
            </w:r>
          </w:p>
        </w:tc>
        <w:tc>
          <w:tcPr>
            <w:tcW w:w="1134" w:type="dxa"/>
            <w:shd w:val="clear" w:color="auto" w:fill="C6EFCE"/>
            <w:tcMar>
              <w:left w:w="108" w:type="dxa"/>
              <w:right w:w="108" w:type="dxa"/>
            </w:tcMar>
            <w:vAlign w:val="center"/>
          </w:tcPr>
          <w:p w14:paraId="2FF768FF"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183BA81" w14:textId="5CF7FAEF" w:rsidR="0039681A" w:rsidRPr="00A36E36" w:rsidRDefault="0039681A" w:rsidP="00351087">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100"/>
                <w:sz w:val="20"/>
                <w:szCs w:val="20"/>
                <w:lang w:val="en-IE" w:eastAsia="en-GB"/>
              </w:rPr>
              <w:t>Administrative certificates for interventions in</w:t>
            </w:r>
            <w:r w:rsidRPr="00A36E36">
              <w:rPr>
                <w:rFonts w:ascii="Times New Roman" w:eastAsia="Times New Roman" w:hAnsi="Times New Roman" w:cs="Times New Roman"/>
                <w:noProof/>
                <w:color w:val="006100"/>
                <w:sz w:val="20"/>
                <w:szCs w:val="20"/>
                <w:lang w:val="en-IE" w:eastAsia="en-GB"/>
              </w:rPr>
              <w:t xml:space="preserve"> water </w:t>
            </w:r>
            <w:r>
              <w:rPr>
                <w:rFonts w:ascii="Times New Roman" w:eastAsia="Times New Roman" w:hAnsi="Times New Roman" w:cs="Times New Roman"/>
                <w:noProof/>
                <w:color w:val="006100"/>
                <w:sz w:val="20"/>
                <w:szCs w:val="20"/>
                <w:lang w:val="en-IE" w:eastAsia="en-GB"/>
              </w:rPr>
              <w:t>systems</w:t>
            </w:r>
          </w:p>
        </w:tc>
      </w:tr>
      <w:tr w:rsidR="0039681A" w:rsidRPr="0070054C" w14:paraId="13D85E95" w14:textId="77777777">
        <w:trPr>
          <w:trHeight w:val="300"/>
        </w:trPr>
        <w:tc>
          <w:tcPr>
            <w:tcW w:w="1246" w:type="dxa"/>
            <w:shd w:val="clear" w:color="auto" w:fill="C6EFCE"/>
            <w:tcMar>
              <w:left w:w="108" w:type="dxa"/>
              <w:right w:w="108" w:type="dxa"/>
            </w:tcMar>
            <w:vAlign w:val="center"/>
          </w:tcPr>
          <w:p w14:paraId="342C2266"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M2C4-38</w:t>
            </w:r>
          </w:p>
        </w:tc>
        <w:tc>
          <w:tcPr>
            <w:tcW w:w="3449" w:type="dxa"/>
            <w:shd w:val="clear" w:color="auto" w:fill="C6EFCE"/>
            <w:tcMar>
              <w:left w:w="108" w:type="dxa"/>
              <w:right w:w="108" w:type="dxa"/>
            </w:tcMar>
            <w:vAlign w:val="center"/>
          </w:tcPr>
          <w:p w14:paraId="1C3074F4"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 Investments in sewerage and purification</w:t>
            </w:r>
          </w:p>
        </w:tc>
        <w:tc>
          <w:tcPr>
            <w:tcW w:w="1134" w:type="dxa"/>
            <w:shd w:val="clear" w:color="auto" w:fill="C6EFCE"/>
            <w:tcMar>
              <w:left w:w="108" w:type="dxa"/>
              <w:right w:w="108" w:type="dxa"/>
            </w:tcMar>
            <w:vAlign w:val="center"/>
          </w:tcPr>
          <w:p w14:paraId="0A037C93"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2CED544" w14:textId="30628834"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Interventions for sewerage and </w:t>
            </w:r>
            <w:r>
              <w:rPr>
                <w:rFonts w:ascii="Times New Roman" w:eastAsia="Times New Roman" w:hAnsi="Times New Roman" w:cs="Times New Roman"/>
                <w:noProof/>
                <w:color w:val="006100"/>
                <w:sz w:val="20"/>
                <w:szCs w:val="20"/>
                <w:lang w:val="en-IE" w:eastAsia="en-GB"/>
              </w:rPr>
              <w:t>urban waste-water treatment</w:t>
            </w:r>
          </w:p>
        </w:tc>
      </w:tr>
      <w:tr w:rsidR="0039681A" w:rsidRPr="0070054C" w14:paraId="221061E0" w14:textId="77777777">
        <w:trPr>
          <w:trHeight w:val="300"/>
        </w:trPr>
        <w:tc>
          <w:tcPr>
            <w:tcW w:w="1246" w:type="dxa"/>
            <w:shd w:val="clear" w:color="auto" w:fill="C6EFCE"/>
            <w:tcMar>
              <w:left w:w="108" w:type="dxa"/>
              <w:right w:w="108" w:type="dxa"/>
            </w:tcMar>
            <w:vAlign w:val="center"/>
          </w:tcPr>
          <w:p w14:paraId="6EB13B8A"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M5C2-20</w:t>
            </w:r>
          </w:p>
        </w:tc>
        <w:tc>
          <w:tcPr>
            <w:tcW w:w="3449" w:type="dxa"/>
            <w:shd w:val="clear" w:color="auto" w:fill="C6EFCE"/>
            <w:tcMar>
              <w:left w:w="108" w:type="dxa"/>
              <w:right w:w="108" w:type="dxa"/>
            </w:tcMar>
            <w:vAlign w:val="center"/>
          </w:tcPr>
          <w:p w14:paraId="20460CEE"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6 - Innovation Programme for Housing Quality</w:t>
            </w:r>
          </w:p>
        </w:tc>
        <w:tc>
          <w:tcPr>
            <w:tcW w:w="1134" w:type="dxa"/>
            <w:shd w:val="clear" w:color="auto" w:fill="C6EFCE"/>
            <w:tcMar>
              <w:left w:w="108" w:type="dxa"/>
              <w:right w:w="108" w:type="dxa"/>
            </w:tcMar>
            <w:vAlign w:val="center"/>
          </w:tcPr>
          <w:p w14:paraId="3A6ABA3D"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B777D58"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housing units built, purchased or renovated </w:t>
            </w:r>
          </w:p>
        </w:tc>
      </w:tr>
      <w:tr w:rsidR="0039681A" w:rsidRPr="0070054C" w14:paraId="15404F87" w14:textId="77777777">
        <w:trPr>
          <w:trHeight w:val="300"/>
        </w:trPr>
        <w:tc>
          <w:tcPr>
            <w:tcW w:w="1246" w:type="dxa"/>
            <w:shd w:val="clear" w:color="auto" w:fill="C6EFCE"/>
            <w:tcMar>
              <w:left w:w="108" w:type="dxa"/>
              <w:right w:w="108" w:type="dxa"/>
            </w:tcMar>
            <w:vAlign w:val="center"/>
          </w:tcPr>
          <w:p w14:paraId="6F878E90"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M1C2-15</w:t>
            </w:r>
          </w:p>
        </w:tc>
        <w:tc>
          <w:tcPr>
            <w:tcW w:w="3449" w:type="dxa"/>
            <w:shd w:val="clear" w:color="auto" w:fill="C6EFCE"/>
            <w:tcMar>
              <w:left w:w="108" w:type="dxa"/>
              <w:right w:w="108" w:type="dxa"/>
            </w:tcMar>
            <w:vAlign w:val="center"/>
          </w:tcPr>
          <w:p w14:paraId="3E75269E"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 Innovation and technology of microelectronics</w:t>
            </w:r>
          </w:p>
        </w:tc>
        <w:tc>
          <w:tcPr>
            <w:tcW w:w="1134" w:type="dxa"/>
            <w:shd w:val="clear" w:color="auto" w:fill="C6EFCE"/>
            <w:tcMar>
              <w:left w:w="108" w:type="dxa"/>
              <w:right w:w="108" w:type="dxa"/>
            </w:tcMar>
            <w:vAlign w:val="center"/>
          </w:tcPr>
          <w:p w14:paraId="2F57626D" w14:textId="4F100383" w:rsidR="0039681A" w:rsidRPr="00647572" w:rsidRDefault="0039681A" w:rsidP="00351087">
            <w:pPr>
              <w:spacing w:after="0" w:line="240" w:lineRule="auto"/>
              <w:jc w:val="center"/>
              <w:rPr>
                <w:rFonts w:ascii="Times New Roman" w:eastAsia="Times New Roman" w:hAnsi="Times New Roman" w:cs="Times New Roman"/>
                <w:noProof/>
                <w:lang w:eastAsia="en-GB"/>
              </w:rPr>
            </w:pPr>
            <w:r>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4667C012"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Production capacity of Silicon Carbide substrates</w:t>
            </w:r>
          </w:p>
        </w:tc>
      </w:tr>
      <w:tr w:rsidR="0039681A" w:rsidRPr="0070054C" w14:paraId="2DB4A09E" w14:textId="77777777">
        <w:trPr>
          <w:trHeight w:val="300"/>
        </w:trPr>
        <w:tc>
          <w:tcPr>
            <w:tcW w:w="1246" w:type="dxa"/>
            <w:shd w:val="clear" w:color="auto" w:fill="C6EFCE"/>
            <w:tcMar>
              <w:left w:w="108" w:type="dxa"/>
              <w:right w:w="108" w:type="dxa"/>
            </w:tcMar>
            <w:vAlign w:val="center"/>
          </w:tcPr>
          <w:p w14:paraId="5F37B17A"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M1C2-17</w:t>
            </w:r>
          </w:p>
        </w:tc>
        <w:tc>
          <w:tcPr>
            <w:tcW w:w="3449" w:type="dxa"/>
            <w:shd w:val="clear" w:color="auto" w:fill="C6EFCE"/>
            <w:tcMar>
              <w:left w:w="108" w:type="dxa"/>
              <w:right w:w="108" w:type="dxa"/>
            </w:tcMar>
            <w:vAlign w:val="center"/>
          </w:tcPr>
          <w:p w14:paraId="76A08170"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Fast internet connections (Ultra-Broadband and 5G)</w:t>
            </w:r>
          </w:p>
        </w:tc>
        <w:tc>
          <w:tcPr>
            <w:tcW w:w="1134" w:type="dxa"/>
            <w:shd w:val="clear" w:color="auto" w:fill="C6EFCE"/>
            <w:tcMar>
              <w:left w:w="108" w:type="dxa"/>
              <w:right w:w="108" w:type="dxa"/>
            </w:tcMar>
            <w:vAlign w:val="center"/>
          </w:tcPr>
          <w:p w14:paraId="0692AA04"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3910689" w14:textId="3463A383"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House numbers </w:t>
            </w:r>
            <w:r>
              <w:rPr>
                <w:rFonts w:ascii="Times New Roman" w:eastAsia="Times New Roman" w:hAnsi="Times New Roman" w:cs="Times New Roman"/>
                <w:noProof/>
                <w:color w:val="006100"/>
                <w:sz w:val="20"/>
                <w:szCs w:val="20"/>
                <w:lang w:val="en-IE" w:eastAsia="en-GB"/>
              </w:rPr>
              <w:t>enabled</w:t>
            </w:r>
            <w:r w:rsidRPr="00A36E36">
              <w:rPr>
                <w:rFonts w:ascii="Times New Roman" w:eastAsia="Times New Roman" w:hAnsi="Times New Roman" w:cs="Times New Roman"/>
                <w:noProof/>
                <w:color w:val="006100"/>
                <w:sz w:val="20"/>
                <w:szCs w:val="20"/>
                <w:lang w:val="en-IE" w:eastAsia="en-GB"/>
              </w:rPr>
              <w:t xml:space="preserve"> with 1 Gbps connectivity</w:t>
            </w:r>
          </w:p>
        </w:tc>
      </w:tr>
      <w:tr w:rsidR="0039681A" w:rsidRPr="0070054C" w14:paraId="31B0D7A7" w14:textId="77777777">
        <w:trPr>
          <w:trHeight w:val="300"/>
        </w:trPr>
        <w:tc>
          <w:tcPr>
            <w:tcW w:w="1246" w:type="dxa"/>
            <w:shd w:val="clear" w:color="auto" w:fill="C6EFCE"/>
            <w:tcMar>
              <w:left w:w="108" w:type="dxa"/>
              <w:right w:w="108" w:type="dxa"/>
            </w:tcMar>
            <w:vAlign w:val="center"/>
          </w:tcPr>
          <w:p w14:paraId="0582A7F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M1C2-18</w:t>
            </w:r>
          </w:p>
        </w:tc>
        <w:tc>
          <w:tcPr>
            <w:tcW w:w="3449" w:type="dxa"/>
            <w:shd w:val="clear" w:color="auto" w:fill="C6EFCE"/>
            <w:tcMar>
              <w:left w:w="108" w:type="dxa"/>
              <w:right w:w="108" w:type="dxa"/>
            </w:tcMar>
            <w:vAlign w:val="center"/>
          </w:tcPr>
          <w:p w14:paraId="00735F8B"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Fast internet connections (Ultra-Broadband and 5G)</w:t>
            </w:r>
          </w:p>
        </w:tc>
        <w:tc>
          <w:tcPr>
            <w:tcW w:w="1134" w:type="dxa"/>
            <w:shd w:val="clear" w:color="auto" w:fill="C6EFCE"/>
            <w:tcMar>
              <w:left w:w="108" w:type="dxa"/>
              <w:right w:w="108" w:type="dxa"/>
            </w:tcMar>
            <w:vAlign w:val="center"/>
          </w:tcPr>
          <w:p w14:paraId="652507AC"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58A449D2" w14:textId="6D84BA25"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School </w:t>
            </w:r>
            <w:r>
              <w:rPr>
                <w:rFonts w:ascii="Times New Roman" w:eastAsia="Times New Roman" w:hAnsi="Times New Roman" w:cs="Times New Roman"/>
                <w:noProof/>
                <w:color w:val="006100"/>
                <w:sz w:val="20"/>
                <w:szCs w:val="20"/>
                <w:lang w:val="en-IE" w:eastAsia="en-GB"/>
              </w:rPr>
              <w:t>premises</w:t>
            </w:r>
            <w:r w:rsidRPr="00A36E36">
              <w:rPr>
                <w:rFonts w:ascii="Times New Roman" w:eastAsia="Times New Roman" w:hAnsi="Times New Roman" w:cs="Times New Roman"/>
                <w:noProof/>
                <w:color w:val="006100"/>
                <w:sz w:val="20"/>
                <w:szCs w:val="20"/>
                <w:lang w:val="en-IE" w:eastAsia="en-GB"/>
              </w:rPr>
              <w:t xml:space="preserve"> and healthcare facilities provided with 1 Gbps connectivity</w:t>
            </w:r>
          </w:p>
        </w:tc>
      </w:tr>
      <w:tr w:rsidR="0039681A" w:rsidRPr="0070054C" w14:paraId="50492EE6" w14:textId="77777777">
        <w:trPr>
          <w:trHeight w:val="300"/>
        </w:trPr>
        <w:tc>
          <w:tcPr>
            <w:tcW w:w="1246" w:type="dxa"/>
            <w:shd w:val="clear" w:color="auto" w:fill="C6EFCE"/>
            <w:tcMar>
              <w:left w:w="108" w:type="dxa"/>
              <w:right w:w="108" w:type="dxa"/>
            </w:tcMar>
            <w:vAlign w:val="center"/>
          </w:tcPr>
          <w:p w14:paraId="684DFDC1"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M1C2-20</w:t>
            </w:r>
          </w:p>
        </w:tc>
        <w:tc>
          <w:tcPr>
            <w:tcW w:w="3449" w:type="dxa"/>
            <w:shd w:val="clear" w:color="auto" w:fill="C6EFCE"/>
            <w:tcMar>
              <w:left w:w="108" w:type="dxa"/>
              <w:right w:w="108" w:type="dxa"/>
            </w:tcMar>
            <w:vAlign w:val="center"/>
          </w:tcPr>
          <w:p w14:paraId="130CB806"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 Fast internet connections (Ultra-Broadband and 5G)</w:t>
            </w:r>
          </w:p>
        </w:tc>
        <w:tc>
          <w:tcPr>
            <w:tcW w:w="1134" w:type="dxa"/>
            <w:shd w:val="clear" w:color="auto" w:fill="C6EFCE"/>
            <w:tcMar>
              <w:left w:w="108" w:type="dxa"/>
              <w:right w:w="108" w:type="dxa"/>
            </w:tcMar>
            <w:vAlign w:val="center"/>
          </w:tcPr>
          <w:p w14:paraId="69FC68A9"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13481B3A"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Extra-urban roads and </w:t>
            </w:r>
            <w:r>
              <w:rPr>
                <w:rFonts w:ascii="Times New Roman" w:eastAsia="Times New Roman" w:hAnsi="Times New Roman" w:cs="Times New Roman"/>
                <w:noProof/>
                <w:color w:val="006100"/>
                <w:sz w:val="20"/>
                <w:szCs w:val="20"/>
                <w:lang w:val="en-IE" w:eastAsia="en-GB"/>
              </w:rPr>
              <w:t xml:space="preserve">TEN-T </w:t>
            </w:r>
            <w:r w:rsidRPr="00A36E36">
              <w:rPr>
                <w:rFonts w:ascii="Times New Roman" w:eastAsia="Times New Roman" w:hAnsi="Times New Roman" w:cs="Times New Roman"/>
                <w:noProof/>
                <w:color w:val="006100"/>
                <w:sz w:val="20"/>
                <w:szCs w:val="20"/>
                <w:lang w:val="en-IE" w:eastAsia="en-GB"/>
              </w:rPr>
              <w:t>corridors enabled with 5G coverage</w:t>
            </w:r>
          </w:p>
        </w:tc>
      </w:tr>
      <w:tr w:rsidR="0039681A" w:rsidRPr="0070054C" w14:paraId="7F5F4969" w14:textId="77777777">
        <w:trPr>
          <w:trHeight w:val="300"/>
        </w:trPr>
        <w:tc>
          <w:tcPr>
            <w:tcW w:w="1246" w:type="dxa"/>
            <w:shd w:val="clear" w:color="auto" w:fill="C6EFCE"/>
            <w:tcMar>
              <w:left w:w="108" w:type="dxa"/>
              <w:right w:w="108" w:type="dxa"/>
            </w:tcMar>
            <w:vAlign w:val="center"/>
          </w:tcPr>
          <w:p w14:paraId="22991B8D"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M1C2-21</w:t>
            </w:r>
          </w:p>
        </w:tc>
        <w:tc>
          <w:tcPr>
            <w:tcW w:w="3449" w:type="dxa"/>
            <w:shd w:val="clear" w:color="auto" w:fill="C6EFCE"/>
            <w:tcMar>
              <w:left w:w="108" w:type="dxa"/>
              <w:right w:w="108" w:type="dxa"/>
            </w:tcMar>
            <w:vAlign w:val="center"/>
          </w:tcPr>
          <w:p w14:paraId="66C2BC93" w14:textId="77777777"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Investment 3: Fast internet connections (Ultra-Broadband and 5G)</w:t>
            </w:r>
          </w:p>
        </w:tc>
        <w:tc>
          <w:tcPr>
            <w:tcW w:w="1134" w:type="dxa"/>
            <w:shd w:val="clear" w:color="auto" w:fill="C6EFCE"/>
            <w:tcMar>
              <w:left w:w="108" w:type="dxa"/>
              <w:right w:w="108" w:type="dxa"/>
            </w:tcMar>
            <w:vAlign w:val="center"/>
          </w:tcPr>
          <w:p w14:paraId="57C930C3"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5C608F1E" w14:textId="77777777"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Market failure areas enabled or provided with 5G coverage</w:t>
            </w:r>
          </w:p>
        </w:tc>
      </w:tr>
      <w:tr w:rsidR="0039681A" w:rsidRPr="0070054C" w14:paraId="7A941514" w14:textId="77777777">
        <w:trPr>
          <w:trHeight w:val="300"/>
        </w:trPr>
        <w:tc>
          <w:tcPr>
            <w:tcW w:w="1246" w:type="dxa"/>
            <w:shd w:val="clear" w:color="auto" w:fill="C6EFCE"/>
            <w:tcMar>
              <w:left w:w="108" w:type="dxa"/>
              <w:right w:w="108" w:type="dxa"/>
            </w:tcMar>
            <w:vAlign w:val="center"/>
          </w:tcPr>
          <w:p w14:paraId="05904758"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M1C3-21</w:t>
            </w:r>
          </w:p>
        </w:tc>
        <w:tc>
          <w:tcPr>
            <w:tcW w:w="3449" w:type="dxa"/>
            <w:shd w:val="clear" w:color="auto" w:fill="C6EFCE"/>
            <w:tcMar>
              <w:left w:w="108" w:type="dxa"/>
              <w:right w:w="108" w:type="dxa"/>
            </w:tcMar>
            <w:vAlign w:val="center"/>
          </w:tcPr>
          <w:p w14:paraId="0B0DBABC" w14:textId="77777777"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Investment - 3.2 Development of the film industry (Cinecittà project)</w:t>
            </w:r>
          </w:p>
        </w:tc>
        <w:tc>
          <w:tcPr>
            <w:tcW w:w="1134" w:type="dxa"/>
            <w:shd w:val="clear" w:color="auto" w:fill="C6EFCE"/>
            <w:tcMar>
              <w:left w:w="108" w:type="dxa"/>
              <w:right w:w="108" w:type="dxa"/>
            </w:tcMar>
            <w:vAlign w:val="center"/>
          </w:tcPr>
          <w:p w14:paraId="28C187E1"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3868474" w14:textId="17E60A51"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Construction and/or renovation of studios and delivery of services for the Centre for Experimental Cinematography</w:t>
            </w:r>
          </w:p>
        </w:tc>
      </w:tr>
      <w:tr w:rsidR="0039681A" w:rsidRPr="0070054C" w14:paraId="7F47312A" w14:textId="77777777">
        <w:trPr>
          <w:trHeight w:val="300"/>
        </w:trPr>
        <w:tc>
          <w:tcPr>
            <w:tcW w:w="1246" w:type="dxa"/>
            <w:shd w:val="clear" w:color="auto" w:fill="C6EFCE"/>
            <w:tcMar>
              <w:left w:w="108" w:type="dxa"/>
              <w:right w:w="108" w:type="dxa"/>
            </w:tcMar>
            <w:vAlign w:val="center"/>
          </w:tcPr>
          <w:p w14:paraId="1DF99049"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M1C3-36</w:t>
            </w:r>
          </w:p>
        </w:tc>
        <w:tc>
          <w:tcPr>
            <w:tcW w:w="3449" w:type="dxa"/>
            <w:shd w:val="clear" w:color="auto" w:fill="C6EFCE"/>
            <w:tcMar>
              <w:left w:w="108" w:type="dxa"/>
              <w:right w:w="108" w:type="dxa"/>
            </w:tcMar>
            <w:vAlign w:val="center"/>
          </w:tcPr>
          <w:p w14:paraId="0A210947" w14:textId="77777777"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–Investment - 4.3 Caput Mundi-Next Generation EU for touristic great events</w:t>
            </w:r>
          </w:p>
        </w:tc>
        <w:tc>
          <w:tcPr>
            <w:tcW w:w="1134" w:type="dxa"/>
            <w:shd w:val="clear" w:color="auto" w:fill="C6EFCE"/>
            <w:tcMar>
              <w:left w:w="108" w:type="dxa"/>
              <w:right w:w="108" w:type="dxa"/>
            </w:tcMar>
            <w:vAlign w:val="center"/>
          </w:tcPr>
          <w:p w14:paraId="306DAA95"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A35DC09" w14:textId="6F26760D"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Certificates of completion of works or services</w:t>
            </w:r>
          </w:p>
        </w:tc>
      </w:tr>
      <w:tr w:rsidR="0039681A" w:rsidRPr="00647572" w14:paraId="27CDD5F8" w14:textId="77777777">
        <w:trPr>
          <w:trHeight w:val="300"/>
        </w:trPr>
        <w:tc>
          <w:tcPr>
            <w:tcW w:w="1246" w:type="dxa"/>
            <w:shd w:val="clear" w:color="auto" w:fill="C6EFCE"/>
            <w:tcMar>
              <w:left w:w="108" w:type="dxa"/>
              <w:right w:w="108" w:type="dxa"/>
            </w:tcMar>
            <w:vAlign w:val="center"/>
          </w:tcPr>
          <w:p w14:paraId="693607AD"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M2C1-16</w:t>
            </w:r>
          </w:p>
        </w:tc>
        <w:tc>
          <w:tcPr>
            <w:tcW w:w="3449" w:type="dxa"/>
            <w:shd w:val="clear" w:color="auto" w:fill="C6EFCE"/>
            <w:tcMar>
              <w:left w:w="108" w:type="dxa"/>
              <w:right w:w="108" w:type="dxa"/>
            </w:tcMar>
            <w:vAlign w:val="center"/>
          </w:tcPr>
          <w:p w14:paraId="58D15595" w14:textId="180EFAEC" w:rsidR="0039681A" w:rsidRPr="00324E17"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324E17">
              <w:rPr>
                <w:rFonts w:ascii="Times New Roman" w:eastAsia="Times New Roman" w:hAnsi="Times New Roman" w:cs="Times New Roman"/>
                <w:noProof/>
                <w:color w:val="006100"/>
                <w:sz w:val="20"/>
                <w:szCs w:val="20"/>
                <w:lang w:val="en-IE" w:eastAsia="en-GB"/>
              </w:rPr>
              <w:t>Reform 1.2</w:t>
            </w:r>
            <w:r w:rsidR="00381DB1" w:rsidRPr="00324E17">
              <w:rPr>
                <w:rFonts w:ascii="Times New Roman" w:eastAsia="Times New Roman" w:hAnsi="Times New Roman" w:cs="Times New Roman"/>
                <w:noProof/>
                <w:color w:val="006100"/>
                <w:sz w:val="20"/>
                <w:szCs w:val="20"/>
                <w:lang w:val="en-IE" w:eastAsia="en-GB"/>
              </w:rPr>
              <w:t xml:space="preserve"> </w:t>
            </w:r>
          </w:p>
          <w:p w14:paraId="641A2260" w14:textId="4317E1B3" w:rsidR="0039681A" w:rsidRPr="00324E17" w:rsidRDefault="0039681A" w:rsidP="00CA574C">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National Program for Waste Management</w:t>
            </w:r>
          </w:p>
        </w:tc>
        <w:tc>
          <w:tcPr>
            <w:tcW w:w="1134" w:type="dxa"/>
            <w:shd w:val="clear" w:color="auto" w:fill="C6EFCE"/>
            <w:tcMar>
              <w:left w:w="108" w:type="dxa"/>
              <w:right w:w="108" w:type="dxa"/>
            </w:tcMar>
            <w:vAlign w:val="center"/>
          </w:tcPr>
          <w:p w14:paraId="59A59EA8"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1C46E72" w14:textId="77777777" w:rsidR="0039681A" w:rsidRPr="00324E17" w:rsidRDefault="0039681A" w:rsidP="00351087">
            <w:pPr>
              <w:spacing w:after="0" w:line="240" w:lineRule="auto"/>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Irregular landfills</w:t>
            </w:r>
          </w:p>
        </w:tc>
      </w:tr>
      <w:tr w:rsidR="0039681A" w:rsidRPr="0070054C" w14:paraId="0D059D45" w14:textId="77777777">
        <w:trPr>
          <w:trHeight w:val="300"/>
        </w:trPr>
        <w:tc>
          <w:tcPr>
            <w:tcW w:w="1246" w:type="dxa"/>
            <w:shd w:val="clear" w:color="auto" w:fill="C6EFCE"/>
            <w:tcMar>
              <w:left w:w="108" w:type="dxa"/>
              <w:right w:w="108" w:type="dxa"/>
            </w:tcMar>
            <w:vAlign w:val="center"/>
          </w:tcPr>
          <w:p w14:paraId="1E965AAC"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M2C1-19</w:t>
            </w:r>
          </w:p>
        </w:tc>
        <w:tc>
          <w:tcPr>
            <w:tcW w:w="3449" w:type="dxa"/>
            <w:shd w:val="clear" w:color="auto" w:fill="C6EFCE"/>
            <w:tcMar>
              <w:left w:w="108" w:type="dxa"/>
              <w:right w:w="108" w:type="dxa"/>
            </w:tcMar>
            <w:vAlign w:val="center"/>
          </w:tcPr>
          <w:p w14:paraId="09212838" w14:textId="77777777" w:rsidR="0039681A" w:rsidRPr="00324E17" w:rsidRDefault="0039681A" w:rsidP="00351087">
            <w:pPr>
              <w:spacing w:after="0" w:line="240" w:lineRule="auto"/>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Investment 3.1: Green islands</w:t>
            </w:r>
          </w:p>
        </w:tc>
        <w:tc>
          <w:tcPr>
            <w:tcW w:w="1134" w:type="dxa"/>
            <w:shd w:val="clear" w:color="auto" w:fill="C6EFCE"/>
            <w:tcMar>
              <w:left w:w="108" w:type="dxa"/>
              <w:right w:w="108" w:type="dxa"/>
            </w:tcMar>
            <w:vAlign w:val="center"/>
          </w:tcPr>
          <w:p w14:paraId="58109481"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F1E007E" w14:textId="5B314D66"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Administrative act(s) for interventions in small islands</w:t>
            </w:r>
          </w:p>
        </w:tc>
      </w:tr>
      <w:tr w:rsidR="0039681A" w:rsidRPr="0070054C" w14:paraId="7960183E" w14:textId="77777777">
        <w:trPr>
          <w:trHeight w:val="300"/>
        </w:trPr>
        <w:tc>
          <w:tcPr>
            <w:tcW w:w="1246" w:type="dxa"/>
            <w:shd w:val="clear" w:color="auto" w:fill="C6EFCE"/>
            <w:tcMar>
              <w:left w:w="108" w:type="dxa"/>
              <w:right w:w="108" w:type="dxa"/>
            </w:tcMar>
            <w:vAlign w:val="center"/>
          </w:tcPr>
          <w:p w14:paraId="2B6F1C16"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M2C1-21</w:t>
            </w:r>
          </w:p>
        </w:tc>
        <w:tc>
          <w:tcPr>
            <w:tcW w:w="3449" w:type="dxa"/>
            <w:shd w:val="clear" w:color="auto" w:fill="C6EFCE"/>
            <w:tcMar>
              <w:left w:w="108" w:type="dxa"/>
              <w:right w:w="108" w:type="dxa"/>
            </w:tcMar>
            <w:vAlign w:val="center"/>
          </w:tcPr>
          <w:p w14:paraId="60953E6C" w14:textId="77777777" w:rsidR="0039681A" w:rsidRPr="00324E17" w:rsidRDefault="0039681A" w:rsidP="00351087">
            <w:pPr>
              <w:spacing w:after="0" w:line="240" w:lineRule="auto"/>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Investment 3.2: Green Communities</w:t>
            </w:r>
          </w:p>
        </w:tc>
        <w:tc>
          <w:tcPr>
            <w:tcW w:w="1134" w:type="dxa"/>
            <w:shd w:val="clear" w:color="auto" w:fill="C6EFCE"/>
            <w:tcMar>
              <w:left w:w="108" w:type="dxa"/>
              <w:right w:w="108" w:type="dxa"/>
            </w:tcMar>
            <w:vAlign w:val="center"/>
          </w:tcPr>
          <w:p w14:paraId="5888AB8C"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E29EC6F" w14:textId="15E1FC45"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Administrative certificates on the finalisation of projects in the Green Communities</w:t>
            </w:r>
          </w:p>
        </w:tc>
      </w:tr>
      <w:tr w:rsidR="0039681A" w:rsidRPr="0070054C" w14:paraId="2F55DFA3" w14:textId="77777777">
        <w:trPr>
          <w:trHeight w:val="300"/>
        </w:trPr>
        <w:tc>
          <w:tcPr>
            <w:tcW w:w="1246" w:type="dxa"/>
            <w:shd w:val="clear" w:color="auto" w:fill="C6EFCE"/>
            <w:tcMar>
              <w:left w:w="108" w:type="dxa"/>
              <w:right w:w="108" w:type="dxa"/>
            </w:tcMar>
            <w:vAlign w:val="center"/>
          </w:tcPr>
          <w:p w14:paraId="768EEC05"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M2C1-24</w:t>
            </w:r>
          </w:p>
        </w:tc>
        <w:tc>
          <w:tcPr>
            <w:tcW w:w="3449" w:type="dxa"/>
            <w:shd w:val="clear" w:color="auto" w:fill="C6EFCE"/>
            <w:tcMar>
              <w:left w:w="108" w:type="dxa"/>
              <w:right w:w="108" w:type="dxa"/>
            </w:tcMar>
            <w:vAlign w:val="center"/>
          </w:tcPr>
          <w:p w14:paraId="6401726D" w14:textId="77777777"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Investment 3.4: Fondo Contratti di Filiera (FCF) to support supply-chains contracts for the agri-food, fishing and aquaculture, forestry, floriculture and plant nursery sectors</w:t>
            </w:r>
          </w:p>
        </w:tc>
        <w:tc>
          <w:tcPr>
            <w:tcW w:w="1134" w:type="dxa"/>
            <w:shd w:val="clear" w:color="auto" w:fill="C6EFCE"/>
            <w:tcMar>
              <w:left w:w="108" w:type="dxa"/>
              <w:right w:w="108" w:type="dxa"/>
            </w:tcMar>
            <w:vAlign w:val="center"/>
          </w:tcPr>
          <w:p w14:paraId="268FAE1E"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1178BAA" w14:textId="77777777"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Legal agreements with final beneficiaries</w:t>
            </w:r>
          </w:p>
        </w:tc>
      </w:tr>
      <w:tr w:rsidR="0039681A" w:rsidRPr="0070054C" w14:paraId="6F9B799B" w14:textId="77777777">
        <w:trPr>
          <w:trHeight w:val="300"/>
        </w:trPr>
        <w:tc>
          <w:tcPr>
            <w:tcW w:w="1246" w:type="dxa"/>
            <w:shd w:val="clear" w:color="auto" w:fill="C6EFCE"/>
            <w:tcMar>
              <w:left w:w="108" w:type="dxa"/>
              <w:right w:w="108" w:type="dxa"/>
            </w:tcMar>
            <w:vAlign w:val="center"/>
          </w:tcPr>
          <w:p w14:paraId="0C7132D4"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M2C2-5</w:t>
            </w:r>
          </w:p>
        </w:tc>
        <w:tc>
          <w:tcPr>
            <w:tcW w:w="3449" w:type="dxa"/>
            <w:shd w:val="clear" w:color="auto" w:fill="C6EFCE"/>
            <w:tcMar>
              <w:left w:w="108" w:type="dxa"/>
              <w:right w:w="108" w:type="dxa"/>
            </w:tcMar>
            <w:vAlign w:val="center"/>
          </w:tcPr>
          <w:p w14:paraId="6DB7B4D9" w14:textId="77777777"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Investment 1.4 Development of biomethane, according to criteria for promoting the circular economy</w:t>
            </w:r>
          </w:p>
        </w:tc>
        <w:tc>
          <w:tcPr>
            <w:tcW w:w="1134" w:type="dxa"/>
            <w:shd w:val="clear" w:color="auto" w:fill="C6EFCE"/>
            <w:tcMar>
              <w:left w:w="108" w:type="dxa"/>
              <w:right w:w="108" w:type="dxa"/>
            </w:tcMar>
            <w:vAlign w:val="center"/>
          </w:tcPr>
          <w:p w14:paraId="3BA1CDC3"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495F7F17" w14:textId="77777777" w:rsidR="0039681A" w:rsidRPr="00324E17"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324E17">
              <w:rPr>
                <w:rFonts w:ascii="Times New Roman" w:eastAsia="Times New Roman" w:hAnsi="Times New Roman" w:cs="Times New Roman"/>
                <w:noProof/>
                <w:color w:val="006100"/>
                <w:sz w:val="20"/>
                <w:szCs w:val="20"/>
                <w:lang w:val="en-IE" w:eastAsia="en-GB"/>
              </w:rPr>
              <w:t xml:space="preserve">Implementing agreement, legal agreements signed with final beneficiaries and investment completion </w:t>
            </w:r>
          </w:p>
        </w:tc>
      </w:tr>
      <w:tr w:rsidR="0039681A" w:rsidRPr="0070054C" w14:paraId="6EB9427D" w14:textId="77777777">
        <w:trPr>
          <w:trHeight w:val="300"/>
        </w:trPr>
        <w:tc>
          <w:tcPr>
            <w:tcW w:w="1246" w:type="dxa"/>
            <w:shd w:val="clear" w:color="auto" w:fill="C6EFCE"/>
            <w:tcMar>
              <w:left w:w="108" w:type="dxa"/>
              <w:right w:w="108" w:type="dxa"/>
            </w:tcMar>
            <w:vAlign w:val="center"/>
          </w:tcPr>
          <w:p w14:paraId="3A9530DC"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M2C2-17</w:t>
            </w:r>
          </w:p>
        </w:tc>
        <w:tc>
          <w:tcPr>
            <w:tcW w:w="3449" w:type="dxa"/>
            <w:shd w:val="clear" w:color="auto" w:fill="C6EFCE"/>
            <w:tcMar>
              <w:left w:w="108" w:type="dxa"/>
              <w:right w:w="108" w:type="dxa"/>
            </w:tcMar>
            <w:vAlign w:val="center"/>
          </w:tcPr>
          <w:p w14:paraId="08804403" w14:textId="77777777"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 xml:space="preserve">Investment 3.4 Hydrogen testing for railway mobility and road transport </w:t>
            </w:r>
          </w:p>
        </w:tc>
        <w:tc>
          <w:tcPr>
            <w:tcW w:w="1134" w:type="dxa"/>
            <w:shd w:val="clear" w:color="auto" w:fill="C6EFCE"/>
            <w:tcMar>
              <w:left w:w="108" w:type="dxa"/>
              <w:right w:w="108" w:type="dxa"/>
            </w:tcMar>
            <w:vAlign w:val="center"/>
          </w:tcPr>
          <w:p w14:paraId="3BBDE3A2" w14:textId="77777777" w:rsidR="0039681A" w:rsidRPr="00324E17" w:rsidRDefault="0039681A" w:rsidP="00351087">
            <w:pPr>
              <w:spacing w:after="0" w:line="240" w:lineRule="auto"/>
              <w:jc w:val="center"/>
              <w:rPr>
                <w:rFonts w:ascii="Times New Roman" w:eastAsia="Times New Roman" w:hAnsi="Times New Roman" w:cs="Times New Roman"/>
                <w:noProof/>
                <w:lang w:eastAsia="en-GB"/>
              </w:rPr>
            </w:pPr>
            <w:r w:rsidRPr="00324E17">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ED28EB2" w14:textId="77777777"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 xml:space="preserve">Number of hydrogen refuelling stations built </w:t>
            </w:r>
          </w:p>
        </w:tc>
      </w:tr>
      <w:tr w:rsidR="0039681A" w:rsidRPr="0070054C" w14:paraId="636C94EF" w14:textId="77777777">
        <w:trPr>
          <w:trHeight w:val="300"/>
        </w:trPr>
        <w:tc>
          <w:tcPr>
            <w:tcW w:w="1246" w:type="dxa"/>
            <w:shd w:val="clear" w:color="auto" w:fill="C6EFCE"/>
            <w:tcMar>
              <w:left w:w="108" w:type="dxa"/>
              <w:right w:w="108" w:type="dxa"/>
            </w:tcMar>
            <w:vAlign w:val="center"/>
          </w:tcPr>
          <w:p w14:paraId="5438B11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M2C2-19</w:t>
            </w:r>
          </w:p>
        </w:tc>
        <w:tc>
          <w:tcPr>
            <w:tcW w:w="3449" w:type="dxa"/>
            <w:shd w:val="clear" w:color="auto" w:fill="C6EFCE"/>
            <w:tcMar>
              <w:left w:w="108" w:type="dxa"/>
              <w:right w:w="108" w:type="dxa"/>
            </w:tcMar>
            <w:vAlign w:val="center"/>
          </w:tcPr>
          <w:p w14:paraId="1DEFA18B"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3.5 Hydrogen Research and Development</w:t>
            </w:r>
          </w:p>
        </w:tc>
        <w:tc>
          <w:tcPr>
            <w:tcW w:w="1134" w:type="dxa"/>
            <w:shd w:val="clear" w:color="auto" w:fill="C6EFCE"/>
            <w:tcMar>
              <w:left w:w="108" w:type="dxa"/>
              <w:right w:w="108" w:type="dxa"/>
            </w:tcMar>
            <w:vAlign w:val="center"/>
          </w:tcPr>
          <w:p w14:paraId="0D151C94"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DF60D63"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Number of projects for research and development on hydrogen</w:t>
            </w:r>
          </w:p>
        </w:tc>
      </w:tr>
      <w:tr w:rsidR="0039681A" w:rsidRPr="0070054C" w14:paraId="22FC339C" w14:textId="77777777">
        <w:trPr>
          <w:trHeight w:val="300"/>
        </w:trPr>
        <w:tc>
          <w:tcPr>
            <w:tcW w:w="1246" w:type="dxa"/>
            <w:shd w:val="clear" w:color="auto" w:fill="C6EFCE"/>
            <w:tcMar>
              <w:left w:w="108" w:type="dxa"/>
              <w:right w:w="108" w:type="dxa"/>
            </w:tcMar>
            <w:vAlign w:val="center"/>
          </w:tcPr>
          <w:p w14:paraId="579A8C55"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M2C2-26</w:t>
            </w:r>
          </w:p>
        </w:tc>
        <w:tc>
          <w:tcPr>
            <w:tcW w:w="3449" w:type="dxa"/>
            <w:shd w:val="clear" w:color="auto" w:fill="C6EFCE"/>
            <w:tcMar>
              <w:left w:w="108" w:type="dxa"/>
              <w:right w:w="108" w:type="dxa"/>
            </w:tcMar>
            <w:vAlign w:val="center"/>
          </w:tcPr>
          <w:p w14:paraId="5F068E37"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4.2 Development of Rapid Mass Transport systems </w:t>
            </w:r>
          </w:p>
        </w:tc>
        <w:tc>
          <w:tcPr>
            <w:tcW w:w="1134" w:type="dxa"/>
            <w:shd w:val="clear" w:color="auto" w:fill="C6EFCE"/>
            <w:tcMar>
              <w:left w:w="108" w:type="dxa"/>
              <w:right w:w="108" w:type="dxa"/>
            </w:tcMar>
            <w:vAlign w:val="center"/>
          </w:tcPr>
          <w:p w14:paraId="198ABF0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7AD04536" w14:textId="1997986B"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Public infrastructure </w:t>
            </w:r>
            <w:r>
              <w:rPr>
                <w:rFonts w:ascii="Times New Roman" w:eastAsia="Times New Roman" w:hAnsi="Times New Roman" w:cs="Times New Roman"/>
                <w:noProof/>
                <w:color w:val="006100"/>
                <w:sz w:val="20"/>
                <w:szCs w:val="20"/>
                <w:lang w:val="en-IE" w:eastAsia="en-GB"/>
              </w:rPr>
              <w:t xml:space="preserve">and rolling stock </w:t>
            </w:r>
            <w:r w:rsidRPr="00A36E36">
              <w:rPr>
                <w:rFonts w:ascii="Times New Roman" w:eastAsia="Times New Roman" w:hAnsi="Times New Roman" w:cs="Times New Roman"/>
                <w:noProof/>
                <w:color w:val="006100"/>
                <w:sz w:val="20"/>
                <w:szCs w:val="20"/>
                <w:lang w:val="en-IE" w:eastAsia="en-GB"/>
              </w:rPr>
              <w:t>for rapid mass transport</w:t>
            </w:r>
          </w:p>
        </w:tc>
      </w:tr>
      <w:tr w:rsidR="0039681A" w:rsidRPr="00647572" w14:paraId="3FAA7151" w14:textId="77777777">
        <w:trPr>
          <w:trHeight w:val="300"/>
        </w:trPr>
        <w:tc>
          <w:tcPr>
            <w:tcW w:w="1246" w:type="dxa"/>
            <w:shd w:val="clear" w:color="auto" w:fill="C6EFCE"/>
            <w:tcMar>
              <w:left w:w="108" w:type="dxa"/>
              <w:right w:w="108" w:type="dxa"/>
            </w:tcMar>
            <w:vAlign w:val="center"/>
          </w:tcPr>
          <w:p w14:paraId="4054BF6A"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M2C2-35 bis</w:t>
            </w:r>
          </w:p>
        </w:tc>
        <w:tc>
          <w:tcPr>
            <w:tcW w:w="3449" w:type="dxa"/>
            <w:shd w:val="clear" w:color="auto" w:fill="C6EFCE"/>
            <w:tcMar>
              <w:left w:w="108" w:type="dxa"/>
              <w:right w:w="108" w:type="dxa"/>
            </w:tcMar>
            <w:vAlign w:val="center"/>
          </w:tcPr>
          <w:p w14:paraId="0E4013E3" w14:textId="15BBC7EC"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4.4.2:</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Strengthening of the regional public transport railway fleet with zero emission trains and universal service</w:t>
            </w:r>
          </w:p>
        </w:tc>
        <w:tc>
          <w:tcPr>
            <w:tcW w:w="1134" w:type="dxa"/>
            <w:shd w:val="clear" w:color="auto" w:fill="C6EFCE"/>
            <w:tcMar>
              <w:left w:w="108" w:type="dxa"/>
              <w:right w:w="108" w:type="dxa"/>
            </w:tcMar>
            <w:vAlign w:val="center"/>
          </w:tcPr>
          <w:p w14:paraId="4B479ECA"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15A3957C" w14:textId="67BF00EF" w:rsidR="0039681A" w:rsidRPr="00647572" w:rsidRDefault="0039681A" w:rsidP="00351087">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Number of trains </w:t>
            </w:r>
            <w:r>
              <w:rPr>
                <w:rFonts w:ascii="Times New Roman" w:eastAsia="Times New Roman" w:hAnsi="Times New Roman" w:cs="Times New Roman"/>
                <w:noProof/>
                <w:color w:val="006100"/>
                <w:sz w:val="20"/>
                <w:szCs w:val="20"/>
                <w:lang w:eastAsia="en-GB"/>
              </w:rPr>
              <w:t>procured</w:t>
            </w:r>
            <w:r w:rsidRPr="00647572">
              <w:rPr>
                <w:rFonts w:ascii="Times New Roman" w:eastAsia="Times New Roman" w:hAnsi="Times New Roman" w:cs="Times New Roman"/>
                <w:noProof/>
                <w:color w:val="006100"/>
                <w:sz w:val="20"/>
                <w:szCs w:val="20"/>
                <w:lang w:eastAsia="en-GB"/>
              </w:rPr>
              <w:t xml:space="preserve"> </w:t>
            </w:r>
          </w:p>
        </w:tc>
      </w:tr>
      <w:tr w:rsidR="0039681A" w:rsidRPr="0070054C" w14:paraId="1C3D3C55" w14:textId="77777777">
        <w:trPr>
          <w:trHeight w:val="300"/>
        </w:trPr>
        <w:tc>
          <w:tcPr>
            <w:tcW w:w="1246" w:type="dxa"/>
            <w:shd w:val="clear" w:color="auto" w:fill="C6EFCE"/>
            <w:tcMar>
              <w:left w:w="108" w:type="dxa"/>
              <w:right w:w="108" w:type="dxa"/>
            </w:tcMar>
            <w:vAlign w:val="center"/>
          </w:tcPr>
          <w:p w14:paraId="08C9FDE8"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M2C2-40</w:t>
            </w:r>
          </w:p>
        </w:tc>
        <w:tc>
          <w:tcPr>
            <w:tcW w:w="3449" w:type="dxa"/>
            <w:shd w:val="clear" w:color="auto" w:fill="C6EFCE"/>
            <w:tcMar>
              <w:left w:w="108" w:type="dxa"/>
              <w:right w:w="108" w:type="dxa"/>
            </w:tcMar>
            <w:vAlign w:val="center"/>
          </w:tcPr>
          <w:p w14:paraId="481E59B7"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5.1. Support to the production system for the Ecological Transition, Net Zero Technologies, and competitiveness and resilience of strategic supply chains</w:t>
            </w:r>
          </w:p>
        </w:tc>
        <w:tc>
          <w:tcPr>
            <w:tcW w:w="1134" w:type="dxa"/>
            <w:shd w:val="clear" w:color="auto" w:fill="C6EFCE"/>
            <w:tcMar>
              <w:left w:w="108" w:type="dxa"/>
              <w:right w:w="108" w:type="dxa"/>
            </w:tcMar>
            <w:vAlign w:val="center"/>
          </w:tcPr>
          <w:p w14:paraId="4F64904E"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6000DD78" w14:textId="2593B64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Amendment implementing agreement, </w:t>
            </w:r>
            <w:r>
              <w:rPr>
                <w:rFonts w:ascii="Times New Roman" w:eastAsia="Times New Roman" w:hAnsi="Times New Roman" w:cs="Times New Roman"/>
                <w:noProof/>
                <w:color w:val="006100"/>
                <w:sz w:val="20"/>
                <w:szCs w:val="20"/>
                <w:lang w:val="en-IE" w:eastAsia="en-GB"/>
              </w:rPr>
              <w:t xml:space="preserve">award decision for </w:t>
            </w:r>
            <w:r w:rsidRPr="00A36E36">
              <w:rPr>
                <w:rFonts w:ascii="Times New Roman" w:eastAsia="Times New Roman" w:hAnsi="Times New Roman" w:cs="Times New Roman"/>
                <w:noProof/>
                <w:color w:val="006100"/>
                <w:sz w:val="20"/>
                <w:szCs w:val="20"/>
                <w:lang w:val="en-IE" w:eastAsia="en-GB"/>
              </w:rPr>
              <w:t>final beneficiaries</w:t>
            </w:r>
            <w:r>
              <w:rPr>
                <w:rFonts w:ascii="Times New Roman" w:eastAsia="Times New Roman" w:hAnsi="Times New Roman" w:cs="Times New Roman"/>
                <w:noProof/>
                <w:color w:val="006100"/>
                <w:sz w:val="20"/>
                <w:szCs w:val="20"/>
                <w:lang w:val="en-IE" w:eastAsia="en-GB"/>
              </w:rPr>
              <w:t xml:space="preserve"> and investment completion</w:t>
            </w:r>
          </w:p>
        </w:tc>
      </w:tr>
      <w:tr w:rsidR="0039681A" w:rsidRPr="00647572" w14:paraId="1A1EED70" w14:textId="77777777">
        <w:trPr>
          <w:trHeight w:val="300"/>
        </w:trPr>
        <w:tc>
          <w:tcPr>
            <w:tcW w:w="1246" w:type="dxa"/>
            <w:shd w:val="clear" w:color="auto" w:fill="C6EFCE"/>
            <w:tcMar>
              <w:left w:w="108" w:type="dxa"/>
              <w:right w:w="108" w:type="dxa"/>
            </w:tcMar>
            <w:vAlign w:val="center"/>
          </w:tcPr>
          <w:p w14:paraId="74404664"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M2C2-43</w:t>
            </w:r>
          </w:p>
        </w:tc>
        <w:tc>
          <w:tcPr>
            <w:tcW w:w="3449" w:type="dxa"/>
            <w:shd w:val="clear" w:color="auto" w:fill="C6EFCE"/>
            <w:tcMar>
              <w:left w:w="108" w:type="dxa"/>
              <w:right w:w="108" w:type="dxa"/>
            </w:tcMar>
            <w:vAlign w:val="center"/>
          </w:tcPr>
          <w:p w14:paraId="60D96F66"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5.4 – Equity injection into the Green Transition Fund (“GTF”)</w:t>
            </w:r>
          </w:p>
        </w:tc>
        <w:tc>
          <w:tcPr>
            <w:tcW w:w="1134" w:type="dxa"/>
            <w:shd w:val="clear" w:color="auto" w:fill="C6EFCE"/>
            <w:tcMar>
              <w:left w:w="108" w:type="dxa"/>
              <w:right w:w="108" w:type="dxa"/>
            </w:tcMar>
            <w:vAlign w:val="center"/>
          </w:tcPr>
          <w:p w14:paraId="10938CAD" w14:textId="77777777" w:rsidR="0039681A" w:rsidRPr="00647572" w:rsidRDefault="0039681A" w:rsidP="00351087">
            <w:pPr>
              <w:spacing w:after="0" w:line="240" w:lineRule="auto"/>
              <w:jc w:val="center"/>
              <w:rPr>
                <w:rFonts w:ascii="Times New Roman" w:eastAsia="Times New Roman" w:hAnsi="Times New Roman" w:cs="Times New Roman"/>
                <w:noProof/>
                <w:sz w:val="20"/>
                <w:szCs w:val="20"/>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07887C8D" w14:textId="77777777" w:rsidR="0039681A" w:rsidRPr="00647572" w:rsidRDefault="0039681A" w:rsidP="00351087">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Adoption of a report</w:t>
            </w:r>
          </w:p>
        </w:tc>
      </w:tr>
      <w:tr w:rsidR="0039681A" w:rsidRPr="0070054C" w14:paraId="7987F3D0" w14:textId="77777777">
        <w:trPr>
          <w:trHeight w:val="300"/>
        </w:trPr>
        <w:tc>
          <w:tcPr>
            <w:tcW w:w="1246" w:type="dxa"/>
            <w:shd w:val="clear" w:color="auto" w:fill="C6EFCE"/>
            <w:tcMar>
              <w:left w:w="108" w:type="dxa"/>
              <w:right w:w="108" w:type="dxa"/>
            </w:tcMar>
            <w:vAlign w:val="center"/>
          </w:tcPr>
          <w:p w14:paraId="2F87AEB7"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M2C2-47</w:t>
            </w:r>
          </w:p>
        </w:tc>
        <w:tc>
          <w:tcPr>
            <w:tcW w:w="3449" w:type="dxa"/>
            <w:shd w:val="clear" w:color="auto" w:fill="C6EFCE"/>
            <w:tcMar>
              <w:left w:w="108" w:type="dxa"/>
              <w:right w:w="108" w:type="dxa"/>
            </w:tcMar>
            <w:vAlign w:val="center"/>
          </w:tcPr>
          <w:p w14:paraId="034671D5"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Promotion of RES for energy communities and jointly acting renewables self-consumers</w:t>
            </w:r>
          </w:p>
        </w:tc>
        <w:tc>
          <w:tcPr>
            <w:tcW w:w="1134" w:type="dxa"/>
            <w:shd w:val="clear" w:color="auto" w:fill="C6EFCE"/>
            <w:tcMar>
              <w:left w:w="108" w:type="dxa"/>
              <w:right w:w="108" w:type="dxa"/>
            </w:tcMar>
            <w:vAlign w:val="center"/>
          </w:tcPr>
          <w:p w14:paraId="4089B991" w14:textId="2EC49963" w:rsidR="0039681A" w:rsidRPr="00647572" w:rsidRDefault="0039681A" w:rsidP="00351087">
            <w:pPr>
              <w:spacing w:after="0" w:line="240" w:lineRule="auto"/>
              <w:jc w:val="center"/>
              <w:rPr>
                <w:rFonts w:ascii="Times New Roman" w:eastAsia="Times New Roman" w:hAnsi="Times New Roman" w:cs="Times New Roman"/>
                <w:noProof/>
                <w:lang w:eastAsia="en-GB"/>
              </w:rPr>
            </w:pPr>
            <w:r>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7EA0CA90" w14:textId="473D2B67" w:rsidR="0039681A" w:rsidRPr="00A36E36" w:rsidRDefault="0039681A" w:rsidP="00351087">
            <w:pPr>
              <w:spacing w:after="0" w:line="240" w:lineRule="auto"/>
              <w:rPr>
                <w:rFonts w:ascii="Times New Roman" w:eastAsia="Times New Roman" w:hAnsi="Times New Roman" w:cs="Times New Roman"/>
                <w:noProof/>
                <w:lang w:val="en-IE" w:eastAsia="en-GB"/>
              </w:rPr>
            </w:pPr>
            <w:r w:rsidRPr="00AF5341">
              <w:rPr>
                <w:rFonts w:ascii="Times New Roman" w:eastAsia="Times New Roman" w:hAnsi="Times New Roman" w:cs="Times New Roman"/>
                <w:noProof/>
                <w:color w:val="006100"/>
                <w:sz w:val="20"/>
                <w:szCs w:val="20"/>
                <w:lang w:val="en-IE" w:eastAsia="en-GB"/>
              </w:rPr>
              <w:t>Implementing agreement, legal agreements signed with final beneficiaries and investment completion</w:t>
            </w:r>
          </w:p>
        </w:tc>
      </w:tr>
      <w:tr w:rsidR="0039681A" w:rsidRPr="00647572" w14:paraId="14CE460B" w14:textId="77777777">
        <w:trPr>
          <w:trHeight w:val="300"/>
        </w:trPr>
        <w:tc>
          <w:tcPr>
            <w:tcW w:w="1246" w:type="dxa"/>
            <w:shd w:val="clear" w:color="auto" w:fill="C6EFCE"/>
            <w:tcMar>
              <w:left w:w="108" w:type="dxa"/>
              <w:right w:w="108" w:type="dxa"/>
            </w:tcMar>
            <w:vAlign w:val="center"/>
          </w:tcPr>
          <w:p w14:paraId="6FA17C5A"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M2C2-49</w:t>
            </w:r>
          </w:p>
        </w:tc>
        <w:tc>
          <w:tcPr>
            <w:tcW w:w="3449" w:type="dxa"/>
            <w:shd w:val="clear" w:color="auto" w:fill="C6EFCE"/>
            <w:tcMar>
              <w:left w:w="108" w:type="dxa"/>
              <w:right w:w="108" w:type="dxa"/>
            </w:tcMar>
            <w:vAlign w:val="center"/>
          </w:tcPr>
          <w:p w14:paraId="212C8A66"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Production of Hydrogen in brownfield sites (Hydrogen Valleys)</w:t>
            </w:r>
          </w:p>
        </w:tc>
        <w:tc>
          <w:tcPr>
            <w:tcW w:w="1134" w:type="dxa"/>
            <w:shd w:val="clear" w:color="auto" w:fill="C6EFCE"/>
            <w:tcMar>
              <w:left w:w="108" w:type="dxa"/>
              <w:right w:w="108" w:type="dxa"/>
            </w:tcMar>
            <w:vAlign w:val="center"/>
          </w:tcPr>
          <w:p w14:paraId="44C62EB7"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1FAFD26" w14:textId="10B6F05A" w:rsidR="0039681A" w:rsidRPr="00647572" w:rsidRDefault="0039681A" w:rsidP="00351087">
            <w:pPr>
              <w:spacing w:after="0" w:line="240" w:lineRule="auto"/>
              <w:rPr>
                <w:rFonts w:ascii="Times New Roman" w:eastAsia="Times New Roman" w:hAnsi="Times New Roman" w:cs="Times New Roman"/>
                <w:noProof/>
                <w:lang w:eastAsia="en-GB"/>
              </w:rPr>
            </w:pPr>
            <w:r>
              <w:rPr>
                <w:rFonts w:ascii="Times New Roman" w:eastAsia="Times New Roman" w:hAnsi="Times New Roman" w:cs="Times New Roman"/>
                <w:noProof/>
                <w:color w:val="006100"/>
                <w:sz w:val="20"/>
                <w:szCs w:val="20"/>
                <w:lang w:eastAsia="en-GB"/>
              </w:rPr>
              <w:t>Electrolysers installed</w:t>
            </w:r>
            <w:r w:rsidRPr="00647572">
              <w:rPr>
                <w:rFonts w:ascii="Times New Roman" w:eastAsia="Times New Roman" w:hAnsi="Times New Roman" w:cs="Times New Roman"/>
                <w:noProof/>
                <w:color w:val="006100"/>
                <w:sz w:val="20"/>
                <w:szCs w:val="20"/>
                <w:lang w:eastAsia="en-GB"/>
              </w:rPr>
              <w:t xml:space="preserve"> </w:t>
            </w:r>
          </w:p>
        </w:tc>
      </w:tr>
      <w:tr w:rsidR="0039681A" w:rsidRPr="00647572" w14:paraId="775ABC33" w14:textId="77777777">
        <w:trPr>
          <w:trHeight w:val="300"/>
        </w:trPr>
        <w:tc>
          <w:tcPr>
            <w:tcW w:w="1246" w:type="dxa"/>
            <w:shd w:val="clear" w:color="auto" w:fill="C6EFCE"/>
            <w:tcMar>
              <w:left w:w="108" w:type="dxa"/>
              <w:right w:w="108" w:type="dxa"/>
            </w:tcMar>
            <w:vAlign w:val="center"/>
          </w:tcPr>
          <w:p w14:paraId="4861C00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M2C2-53</w:t>
            </w:r>
          </w:p>
        </w:tc>
        <w:tc>
          <w:tcPr>
            <w:tcW w:w="3449" w:type="dxa"/>
            <w:shd w:val="clear" w:color="auto" w:fill="C6EFCE"/>
            <w:tcMar>
              <w:left w:w="108" w:type="dxa"/>
              <w:right w:w="108" w:type="dxa"/>
            </w:tcMar>
            <w:vAlign w:val="center"/>
          </w:tcPr>
          <w:p w14:paraId="6911C26F" w14:textId="77777777" w:rsidR="0039681A" w:rsidRPr="00647572" w:rsidRDefault="0039681A" w:rsidP="00351087">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5.2 Hydrogen</w:t>
            </w:r>
          </w:p>
        </w:tc>
        <w:tc>
          <w:tcPr>
            <w:tcW w:w="1134" w:type="dxa"/>
            <w:shd w:val="clear" w:color="auto" w:fill="C6EFCE"/>
            <w:tcMar>
              <w:left w:w="108" w:type="dxa"/>
              <w:right w:w="108" w:type="dxa"/>
            </w:tcMar>
            <w:vAlign w:val="center"/>
          </w:tcPr>
          <w:p w14:paraId="695D04FF"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095A153" w14:textId="77777777" w:rsidR="0039681A" w:rsidRPr="00647572" w:rsidRDefault="0039681A" w:rsidP="00351087">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Industrial plant</w:t>
            </w:r>
            <w:r>
              <w:rPr>
                <w:rFonts w:ascii="Times New Roman" w:eastAsia="Times New Roman" w:hAnsi="Times New Roman" w:cs="Times New Roman"/>
                <w:noProof/>
                <w:color w:val="006100"/>
                <w:sz w:val="20"/>
                <w:szCs w:val="20"/>
                <w:lang w:eastAsia="en-GB"/>
              </w:rPr>
              <w:t>(s)</w:t>
            </w:r>
            <w:r w:rsidRPr="00647572">
              <w:rPr>
                <w:rFonts w:ascii="Times New Roman" w:eastAsia="Times New Roman" w:hAnsi="Times New Roman" w:cs="Times New Roman"/>
                <w:noProof/>
                <w:color w:val="006100"/>
                <w:sz w:val="20"/>
                <w:szCs w:val="20"/>
                <w:lang w:eastAsia="en-GB"/>
              </w:rPr>
              <w:t xml:space="preserve"> built </w:t>
            </w:r>
          </w:p>
        </w:tc>
      </w:tr>
      <w:tr w:rsidR="0039681A" w:rsidRPr="0070054C" w14:paraId="0088FDCC" w14:textId="77777777">
        <w:trPr>
          <w:trHeight w:val="300"/>
        </w:trPr>
        <w:tc>
          <w:tcPr>
            <w:tcW w:w="1246" w:type="dxa"/>
            <w:shd w:val="clear" w:color="auto" w:fill="C6EFCE"/>
            <w:tcMar>
              <w:left w:w="108" w:type="dxa"/>
              <w:right w:w="108" w:type="dxa"/>
            </w:tcMar>
            <w:vAlign w:val="center"/>
          </w:tcPr>
          <w:p w14:paraId="6EF2E291"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M2C4-6bis</w:t>
            </w:r>
          </w:p>
        </w:tc>
        <w:tc>
          <w:tcPr>
            <w:tcW w:w="3449" w:type="dxa"/>
            <w:shd w:val="clear" w:color="auto" w:fill="C6EFCE"/>
            <w:tcMar>
              <w:left w:w="108" w:type="dxa"/>
              <w:right w:w="108" w:type="dxa"/>
            </w:tcMar>
            <w:vAlign w:val="center"/>
          </w:tcPr>
          <w:p w14:paraId="76EAC032"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sidDel="00737041">
              <w:rPr>
                <w:rFonts w:ascii="Times New Roman" w:eastAsia="Times New Roman" w:hAnsi="Times New Roman" w:cs="Times New Roman"/>
                <w:noProof/>
                <w:color w:val="006100"/>
                <w:sz w:val="20"/>
                <w:szCs w:val="20"/>
                <w:lang w:val="en-IE" w:eastAsia="en-GB"/>
              </w:rPr>
              <w:t>Investment 3.2: Digitization of national parks</w:t>
            </w:r>
          </w:p>
        </w:tc>
        <w:tc>
          <w:tcPr>
            <w:tcW w:w="1134" w:type="dxa"/>
            <w:shd w:val="clear" w:color="auto" w:fill="C6EFCE"/>
            <w:tcMar>
              <w:left w:w="108" w:type="dxa"/>
              <w:right w:w="108" w:type="dxa"/>
            </w:tcMar>
            <w:vAlign w:val="center"/>
          </w:tcPr>
          <w:p w14:paraId="26DC312E"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685784A8" w14:textId="17DC4EE3"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Interventions related </w:t>
            </w:r>
            <w:r>
              <w:rPr>
                <w:rFonts w:ascii="Times New Roman" w:eastAsia="Times New Roman" w:hAnsi="Times New Roman" w:cs="Times New Roman"/>
                <w:noProof/>
                <w:color w:val="006100"/>
                <w:sz w:val="20"/>
                <w:szCs w:val="20"/>
                <w:lang w:val="en-IE" w:eastAsia="en-GB"/>
              </w:rPr>
              <w:t>to</w:t>
            </w:r>
            <w:r w:rsidRPr="00A36E36">
              <w:rPr>
                <w:rFonts w:ascii="Times New Roman" w:eastAsia="Times New Roman" w:hAnsi="Times New Roman" w:cs="Times New Roman"/>
                <w:noProof/>
                <w:color w:val="006100"/>
                <w:sz w:val="20"/>
                <w:szCs w:val="20"/>
                <w:lang w:val="en-IE" w:eastAsia="en-GB"/>
              </w:rPr>
              <w:t xml:space="preserve"> nature coservation and monitoring </w:t>
            </w:r>
            <w:r>
              <w:rPr>
                <w:rFonts w:ascii="Times New Roman" w:eastAsia="Times New Roman" w:hAnsi="Times New Roman" w:cs="Times New Roman"/>
                <w:noProof/>
                <w:color w:val="006100"/>
                <w:sz w:val="20"/>
                <w:szCs w:val="20"/>
                <w:lang w:val="en-IE" w:eastAsia="en-GB"/>
              </w:rPr>
              <w:t>activities</w:t>
            </w:r>
          </w:p>
        </w:tc>
      </w:tr>
      <w:tr w:rsidR="0039681A" w:rsidRPr="00647572" w14:paraId="3DC818F5" w14:textId="77777777">
        <w:trPr>
          <w:trHeight w:val="300"/>
        </w:trPr>
        <w:tc>
          <w:tcPr>
            <w:tcW w:w="1246" w:type="dxa"/>
            <w:shd w:val="clear" w:color="auto" w:fill="C6EFCE"/>
            <w:tcMar>
              <w:left w:w="108" w:type="dxa"/>
              <w:right w:w="108" w:type="dxa"/>
            </w:tcMar>
            <w:vAlign w:val="center"/>
          </w:tcPr>
          <w:p w14:paraId="227D29A4"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M2C4-11bis</w:t>
            </w:r>
          </w:p>
        </w:tc>
        <w:tc>
          <w:tcPr>
            <w:tcW w:w="3449" w:type="dxa"/>
            <w:shd w:val="clear" w:color="auto" w:fill="C6EFCE"/>
            <w:tcMar>
              <w:left w:w="108" w:type="dxa"/>
              <w:right w:w="108" w:type="dxa"/>
            </w:tcMar>
            <w:vAlign w:val="center"/>
          </w:tcPr>
          <w:p w14:paraId="36B34AB4"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2.1.a. Measures for flood and hydrogeological risk reduction – Interventions in Emilia Romagna, Toscana and Marche</w:t>
            </w:r>
          </w:p>
        </w:tc>
        <w:tc>
          <w:tcPr>
            <w:tcW w:w="1134" w:type="dxa"/>
            <w:shd w:val="clear" w:color="auto" w:fill="C6EFCE"/>
            <w:tcMar>
              <w:left w:w="108" w:type="dxa"/>
              <w:right w:w="108" w:type="dxa"/>
            </w:tcMar>
            <w:vAlign w:val="center"/>
          </w:tcPr>
          <w:p w14:paraId="17459D5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64B2E355" w14:textId="79CB2AC9" w:rsidR="0039681A" w:rsidRPr="00647572" w:rsidRDefault="0039681A" w:rsidP="00351087">
            <w:pPr>
              <w:spacing w:after="0" w:line="240" w:lineRule="auto"/>
              <w:rPr>
                <w:rFonts w:ascii="Times New Roman" w:eastAsia="Times New Roman" w:hAnsi="Times New Roman" w:cs="Times New Roman"/>
                <w:noProof/>
                <w:color w:val="006100"/>
                <w:sz w:val="20"/>
                <w:szCs w:val="20"/>
                <w:lang w:eastAsia="en-GB"/>
              </w:rPr>
            </w:pPr>
            <w:r>
              <w:rPr>
                <w:rFonts w:ascii="Times New Roman" w:eastAsia="Times New Roman" w:hAnsi="Times New Roman" w:cs="Times New Roman"/>
                <w:noProof/>
                <w:color w:val="006100"/>
                <w:sz w:val="20"/>
                <w:szCs w:val="20"/>
                <w:lang w:eastAsia="en-GB"/>
              </w:rPr>
              <w:t xml:space="preserve">Interventions </w:t>
            </w:r>
            <w:r w:rsidRPr="00647572">
              <w:rPr>
                <w:rFonts w:ascii="Times New Roman" w:eastAsia="Times New Roman" w:hAnsi="Times New Roman" w:cs="Times New Roman"/>
                <w:noProof/>
                <w:color w:val="006100"/>
                <w:sz w:val="20"/>
                <w:szCs w:val="20"/>
                <w:lang w:eastAsia="en-GB"/>
              </w:rPr>
              <w:t>carried out</w:t>
            </w:r>
          </w:p>
        </w:tc>
      </w:tr>
      <w:tr w:rsidR="0039681A" w:rsidRPr="0070054C" w14:paraId="70A4BC0E" w14:textId="77777777">
        <w:trPr>
          <w:trHeight w:val="300"/>
        </w:trPr>
        <w:tc>
          <w:tcPr>
            <w:tcW w:w="1246" w:type="dxa"/>
            <w:shd w:val="clear" w:color="auto" w:fill="C6EFCE"/>
            <w:tcMar>
              <w:left w:w="108" w:type="dxa"/>
              <w:right w:w="108" w:type="dxa"/>
            </w:tcMar>
            <w:vAlign w:val="center"/>
          </w:tcPr>
          <w:p w14:paraId="40724A1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M2C4-13</w:t>
            </w:r>
          </w:p>
        </w:tc>
        <w:tc>
          <w:tcPr>
            <w:tcW w:w="3449" w:type="dxa"/>
            <w:shd w:val="clear" w:color="auto" w:fill="C6EFCE"/>
            <w:tcMar>
              <w:left w:w="108" w:type="dxa"/>
              <w:right w:w="108" w:type="dxa"/>
            </w:tcMar>
            <w:vAlign w:val="center"/>
          </w:tcPr>
          <w:p w14:paraId="7B9235F0"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2.1b- Measures for flood and hydrogeological risk reduction</w:t>
            </w:r>
          </w:p>
        </w:tc>
        <w:tc>
          <w:tcPr>
            <w:tcW w:w="1134" w:type="dxa"/>
            <w:shd w:val="clear" w:color="auto" w:fill="C6EFCE"/>
            <w:tcMar>
              <w:left w:w="108" w:type="dxa"/>
              <w:right w:w="108" w:type="dxa"/>
            </w:tcMar>
            <w:vAlign w:val="center"/>
          </w:tcPr>
          <w:p w14:paraId="332C3E9C"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36ABB6A"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Type D and type E interventions carried out</w:t>
            </w:r>
          </w:p>
        </w:tc>
      </w:tr>
      <w:tr w:rsidR="0039681A" w:rsidRPr="0070054C" w14:paraId="0DF0E2BC" w14:textId="77777777">
        <w:trPr>
          <w:trHeight w:val="300"/>
        </w:trPr>
        <w:tc>
          <w:tcPr>
            <w:tcW w:w="1246" w:type="dxa"/>
            <w:shd w:val="clear" w:color="auto" w:fill="C6EFCE"/>
            <w:tcMar>
              <w:left w:w="108" w:type="dxa"/>
              <w:right w:w="108" w:type="dxa"/>
            </w:tcMar>
            <w:vAlign w:val="center"/>
          </w:tcPr>
          <w:p w14:paraId="17A6E7CB"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M2C4-34bis</w:t>
            </w:r>
          </w:p>
        </w:tc>
        <w:tc>
          <w:tcPr>
            <w:tcW w:w="3449" w:type="dxa"/>
            <w:shd w:val="clear" w:color="auto" w:fill="C6EFCE"/>
            <w:tcMar>
              <w:left w:w="108" w:type="dxa"/>
              <w:right w:w="108" w:type="dxa"/>
            </w:tcMar>
            <w:vAlign w:val="center"/>
          </w:tcPr>
          <w:p w14:paraId="791708CC"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4.3 Investments in the resilience of the irrigation agrosystem for better management of water resources</w:t>
            </w:r>
          </w:p>
        </w:tc>
        <w:tc>
          <w:tcPr>
            <w:tcW w:w="1134" w:type="dxa"/>
            <w:shd w:val="clear" w:color="auto" w:fill="C6EFCE"/>
            <w:tcMar>
              <w:left w:w="108" w:type="dxa"/>
              <w:right w:w="108" w:type="dxa"/>
            </w:tcMar>
            <w:vAlign w:val="center"/>
          </w:tcPr>
          <w:p w14:paraId="03B960D7"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9C4CCC7"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Interventions for the resilience of the irrigation agrosystem for the better management of water resources T1</w:t>
            </w:r>
            <w:r>
              <w:rPr>
                <w:rFonts w:ascii="Times New Roman" w:eastAsia="Times New Roman" w:hAnsi="Times New Roman" w:cs="Times New Roman"/>
                <w:noProof/>
                <w:color w:val="006100"/>
                <w:sz w:val="20"/>
                <w:szCs w:val="20"/>
                <w:lang w:val="en-IE" w:eastAsia="en-GB"/>
              </w:rPr>
              <w:t>.2</w:t>
            </w:r>
          </w:p>
        </w:tc>
      </w:tr>
      <w:tr w:rsidR="0039681A" w:rsidRPr="0070054C" w14:paraId="79B0A6C8" w14:textId="77777777">
        <w:trPr>
          <w:trHeight w:val="300"/>
        </w:trPr>
        <w:tc>
          <w:tcPr>
            <w:tcW w:w="1246" w:type="dxa"/>
            <w:shd w:val="clear" w:color="auto" w:fill="C6EFCE"/>
            <w:tcMar>
              <w:left w:w="108" w:type="dxa"/>
              <w:right w:w="108" w:type="dxa"/>
            </w:tcMar>
            <w:vAlign w:val="center"/>
          </w:tcPr>
          <w:p w14:paraId="700E3A81"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M3C2-5bis</w:t>
            </w:r>
          </w:p>
        </w:tc>
        <w:tc>
          <w:tcPr>
            <w:tcW w:w="3449" w:type="dxa"/>
            <w:shd w:val="clear" w:color="auto" w:fill="C6EFCE"/>
            <w:tcMar>
              <w:left w:w="108" w:type="dxa"/>
              <w:right w:w="108" w:type="dxa"/>
            </w:tcMar>
            <w:vAlign w:val="center"/>
          </w:tcPr>
          <w:p w14:paraId="6CE76125"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2.1- Digitalisation of the logistic chain</w:t>
            </w:r>
          </w:p>
        </w:tc>
        <w:tc>
          <w:tcPr>
            <w:tcW w:w="1134" w:type="dxa"/>
            <w:shd w:val="clear" w:color="auto" w:fill="C6EFCE"/>
            <w:tcMar>
              <w:left w:w="108" w:type="dxa"/>
              <w:right w:w="108" w:type="dxa"/>
            </w:tcMar>
            <w:vAlign w:val="center"/>
          </w:tcPr>
          <w:p w14:paraId="0386B312"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619058EF"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Digitalisation of the logistic chain</w:t>
            </w:r>
          </w:p>
        </w:tc>
      </w:tr>
      <w:tr w:rsidR="0039681A" w:rsidRPr="00283C58" w14:paraId="08281486" w14:textId="77777777">
        <w:trPr>
          <w:trHeight w:val="300"/>
        </w:trPr>
        <w:tc>
          <w:tcPr>
            <w:tcW w:w="1246" w:type="dxa"/>
            <w:shd w:val="clear" w:color="auto" w:fill="C6EFCE"/>
            <w:tcMar>
              <w:left w:w="108" w:type="dxa"/>
              <w:right w:w="108" w:type="dxa"/>
            </w:tcMar>
            <w:vAlign w:val="center"/>
          </w:tcPr>
          <w:p w14:paraId="08FB3E52"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M3C2-6</w:t>
            </w:r>
          </w:p>
        </w:tc>
        <w:tc>
          <w:tcPr>
            <w:tcW w:w="3449" w:type="dxa"/>
            <w:shd w:val="clear" w:color="auto" w:fill="C6EFCE"/>
            <w:tcMar>
              <w:left w:w="108" w:type="dxa"/>
              <w:right w:w="108" w:type="dxa"/>
            </w:tcMar>
            <w:vAlign w:val="center"/>
          </w:tcPr>
          <w:p w14:paraId="2992866A"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2.2: Digitalization of air traffic management</w:t>
            </w:r>
          </w:p>
        </w:tc>
        <w:tc>
          <w:tcPr>
            <w:tcW w:w="1134" w:type="dxa"/>
            <w:shd w:val="clear" w:color="auto" w:fill="C6EFCE"/>
            <w:tcMar>
              <w:left w:w="108" w:type="dxa"/>
              <w:right w:w="108" w:type="dxa"/>
            </w:tcMar>
            <w:vAlign w:val="center"/>
          </w:tcPr>
          <w:p w14:paraId="753B53F1"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001030AD" w14:textId="77777777" w:rsidR="0039681A" w:rsidRPr="000B66FE"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Digitalisation of air traffic management</w:t>
            </w:r>
          </w:p>
        </w:tc>
      </w:tr>
      <w:tr w:rsidR="0039681A" w:rsidRPr="0070054C" w14:paraId="514C0997" w14:textId="77777777">
        <w:trPr>
          <w:trHeight w:val="300"/>
        </w:trPr>
        <w:tc>
          <w:tcPr>
            <w:tcW w:w="1246" w:type="dxa"/>
            <w:shd w:val="clear" w:color="auto" w:fill="C6EFCE"/>
            <w:tcMar>
              <w:left w:w="108" w:type="dxa"/>
              <w:right w:w="108" w:type="dxa"/>
            </w:tcMar>
            <w:vAlign w:val="center"/>
          </w:tcPr>
          <w:p w14:paraId="04A80A96"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M3C1-6</w:t>
            </w:r>
          </w:p>
        </w:tc>
        <w:tc>
          <w:tcPr>
            <w:tcW w:w="3449" w:type="dxa"/>
            <w:shd w:val="clear" w:color="auto" w:fill="C6EFCE"/>
            <w:tcMar>
              <w:left w:w="108" w:type="dxa"/>
              <w:right w:w="108" w:type="dxa"/>
            </w:tcMar>
            <w:vAlign w:val="center"/>
          </w:tcPr>
          <w:p w14:paraId="3DAADC93" w14:textId="1973473F"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1.1 - High-speed railway </w:t>
            </w:r>
            <w:r>
              <w:rPr>
                <w:rFonts w:ascii="Times New Roman" w:eastAsia="Times New Roman" w:hAnsi="Times New Roman" w:cs="Times New Roman"/>
                <w:noProof/>
                <w:color w:val="006100"/>
                <w:sz w:val="20"/>
                <w:szCs w:val="20"/>
                <w:lang w:val="en-IE" w:eastAsia="en-GB"/>
              </w:rPr>
              <w:t>line</w:t>
            </w:r>
            <w:r w:rsidRPr="00A36E36">
              <w:rPr>
                <w:rFonts w:ascii="Times New Roman" w:eastAsia="Times New Roman" w:hAnsi="Times New Roman" w:cs="Times New Roman"/>
                <w:noProof/>
                <w:color w:val="006100"/>
                <w:sz w:val="20"/>
                <w:szCs w:val="20"/>
                <w:lang w:val="en-IE" w:eastAsia="en-GB"/>
              </w:rPr>
              <w:t xml:space="preserve">s </w:t>
            </w:r>
            <w:r>
              <w:rPr>
                <w:rFonts w:ascii="Times New Roman" w:eastAsia="Times New Roman" w:hAnsi="Times New Roman" w:cs="Times New Roman"/>
                <w:noProof/>
                <w:color w:val="006100"/>
                <w:sz w:val="20"/>
                <w:szCs w:val="20"/>
                <w:lang w:val="en-IE" w:eastAsia="en-GB"/>
              </w:rPr>
              <w:t>in the Centre and</w:t>
            </w:r>
            <w:r w:rsidRPr="00A36E36">
              <w:rPr>
                <w:rFonts w:ascii="Times New Roman" w:eastAsia="Times New Roman" w:hAnsi="Times New Roman" w:cs="Times New Roman"/>
                <w:noProof/>
                <w:color w:val="006100"/>
                <w:sz w:val="20"/>
                <w:szCs w:val="20"/>
                <w:lang w:val="en-IE" w:eastAsia="en-GB"/>
              </w:rPr>
              <w:t xml:space="preserve"> South</w:t>
            </w:r>
          </w:p>
        </w:tc>
        <w:tc>
          <w:tcPr>
            <w:tcW w:w="1134" w:type="dxa"/>
            <w:shd w:val="clear" w:color="auto" w:fill="C6EFCE"/>
            <w:tcMar>
              <w:left w:w="108" w:type="dxa"/>
              <w:right w:w="108" w:type="dxa"/>
            </w:tcMar>
            <w:vAlign w:val="center"/>
          </w:tcPr>
          <w:p w14:paraId="5EDCD101"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584B06AD" w14:textId="007F8A3C" w:rsidR="0039681A" w:rsidRPr="00E6020A" w:rsidRDefault="0039681A" w:rsidP="00351087">
            <w:pPr>
              <w:spacing w:after="0" w:line="240" w:lineRule="auto"/>
              <w:rPr>
                <w:rFonts w:ascii="Times New Roman" w:eastAsia="Times New Roman" w:hAnsi="Times New Roman" w:cs="Times New Roman"/>
                <w:noProof/>
                <w:lang w:val="it-IT" w:eastAsia="en-GB"/>
              </w:rPr>
            </w:pPr>
            <w:r w:rsidRPr="00E6020A">
              <w:rPr>
                <w:rFonts w:ascii="Times New Roman" w:eastAsia="Times New Roman" w:hAnsi="Times New Roman" w:cs="Times New Roman"/>
                <w:noProof/>
                <w:color w:val="006100"/>
                <w:sz w:val="20"/>
                <w:szCs w:val="20"/>
                <w:lang w:val="it-IT" w:eastAsia="en-GB"/>
              </w:rPr>
              <w:t>High-speed rail in the lines Napoli-Bari, Salerno-Reggio Calabria, Palermo-Catani</w:t>
            </w:r>
            <w:r w:rsidR="00324E17">
              <w:rPr>
                <w:rFonts w:ascii="Times New Roman" w:eastAsia="Times New Roman" w:hAnsi="Times New Roman" w:cs="Times New Roman"/>
                <w:noProof/>
                <w:color w:val="006100"/>
                <w:sz w:val="20"/>
                <w:szCs w:val="20"/>
                <w:lang w:val="it-IT" w:eastAsia="en-GB"/>
              </w:rPr>
              <w:t xml:space="preserve">a, </w:t>
            </w:r>
            <w:r w:rsidRPr="00324E17">
              <w:rPr>
                <w:rFonts w:ascii="Times New Roman" w:eastAsia="Times New Roman" w:hAnsi="Times New Roman" w:cs="Times New Roman"/>
                <w:noProof/>
                <w:color w:val="006100"/>
                <w:sz w:val="20"/>
                <w:szCs w:val="20"/>
                <w:lang w:val="it-IT" w:eastAsia="en-GB"/>
              </w:rPr>
              <w:t>Orte-Falconara</w:t>
            </w:r>
            <w:r w:rsidR="00324E17">
              <w:rPr>
                <w:rFonts w:ascii="Times New Roman" w:eastAsia="Times New Roman" w:hAnsi="Times New Roman" w:cs="Times New Roman"/>
                <w:noProof/>
                <w:color w:val="006100"/>
                <w:sz w:val="20"/>
                <w:szCs w:val="20"/>
                <w:lang w:val="it-IT" w:eastAsia="en-GB"/>
              </w:rPr>
              <w:t xml:space="preserve">, </w:t>
            </w:r>
            <w:r w:rsidRPr="00324E17">
              <w:rPr>
                <w:rFonts w:ascii="Times New Roman" w:eastAsia="Times New Roman" w:hAnsi="Times New Roman" w:cs="Times New Roman"/>
                <w:noProof/>
                <w:color w:val="006100"/>
                <w:sz w:val="20"/>
                <w:szCs w:val="20"/>
                <w:lang w:val="it-IT" w:eastAsia="en-GB"/>
              </w:rPr>
              <w:t>Taranto-Metaponto-Potenza</w:t>
            </w:r>
            <w:r w:rsidRPr="00283C58">
              <w:rPr>
                <w:rFonts w:ascii="Times New Roman" w:eastAsia="Times New Roman" w:hAnsi="Times New Roman" w:cs="Times New Roman"/>
                <w:noProof/>
                <w:color w:val="006100"/>
                <w:sz w:val="20"/>
                <w:szCs w:val="20"/>
                <w:lang w:val="it-IT" w:eastAsia="en-GB"/>
              </w:rPr>
              <w:t>-Battipaglia.</w:t>
            </w:r>
          </w:p>
        </w:tc>
      </w:tr>
      <w:tr w:rsidR="0039681A" w:rsidRPr="0070054C" w14:paraId="4F7486B6" w14:textId="77777777">
        <w:trPr>
          <w:trHeight w:val="300"/>
        </w:trPr>
        <w:tc>
          <w:tcPr>
            <w:tcW w:w="1246" w:type="dxa"/>
            <w:shd w:val="clear" w:color="auto" w:fill="C6EFCE"/>
            <w:tcMar>
              <w:left w:w="108" w:type="dxa"/>
              <w:right w:w="108" w:type="dxa"/>
            </w:tcMar>
            <w:vAlign w:val="center"/>
          </w:tcPr>
          <w:p w14:paraId="6D18D186"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M3C1-9</w:t>
            </w:r>
          </w:p>
        </w:tc>
        <w:tc>
          <w:tcPr>
            <w:tcW w:w="3449" w:type="dxa"/>
            <w:shd w:val="clear" w:color="auto" w:fill="C6EFCE"/>
            <w:tcMar>
              <w:left w:w="108" w:type="dxa"/>
              <w:right w:w="108" w:type="dxa"/>
            </w:tcMar>
            <w:vAlign w:val="center"/>
          </w:tcPr>
          <w:p w14:paraId="6C2B028E" w14:textId="76810D68"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1.2 - High-speed lines in the North</w:t>
            </w:r>
          </w:p>
        </w:tc>
        <w:tc>
          <w:tcPr>
            <w:tcW w:w="1134" w:type="dxa"/>
            <w:shd w:val="clear" w:color="auto" w:fill="C6EFCE"/>
            <w:tcMar>
              <w:left w:w="108" w:type="dxa"/>
              <w:right w:w="108" w:type="dxa"/>
            </w:tcMar>
            <w:vAlign w:val="center"/>
          </w:tcPr>
          <w:p w14:paraId="490DEB9C"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6149A69"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High-speed rail in the lines Brescia-Verona-Vicenza-Padova; Liguria-Alpi.</w:t>
            </w:r>
          </w:p>
        </w:tc>
      </w:tr>
      <w:tr w:rsidR="0039681A" w:rsidRPr="0070054C" w14:paraId="57BA5C17" w14:textId="77777777">
        <w:trPr>
          <w:trHeight w:val="300"/>
        </w:trPr>
        <w:tc>
          <w:tcPr>
            <w:tcW w:w="1246" w:type="dxa"/>
            <w:shd w:val="clear" w:color="auto" w:fill="C6EFCE"/>
            <w:tcMar>
              <w:left w:w="108" w:type="dxa"/>
              <w:right w:w="108" w:type="dxa"/>
            </w:tcMar>
            <w:vAlign w:val="center"/>
          </w:tcPr>
          <w:p w14:paraId="663C4D3A"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M3C1-14</w:t>
            </w:r>
          </w:p>
        </w:tc>
        <w:tc>
          <w:tcPr>
            <w:tcW w:w="3449" w:type="dxa"/>
            <w:shd w:val="clear" w:color="auto" w:fill="C6EFCE"/>
            <w:tcMar>
              <w:left w:w="108" w:type="dxa"/>
              <w:right w:w="108" w:type="dxa"/>
            </w:tcMar>
            <w:vAlign w:val="center"/>
          </w:tcPr>
          <w:p w14:paraId="326B9D63"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 Introducing the European Rail Transport Management System (ERTMS)</w:t>
            </w:r>
          </w:p>
        </w:tc>
        <w:tc>
          <w:tcPr>
            <w:tcW w:w="1134" w:type="dxa"/>
            <w:shd w:val="clear" w:color="auto" w:fill="C6EFCE"/>
            <w:tcMar>
              <w:left w:w="108" w:type="dxa"/>
              <w:right w:w="108" w:type="dxa"/>
            </w:tcMar>
            <w:vAlign w:val="center"/>
          </w:tcPr>
          <w:p w14:paraId="6581A758"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9FDC6A4" w14:textId="00D03CAF"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2</w:t>
            </w:r>
            <w:r w:rsidRPr="00324E17">
              <w:rPr>
                <w:rFonts w:ascii="Times New Roman" w:eastAsia="Times New Roman" w:hAnsi="Times New Roman" w:cs="Times New Roman"/>
                <w:noProof/>
                <w:sz w:val="23"/>
                <w:szCs w:val="23"/>
                <w:lang w:val="en-IE" w:eastAsia="en-GB"/>
              </w:rPr>
              <w:t> </w:t>
            </w:r>
            <w:r w:rsidRPr="00324E17">
              <w:rPr>
                <w:rFonts w:ascii="Times New Roman" w:eastAsia="Times New Roman" w:hAnsi="Times New Roman" w:cs="Times New Roman"/>
                <w:noProof/>
                <w:color w:val="006100"/>
                <w:sz w:val="20"/>
                <w:szCs w:val="20"/>
                <w:lang w:val="en-IE" w:eastAsia="en-GB"/>
              </w:rPr>
              <w:t>785km of railways equipped with the European Rail Transport Management System</w:t>
            </w:r>
            <w:r w:rsidR="00324E17" w:rsidRPr="00324E17">
              <w:rPr>
                <w:rFonts w:ascii="Times New Roman" w:eastAsia="Times New Roman" w:hAnsi="Times New Roman" w:cs="Times New Roman"/>
                <w:noProof/>
                <w:color w:val="006100"/>
                <w:sz w:val="20"/>
                <w:szCs w:val="20"/>
                <w:lang w:val="en-IE" w:eastAsia="en-GB"/>
              </w:rPr>
              <w:t xml:space="preserve"> </w:t>
            </w:r>
            <w:r w:rsidRPr="00324E17">
              <w:rPr>
                <w:rFonts w:ascii="Times New Roman" w:eastAsia="Times New Roman" w:hAnsi="Times New Roman" w:cs="Times New Roman"/>
                <w:noProof/>
                <w:color w:val="006100"/>
                <w:sz w:val="20"/>
                <w:szCs w:val="20"/>
                <w:lang w:val="en-IE" w:eastAsia="en-GB"/>
              </w:rPr>
              <w:t>at an infrastructural</w:t>
            </w:r>
            <w:r w:rsidR="00324E17">
              <w:rPr>
                <w:rFonts w:ascii="Times New Roman" w:eastAsia="Times New Roman" w:hAnsi="Times New Roman" w:cs="Times New Roman"/>
                <w:noProof/>
                <w:color w:val="006100"/>
                <w:sz w:val="20"/>
                <w:szCs w:val="20"/>
                <w:lang w:val="en-IE" w:eastAsia="en-GB"/>
              </w:rPr>
              <w:t xml:space="preserve"> </w:t>
            </w:r>
            <w:r w:rsidRPr="00324E17">
              <w:rPr>
                <w:rFonts w:ascii="Times New Roman" w:eastAsia="Times New Roman" w:hAnsi="Times New Roman" w:cs="Times New Roman"/>
                <w:noProof/>
                <w:color w:val="006100"/>
                <w:sz w:val="20"/>
                <w:szCs w:val="20"/>
                <w:lang w:val="en-IE" w:eastAsia="en-GB"/>
              </w:rPr>
              <w:t>and/or technological level.</w:t>
            </w:r>
          </w:p>
        </w:tc>
      </w:tr>
      <w:tr w:rsidR="0039681A" w:rsidRPr="0062449A" w14:paraId="495A6517" w14:textId="77777777">
        <w:trPr>
          <w:trHeight w:val="300"/>
        </w:trPr>
        <w:tc>
          <w:tcPr>
            <w:tcW w:w="1246" w:type="dxa"/>
            <w:shd w:val="clear" w:color="auto" w:fill="C6EFCE"/>
            <w:tcMar>
              <w:left w:w="108" w:type="dxa"/>
              <w:right w:w="108" w:type="dxa"/>
            </w:tcMar>
            <w:vAlign w:val="center"/>
          </w:tcPr>
          <w:p w14:paraId="236BC862"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M3C1-20</w:t>
            </w:r>
          </w:p>
        </w:tc>
        <w:tc>
          <w:tcPr>
            <w:tcW w:w="3449" w:type="dxa"/>
            <w:shd w:val="clear" w:color="auto" w:fill="C6EFCE"/>
            <w:tcMar>
              <w:left w:w="108" w:type="dxa"/>
              <w:right w:w="108" w:type="dxa"/>
            </w:tcMar>
            <w:vAlign w:val="center"/>
          </w:tcPr>
          <w:p w14:paraId="78F30BE6" w14:textId="35770420"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1.8 - Upgrading railway stations</w:t>
            </w:r>
          </w:p>
        </w:tc>
        <w:tc>
          <w:tcPr>
            <w:tcW w:w="1134" w:type="dxa"/>
            <w:shd w:val="clear" w:color="auto" w:fill="C6EFCE"/>
            <w:tcMar>
              <w:left w:w="108" w:type="dxa"/>
              <w:right w:w="108" w:type="dxa"/>
            </w:tcMar>
            <w:vAlign w:val="center"/>
          </w:tcPr>
          <w:p w14:paraId="1F1C6E84"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0C89074" w14:textId="31E61199"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Upgraded railway stations</w:t>
            </w:r>
          </w:p>
        </w:tc>
      </w:tr>
      <w:tr w:rsidR="0039681A" w:rsidRPr="0070054C" w14:paraId="5D443BEE" w14:textId="77777777">
        <w:trPr>
          <w:trHeight w:val="300"/>
        </w:trPr>
        <w:tc>
          <w:tcPr>
            <w:tcW w:w="1246" w:type="dxa"/>
            <w:shd w:val="clear" w:color="auto" w:fill="C6EFCE"/>
            <w:tcMar>
              <w:left w:w="108" w:type="dxa"/>
              <w:right w:w="108" w:type="dxa"/>
            </w:tcMar>
            <w:vAlign w:val="center"/>
          </w:tcPr>
          <w:p w14:paraId="2BE510FA"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M3C1-26</w:t>
            </w:r>
          </w:p>
        </w:tc>
        <w:tc>
          <w:tcPr>
            <w:tcW w:w="3449" w:type="dxa"/>
            <w:shd w:val="clear" w:color="auto" w:fill="C6EFCE"/>
            <w:tcMar>
              <w:left w:w="108" w:type="dxa"/>
              <w:right w:w="108" w:type="dxa"/>
            </w:tcMar>
            <w:vAlign w:val="center"/>
          </w:tcPr>
          <w:p w14:paraId="0DC916B2"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Reform 1.3 – Boosting the efficiency of railway infrastructure in Italy</w:t>
            </w:r>
          </w:p>
        </w:tc>
        <w:tc>
          <w:tcPr>
            <w:tcW w:w="1134" w:type="dxa"/>
            <w:shd w:val="clear" w:color="auto" w:fill="C6EFCE"/>
            <w:tcMar>
              <w:left w:w="108" w:type="dxa"/>
              <w:right w:w="108" w:type="dxa"/>
            </w:tcMar>
            <w:vAlign w:val="center"/>
          </w:tcPr>
          <w:p w14:paraId="76787644"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065DF31C" w14:textId="73BD34EE"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w:t>
            </w:r>
            <w:r>
              <w:rPr>
                <w:rFonts w:ascii="Times New Roman" w:eastAsia="Times New Roman" w:hAnsi="Times New Roman" w:cs="Times New Roman"/>
                <w:noProof/>
                <w:color w:val="006100"/>
                <w:sz w:val="20"/>
                <w:szCs w:val="20"/>
                <w:lang w:val="en-IE" w:eastAsia="en-GB"/>
              </w:rPr>
              <w:t>le</w:t>
            </w:r>
            <w:r w:rsidR="00E02EF5">
              <w:rPr>
                <w:rFonts w:ascii="Times New Roman" w:eastAsia="Times New Roman" w:hAnsi="Times New Roman" w:cs="Times New Roman"/>
                <w:noProof/>
                <w:color w:val="006100"/>
                <w:sz w:val="20"/>
                <w:szCs w:val="20"/>
                <w:lang w:val="en-IE" w:eastAsia="en-GB"/>
              </w:rPr>
              <w:t>gal act(s)</w:t>
            </w:r>
          </w:p>
        </w:tc>
      </w:tr>
      <w:tr w:rsidR="0039681A" w:rsidRPr="0070054C" w14:paraId="76948398" w14:textId="77777777">
        <w:trPr>
          <w:trHeight w:val="814"/>
        </w:trPr>
        <w:tc>
          <w:tcPr>
            <w:tcW w:w="1246" w:type="dxa"/>
            <w:shd w:val="clear" w:color="auto" w:fill="C6EFCE"/>
            <w:tcMar>
              <w:left w:w="108" w:type="dxa"/>
              <w:right w:w="108" w:type="dxa"/>
            </w:tcMar>
            <w:vAlign w:val="center"/>
          </w:tcPr>
          <w:p w14:paraId="1DBC1399"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M4C1-30</w:t>
            </w:r>
          </w:p>
        </w:tc>
        <w:tc>
          <w:tcPr>
            <w:tcW w:w="3449" w:type="dxa"/>
            <w:shd w:val="clear" w:color="auto" w:fill="C6EFCE"/>
            <w:tcMar>
              <w:left w:w="108" w:type="dxa"/>
              <w:right w:w="108" w:type="dxa"/>
            </w:tcMar>
            <w:vAlign w:val="center"/>
          </w:tcPr>
          <w:p w14:paraId="53488AE7"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Reform 1.7: Reform of student housing regulation and investment in student housing</w:t>
            </w:r>
          </w:p>
        </w:tc>
        <w:tc>
          <w:tcPr>
            <w:tcW w:w="1134" w:type="dxa"/>
            <w:shd w:val="clear" w:color="auto" w:fill="C6EFCE"/>
            <w:tcMar>
              <w:left w:w="108" w:type="dxa"/>
              <w:right w:w="108" w:type="dxa"/>
            </w:tcMar>
            <w:vAlign w:val="center"/>
          </w:tcPr>
          <w:p w14:paraId="2105B435"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2DF2B7E"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Student sleeping accommodation units created</w:t>
            </w:r>
          </w:p>
        </w:tc>
      </w:tr>
      <w:tr w:rsidR="0039681A" w:rsidRPr="0070054C" w14:paraId="4E04191E" w14:textId="77777777">
        <w:trPr>
          <w:trHeight w:val="300"/>
        </w:trPr>
        <w:tc>
          <w:tcPr>
            <w:tcW w:w="1246" w:type="dxa"/>
            <w:shd w:val="clear" w:color="auto" w:fill="C6EFCE"/>
            <w:tcMar>
              <w:left w:w="108" w:type="dxa"/>
              <w:right w:w="108" w:type="dxa"/>
            </w:tcMar>
            <w:vAlign w:val="center"/>
          </w:tcPr>
          <w:p w14:paraId="3A89641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M4C2-9</w:t>
            </w:r>
          </w:p>
        </w:tc>
        <w:tc>
          <w:tcPr>
            <w:tcW w:w="3449" w:type="dxa"/>
            <w:shd w:val="clear" w:color="auto" w:fill="C6EFCE"/>
            <w:tcMar>
              <w:left w:w="108" w:type="dxa"/>
              <w:right w:w="108" w:type="dxa"/>
            </w:tcMar>
            <w:vAlign w:val="center"/>
          </w:tcPr>
          <w:p w14:paraId="43D29D27"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Creation of “national R&amp;D leaders” on some Key Enabling Technologies</w:t>
            </w:r>
          </w:p>
        </w:tc>
        <w:tc>
          <w:tcPr>
            <w:tcW w:w="1134" w:type="dxa"/>
            <w:shd w:val="clear" w:color="auto" w:fill="C6EFCE"/>
            <w:tcMar>
              <w:left w:w="108" w:type="dxa"/>
              <w:right w:w="108" w:type="dxa"/>
            </w:tcMar>
            <w:vAlign w:val="center"/>
          </w:tcPr>
          <w:p w14:paraId="01E3BB3C"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1892AD03" w14:textId="7C32F7C9"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National Centres</w:t>
            </w:r>
            <w:r>
              <w:rPr>
                <w:rFonts w:ascii="Times New Roman" w:eastAsia="Times New Roman" w:hAnsi="Times New Roman" w:cs="Times New Roman"/>
                <w:noProof/>
                <w:color w:val="006100"/>
                <w:sz w:val="20"/>
                <w:szCs w:val="20"/>
                <w:lang w:val="en-IE" w:eastAsia="en-GB"/>
              </w:rPr>
              <w:t xml:space="preserve"> for which an activity report has been issued</w:t>
            </w:r>
            <w:r w:rsidRPr="00A36E36">
              <w:rPr>
                <w:rFonts w:ascii="Times New Roman" w:eastAsia="Times New Roman" w:hAnsi="Times New Roman" w:cs="Times New Roman"/>
                <w:noProof/>
                <w:color w:val="006100"/>
                <w:sz w:val="20"/>
                <w:szCs w:val="20"/>
                <w:lang w:val="en-IE" w:eastAsia="en-GB"/>
              </w:rPr>
              <w:t xml:space="preserve"> </w:t>
            </w:r>
          </w:p>
        </w:tc>
      </w:tr>
      <w:tr w:rsidR="0039681A" w:rsidRPr="0070054C" w14:paraId="6F656F9E" w14:textId="77777777">
        <w:trPr>
          <w:trHeight w:val="300"/>
        </w:trPr>
        <w:tc>
          <w:tcPr>
            <w:tcW w:w="1246" w:type="dxa"/>
            <w:shd w:val="clear" w:color="auto" w:fill="C6EFCE"/>
            <w:tcMar>
              <w:left w:w="108" w:type="dxa"/>
              <w:right w:w="108" w:type="dxa"/>
            </w:tcMar>
            <w:vAlign w:val="center"/>
          </w:tcPr>
          <w:p w14:paraId="0E447A41"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M4C2-14</w:t>
            </w:r>
          </w:p>
        </w:tc>
        <w:tc>
          <w:tcPr>
            <w:tcW w:w="3449" w:type="dxa"/>
            <w:shd w:val="clear" w:color="auto" w:fill="C6EFCE"/>
            <w:tcMar>
              <w:left w:w="108" w:type="dxa"/>
              <w:right w:w="108" w:type="dxa"/>
            </w:tcMar>
            <w:vAlign w:val="center"/>
          </w:tcPr>
          <w:p w14:paraId="7412C7BB" w14:textId="4A58CDA2" w:rsidR="0039681A" w:rsidRPr="00647572" w:rsidRDefault="0039681A" w:rsidP="00351087">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Investment 2.3: Technology transfer centres </w:t>
            </w:r>
          </w:p>
        </w:tc>
        <w:tc>
          <w:tcPr>
            <w:tcW w:w="1134" w:type="dxa"/>
            <w:shd w:val="clear" w:color="auto" w:fill="C6EFCE"/>
            <w:tcMar>
              <w:left w:w="108" w:type="dxa"/>
              <w:right w:w="108" w:type="dxa"/>
            </w:tcMar>
            <w:vAlign w:val="center"/>
          </w:tcPr>
          <w:p w14:paraId="0F855303"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8CE5A28" w14:textId="4BD5A42E"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Disbursement of financial value of EUR 30</w:t>
            </w:r>
            <w:r>
              <w:rPr>
                <w:rFonts w:ascii="Times New Roman" w:eastAsia="Times New Roman" w:hAnsi="Times New Roman" w:cs="Times New Roman"/>
                <w:noProof/>
                <w:color w:val="006100"/>
                <w:sz w:val="20"/>
                <w:szCs w:val="20"/>
                <w:lang w:val="en-IE" w:eastAsia="en-GB"/>
              </w:rPr>
              <w:t>9</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000</w:t>
            </w:r>
            <w:r w:rsidRPr="00A36E36">
              <w:rPr>
                <w:rFonts w:ascii="Times New Roman" w:eastAsia="Times New Roman" w:hAnsi="Times New Roman" w:cs="Times New Roman"/>
                <w:noProof/>
                <w:sz w:val="23"/>
                <w:szCs w:val="23"/>
                <w:lang w:val="en-IE" w:eastAsia="en-GB"/>
              </w:rPr>
              <w:t> </w:t>
            </w:r>
            <w:r w:rsidRPr="00A36E36">
              <w:rPr>
                <w:rFonts w:ascii="Times New Roman" w:eastAsia="Times New Roman" w:hAnsi="Times New Roman" w:cs="Times New Roman"/>
                <w:noProof/>
                <w:color w:val="006100"/>
                <w:sz w:val="20"/>
                <w:szCs w:val="20"/>
                <w:lang w:val="en-IE" w:eastAsia="en-GB"/>
              </w:rPr>
              <w:t xml:space="preserve">000. </w:t>
            </w:r>
          </w:p>
        </w:tc>
      </w:tr>
      <w:tr w:rsidR="0039681A" w:rsidRPr="0070054C" w14:paraId="483DD58F" w14:textId="77777777">
        <w:trPr>
          <w:trHeight w:val="300"/>
        </w:trPr>
        <w:tc>
          <w:tcPr>
            <w:tcW w:w="1246" w:type="dxa"/>
            <w:shd w:val="clear" w:color="auto" w:fill="C6EFCE"/>
            <w:tcMar>
              <w:left w:w="108" w:type="dxa"/>
              <w:right w:w="108" w:type="dxa"/>
            </w:tcMar>
            <w:vAlign w:val="center"/>
          </w:tcPr>
          <w:p w14:paraId="2177FE5B"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M4C2-16 bis</w:t>
            </w:r>
          </w:p>
        </w:tc>
        <w:tc>
          <w:tcPr>
            <w:tcW w:w="3449" w:type="dxa"/>
            <w:shd w:val="clear" w:color="auto" w:fill="C6EFCE"/>
            <w:tcMar>
              <w:left w:w="108" w:type="dxa"/>
              <w:right w:w="108" w:type="dxa"/>
            </w:tcMar>
            <w:vAlign w:val="center"/>
          </w:tcPr>
          <w:p w14:paraId="1365A993"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3.1: Research and innovation infrastructures</w:t>
            </w:r>
          </w:p>
        </w:tc>
        <w:tc>
          <w:tcPr>
            <w:tcW w:w="1134" w:type="dxa"/>
            <w:shd w:val="clear" w:color="auto" w:fill="C6EFCE"/>
            <w:tcMar>
              <w:left w:w="108" w:type="dxa"/>
              <w:right w:w="108" w:type="dxa"/>
            </w:tcMar>
            <w:vAlign w:val="center"/>
          </w:tcPr>
          <w:p w14:paraId="3E272EF0"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040926B" w14:textId="0192CE8B" w:rsidR="0039681A" w:rsidRPr="00A36E36" w:rsidRDefault="0039681A" w:rsidP="00351087">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100"/>
                <w:sz w:val="20"/>
                <w:szCs w:val="20"/>
                <w:lang w:val="en-IE" w:eastAsia="en-GB"/>
              </w:rPr>
              <w:t>R</w:t>
            </w:r>
            <w:r w:rsidRPr="00A36E36">
              <w:rPr>
                <w:rFonts w:ascii="Times New Roman" w:eastAsia="Times New Roman" w:hAnsi="Times New Roman" w:cs="Times New Roman"/>
                <w:noProof/>
                <w:color w:val="006100"/>
                <w:sz w:val="20"/>
                <w:szCs w:val="20"/>
                <w:lang w:val="en-IE" w:eastAsia="en-GB"/>
              </w:rPr>
              <w:t xml:space="preserve">esearch and innovation infrastructures </w:t>
            </w:r>
            <w:r>
              <w:rPr>
                <w:rFonts w:ascii="Times New Roman" w:eastAsia="Times New Roman" w:hAnsi="Times New Roman" w:cs="Times New Roman"/>
                <w:noProof/>
                <w:color w:val="006100"/>
                <w:sz w:val="20"/>
                <w:szCs w:val="20"/>
                <w:lang w:val="en-IE" w:eastAsia="en-GB"/>
              </w:rPr>
              <w:t>for which an activity report has been issued</w:t>
            </w:r>
            <w:r w:rsidRPr="00A36E36">
              <w:rPr>
                <w:rFonts w:ascii="Times New Roman" w:eastAsia="Times New Roman" w:hAnsi="Times New Roman" w:cs="Times New Roman"/>
                <w:noProof/>
                <w:color w:val="006100"/>
                <w:sz w:val="20"/>
                <w:szCs w:val="20"/>
                <w:lang w:val="en-IE" w:eastAsia="en-GB"/>
              </w:rPr>
              <w:t xml:space="preserve"> </w:t>
            </w:r>
          </w:p>
        </w:tc>
      </w:tr>
      <w:tr w:rsidR="0039681A" w:rsidRPr="0070054C" w14:paraId="68072656" w14:textId="77777777">
        <w:trPr>
          <w:trHeight w:val="300"/>
        </w:trPr>
        <w:tc>
          <w:tcPr>
            <w:tcW w:w="1246" w:type="dxa"/>
            <w:shd w:val="clear" w:color="auto" w:fill="C6EFCE"/>
            <w:tcMar>
              <w:left w:w="108" w:type="dxa"/>
              <w:right w:w="108" w:type="dxa"/>
            </w:tcMar>
            <w:vAlign w:val="center"/>
          </w:tcPr>
          <w:p w14:paraId="07369BC2"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M4C2-18 bis</w:t>
            </w:r>
          </w:p>
        </w:tc>
        <w:tc>
          <w:tcPr>
            <w:tcW w:w="3449" w:type="dxa"/>
            <w:shd w:val="clear" w:color="auto" w:fill="C6EFCE"/>
            <w:tcMar>
              <w:left w:w="108" w:type="dxa"/>
              <w:right w:w="108" w:type="dxa"/>
            </w:tcMar>
            <w:vAlign w:val="center"/>
          </w:tcPr>
          <w:p w14:paraId="550203F1"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Invesment</w:t>
            </w:r>
            <w:r>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1.5: “Innovation ecosystems for sustainability", building “territorial leaders of R&amp;D”</w:t>
            </w:r>
          </w:p>
        </w:tc>
        <w:tc>
          <w:tcPr>
            <w:tcW w:w="1134" w:type="dxa"/>
            <w:shd w:val="clear" w:color="auto" w:fill="C6EFCE"/>
            <w:tcMar>
              <w:left w:w="108" w:type="dxa"/>
              <w:right w:w="108" w:type="dxa"/>
            </w:tcMar>
            <w:vAlign w:val="center"/>
          </w:tcPr>
          <w:p w14:paraId="495E23AB"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B8B3F46" w14:textId="4122C6DD" w:rsidR="0039681A" w:rsidRPr="00A36E36" w:rsidRDefault="0039681A" w:rsidP="00351087">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100"/>
                <w:sz w:val="20"/>
                <w:szCs w:val="20"/>
                <w:lang w:val="en-IE" w:eastAsia="en-GB"/>
              </w:rPr>
              <w:t>I</w:t>
            </w:r>
            <w:r w:rsidRPr="00A36E36">
              <w:rPr>
                <w:rFonts w:ascii="Times New Roman" w:eastAsia="Times New Roman" w:hAnsi="Times New Roman" w:cs="Times New Roman"/>
                <w:noProof/>
                <w:color w:val="006100"/>
                <w:sz w:val="20"/>
                <w:szCs w:val="20"/>
                <w:lang w:val="en-IE" w:eastAsia="en-GB"/>
              </w:rPr>
              <w:t>nnovation ecosystems</w:t>
            </w:r>
            <w:r>
              <w:rPr>
                <w:rFonts w:ascii="Times New Roman" w:eastAsia="Times New Roman" w:hAnsi="Times New Roman" w:cs="Times New Roman"/>
                <w:noProof/>
                <w:color w:val="006100"/>
                <w:sz w:val="20"/>
                <w:szCs w:val="20"/>
                <w:lang w:val="en-IE" w:eastAsia="en-GB"/>
              </w:rPr>
              <w:t xml:space="preserve"> for which an activity report has been issued</w:t>
            </w:r>
          </w:p>
        </w:tc>
      </w:tr>
      <w:tr w:rsidR="0039681A" w:rsidRPr="00647572" w14:paraId="4EC277A9" w14:textId="77777777">
        <w:trPr>
          <w:trHeight w:val="300"/>
        </w:trPr>
        <w:tc>
          <w:tcPr>
            <w:tcW w:w="1246" w:type="dxa"/>
            <w:shd w:val="clear" w:color="auto" w:fill="C6EFCE"/>
            <w:tcMar>
              <w:left w:w="108" w:type="dxa"/>
              <w:right w:w="108" w:type="dxa"/>
            </w:tcMar>
            <w:vAlign w:val="center"/>
          </w:tcPr>
          <w:p w14:paraId="75569D23"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M4C2-21</w:t>
            </w:r>
          </w:p>
        </w:tc>
        <w:tc>
          <w:tcPr>
            <w:tcW w:w="3449" w:type="dxa"/>
            <w:shd w:val="clear" w:color="auto" w:fill="C6EFCE"/>
            <w:tcMar>
              <w:left w:w="108" w:type="dxa"/>
              <w:right w:w="108" w:type="dxa"/>
            </w:tcMar>
            <w:vAlign w:val="center"/>
          </w:tcPr>
          <w:p w14:paraId="16D73723" w14:textId="6E33DC62"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3.2 Equity injection into the Digital Transition Fund (“DTF”)</w:t>
            </w:r>
          </w:p>
        </w:tc>
        <w:tc>
          <w:tcPr>
            <w:tcW w:w="1134" w:type="dxa"/>
            <w:shd w:val="clear" w:color="auto" w:fill="C6EFCE"/>
            <w:tcMar>
              <w:left w:w="108" w:type="dxa"/>
              <w:right w:w="108" w:type="dxa"/>
            </w:tcMar>
            <w:vAlign w:val="center"/>
          </w:tcPr>
          <w:p w14:paraId="596AF116"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76AFBBBF" w14:textId="77777777" w:rsidR="0039681A" w:rsidRPr="00647572" w:rsidRDefault="0039681A" w:rsidP="00351087">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Adoption of a report</w:t>
            </w:r>
          </w:p>
        </w:tc>
      </w:tr>
      <w:tr w:rsidR="0039681A" w:rsidRPr="003B75AF" w14:paraId="6637B8F2" w14:textId="77777777">
        <w:trPr>
          <w:trHeight w:val="300"/>
        </w:trPr>
        <w:tc>
          <w:tcPr>
            <w:tcW w:w="1246" w:type="dxa"/>
            <w:shd w:val="clear" w:color="auto" w:fill="C6EFCE"/>
            <w:tcMar>
              <w:left w:w="108" w:type="dxa"/>
              <w:right w:w="108" w:type="dxa"/>
            </w:tcMar>
            <w:vAlign w:val="center"/>
          </w:tcPr>
          <w:p w14:paraId="1575702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M5C2-12</w:t>
            </w:r>
          </w:p>
        </w:tc>
        <w:tc>
          <w:tcPr>
            <w:tcW w:w="3449" w:type="dxa"/>
            <w:shd w:val="clear" w:color="auto" w:fill="C6EFCE"/>
            <w:tcMar>
              <w:left w:w="108" w:type="dxa"/>
              <w:right w:w="108" w:type="dxa"/>
            </w:tcMar>
            <w:vAlign w:val="center"/>
          </w:tcPr>
          <w:p w14:paraId="555D49C2"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4 - Investments in projects of urban regeneration, aimed at reducing situations of marginalization and social degradation</w:t>
            </w:r>
          </w:p>
        </w:tc>
        <w:tc>
          <w:tcPr>
            <w:tcW w:w="1134" w:type="dxa"/>
            <w:shd w:val="clear" w:color="auto" w:fill="C6EFCE"/>
            <w:tcMar>
              <w:left w:w="108" w:type="dxa"/>
              <w:right w:w="108" w:type="dxa"/>
            </w:tcMar>
            <w:vAlign w:val="center"/>
          </w:tcPr>
          <w:p w14:paraId="76E38864"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11F45A45" w14:textId="569A7C1C"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Projects </w:t>
            </w:r>
            <w:r>
              <w:rPr>
                <w:rFonts w:ascii="Times New Roman" w:eastAsia="Times New Roman" w:hAnsi="Times New Roman" w:cs="Times New Roman"/>
                <w:noProof/>
                <w:color w:val="006100"/>
                <w:sz w:val="20"/>
                <w:szCs w:val="20"/>
                <w:lang w:val="en-IE" w:eastAsia="en-GB"/>
              </w:rPr>
              <w:t>carried out</w:t>
            </w:r>
          </w:p>
        </w:tc>
      </w:tr>
      <w:tr w:rsidR="0039681A" w:rsidRPr="003B75AF" w14:paraId="4F2E6259" w14:textId="77777777">
        <w:trPr>
          <w:trHeight w:val="300"/>
        </w:trPr>
        <w:tc>
          <w:tcPr>
            <w:tcW w:w="1246" w:type="dxa"/>
            <w:shd w:val="clear" w:color="auto" w:fill="C6EFCE"/>
            <w:tcMar>
              <w:left w:w="108" w:type="dxa"/>
              <w:right w:w="108" w:type="dxa"/>
            </w:tcMar>
            <w:vAlign w:val="center"/>
          </w:tcPr>
          <w:p w14:paraId="02BEF861"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M5C2-14</w:t>
            </w:r>
          </w:p>
        </w:tc>
        <w:tc>
          <w:tcPr>
            <w:tcW w:w="3449" w:type="dxa"/>
            <w:shd w:val="clear" w:color="auto" w:fill="C6EFCE"/>
            <w:tcMar>
              <w:left w:w="108" w:type="dxa"/>
              <w:right w:w="108" w:type="dxa"/>
            </w:tcMar>
            <w:vAlign w:val="center"/>
          </w:tcPr>
          <w:p w14:paraId="734B5A42"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5 - Urban Integrated Plans - general projects</w:t>
            </w:r>
          </w:p>
        </w:tc>
        <w:tc>
          <w:tcPr>
            <w:tcW w:w="1134" w:type="dxa"/>
            <w:shd w:val="clear" w:color="auto" w:fill="C6EFCE"/>
            <w:tcMar>
              <w:left w:w="108" w:type="dxa"/>
              <w:right w:w="108" w:type="dxa"/>
            </w:tcMar>
            <w:vAlign w:val="center"/>
          </w:tcPr>
          <w:p w14:paraId="2CD27896"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168DE8C" w14:textId="7F981636" w:rsidR="0039681A" w:rsidRPr="00A36E36" w:rsidRDefault="0039681A" w:rsidP="00351087">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100"/>
                <w:sz w:val="20"/>
                <w:szCs w:val="20"/>
                <w:lang w:val="en-IE" w:eastAsia="en-GB"/>
              </w:rPr>
              <w:t>Projects carried out</w:t>
            </w:r>
          </w:p>
        </w:tc>
      </w:tr>
      <w:tr w:rsidR="0039681A" w:rsidRPr="0070054C" w14:paraId="3C561020" w14:textId="77777777">
        <w:trPr>
          <w:trHeight w:val="300"/>
        </w:trPr>
        <w:tc>
          <w:tcPr>
            <w:tcW w:w="1246" w:type="dxa"/>
            <w:shd w:val="clear" w:color="auto" w:fill="C6EFCE"/>
            <w:tcMar>
              <w:left w:w="108" w:type="dxa"/>
              <w:right w:w="108" w:type="dxa"/>
            </w:tcMar>
            <w:vAlign w:val="center"/>
          </w:tcPr>
          <w:p w14:paraId="417FC0BB"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M5C2-16</w:t>
            </w:r>
          </w:p>
        </w:tc>
        <w:tc>
          <w:tcPr>
            <w:tcW w:w="3449" w:type="dxa"/>
            <w:shd w:val="clear" w:color="auto" w:fill="C6EFCE"/>
            <w:tcMar>
              <w:left w:w="108" w:type="dxa"/>
              <w:right w:w="108" w:type="dxa"/>
            </w:tcMar>
            <w:vAlign w:val="center"/>
          </w:tcPr>
          <w:p w14:paraId="5D119BF3"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5 - Urban Integrated Plans - Overcoming illegal settlements to fight labour exploitation in agriculture</w:t>
            </w:r>
          </w:p>
        </w:tc>
        <w:tc>
          <w:tcPr>
            <w:tcW w:w="1134" w:type="dxa"/>
            <w:shd w:val="clear" w:color="auto" w:fill="C6EFCE"/>
            <w:tcMar>
              <w:left w:w="108" w:type="dxa"/>
              <w:right w:w="108" w:type="dxa"/>
            </w:tcMar>
            <w:vAlign w:val="center"/>
          </w:tcPr>
          <w:p w14:paraId="0798A733"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65314EA" w14:textId="0898FFDF"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Projects on housing and set-up of Platform</w:t>
            </w:r>
          </w:p>
        </w:tc>
      </w:tr>
      <w:tr w:rsidR="0039681A" w:rsidRPr="0070054C" w14:paraId="00438843" w14:textId="77777777">
        <w:trPr>
          <w:trHeight w:val="300"/>
        </w:trPr>
        <w:tc>
          <w:tcPr>
            <w:tcW w:w="1246" w:type="dxa"/>
            <w:shd w:val="clear" w:color="auto" w:fill="C6EFCE"/>
            <w:tcMar>
              <w:left w:w="108" w:type="dxa"/>
              <w:right w:w="108" w:type="dxa"/>
            </w:tcMar>
            <w:vAlign w:val="center"/>
          </w:tcPr>
          <w:p w14:paraId="4CB58187"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M5C2-22</w:t>
            </w:r>
          </w:p>
        </w:tc>
        <w:tc>
          <w:tcPr>
            <w:tcW w:w="3449" w:type="dxa"/>
            <w:shd w:val="clear" w:color="auto" w:fill="C6EFCE"/>
            <w:tcMar>
              <w:left w:w="108" w:type="dxa"/>
              <w:right w:w="108" w:type="dxa"/>
            </w:tcMar>
            <w:vAlign w:val="center"/>
          </w:tcPr>
          <w:p w14:paraId="6A36F314"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7 - Sport and Social Inclusion </w:t>
            </w:r>
          </w:p>
        </w:tc>
        <w:tc>
          <w:tcPr>
            <w:tcW w:w="1134" w:type="dxa"/>
            <w:shd w:val="clear" w:color="auto" w:fill="C6EFCE"/>
            <w:tcMar>
              <w:left w:w="108" w:type="dxa"/>
              <w:right w:w="108" w:type="dxa"/>
            </w:tcMar>
            <w:vAlign w:val="center"/>
          </w:tcPr>
          <w:p w14:paraId="59183AB4"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1190EF93" w14:textId="614BEEFE" w:rsidR="0039681A" w:rsidRPr="00324E17" w:rsidRDefault="0039681A" w:rsidP="00351087">
            <w:pPr>
              <w:spacing w:after="0" w:line="240" w:lineRule="auto"/>
              <w:rPr>
                <w:rFonts w:ascii="Times New Roman" w:eastAsia="Times New Roman" w:hAnsi="Times New Roman" w:cs="Times New Roman"/>
                <w:noProof/>
                <w:lang w:val="en-IE" w:eastAsia="en-GB"/>
              </w:rPr>
            </w:pPr>
            <w:r w:rsidRPr="00324E17">
              <w:rPr>
                <w:rFonts w:ascii="Times New Roman" w:eastAsia="Times New Roman" w:hAnsi="Times New Roman" w:cs="Times New Roman"/>
                <w:noProof/>
                <w:color w:val="006100"/>
                <w:sz w:val="20"/>
                <w:szCs w:val="20"/>
                <w:lang w:val="en-IE" w:eastAsia="en-GB"/>
              </w:rPr>
              <w:t>Administrative certificates</w:t>
            </w:r>
            <w:r w:rsidR="00324E17">
              <w:rPr>
                <w:rFonts w:ascii="Times New Roman" w:eastAsia="Times New Roman" w:hAnsi="Times New Roman" w:cs="Times New Roman"/>
                <w:noProof/>
                <w:color w:val="006100"/>
                <w:sz w:val="20"/>
                <w:szCs w:val="20"/>
                <w:lang w:val="en-IE" w:eastAsia="en-GB"/>
              </w:rPr>
              <w:t xml:space="preserve"> </w:t>
            </w:r>
            <w:r w:rsidRPr="00324E17">
              <w:rPr>
                <w:rFonts w:ascii="Times New Roman" w:eastAsia="Times New Roman" w:hAnsi="Times New Roman" w:cs="Times New Roman"/>
                <w:noProof/>
                <w:color w:val="006100"/>
                <w:sz w:val="20"/>
                <w:szCs w:val="20"/>
                <w:lang w:val="en-IE" w:eastAsia="en-GB"/>
              </w:rPr>
              <w:t>for interventions related to the construction or renovation of sport facilities</w:t>
            </w:r>
          </w:p>
        </w:tc>
      </w:tr>
      <w:tr w:rsidR="0039681A" w:rsidRPr="0070054C" w14:paraId="46DF5B54" w14:textId="77777777">
        <w:trPr>
          <w:trHeight w:val="300"/>
        </w:trPr>
        <w:tc>
          <w:tcPr>
            <w:tcW w:w="1246" w:type="dxa"/>
            <w:shd w:val="clear" w:color="auto" w:fill="C6EFCE"/>
            <w:tcMar>
              <w:left w:w="108" w:type="dxa"/>
              <w:right w:w="108" w:type="dxa"/>
            </w:tcMar>
            <w:vAlign w:val="center"/>
          </w:tcPr>
          <w:p w14:paraId="39CF2C1C"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M5C3-4</w:t>
            </w:r>
          </w:p>
        </w:tc>
        <w:tc>
          <w:tcPr>
            <w:tcW w:w="3449" w:type="dxa"/>
            <w:shd w:val="clear" w:color="auto" w:fill="C6EFCE"/>
            <w:tcMar>
              <w:left w:w="108" w:type="dxa"/>
              <w:right w:w="108" w:type="dxa"/>
            </w:tcMar>
            <w:vAlign w:val="center"/>
          </w:tcPr>
          <w:p w14:paraId="5BDC09BC"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Investment </w:t>
            </w:r>
            <w:r>
              <w:rPr>
                <w:rFonts w:ascii="Times New Roman" w:eastAsia="Times New Roman" w:hAnsi="Times New Roman" w:cs="Times New Roman"/>
                <w:noProof/>
                <w:color w:val="006100"/>
                <w:sz w:val="20"/>
                <w:szCs w:val="20"/>
                <w:lang w:val="en-IE" w:eastAsia="en-GB"/>
              </w:rPr>
              <w:t>1.1.</w:t>
            </w:r>
            <w:r w:rsidRPr="00A36E36">
              <w:rPr>
                <w:rFonts w:ascii="Times New Roman" w:eastAsia="Times New Roman" w:hAnsi="Times New Roman" w:cs="Times New Roman"/>
                <w:noProof/>
                <w:color w:val="006100"/>
                <w:sz w:val="20"/>
                <w:szCs w:val="20"/>
                <w:lang w:val="en-IE" w:eastAsia="en-GB"/>
              </w:rPr>
              <w:t>2: Territorial proximity health facilities</w:t>
            </w:r>
          </w:p>
        </w:tc>
        <w:tc>
          <w:tcPr>
            <w:tcW w:w="1134" w:type="dxa"/>
            <w:shd w:val="clear" w:color="auto" w:fill="C6EFCE"/>
            <w:tcMar>
              <w:left w:w="108" w:type="dxa"/>
              <w:right w:w="108" w:type="dxa"/>
            </w:tcMar>
            <w:vAlign w:val="center"/>
          </w:tcPr>
          <w:p w14:paraId="236E582D"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5B3978E2"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Support to rural pharmacies in municipalities, hamlets or settlements of less than 5 000 inhabitants (second batch)</w:t>
            </w:r>
          </w:p>
        </w:tc>
      </w:tr>
      <w:tr w:rsidR="0039681A" w:rsidRPr="0070054C" w14:paraId="7FC62531" w14:textId="77777777">
        <w:trPr>
          <w:trHeight w:val="300"/>
        </w:trPr>
        <w:tc>
          <w:tcPr>
            <w:tcW w:w="1246" w:type="dxa"/>
            <w:shd w:val="clear" w:color="auto" w:fill="C6EFCE"/>
            <w:tcMar>
              <w:left w:w="108" w:type="dxa"/>
              <w:right w:w="108" w:type="dxa"/>
            </w:tcMar>
            <w:vAlign w:val="center"/>
          </w:tcPr>
          <w:p w14:paraId="01BF8E92"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M5C3-13</w:t>
            </w:r>
          </w:p>
        </w:tc>
        <w:tc>
          <w:tcPr>
            <w:tcW w:w="3449" w:type="dxa"/>
            <w:shd w:val="clear" w:color="auto" w:fill="C6EFCE"/>
            <w:tcMar>
              <w:left w:w="108" w:type="dxa"/>
              <w:right w:w="108" w:type="dxa"/>
            </w:tcMar>
            <w:vAlign w:val="center"/>
          </w:tcPr>
          <w:p w14:paraId="2CCD1D7B"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1.4: Infrastructural investments for the Special Economic Zone</w:t>
            </w:r>
          </w:p>
        </w:tc>
        <w:tc>
          <w:tcPr>
            <w:tcW w:w="1134" w:type="dxa"/>
            <w:shd w:val="clear" w:color="auto" w:fill="C6EFCE"/>
            <w:tcMar>
              <w:left w:w="108" w:type="dxa"/>
              <w:right w:w="108" w:type="dxa"/>
            </w:tcMar>
            <w:vAlign w:val="center"/>
          </w:tcPr>
          <w:p w14:paraId="53F0B221"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53EE808B" w14:textId="0481C13A"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Finalisation of infrastructural </w:t>
            </w:r>
            <w:r>
              <w:rPr>
                <w:rFonts w:ascii="Times New Roman" w:eastAsia="Times New Roman" w:hAnsi="Times New Roman" w:cs="Times New Roman"/>
                <w:noProof/>
                <w:color w:val="006100"/>
                <w:sz w:val="20"/>
                <w:szCs w:val="20"/>
                <w:lang w:val="en-IE" w:eastAsia="en-GB"/>
              </w:rPr>
              <w:t>projects</w:t>
            </w:r>
            <w:r w:rsidRPr="00A36E36">
              <w:rPr>
                <w:rFonts w:ascii="Times New Roman" w:eastAsia="Times New Roman" w:hAnsi="Times New Roman" w:cs="Times New Roman"/>
                <w:noProof/>
                <w:color w:val="006100"/>
                <w:sz w:val="20"/>
                <w:szCs w:val="20"/>
                <w:lang w:val="en-IE" w:eastAsia="en-GB"/>
              </w:rPr>
              <w:t xml:space="preserve"> in the Special Economic Zone</w:t>
            </w:r>
          </w:p>
        </w:tc>
      </w:tr>
      <w:tr w:rsidR="0039681A" w:rsidRPr="0070054C" w14:paraId="73DA89ED" w14:textId="77777777">
        <w:trPr>
          <w:trHeight w:val="300"/>
        </w:trPr>
        <w:tc>
          <w:tcPr>
            <w:tcW w:w="1246" w:type="dxa"/>
            <w:shd w:val="clear" w:color="auto" w:fill="C6EFCE"/>
            <w:tcMar>
              <w:left w:w="108" w:type="dxa"/>
              <w:right w:w="108" w:type="dxa"/>
            </w:tcMar>
            <w:vAlign w:val="center"/>
          </w:tcPr>
          <w:p w14:paraId="6F8DBAB0"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M6C1-3</w:t>
            </w:r>
          </w:p>
        </w:tc>
        <w:tc>
          <w:tcPr>
            <w:tcW w:w="3449" w:type="dxa"/>
            <w:shd w:val="clear" w:color="auto" w:fill="C6EFCE"/>
            <w:tcMar>
              <w:left w:w="108" w:type="dxa"/>
              <w:right w:w="108" w:type="dxa"/>
            </w:tcMar>
            <w:vAlign w:val="center"/>
          </w:tcPr>
          <w:p w14:paraId="2B3FF5BD"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1.1: Community Health Houses to improve territorial health assistance</w:t>
            </w:r>
          </w:p>
        </w:tc>
        <w:tc>
          <w:tcPr>
            <w:tcW w:w="1134" w:type="dxa"/>
            <w:shd w:val="clear" w:color="auto" w:fill="C6EFCE"/>
            <w:tcMar>
              <w:left w:w="108" w:type="dxa"/>
              <w:right w:w="108" w:type="dxa"/>
            </w:tcMar>
            <w:vAlign w:val="center"/>
          </w:tcPr>
          <w:p w14:paraId="4FC31A9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AE0F9C4"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Community Health Houses’ services are activated </w:t>
            </w:r>
          </w:p>
        </w:tc>
      </w:tr>
      <w:tr w:rsidR="0039681A" w14:paraId="7C8F3048" w14:textId="77777777">
        <w:trPr>
          <w:trHeight w:val="300"/>
        </w:trPr>
        <w:tc>
          <w:tcPr>
            <w:tcW w:w="1246" w:type="dxa"/>
            <w:shd w:val="clear" w:color="auto" w:fill="C6EFCE"/>
            <w:tcMar>
              <w:left w:w="108" w:type="dxa"/>
              <w:right w:w="108" w:type="dxa"/>
            </w:tcMar>
            <w:vAlign w:val="center"/>
          </w:tcPr>
          <w:p w14:paraId="21EA2C01" w14:textId="77777777" w:rsidR="0039681A" w:rsidRPr="004B288C" w:rsidRDefault="0039681A" w:rsidP="00351087">
            <w:pPr>
              <w:spacing w:after="0" w:line="240" w:lineRule="auto"/>
              <w:jc w:val="center"/>
              <w:rPr>
                <w:rFonts w:ascii="Times New Roman" w:eastAsia="Times New Roman" w:hAnsi="Times New Roman" w:cs="Times New Roman"/>
                <w:noProof/>
                <w:lang w:val="en-IE" w:eastAsia="en-GB"/>
              </w:rPr>
            </w:pPr>
            <w:r w:rsidRPr="004B288C" w:rsidDel="003B3C91">
              <w:rPr>
                <w:rFonts w:ascii="Times New Roman" w:eastAsia="Times New Roman" w:hAnsi="Times New Roman" w:cs="Times New Roman"/>
                <w:noProof/>
                <w:color w:val="006100"/>
                <w:sz w:val="20"/>
                <w:szCs w:val="20"/>
                <w:lang w:val="en-IE" w:eastAsia="en-GB"/>
              </w:rPr>
              <w:t>M6C1-9</w:t>
            </w:r>
          </w:p>
        </w:tc>
        <w:tc>
          <w:tcPr>
            <w:tcW w:w="3449" w:type="dxa"/>
            <w:shd w:val="clear" w:color="auto" w:fill="C6EFCE"/>
            <w:tcMar>
              <w:left w:w="108" w:type="dxa"/>
              <w:right w:w="108" w:type="dxa"/>
            </w:tcMar>
            <w:vAlign w:val="center"/>
          </w:tcPr>
          <w:p w14:paraId="2FA6F336"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sidDel="003B3C91">
              <w:rPr>
                <w:rFonts w:ascii="Times New Roman" w:eastAsia="Times New Roman" w:hAnsi="Times New Roman" w:cs="Times New Roman"/>
                <w:noProof/>
                <w:color w:val="006100"/>
                <w:sz w:val="20"/>
                <w:szCs w:val="20"/>
                <w:lang w:val="en-IE" w:eastAsia="en-GB"/>
              </w:rPr>
              <w:t>Investment 1.2: Home as the first place of care and telemedicine</w:t>
            </w:r>
          </w:p>
        </w:tc>
        <w:tc>
          <w:tcPr>
            <w:tcW w:w="1134" w:type="dxa"/>
            <w:shd w:val="clear" w:color="auto" w:fill="C6EFCE"/>
            <w:tcMar>
              <w:left w:w="108" w:type="dxa"/>
              <w:right w:w="108" w:type="dxa"/>
            </w:tcMar>
            <w:vAlign w:val="center"/>
          </w:tcPr>
          <w:p w14:paraId="32CD3815" w14:textId="77777777" w:rsidR="0039681A" w:rsidRPr="004B288C" w:rsidRDefault="0039681A" w:rsidP="00351087">
            <w:pPr>
              <w:spacing w:after="0" w:line="240" w:lineRule="auto"/>
              <w:jc w:val="center"/>
              <w:rPr>
                <w:rFonts w:ascii="Times New Roman" w:eastAsia="Times New Roman" w:hAnsi="Times New Roman" w:cs="Times New Roman"/>
                <w:noProof/>
                <w:lang w:val="en-IE" w:eastAsia="en-GB"/>
              </w:rPr>
            </w:pPr>
            <w:r w:rsidRPr="004B288C" w:rsidDel="003B3C91">
              <w:rPr>
                <w:rFonts w:ascii="Times New Roman" w:eastAsia="Times New Roman" w:hAnsi="Times New Roman" w:cs="Times New Roman"/>
                <w:noProof/>
                <w:color w:val="006100"/>
                <w:sz w:val="20"/>
                <w:szCs w:val="20"/>
                <w:lang w:val="en-IE" w:eastAsia="en-GB"/>
              </w:rPr>
              <w:t>Target</w:t>
            </w:r>
          </w:p>
        </w:tc>
        <w:tc>
          <w:tcPr>
            <w:tcW w:w="3402" w:type="dxa"/>
            <w:shd w:val="clear" w:color="auto" w:fill="C6EFCE"/>
            <w:tcMar>
              <w:left w:w="108" w:type="dxa"/>
              <w:right w:w="108" w:type="dxa"/>
            </w:tcMar>
            <w:vAlign w:val="center"/>
          </w:tcPr>
          <w:p w14:paraId="05ED52D4" w14:textId="77777777" w:rsidR="0039681A" w:rsidRPr="004B288C" w:rsidRDefault="0039681A" w:rsidP="00351087">
            <w:pPr>
              <w:spacing w:after="0" w:line="240" w:lineRule="auto"/>
              <w:rPr>
                <w:rFonts w:ascii="Times New Roman" w:eastAsia="Times New Roman" w:hAnsi="Times New Roman" w:cs="Times New Roman"/>
                <w:noProof/>
                <w:lang w:val="en-IE" w:eastAsia="en-GB"/>
              </w:rPr>
            </w:pPr>
            <w:r w:rsidRPr="004B288C" w:rsidDel="003B3C91">
              <w:rPr>
                <w:rFonts w:ascii="Times New Roman" w:eastAsia="Times New Roman" w:hAnsi="Times New Roman" w:cs="Times New Roman"/>
                <w:noProof/>
                <w:color w:val="006100"/>
                <w:sz w:val="20"/>
                <w:szCs w:val="20"/>
                <w:lang w:val="en-IE" w:eastAsia="en-GB"/>
              </w:rPr>
              <w:t xml:space="preserve">Assistance by telemedicine tools </w:t>
            </w:r>
          </w:p>
        </w:tc>
      </w:tr>
      <w:tr w:rsidR="0039681A" w:rsidRPr="0070054C" w14:paraId="5CAFD997" w14:textId="77777777">
        <w:trPr>
          <w:trHeight w:val="300"/>
        </w:trPr>
        <w:tc>
          <w:tcPr>
            <w:tcW w:w="1246" w:type="dxa"/>
            <w:shd w:val="clear" w:color="auto" w:fill="C6EFCE"/>
            <w:tcMar>
              <w:left w:w="108" w:type="dxa"/>
              <w:right w:w="108" w:type="dxa"/>
            </w:tcMar>
            <w:vAlign w:val="center"/>
          </w:tcPr>
          <w:p w14:paraId="1C3C2CE0"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M6C1-11</w:t>
            </w:r>
          </w:p>
        </w:tc>
        <w:tc>
          <w:tcPr>
            <w:tcW w:w="3449" w:type="dxa"/>
            <w:shd w:val="clear" w:color="auto" w:fill="C6EFCE"/>
            <w:tcMar>
              <w:left w:w="108" w:type="dxa"/>
              <w:right w:w="108" w:type="dxa"/>
            </w:tcMar>
            <w:vAlign w:val="center"/>
          </w:tcPr>
          <w:p w14:paraId="4B924472"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Strengthening Intermediate Healthcare and its facilities (Community Hospitals)</w:t>
            </w:r>
          </w:p>
        </w:tc>
        <w:tc>
          <w:tcPr>
            <w:tcW w:w="1134" w:type="dxa"/>
            <w:shd w:val="clear" w:color="auto" w:fill="C6EFCE"/>
            <w:tcMar>
              <w:left w:w="108" w:type="dxa"/>
              <w:right w:w="108" w:type="dxa"/>
            </w:tcMar>
            <w:vAlign w:val="center"/>
          </w:tcPr>
          <w:p w14:paraId="4558B6A9"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776444C9" w14:textId="00DE7E2E"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Community Hospitals</w:t>
            </w:r>
            <w:r>
              <w:rPr>
                <w:rFonts w:ascii="Times New Roman" w:eastAsia="Times New Roman" w:hAnsi="Times New Roman" w:cs="Times New Roman"/>
                <w:noProof/>
                <w:color w:val="006100"/>
                <w:sz w:val="20"/>
                <w:szCs w:val="20"/>
                <w:lang w:val="en-IE" w:eastAsia="en-GB"/>
              </w:rPr>
              <w:t>’ services are activated</w:t>
            </w:r>
          </w:p>
        </w:tc>
      </w:tr>
      <w:tr w:rsidR="0039681A" w:rsidRPr="0070054C" w14:paraId="5EF293D2" w14:textId="77777777">
        <w:trPr>
          <w:trHeight w:val="300"/>
        </w:trPr>
        <w:tc>
          <w:tcPr>
            <w:tcW w:w="1246" w:type="dxa"/>
            <w:shd w:val="clear" w:color="auto" w:fill="C6EFCE"/>
            <w:tcMar>
              <w:left w:w="108" w:type="dxa"/>
              <w:right w:w="108" w:type="dxa"/>
            </w:tcMar>
            <w:vAlign w:val="center"/>
          </w:tcPr>
          <w:p w14:paraId="613B5862" w14:textId="77777777" w:rsidR="0039681A" w:rsidRPr="004B288C" w:rsidRDefault="0039681A" w:rsidP="00351087">
            <w:pPr>
              <w:spacing w:after="0" w:line="240" w:lineRule="auto"/>
              <w:jc w:val="center"/>
              <w:rPr>
                <w:rFonts w:ascii="Times New Roman" w:eastAsia="Times New Roman" w:hAnsi="Times New Roman" w:cs="Times New Roman"/>
                <w:noProof/>
                <w:lang w:val="en-IE" w:eastAsia="en-GB"/>
              </w:rPr>
            </w:pPr>
            <w:r w:rsidRPr="004B288C" w:rsidDel="00B53F2E">
              <w:rPr>
                <w:rFonts w:ascii="Times New Roman" w:eastAsia="Times New Roman" w:hAnsi="Times New Roman" w:cs="Times New Roman"/>
                <w:noProof/>
                <w:color w:val="006100"/>
                <w:sz w:val="20"/>
                <w:szCs w:val="20"/>
                <w:lang w:val="en-IE" w:eastAsia="en-GB"/>
              </w:rPr>
              <w:t>M6C2-6</w:t>
            </w:r>
          </w:p>
        </w:tc>
        <w:tc>
          <w:tcPr>
            <w:tcW w:w="3449" w:type="dxa"/>
            <w:shd w:val="clear" w:color="auto" w:fill="C6EFCE"/>
            <w:tcMar>
              <w:left w:w="108" w:type="dxa"/>
              <w:right w:w="108" w:type="dxa"/>
            </w:tcMar>
            <w:vAlign w:val="center"/>
          </w:tcPr>
          <w:p w14:paraId="3CBAA256"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sidDel="00B53F2E">
              <w:rPr>
                <w:rFonts w:ascii="Times New Roman" w:eastAsia="Times New Roman" w:hAnsi="Times New Roman" w:cs="Times New Roman"/>
                <w:noProof/>
                <w:color w:val="006600"/>
                <w:sz w:val="20"/>
                <w:szCs w:val="20"/>
                <w:lang w:val="en-IE" w:eastAsia="en-GB"/>
              </w:rPr>
              <w:t>Investment 1.1: Digital update of hospitals’ technological equipment</w:t>
            </w:r>
          </w:p>
        </w:tc>
        <w:tc>
          <w:tcPr>
            <w:tcW w:w="1134" w:type="dxa"/>
            <w:shd w:val="clear" w:color="auto" w:fill="C6EFCE"/>
            <w:tcMar>
              <w:left w:w="108" w:type="dxa"/>
              <w:right w:w="108" w:type="dxa"/>
            </w:tcMar>
            <w:vAlign w:val="center"/>
          </w:tcPr>
          <w:p w14:paraId="5EF284F2" w14:textId="77777777" w:rsidR="0039681A" w:rsidRPr="004B288C" w:rsidRDefault="0039681A" w:rsidP="00351087">
            <w:pPr>
              <w:spacing w:after="0" w:line="240" w:lineRule="auto"/>
              <w:jc w:val="center"/>
              <w:rPr>
                <w:rFonts w:ascii="Times New Roman" w:eastAsia="Times New Roman" w:hAnsi="Times New Roman" w:cs="Times New Roman"/>
                <w:noProof/>
                <w:lang w:val="en-IE" w:eastAsia="en-GB"/>
              </w:rPr>
            </w:pPr>
            <w:r w:rsidRPr="004B288C" w:rsidDel="00B53F2E">
              <w:rPr>
                <w:rFonts w:ascii="Times New Roman" w:eastAsia="Times New Roman" w:hAnsi="Times New Roman" w:cs="Times New Roman"/>
                <w:noProof/>
                <w:color w:val="006600"/>
                <w:sz w:val="20"/>
                <w:szCs w:val="20"/>
                <w:lang w:val="en-IE" w:eastAsia="en-GB"/>
              </w:rPr>
              <w:t>Target</w:t>
            </w:r>
          </w:p>
        </w:tc>
        <w:tc>
          <w:tcPr>
            <w:tcW w:w="3402" w:type="dxa"/>
            <w:shd w:val="clear" w:color="auto" w:fill="C6EFCE"/>
            <w:tcMar>
              <w:left w:w="108" w:type="dxa"/>
              <w:right w:w="108" w:type="dxa"/>
            </w:tcMar>
            <w:vAlign w:val="center"/>
          </w:tcPr>
          <w:p w14:paraId="18E3319A" w14:textId="08726D0B" w:rsidR="0039681A" w:rsidRPr="00A36E36" w:rsidRDefault="0039681A" w:rsidP="00351087">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600"/>
                <w:sz w:val="20"/>
                <w:szCs w:val="20"/>
                <w:lang w:val="en-IE" w:eastAsia="en-GB"/>
              </w:rPr>
              <w:t>Proof of delivery or testing for 3</w:t>
            </w:r>
            <w:r w:rsidR="00CA574C" w:rsidRPr="00D72865">
              <w:rPr>
                <w:rFonts w:ascii="Arial Narrow" w:hAnsi="Arial Narrow"/>
                <w:noProof/>
                <w:color w:val="006100"/>
                <w:sz w:val="20"/>
                <w:lang w:val="en-IE"/>
              </w:rPr>
              <w:t> </w:t>
            </w:r>
            <w:r>
              <w:rPr>
                <w:rFonts w:ascii="Times New Roman" w:eastAsia="Times New Roman" w:hAnsi="Times New Roman" w:cs="Times New Roman"/>
                <w:noProof/>
                <w:color w:val="006600"/>
                <w:sz w:val="20"/>
                <w:szCs w:val="20"/>
                <w:lang w:val="en-IE" w:eastAsia="en-GB"/>
              </w:rPr>
              <w:t>100 items of diagnostic equipment</w:t>
            </w:r>
          </w:p>
        </w:tc>
      </w:tr>
      <w:tr w:rsidR="0039681A" w:rsidRPr="0070054C" w14:paraId="732495CF" w14:textId="77777777">
        <w:trPr>
          <w:trHeight w:val="300"/>
        </w:trPr>
        <w:tc>
          <w:tcPr>
            <w:tcW w:w="1246" w:type="dxa"/>
            <w:shd w:val="clear" w:color="auto" w:fill="C6EFCE"/>
            <w:tcMar>
              <w:left w:w="108" w:type="dxa"/>
              <w:right w:w="108" w:type="dxa"/>
            </w:tcMar>
            <w:vAlign w:val="center"/>
          </w:tcPr>
          <w:p w14:paraId="1B1DC5F2"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M6C2-9</w:t>
            </w:r>
          </w:p>
        </w:tc>
        <w:tc>
          <w:tcPr>
            <w:tcW w:w="3449" w:type="dxa"/>
            <w:shd w:val="clear" w:color="auto" w:fill="C6EFCE"/>
            <w:tcMar>
              <w:left w:w="108" w:type="dxa"/>
              <w:right w:w="108" w:type="dxa"/>
            </w:tcMar>
            <w:vAlign w:val="center"/>
          </w:tcPr>
          <w:p w14:paraId="603F828B"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1.1: Digital update of hospitals’ technological equipment</w:t>
            </w:r>
          </w:p>
        </w:tc>
        <w:tc>
          <w:tcPr>
            <w:tcW w:w="1134" w:type="dxa"/>
            <w:shd w:val="clear" w:color="auto" w:fill="C6EFCE"/>
            <w:tcMar>
              <w:left w:w="108" w:type="dxa"/>
              <w:right w:w="108" w:type="dxa"/>
            </w:tcMar>
            <w:vAlign w:val="center"/>
          </w:tcPr>
          <w:p w14:paraId="7F800015"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402" w:type="dxa"/>
            <w:shd w:val="clear" w:color="auto" w:fill="C6EFCE"/>
            <w:tcMar>
              <w:left w:w="108" w:type="dxa"/>
              <w:right w:w="108" w:type="dxa"/>
            </w:tcMar>
            <w:vAlign w:val="center"/>
          </w:tcPr>
          <w:p w14:paraId="6C9033EA" w14:textId="71B515BF" w:rsidR="0039681A" w:rsidRPr="00A36E36" w:rsidRDefault="0039681A" w:rsidP="00351087">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600"/>
                <w:sz w:val="20"/>
                <w:szCs w:val="20"/>
                <w:lang w:val="en-IE" w:eastAsia="en-GB"/>
              </w:rPr>
              <w:t>B</w:t>
            </w:r>
            <w:r w:rsidRPr="00A36E36">
              <w:rPr>
                <w:rFonts w:ascii="Times New Roman" w:eastAsia="Times New Roman" w:hAnsi="Times New Roman" w:cs="Times New Roman"/>
                <w:noProof/>
                <w:color w:val="006600"/>
                <w:sz w:val="20"/>
                <w:szCs w:val="20"/>
                <w:lang w:val="en-IE" w:eastAsia="en-GB"/>
              </w:rPr>
              <w:t>eds provided</w:t>
            </w:r>
            <w:r>
              <w:rPr>
                <w:rFonts w:ascii="Times New Roman" w:eastAsia="Times New Roman" w:hAnsi="Times New Roman" w:cs="Times New Roman"/>
                <w:noProof/>
                <w:color w:val="006600"/>
                <w:sz w:val="20"/>
                <w:szCs w:val="20"/>
                <w:lang w:val="en-IE" w:eastAsia="en-GB"/>
              </w:rPr>
              <w:t xml:space="preserve"> or converted</w:t>
            </w:r>
            <w:r w:rsidRPr="00A36E36">
              <w:rPr>
                <w:rFonts w:ascii="Times New Roman" w:eastAsia="Times New Roman" w:hAnsi="Times New Roman" w:cs="Times New Roman"/>
                <w:noProof/>
                <w:color w:val="006600"/>
                <w:sz w:val="20"/>
                <w:szCs w:val="20"/>
                <w:lang w:val="en-IE" w:eastAsia="en-GB"/>
              </w:rPr>
              <w:t xml:space="preserve"> in ICUs and s</w:t>
            </w:r>
            <w:r>
              <w:rPr>
                <w:rFonts w:ascii="Times New Roman" w:eastAsia="Times New Roman" w:hAnsi="Times New Roman" w:cs="Times New Roman"/>
                <w:noProof/>
                <w:color w:val="006600"/>
                <w:sz w:val="20"/>
                <w:szCs w:val="20"/>
                <w:lang w:val="en-IE" w:eastAsia="en-GB"/>
              </w:rPr>
              <w:t>emi</w:t>
            </w:r>
            <w:r w:rsidRPr="00A36E36">
              <w:rPr>
                <w:rFonts w:ascii="Times New Roman" w:eastAsia="Times New Roman" w:hAnsi="Times New Roman" w:cs="Times New Roman"/>
                <w:noProof/>
                <w:color w:val="006600"/>
                <w:sz w:val="20"/>
                <w:szCs w:val="20"/>
                <w:lang w:val="en-IE" w:eastAsia="en-GB"/>
              </w:rPr>
              <w:t>-intensive care</w:t>
            </w:r>
          </w:p>
        </w:tc>
      </w:tr>
      <w:tr w:rsidR="0039681A" w:rsidRPr="0070054C" w14:paraId="7DDD518F" w14:textId="77777777">
        <w:trPr>
          <w:trHeight w:val="300"/>
        </w:trPr>
        <w:tc>
          <w:tcPr>
            <w:tcW w:w="1246" w:type="dxa"/>
            <w:shd w:val="clear" w:color="auto" w:fill="C6EFCE"/>
            <w:tcMar>
              <w:left w:w="108" w:type="dxa"/>
              <w:right w:w="108" w:type="dxa"/>
            </w:tcMar>
            <w:vAlign w:val="center"/>
          </w:tcPr>
          <w:p w14:paraId="5D942580"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M6C2-10</w:t>
            </w:r>
          </w:p>
        </w:tc>
        <w:tc>
          <w:tcPr>
            <w:tcW w:w="3449" w:type="dxa"/>
            <w:shd w:val="clear" w:color="auto" w:fill="C6EFCE"/>
            <w:tcMar>
              <w:left w:w="108" w:type="dxa"/>
              <w:right w:w="108" w:type="dxa"/>
            </w:tcMar>
            <w:vAlign w:val="center"/>
          </w:tcPr>
          <w:p w14:paraId="176F90B8"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1.2: Toward a safe and sustainable hospital</w:t>
            </w:r>
          </w:p>
        </w:tc>
        <w:tc>
          <w:tcPr>
            <w:tcW w:w="1134" w:type="dxa"/>
            <w:shd w:val="clear" w:color="auto" w:fill="C6EFCE"/>
            <w:tcMar>
              <w:left w:w="108" w:type="dxa"/>
              <w:right w:w="108" w:type="dxa"/>
            </w:tcMar>
            <w:vAlign w:val="center"/>
          </w:tcPr>
          <w:p w14:paraId="2E0FA7EE"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402" w:type="dxa"/>
            <w:shd w:val="clear" w:color="auto" w:fill="C6EFCE"/>
            <w:tcMar>
              <w:left w:w="108" w:type="dxa"/>
              <w:right w:w="108" w:type="dxa"/>
            </w:tcMar>
            <w:vAlign w:val="center"/>
          </w:tcPr>
          <w:p w14:paraId="29AA1B12"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Anti-seismic interventions in hospitals facilities are completed</w:t>
            </w:r>
          </w:p>
        </w:tc>
      </w:tr>
      <w:tr w:rsidR="0039681A" w:rsidRPr="0070054C" w14:paraId="264ADD44" w14:textId="77777777">
        <w:trPr>
          <w:trHeight w:val="300"/>
        </w:trPr>
        <w:tc>
          <w:tcPr>
            <w:tcW w:w="1246" w:type="dxa"/>
            <w:shd w:val="clear" w:color="auto" w:fill="C6EFCE"/>
            <w:tcMar>
              <w:left w:w="108" w:type="dxa"/>
              <w:right w:w="108" w:type="dxa"/>
            </w:tcMar>
            <w:vAlign w:val="center"/>
          </w:tcPr>
          <w:p w14:paraId="2E8EDADA"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M6C2-10 bis</w:t>
            </w:r>
          </w:p>
        </w:tc>
        <w:tc>
          <w:tcPr>
            <w:tcW w:w="3449" w:type="dxa"/>
            <w:shd w:val="clear" w:color="auto" w:fill="C6EFCE"/>
            <w:tcMar>
              <w:left w:w="108" w:type="dxa"/>
              <w:right w:w="108" w:type="dxa"/>
            </w:tcMar>
            <w:vAlign w:val="center"/>
          </w:tcPr>
          <w:p w14:paraId="396EB96F"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1.2: Toward a safe and sustainable hospital</w:t>
            </w:r>
          </w:p>
        </w:tc>
        <w:tc>
          <w:tcPr>
            <w:tcW w:w="1134" w:type="dxa"/>
            <w:shd w:val="clear" w:color="auto" w:fill="C6EFCE"/>
            <w:tcMar>
              <w:left w:w="108" w:type="dxa"/>
              <w:right w:w="108" w:type="dxa"/>
            </w:tcMar>
            <w:vAlign w:val="center"/>
          </w:tcPr>
          <w:p w14:paraId="67CCA1CD"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402" w:type="dxa"/>
            <w:shd w:val="clear" w:color="auto" w:fill="C6EFCE"/>
            <w:tcMar>
              <w:left w:w="108" w:type="dxa"/>
              <w:right w:w="108" w:type="dxa"/>
            </w:tcMar>
            <w:vAlign w:val="center"/>
          </w:tcPr>
          <w:p w14:paraId="30682471" w14:textId="4B103679" w:rsidR="0039681A" w:rsidRPr="00A36E36" w:rsidRDefault="0039681A" w:rsidP="00351087">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600"/>
                <w:sz w:val="20"/>
                <w:szCs w:val="20"/>
                <w:lang w:val="en-IE" w:eastAsia="en-GB"/>
              </w:rPr>
              <w:t>Payment(s) for interventions under Art. 20 of Law 67/88</w:t>
            </w:r>
          </w:p>
        </w:tc>
      </w:tr>
      <w:tr w:rsidR="0039681A" w:rsidRPr="0070054C" w14:paraId="3BD9329E" w14:textId="77777777">
        <w:trPr>
          <w:trHeight w:val="300"/>
        </w:trPr>
        <w:tc>
          <w:tcPr>
            <w:tcW w:w="1246" w:type="dxa"/>
            <w:shd w:val="clear" w:color="auto" w:fill="C6EFCE"/>
            <w:tcMar>
              <w:left w:w="108" w:type="dxa"/>
              <w:right w:w="108" w:type="dxa"/>
            </w:tcMar>
            <w:vAlign w:val="center"/>
          </w:tcPr>
          <w:p w14:paraId="211747DB"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M6C2-12</w:t>
            </w:r>
          </w:p>
        </w:tc>
        <w:tc>
          <w:tcPr>
            <w:tcW w:w="3449" w:type="dxa"/>
            <w:shd w:val="clear" w:color="auto" w:fill="C6EFCE"/>
            <w:tcMar>
              <w:left w:w="108" w:type="dxa"/>
              <w:right w:w="108" w:type="dxa"/>
            </w:tcMar>
            <w:vAlign w:val="center"/>
          </w:tcPr>
          <w:p w14:paraId="152C6159"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1.3: Strengthening of the technological infrastructure and of the tools for data collection, data processing, data analysis and simulation</w:t>
            </w:r>
          </w:p>
        </w:tc>
        <w:tc>
          <w:tcPr>
            <w:tcW w:w="1134" w:type="dxa"/>
            <w:shd w:val="clear" w:color="auto" w:fill="C6EFCE"/>
            <w:tcMar>
              <w:left w:w="108" w:type="dxa"/>
              <w:right w:w="108" w:type="dxa"/>
            </w:tcMar>
            <w:vAlign w:val="center"/>
          </w:tcPr>
          <w:p w14:paraId="629F3D11"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Milestone</w:t>
            </w:r>
          </w:p>
        </w:tc>
        <w:tc>
          <w:tcPr>
            <w:tcW w:w="3402" w:type="dxa"/>
            <w:shd w:val="clear" w:color="auto" w:fill="C6EFCE"/>
            <w:tcMar>
              <w:left w:w="108" w:type="dxa"/>
              <w:right w:w="108" w:type="dxa"/>
            </w:tcMar>
            <w:vAlign w:val="center"/>
          </w:tcPr>
          <w:p w14:paraId="11F695B0" w14:textId="132B2B2E"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T</w:t>
            </w:r>
            <w:r>
              <w:rPr>
                <w:rFonts w:ascii="Times New Roman" w:eastAsia="Times New Roman" w:hAnsi="Times New Roman" w:cs="Times New Roman"/>
                <w:noProof/>
                <w:color w:val="006600"/>
                <w:sz w:val="20"/>
                <w:szCs w:val="20"/>
                <w:lang w:val="en-IE" w:eastAsia="en-GB"/>
              </w:rPr>
              <w:t>esting of the components of t</w:t>
            </w:r>
            <w:r w:rsidRPr="00A36E36">
              <w:rPr>
                <w:rFonts w:ascii="Times New Roman" w:eastAsia="Times New Roman" w:hAnsi="Times New Roman" w:cs="Times New Roman"/>
                <w:noProof/>
                <w:color w:val="006600"/>
                <w:sz w:val="20"/>
                <w:szCs w:val="20"/>
                <w:lang w:val="en-IE" w:eastAsia="en-GB"/>
              </w:rPr>
              <w:t>he Health Insurance card system</w:t>
            </w:r>
            <w:r>
              <w:rPr>
                <w:rFonts w:ascii="Times New Roman" w:eastAsia="Times New Roman" w:hAnsi="Times New Roman" w:cs="Times New Roman"/>
                <w:noProof/>
                <w:color w:val="006600"/>
                <w:sz w:val="20"/>
                <w:szCs w:val="20"/>
                <w:lang w:val="en-IE" w:eastAsia="en-GB"/>
              </w:rPr>
              <w:t>, of</w:t>
            </w:r>
            <w:r w:rsidRPr="00A36E36">
              <w:rPr>
                <w:rFonts w:ascii="Times New Roman" w:eastAsia="Times New Roman" w:hAnsi="Times New Roman" w:cs="Times New Roman"/>
                <w:noProof/>
                <w:color w:val="006600"/>
                <w:sz w:val="20"/>
                <w:szCs w:val="20"/>
                <w:lang w:val="en-IE" w:eastAsia="en-GB"/>
              </w:rPr>
              <w:t xml:space="preserve"> the infrastructure for the interoperability of the Electronic Health Record</w:t>
            </w:r>
            <w:r>
              <w:rPr>
                <w:rFonts w:ascii="Times New Roman" w:eastAsia="Times New Roman" w:hAnsi="Times New Roman" w:cs="Times New Roman"/>
                <w:noProof/>
                <w:color w:val="006600"/>
                <w:sz w:val="20"/>
                <w:szCs w:val="20"/>
                <w:lang w:val="en-IE" w:eastAsia="en-GB"/>
              </w:rPr>
              <w:t>, and of the “Ecosistema Dati Sanitari”</w:t>
            </w:r>
            <w:r w:rsidRPr="00A36E36">
              <w:rPr>
                <w:rFonts w:ascii="Times New Roman" w:eastAsia="Times New Roman" w:hAnsi="Times New Roman" w:cs="Times New Roman"/>
                <w:noProof/>
                <w:color w:val="006600"/>
                <w:sz w:val="20"/>
                <w:szCs w:val="20"/>
                <w:lang w:val="en-IE" w:eastAsia="en-GB"/>
              </w:rPr>
              <w:t>.</w:t>
            </w:r>
          </w:p>
        </w:tc>
      </w:tr>
      <w:tr w:rsidR="0039681A" w:rsidRPr="0070054C" w14:paraId="08650D63" w14:textId="77777777">
        <w:trPr>
          <w:trHeight w:val="300"/>
        </w:trPr>
        <w:tc>
          <w:tcPr>
            <w:tcW w:w="1246" w:type="dxa"/>
            <w:shd w:val="clear" w:color="auto" w:fill="C6EFCE"/>
            <w:tcMar>
              <w:left w:w="108" w:type="dxa"/>
              <w:right w:w="108" w:type="dxa"/>
            </w:tcMar>
            <w:vAlign w:val="center"/>
          </w:tcPr>
          <w:p w14:paraId="16779B49"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M6C2-13</w:t>
            </w:r>
          </w:p>
        </w:tc>
        <w:tc>
          <w:tcPr>
            <w:tcW w:w="3449" w:type="dxa"/>
            <w:shd w:val="clear" w:color="auto" w:fill="C6EFCE"/>
            <w:tcMar>
              <w:left w:w="108" w:type="dxa"/>
              <w:right w:w="108" w:type="dxa"/>
            </w:tcMar>
            <w:vAlign w:val="center"/>
          </w:tcPr>
          <w:p w14:paraId="058D08BA"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Investment 1.3: Strengthening of the technological infrastructure and of the tools for data collection, data processing, data analysis and simulation</w:t>
            </w:r>
          </w:p>
        </w:tc>
        <w:tc>
          <w:tcPr>
            <w:tcW w:w="1134" w:type="dxa"/>
            <w:shd w:val="clear" w:color="auto" w:fill="C6EFCE"/>
            <w:tcMar>
              <w:left w:w="108" w:type="dxa"/>
              <w:right w:w="108" w:type="dxa"/>
            </w:tcMar>
            <w:vAlign w:val="center"/>
          </w:tcPr>
          <w:p w14:paraId="0E948CCF"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600"/>
                <w:sz w:val="20"/>
                <w:szCs w:val="20"/>
                <w:lang w:eastAsia="en-GB"/>
              </w:rPr>
              <w:t>Target</w:t>
            </w:r>
          </w:p>
        </w:tc>
        <w:tc>
          <w:tcPr>
            <w:tcW w:w="3402" w:type="dxa"/>
            <w:shd w:val="clear" w:color="auto" w:fill="C6EFCE"/>
            <w:tcMar>
              <w:left w:w="108" w:type="dxa"/>
              <w:right w:w="108" w:type="dxa"/>
            </w:tcMar>
            <w:vAlign w:val="center"/>
          </w:tcPr>
          <w:p w14:paraId="73EA8E61"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600"/>
                <w:sz w:val="20"/>
                <w:szCs w:val="20"/>
                <w:lang w:val="en-IE" w:eastAsia="en-GB"/>
              </w:rPr>
              <w:t>The Electronic Health Record is being used for the majority of health records</w:t>
            </w:r>
          </w:p>
        </w:tc>
      </w:tr>
      <w:tr w:rsidR="0039681A" w:rsidRPr="0070054C" w14:paraId="5ADE9ED9" w14:textId="77777777">
        <w:trPr>
          <w:trHeight w:val="300"/>
        </w:trPr>
        <w:tc>
          <w:tcPr>
            <w:tcW w:w="1246" w:type="dxa"/>
            <w:shd w:val="clear" w:color="auto" w:fill="C6EFCE"/>
            <w:tcMar>
              <w:left w:w="108" w:type="dxa"/>
              <w:right w:w="108" w:type="dxa"/>
            </w:tcMar>
            <w:vAlign w:val="center"/>
          </w:tcPr>
          <w:p w14:paraId="27BF430B"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M7-37</w:t>
            </w:r>
          </w:p>
        </w:tc>
        <w:tc>
          <w:tcPr>
            <w:tcW w:w="3449" w:type="dxa"/>
            <w:shd w:val="clear" w:color="auto" w:fill="C6EFCE"/>
            <w:tcMar>
              <w:left w:w="108" w:type="dxa"/>
              <w:right w:w="108" w:type="dxa"/>
            </w:tcMar>
            <w:vAlign w:val="center"/>
          </w:tcPr>
          <w:p w14:paraId="6F7BB9AF"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13: Adriatic Line Phase 1 (Sulmona compressor station and Sestino-Minerbio gas pipeline)</w:t>
            </w:r>
          </w:p>
        </w:tc>
        <w:tc>
          <w:tcPr>
            <w:tcW w:w="1134" w:type="dxa"/>
            <w:shd w:val="clear" w:color="auto" w:fill="C6EFCE"/>
            <w:tcMar>
              <w:left w:w="108" w:type="dxa"/>
              <w:right w:w="108" w:type="dxa"/>
            </w:tcMar>
            <w:vAlign w:val="center"/>
          </w:tcPr>
          <w:p w14:paraId="788F73B8"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32575181" w14:textId="5A8B5C6D"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1B28209E">
              <w:rPr>
                <w:rFonts w:ascii="Times New Roman" w:eastAsia="Times New Roman" w:hAnsi="Times New Roman" w:cs="Times New Roman"/>
                <w:noProof/>
                <w:color w:val="006100"/>
                <w:sz w:val="20"/>
                <w:szCs w:val="20"/>
                <w:lang w:val="en-IE" w:eastAsia="en-GB"/>
              </w:rPr>
              <w:t xml:space="preserve">Works on the Sulmona compression station and Sestino </w:t>
            </w:r>
            <w:r w:rsidRPr="7B4C6F4E">
              <w:rPr>
                <w:rFonts w:ascii="Times New Roman" w:eastAsia="Times New Roman" w:hAnsi="Times New Roman" w:cs="Times New Roman"/>
                <w:noProof/>
                <w:color w:val="006100"/>
                <w:sz w:val="20"/>
                <w:szCs w:val="20"/>
                <w:lang w:val="en-IE" w:eastAsia="en-GB"/>
              </w:rPr>
              <w:t xml:space="preserve">Minerbio </w:t>
            </w:r>
            <w:r w:rsidRPr="0CE924FF">
              <w:rPr>
                <w:rFonts w:ascii="Times New Roman" w:eastAsia="Times New Roman" w:hAnsi="Times New Roman" w:cs="Times New Roman"/>
                <w:noProof/>
                <w:color w:val="006100"/>
                <w:sz w:val="20"/>
                <w:szCs w:val="20"/>
                <w:lang w:val="en-IE" w:eastAsia="en-GB"/>
              </w:rPr>
              <w:t xml:space="preserve">gas pipelines carried out </w:t>
            </w:r>
          </w:p>
        </w:tc>
      </w:tr>
      <w:tr w:rsidR="0039681A" w:rsidRPr="0070054C" w14:paraId="60E944B7" w14:textId="77777777">
        <w:trPr>
          <w:trHeight w:val="300"/>
        </w:trPr>
        <w:tc>
          <w:tcPr>
            <w:tcW w:w="1246" w:type="dxa"/>
            <w:shd w:val="clear" w:color="auto" w:fill="C6EFCE"/>
            <w:tcMar>
              <w:left w:w="108" w:type="dxa"/>
              <w:right w:w="108" w:type="dxa"/>
            </w:tcMar>
            <w:vAlign w:val="center"/>
          </w:tcPr>
          <w:p w14:paraId="2980D4A2"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M7-39</w:t>
            </w:r>
          </w:p>
        </w:tc>
        <w:tc>
          <w:tcPr>
            <w:tcW w:w="3449" w:type="dxa"/>
            <w:shd w:val="clear" w:color="auto" w:fill="C6EFCE"/>
            <w:tcMar>
              <w:left w:w="108" w:type="dxa"/>
              <w:right w:w="108" w:type="dxa"/>
            </w:tcMar>
            <w:vAlign w:val="center"/>
          </w:tcPr>
          <w:p w14:paraId="4E6A109C" w14:textId="77777777" w:rsidR="0039681A" w:rsidRPr="00647572" w:rsidRDefault="0039681A" w:rsidP="00351087">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14: Cross-border gas export infrastructure</w:t>
            </w:r>
          </w:p>
        </w:tc>
        <w:tc>
          <w:tcPr>
            <w:tcW w:w="1134" w:type="dxa"/>
            <w:shd w:val="clear" w:color="auto" w:fill="C6EFCE"/>
            <w:tcMar>
              <w:left w:w="108" w:type="dxa"/>
              <w:right w:w="108" w:type="dxa"/>
            </w:tcMar>
            <w:vAlign w:val="center"/>
          </w:tcPr>
          <w:p w14:paraId="560C0EA2"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279A2E27" w14:textId="6B72C20B"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639FE840">
              <w:rPr>
                <w:rFonts w:ascii="Times New Roman" w:eastAsia="Times New Roman" w:hAnsi="Times New Roman" w:cs="Times New Roman"/>
                <w:noProof/>
                <w:color w:val="006100"/>
                <w:sz w:val="20"/>
                <w:szCs w:val="20"/>
                <w:lang w:val="en-IE" w:eastAsia="en-GB"/>
              </w:rPr>
              <w:t xml:space="preserve">Works on the Poggio Renatico compression station </w:t>
            </w:r>
            <w:r w:rsidRPr="42101125">
              <w:rPr>
                <w:rFonts w:ascii="Times New Roman" w:eastAsia="Times New Roman" w:hAnsi="Times New Roman" w:cs="Times New Roman"/>
                <w:noProof/>
                <w:color w:val="006100"/>
                <w:sz w:val="20"/>
                <w:szCs w:val="20"/>
                <w:lang w:val="en-IE" w:eastAsia="en-GB"/>
              </w:rPr>
              <w:t>carried out</w:t>
            </w:r>
          </w:p>
        </w:tc>
      </w:tr>
      <w:tr w:rsidR="0039681A" w:rsidRPr="0070054C" w14:paraId="59995193" w14:textId="77777777">
        <w:trPr>
          <w:trHeight w:val="300"/>
        </w:trPr>
        <w:tc>
          <w:tcPr>
            <w:tcW w:w="1246" w:type="dxa"/>
            <w:shd w:val="clear" w:color="auto" w:fill="C6EFCE"/>
            <w:tcMar>
              <w:left w:w="108" w:type="dxa"/>
              <w:right w:w="108" w:type="dxa"/>
            </w:tcMar>
            <w:vAlign w:val="center"/>
          </w:tcPr>
          <w:p w14:paraId="6FFE034F"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M7-41</w:t>
            </w:r>
          </w:p>
        </w:tc>
        <w:tc>
          <w:tcPr>
            <w:tcW w:w="3449" w:type="dxa"/>
            <w:shd w:val="clear" w:color="auto" w:fill="C6EFCE"/>
            <w:tcMar>
              <w:left w:w="108" w:type="dxa"/>
              <w:right w:w="108" w:type="dxa"/>
            </w:tcMar>
            <w:vAlign w:val="center"/>
          </w:tcPr>
          <w:p w14:paraId="7ED1DDF0" w14:textId="77777777" w:rsidR="0039681A" w:rsidRPr="00647572" w:rsidRDefault="0039681A" w:rsidP="00351087">
            <w:pPr>
              <w:spacing w:after="0" w:line="240" w:lineRule="auto"/>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 xml:space="preserve">Investment 15: Transizione 5.0 </w:t>
            </w:r>
          </w:p>
        </w:tc>
        <w:tc>
          <w:tcPr>
            <w:tcW w:w="1134" w:type="dxa"/>
            <w:shd w:val="clear" w:color="auto" w:fill="C6EFCE"/>
            <w:tcMar>
              <w:left w:w="108" w:type="dxa"/>
              <w:right w:w="108" w:type="dxa"/>
            </w:tcMar>
            <w:vAlign w:val="center"/>
          </w:tcPr>
          <w:p w14:paraId="543C4449"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2714875A" w14:textId="2C8B0693" w:rsidR="0039681A" w:rsidRPr="00AF5341"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F5341">
              <w:rPr>
                <w:rFonts w:ascii="Times New Roman" w:eastAsia="Times New Roman" w:hAnsi="Times New Roman" w:cs="Times New Roman"/>
                <w:noProof/>
                <w:color w:val="006100"/>
                <w:sz w:val="20"/>
                <w:szCs w:val="20"/>
                <w:lang w:val="en-IE" w:eastAsia="en-GB"/>
              </w:rPr>
              <w:t xml:space="preserve">Tax credits granted </w:t>
            </w:r>
            <w:r w:rsidRPr="00AF5341">
              <w:rPr>
                <w:rFonts w:ascii="Times New Roman" w:eastAsia="Times New Roman" w:hAnsi="Times New Roman" w:cs="Times New Roman"/>
                <w:noProof/>
                <w:color w:val="006100"/>
                <w:sz w:val="20"/>
                <w:szCs w:val="20"/>
                <w:u w:val="single"/>
                <w:lang w:val="en-IE" w:eastAsia="en-GB"/>
              </w:rPr>
              <w:t>to firms based on documents presented in 2024-2025</w:t>
            </w:r>
          </w:p>
        </w:tc>
      </w:tr>
      <w:tr w:rsidR="0039681A" w:rsidRPr="0070054C" w14:paraId="6DD3386C" w14:textId="77777777">
        <w:trPr>
          <w:trHeight w:val="300"/>
        </w:trPr>
        <w:tc>
          <w:tcPr>
            <w:tcW w:w="1246" w:type="dxa"/>
            <w:shd w:val="clear" w:color="auto" w:fill="C6EFCE"/>
            <w:tcMar>
              <w:left w:w="108" w:type="dxa"/>
              <w:right w:w="108" w:type="dxa"/>
            </w:tcMar>
            <w:vAlign w:val="center"/>
          </w:tcPr>
          <w:p w14:paraId="7AFBBD77"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M7-45</w:t>
            </w:r>
          </w:p>
        </w:tc>
        <w:tc>
          <w:tcPr>
            <w:tcW w:w="3449" w:type="dxa"/>
            <w:shd w:val="clear" w:color="auto" w:fill="C6EFCE"/>
            <w:tcMar>
              <w:left w:w="108" w:type="dxa"/>
              <w:right w:w="108" w:type="dxa"/>
            </w:tcMar>
            <w:vAlign w:val="center"/>
          </w:tcPr>
          <w:p w14:paraId="26A067CE"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16: Support to SMEs for self-production from renewable energy sources</w:t>
            </w:r>
          </w:p>
        </w:tc>
        <w:tc>
          <w:tcPr>
            <w:tcW w:w="1134" w:type="dxa"/>
            <w:shd w:val="clear" w:color="auto" w:fill="C6EFCE"/>
            <w:tcMar>
              <w:left w:w="108" w:type="dxa"/>
              <w:right w:w="108" w:type="dxa"/>
            </w:tcMar>
            <w:vAlign w:val="center"/>
          </w:tcPr>
          <w:p w14:paraId="72BB2120"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FF2B9EB" w14:textId="3FFA6820"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Legal agreements with final beneficiaries</w:t>
            </w:r>
          </w:p>
        </w:tc>
      </w:tr>
      <w:tr w:rsidR="0039681A" w:rsidRPr="0070054C" w14:paraId="1D50269F" w14:textId="77777777">
        <w:trPr>
          <w:trHeight w:val="300"/>
        </w:trPr>
        <w:tc>
          <w:tcPr>
            <w:tcW w:w="1246" w:type="dxa"/>
            <w:shd w:val="clear" w:color="auto" w:fill="C6EFCE"/>
            <w:tcMar>
              <w:left w:w="108" w:type="dxa"/>
              <w:right w:w="108" w:type="dxa"/>
            </w:tcMar>
            <w:vAlign w:val="center"/>
          </w:tcPr>
          <w:p w14:paraId="5B286F15"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M7-49</w:t>
            </w:r>
          </w:p>
        </w:tc>
        <w:tc>
          <w:tcPr>
            <w:tcW w:w="3449" w:type="dxa"/>
            <w:shd w:val="clear" w:color="auto" w:fill="C6EFCE"/>
            <w:tcMar>
              <w:left w:w="108" w:type="dxa"/>
              <w:right w:w="108" w:type="dxa"/>
            </w:tcMar>
            <w:vAlign w:val="center"/>
          </w:tcPr>
          <w:p w14:paraId="393A6F8A"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17: Financial instrument for energy renovations of public residential housing</w:t>
            </w:r>
          </w:p>
        </w:tc>
        <w:tc>
          <w:tcPr>
            <w:tcW w:w="1134" w:type="dxa"/>
            <w:shd w:val="clear" w:color="auto" w:fill="C6EFCE"/>
            <w:tcMar>
              <w:left w:w="108" w:type="dxa"/>
              <w:right w:w="108" w:type="dxa"/>
            </w:tcMar>
            <w:vAlign w:val="center"/>
          </w:tcPr>
          <w:p w14:paraId="11D5E517"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55C262AB"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Legal agreements signed with final beneficiaries</w:t>
            </w:r>
          </w:p>
        </w:tc>
      </w:tr>
      <w:tr w:rsidR="0039681A" w:rsidRPr="0070054C" w14:paraId="41D50B52" w14:textId="77777777">
        <w:trPr>
          <w:trHeight w:val="300"/>
        </w:trPr>
        <w:tc>
          <w:tcPr>
            <w:tcW w:w="1246" w:type="dxa"/>
            <w:shd w:val="clear" w:color="auto" w:fill="C6EFCE"/>
            <w:tcMar>
              <w:left w:w="108" w:type="dxa"/>
              <w:right w:w="108" w:type="dxa"/>
            </w:tcMar>
            <w:vAlign w:val="center"/>
          </w:tcPr>
          <w:p w14:paraId="26E655D7"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M1C3-29</w:t>
            </w:r>
          </w:p>
        </w:tc>
        <w:tc>
          <w:tcPr>
            <w:tcW w:w="3449" w:type="dxa"/>
            <w:shd w:val="clear" w:color="auto" w:fill="C6EFCE"/>
            <w:tcMar>
              <w:left w:w="108" w:type="dxa"/>
              <w:right w:w="108" w:type="dxa"/>
            </w:tcMar>
            <w:vAlign w:val="center"/>
          </w:tcPr>
          <w:p w14:paraId="6D77D5CC" w14:textId="4B4B5FB1"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Investment 4.2:</w:t>
            </w:r>
            <w:r w:rsidR="00381DB1">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Funds for the competitiveness of tourism enterprises</w:t>
            </w:r>
          </w:p>
        </w:tc>
        <w:tc>
          <w:tcPr>
            <w:tcW w:w="1134" w:type="dxa"/>
            <w:shd w:val="clear" w:color="auto" w:fill="C6EFCE"/>
            <w:tcMar>
              <w:left w:w="108" w:type="dxa"/>
              <w:right w:w="108" w:type="dxa"/>
            </w:tcMar>
            <w:vAlign w:val="center"/>
          </w:tcPr>
          <w:p w14:paraId="2951D1E5"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2EE0F7D" w14:textId="6C880280"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Number of projects to be supported through the European Investment Bank Thematic Funds </w:t>
            </w:r>
          </w:p>
        </w:tc>
      </w:tr>
      <w:tr w:rsidR="0039681A" w:rsidRPr="0070054C" w14:paraId="35844F6B" w14:textId="77777777">
        <w:trPr>
          <w:trHeight w:val="300"/>
        </w:trPr>
        <w:tc>
          <w:tcPr>
            <w:tcW w:w="1246" w:type="dxa"/>
            <w:shd w:val="clear" w:color="auto" w:fill="C6EFCE"/>
            <w:tcMar>
              <w:left w:w="108" w:type="dxa"/>
              <w:right w:w="108" w:type="dxa"/>
            </w:tcMar>
            <w:vAlign w:val="center"/>
          </w:tcPr>
          <w:p w14:paraId="25202B9F"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M3C2-9</w:t>
            </w:r>
          </w:p>
        </w:tc>
        <w:tc>
          <w:tcPr>
            <w:tcW w:w="3449" w:type="dxa"/>
            <w:shd w:val="clear" w:color="auto" w:fill="C6EFCE"/>
            <w:tcMar>
              <w:left w:w="108" w:type="dxa"/>
              <w:right w:w="108" w:type="dxa"/>
            </w:tcMar>
            <w:vAlign w:val="center"/>
          </w:tcPr>
          <w:p w14:paraId="5E363CA4" w14:textId="77777777" w:rsidR="0039681A" w:rsidRPr="00A36E36" w:rsidRDefault="0039681A" w:rsidP="00351087">
            <w:pPr>
              <w:spacing w:after="0" w:line="240" w:lineRule="auto"/>
              <w:rPr>
                <w:rFonts w:ascii="Times New Roman" w:eastAsia="Times New Roman" w:hAnsi="Times New Roman" w:cs="Times New Roman"/>
                <w:noProof/>
                <w:lang w:val="en-IE" w:eastAsia="en-GB"/>
              </w:rPr>
            </w:pPr>
            <w:r w:rsidRPr="00A36E36">
              <w:rPr>
                <w:rFonts w:ascii="Times New Roman" w:eastAsia="Times New Roman" w:hAnsi="Times New Roman" w:cs="Times New Roman"/>
                <w:noProof/>
                <w:color w:val="006100"/>
                <w:sz w:val="20"/>
                <w:szCs w:val="20"/>
                <w:lang w:val="en-IE" w:eastAsia="en-GB"/>
              </w:rPr>
              <w:t xml:space="preserve">Investment 1.1: Green ports: renewable energy and energy efficiency interventions at ports </w:t>
            </w:r>
          </w:p>
        </w:tc>
        <w:tc>
          <w:tcPr>
            <w:tcW w:w="1134" w:type="dxa"/>
            <w:shd w:val="clear" w:color="auto" w:fill="C6EFCE"/>
            <w:tcMar>
              <w:left w:w="108" w:type="dxa"/>
              <w:right w:w="108" w:type="dxa"/>
            </w:tcMar>
            <w:vAlign w:val="center"/>
          </w:tcPr>
          <w:p w14:paraId="61C13D29" w14:textId="77777777" w:rsidR="0039681A" w:rsidRPr="00647572" w:rsidRDefault="0039681A" w:rsidP="00351087">
            <w:pPr>
              <w:spacing w:after="0" w:line="240" w:lineRule="auto"/>
              <w:jc w:val="center"/>
              <w:rPr>
                <w:rFonts w:ascii="Times New Roman" w:eastAsia="Times New Roman" w:hAnsi="Times New Roman" w:cs="Times New Roman"/>
                <w:noProof/>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D544913" w14:textId="38D4E52E" w:rsidR="0039681A" w:rsidRPr="00A36E36" w:rsidRDefault="0039681A" w:rsidP="00351087">
            <w:pPr>
              <w:spacing w:after="0" w:line="240" w:lineRule="auto"/>
              <w:rPr>
                <w:rFonts w:ascii="Times New Roman" w:eastAsia="Times New Roman" w:hAnsi="Times New Roman" w:cs="Times New Roman"/>
                <w:noProof/>
                <w:lang w:val="en-IE" w:eastAsia="en-GB"/>
              </w:rPr>
            </w:pPr>
            <w:r>
              <w:rPr>
                <w:rFonts w:ascii="Times New Roman" w:eastAsia="Times New Roman" w:hAnsi="Times New Roman" w:cs="Times New Roman"/>
                <w:noProof/>
                <w:color w:val="006100"/>
                <w:sz w:val="20"/>
                <w:szCs w:val="20"/>
                <w:lang w:val="en-IE" w:eastAsia="en-GB"/>
              </w:rPr>
              <w:t>Delivery of goods, works and services</w:t>
            </w:r>
          </w:p>
        </w:tc>
      </w:tr>
      <w:tr w:rsidR="0039681A" w:rsidRPr="0070054C" w14:paraId="0111AE58" w14:textId="77777777">
        <w:trPr>
          <w:trHeight w:val="300"/>
        </w:trPr>
        <w:tc>
          <w:tcPr>
            <w:tcW w:w="1246" w:type="dxa"/>
            <w:shd w:val="clear" w:color="auto" w:fill="C6EFCE"/>
            <w:tcMar>
              <w:left w:w="108" w:type="dxa"/>
              <w:right w:w="108" w:type="dxa"/>
            </w:tcMar>
            <w:vAlign w:val="center"/>
          </w:tcPr>
          <w:p w14:paraId="2FE79CD4"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M1C2-23bis</w:t>
            </w:r>
          </w:p>
        </w:tc>
        <w:tc>
          <w:tcPr>
            <w:tcW w:w="3449" w:type="dxa"/>
            <w:shd w:val="clear" w:color="auto" w:fill="C6EFCE"/>
            <w:tcMar>
              <w:left w:w="108" w:type="dxa"/>
              <w:right w:w="108" w:type="dxa"/>
            </w:tcMar>
            <w:vAlign w:val="center"/>
          </w:tcPr>
          <w:p w14:paraId="63784C80"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Investment 4: Satellite Technology and Space economy </w:t>
            </w:r>
          </w:p>
        </w:tc>
        <w:tc>
          <w:tcPr>
            <w:tcW w:w="1134" w:type="dxa"/>
            <w:shd w:val="clear" w:color="auto" w:fill="C6EFCE"/>
            <w:tcMar>
              <w:left w:w="108" w:type="dxa"/>
              <w:right w:w="108" w:type="dxa"/>
            </w:tcMar>
            <w:vAlign w:val="center"/>
          </w:tcPr>
          <w:p w14:paraId="191BC263"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58FD1B6B" w14:textId="5A68F924"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S</w:t>
            </w:r>
            <w:r w:rsidRPr="00A36E36">
              <w:rPr>
                <w:rFonts w:ascii="Times New Roman" w:eastAsia="Times New Roman" w:hAnsi="Times New Roman" w:cs="Times New Roman"/>
                <w:noProof/>
                <w:color w:val="006100"/>
                <w:sz w:val="20"/>
                <w:szCs w:val="20"/>
                <w:lang w:val="en-IE" w:eastAsia="en-GB"/>
              </w:rPr>
              <w:t>atellite technology and space projects</w:t>
            </w:r>
          </w:p>
        </w:tc>
      </w:tr>
      <w:tr w:rsidR="0039681A" w:rsidRPr="00F604B8" w14:paraId="3E362DBB" w14:textId="77777777">
        <w:trPr>
          <w:trHeight w:val="300"/>
        </w:trPr>
        <w:tc>
          <w:tcPr>
            <w:tcW w:w="1246" w:type="dxa"/>
            <w:shd w:val="clear" w:color="auto" w:fill="C6EFCE"/>
            <w:tcMar>
              <w:left w:w="108" w:type="dxa"/>
              <w:right w:w="108" w:type="dxa"/>
            </w:tcMar>
            <w:vAlign w:val="center"/>
          </w:tcPr>
          <w:p w14:paraId="1E5A0A9C"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M1C3-16bis</w:t>
            </w:r>
          </w:p>
        </w:tc>
        <w:tc>
          <w:tcPr>
            <w:tcW w:w="3449" w:type="dxa"/>
            <w:shd w:val="clear" w:color="auto" w:fill="C6EFCE"/>
            <w:tcMar>
              <w:left w:w="108" w:type="dxa"/>
              <w:right w:w="108" w:type="dxa"/>
            </w:tcMar>
            <w:vAlign w:val="center"/>
          </w:tcPr>
          <w:p w14:paraId="7F55D5B1"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Investment-2.1: Attractiveness of Small Historic Towns </w:t>
            </w:r>
          </w:p>
        </w:tc>
        <w:tc>
          <w:tcPr>
            <w:tcW w:w="1134" w:type="dxa"/>
            <w:shd w:val="clear" w:color="auto" w:fill="C6EFCE"/>
            <w:tcMar>
              <w:left w:w="108" w:type="dxa"/>
              <w:right w:w="108" w:type="dxa"/>
            </w:tcMar>
            <w:vAlign w:val="center"/>
          </w:tcPr>
          <w:p w14:paraId="1AF3D689"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1779FEF1" w14:textId="082AB558"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Interventions carried out</w:t>
            </w:r>
          </w:p>
        </w:tc>
      </w:tr>
      <w:tr w:rsidR="0039681A" w:rsidRPr="00F604B8" w14:paraId="4D267B02" w14:textId="77777777">
        <w:trPr>
          <w:trHeight w:val="1065"/>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F853208"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M1C3-17</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DD213D"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 2.2 Protection and enhancement of rural architecture and landscape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551142E"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27FD54C" w14:textId="697BAD95"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Interventions </w:t>
            </w:r>
            <w:r>
              <w:rPr>
                <w:rFonts w:ascii="Times New Roman" w:eastAsia="Times New Roman" w:hAnsi="Times New Roman" w:cs="Times New Roman"/>
                <w:noProof/>
                <w:color w:val="006100"/>
                <w:sz w:val="20"/>
                <w:szCs w:val="20"/>
                <w:lang w:val="en-IE" w:eastAsia="en-GB"/>
              </w:rPr>
              <w:t>carried out</w:t>
            </w:r>
          </w:p>
        </w:tc>
      </w:tr>
      <w:tr w:rsidR="0039681A" w:rsidRPr="00F604B8" w14:paraId="46B17AB9" w14:textId="77777777">
        <w:trPr>
          <w:trHeight w:val="300"/>
        </w:trPr>
        <w:tc>
          <w:tcPr>
            <w:tcW w:w="1246" w:type="dxa"/>
            <w:shd w:val="clear" w:color="auto" w:fill="C6EFCE"/>
            <w:tcMar>
              <w:left w:w="108" w:type="dxa"/>
              <w:right w:w="108" w:type="dxa"/>
            </w:tcMar>
            <w:vAlign w:val="center"/>
          </w:tcPr>
          <w:p w14:paraId="5849D09F"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M1C3-19</w:t>
            </w:r>
          </w:p>
        </w:tc>
        <w:tc>
          <w:tcPr>
            <w:tcW w:w="3449" w:type="dxa"/>
            <w:shd w:val="clear" w:color="auto" w:fill="C6EFCE"/>
            <w:tcMar>
              <w:left w:w="108" w:type="dxa"/>
              <w:right w:w="108" w:type="dxa"/>
            </w:tcMar>
            <w:vAlign w:val="center"/>
          </w:tcPr>
          <w:p w14:paraId="22D535E3"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- 2.4 Seismic safety of places of worship, restoration of FEC (Fondo Edifici di Culto) heritage and shelters for art works (Recovery Art)</w:t>
            </w:r>
          </w:p>
        </w:tc>
        <w:tc>
          <w:tcPr>
            <w:tcW w:w="1134" w:type="dxa"/>
            <w:shd w:val="clear" w:color="auto" w:fill="C6EFCE"/>
            <w:tcMar>
              <w:left w:w="108" w:type="dxa"/>
              <w:right w:w="108" w:type="dxa"/>
            </w:tcMar>
            <w:vAlign w:val="center"/>
          </w:tcPr>
          <w:p w14:paraId="6880FBF0"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74E020D" w14:textId="48BF2B4F"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Interventions </w:t>
            </w:r>
            <w:r>
              <w:rPr>
                <w:rFonts w:ascii="Times New Roman" w:eastAsia="Times New Roman" w:hAnsi="Times New Roman" w:cs="Times New Roman"/>
                <w:noProof/>
                <w:color w:val="006100"/>
                <w:sz w:val="20"/>
                <w:szCs w:val="20"/>
                <w:lang w:val="en-IE" w:eastAsia="en-GB"/>
              </w:rPr>
              <w:t>carried out</w:t>
            </w:r>
          </w:p>
        </w:tc>
      </w:tr>
      <w:tr w:rsidR="0039681A" w:rsidRPr="0070054C" w14:paraId="0549FD1A" w14:textId="77777777">
        <w:trPr>
          <w:trHeight w:val="300"/>
        </w:trPr>
        <w:tc>
          <w:tcPr>
            <w:tcW w:w="1246" w:type="dxa"/>
            <w:shd w:val="clear" w:color="auto" w:fill="C6EFCE"/>
            <w:tcMar>
              <w:left w:w="108" w:type="dxa"/>
              <w:right w:w="108" w:type="dxa"/>
            </w:tcMar>
            <w:vAlign w:val="center"/>
          </w:tcPr>
          <w:p w14:paraId="21BDE86C"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M2C1-10</w:t>
            </w:r>
          </w:p>
        </w:tc>
        <w:tc>
          <w:tcPr>
            <w:tcW w:w="3449" w:type="dxa"/>
            <w:shd w:val="clear" w:color="auto" w:fill="C6EFCE"/>
            <w:tcMar>
              <w:left w:w="108" w:type="dxa"/>
              <w:right w:w="108" w:type="dxa"/>
            </w:tcMar>
            <w:vAlign w:val="center"/>
          </w:tcPr>
          <w:p w14:paraId="0D8A2937"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2.1: Logistics plan for the agri-food, fishing and aquaculture, forestry, floriculture and plant nursery sectors</w:t>
            </w:r>
          </w:p>
        </w:tc>
        <w:tc>
          <w:tcPr>
            <w:tcW w:w="1134" w:type="dxa"/>
            <w:shd w:val="clear" w:color="auto" w:fill="C6EFCE"/>
            <w:tcMar>
              <w:left w:w="108" w:type="dxa"/>
              <w:right w:w="108" w:type="dxa"/>
            </w:tcMar>
            <w:vAlign w:val="center"/>
          </w:tcPr>
          <w:p w14:paraId="085BDC61"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7222DF5" w14:textId="68ED4B0A"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Tangible and intangible investments in</w:t>
            </w:r>
            <w:r w:rsidRPr="00A36E36">
              <w:rPr>
                <w:rFonts w:ascii="Times New Roman" w:eastAsia="Times New Roman" w:hAnsi="Times New Roman" w:cs="Times New Roman"/>
                <w:noProof/>
                <w:color w:val="006100"/>
                <w:sz w:val="20"/>
                <w:szCs w:val="20"/>
                <w:lang w:val="en-IE" w:eastAsia="en-GB"/>
              </w:rPr>
              <w:t xml:space="preserve"> agri-food, fishing and aquaculture, forestry, floriculture and plant nursery sectors</w:t>
            </w:r>
            <w:r>
              <w:rPr>
                <w:rFonts w:ascii="Times New Roman" w:eastAsia="Times New Roman" w:hAnsi="Times New Roman" w:cs="Times New Roman"/>
                <w:noProof/>
                <w:color w:val="006100"/>
                <w:sz w:val="20"/>
                <w:szCs w:val="20"/>
                <w:lang w:val="en-IE" w:eastAsia="en-GB"/>
              </w:rPr>
              <w:t>.</w:t>
            </w:r>
          </w:p>
        </w:tc>
      </w:tr>
      <w:tr w:rsidR="0039681A" w:rsidRPr="00647572" w14:paraId="056FB53B" w14:textId="77777777">
        <w:trPr>
          <w:trHeight w:val="300"/>
        </w:trPr>
        <w:tc>
          <w:tcPr>
            <w:tcW w:w="1246" w:type="dxa"/>
            <w:shd w:val="clear" w:color="auto" w:fill="C6EFCE"/>
            <w:tcMar>
              <w:left w:w="108" w:type="dxa"/>
              <w:right w:w="108" w:type="dxa"/>
            </w:tcMar>
            <w:vAlign w:val="center"/>
          </w:tcPr>
          <w:p w14:paraId="027F93E8"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M2C1-16quater</w:t>
            </w:r>
          </w:p>
        </w:tc>
        <w:tc>
          <w:tcPr>
            <w:tcW w:w="3449" w:type="dxa"/>
            <w:shd w:val="clear" w:color="auto" w:fill="C6EFCE"/>
            <w:tcMar>
              <w:left w:w="108" w:type="dxa"/>
              <w:right w:w="108" w:type="dxa"/>
            </w:tcMar>
            <w:vAlign w:val="center"/>
          </w:tcPr>
          <w:p w14:paraId="7359ED5D"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1.1 – Implementation of new waste management plants and modernization of existing plants and circular economy “flagship” projects</w:t>
            </w:r>
          </w:p>
        </w:tc>
        <w:tc>
          <w:tcPr>
            <w:tcW w:w="1134" w:type="dxa"/>
            <w:shd w:val="clear" w:color="auto" w:fill="C6EFCE"/>
            <w:tcMar>
              <w:left w:w="108" w:type="dxa"/>
              <w:right w:w="108" w:type="dxa"/>
            </w:tcMar>
            <w:vAlign w:val="center"/>
          </w:tcPr>
          <w:p w14:paraId="5BF410EE" w14:textId="77777777" w:rsidR="0039681A" w:rsidRPr="00D1196E"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D1196E">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3D3A6CE0" w14:textId="75388A84" w:rsidR="0039681A" w:rsidRPr="00D1196E" w:rsidRDefault="0039681A" w:rsidP="00351087">
            <w:pPr>
              <w:spacing w:after="0" w:line="240" w:lineRule="auto"/>
              <w:rPr>
                <w:rFonts w:ascii="Times New Roman" w:eastAsia="Times New Roman" w:hAnsi="Times New Roman" w:cs="Times New Roman"/>
                <w:noProof/>
                <w:color w:val="006100"/>
                <w:sz w:val="20"/>
                <w:szCs w:val="20"/>
                <w:lang w:eastAsia="en-GB"/>
              </w:rPr>
            </w:pPr>
            <w:r w:rsidRPr="00D1196E">
              <w:rPr>
                <w:rFonts w:ascii="Times New Roman" w:eastAsia="Times New Roman" w:hAnsi="Times New Roman" w:cs="Times New Roman"/>
                <w:noProof/>
                <w:color w:val="006100"/>
                <w:sz w:val="20"/>
                <w:szCs w:val="20"/>
                <w:lang w:eastAsia="en-GB"/>
              </w:rPr>
              <w:t>Projec</w:t>
            </w:r>
            <w:r>
              <w:rPr>
                <w:rFonts w:ascii="Times New Roman" w:eastAsia="Times New Roman" w:hAnsi="Times New Roman" w:cs="Times New Roman"/>
                <w:noProof/>
                <w:color w:val="006100"/>
                <w:sz w:val="20"/>
                <w:szCs w:val="20"/>
                <w:lang w:eastAsia="en-GB"/>
              </w:rPr>
              <w:t>t carried out</w:t>
            </w:r>
            <w:r w:rsidR="00381DB1">
              <w:rPr>
                <w:rFonts w:ascii="Times New Roman" w:eastAsia="Times New Roman" w:hAnsi="Times New Roman" w:cs="Times New Roman"/>
                <w:noProof/>
                <w:color w:val="006100"/>
                <w:sz w:val="20"/>
                <w:szCs w:val="20"/>
                <w:lang w:eastAsia="en-GB"/>
              </w:rPr>
              <w:t xml:space="preserve"> </w:t>
            </w:r>
          </w:p>
        </w:tc>
      </w:tr>
      <w:tr w:rsidR="0039681A" w:rsidRPr="0070054C" w14:paraId="659DE65F"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884278"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M2C2-45</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B6ACB9C"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1.1: Development of agri-voltaic systems</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B120D97"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EA045AC"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Implementing agreement, legal agreements signed with final beneficiaries and investment completion</w:t>
            </w:r>
          </w:p>
        </w:tc>
      </w:tr>
      <w:tr w:rsidR="0039681A" w:rsidRPr="0070054C" w14:paraId="75FDA79F"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9BB355"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M4C1-18</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3BC880"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1.1: Plan for nurseries and preschools and early childhood education and care services</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D87C3D3"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7029B9" w14:textId="5792AB44"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P</w:t>
            </w:r>
            <w:r w:rsidRPr="00A36E36">
              <w:rPr>
                <w:rFonts w:ascii="Times New Roman" w:eastAsia="Times New Roman" w:hAnsi="Times New Roman" w:cs="Times New Roman"/>
                <w:noProof/>
                <w:color w:val="006100"/>
                <w:sz w:val="20"/>
                <w:szCs w:val="20"/>
                <w:lang w:val="en-IE" w:eastAsia="en-GB"/>
              </w:rPr>
              <w:t>laces for early childhood</w:t>
            </w:r>
            <w:r>
              <w:rPr>
                <w:rFonts w:ascii="Times New Roman" w:eastAsia="Times New Roman" w:hAnsi="Times New Roman" w:cs="Times New Roman"/>
                <w:noProof/>
                <w:color w:val="006100"/>
                <w:sz w:val="20"/>
                <w:szCs w:val="20"/>
                <w:lang w:val="en-IE" w:eastAsia="en-GB"/>
              </w:rPr>
              <w:t xml:space="preserve"> education and</w:t>
            </w:r>
            <w:r w:rsidRPr="00A36E36">
              <w:rPr>
                <w:rFonts w:ascii="Times New Roman" w:eastAsia="Times New Roman" w:hAnsi="Times New Roman" w:cs="Times New Roman"/>
                <w:noProof/>
                <w:color w:val="006100"/>
                <w:sz w:val="20"/>
                <w:szCs w:val="20"/>
                <w:lang w:val="en-IE" w:eastAsia="en-GB"/>
              </w:rPr>
              <w:t xml:space="preserve"> care </w:t>
            </w:r>
            <w:r>
              <w:rPr>
                <w:rFonts w:ascii="Times New Roman" w:eastAsia="Times New Roman" w:hAnsi="Times New Roman" w:cs="Times New Roman"/>
                <w:noProof/>
                <w:color w:val="006100"/>
                <w:sz w:val="20"/>
                <w:szCs w:val="20"/>
                <w:lang w:val="en-IE" w:eastAsia="en-GB"/>
              </w:rPr>
              <w:t>for children aged 0-6.</w:t>
            </w:r>
          </w:p>
        </w:tc>
      </w:tr>
      <w:tr w:rsidR="0039681A" w:rsidRPr="0070054C" w14:paraId="07909C64"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F148410"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M4C1-21</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11B12AE"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1.2: Plan for the extension of full-time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6A8983E"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E56640" w14:textId="30C133A9"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Construction and/or renovation of canteen in schools</w:t>
            </w:r>
          </w:p>
        </w:tc>
      </w:tr>
      <w:tr w:rsidR="0039681A" w:rsidRPr="0070054C" w14:paraId="558A6074"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1CC549C"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M4C1-26</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6D6CBED"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3.3: School building security and structural rehabilitation plan</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95A021D"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D0FE329" w14:textId="7EE799B5"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Interventions enhancing the safety and/or energy efficiency</w:t>
            </w:r>
          </w:p>
        </w:tc>
      </w:tr>
      <w:tr w:rsidR="0039681A" w:rsidRPr="0070054C" w14:paraId="2D56CAA0"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A323B3"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M4C1-32</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59D5088" w14:textId="77777777" w:rsidR="0039681A" w:rsidRPr="00647572" w:rsidRDefault="0039681A" w:rsidP="00351087">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5: Student housing fund</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F276EAF" w14:textId="090598CB" w:rsidR="0039681A" w:rsidRPr="00647572" w:rsidRDefault="00493768" w:rsidP="00351087">
            <w:pPr>
              <w:spacing w:after="0" w:line="240" w:lineRule="auto"/>
              <w:jc w:val="center"/>
              <w:rPr>
                <w:rFonts w:ascii="Times New Roman" w:eastAsia="Times New Roman" w:hAnsi="Times New Roman" w:cs="Times New Roman"/>
                <w:noProof/>
                <w:color w:val="006100"/>
                <w:sz w:val="20"/>
                <w:szCs w:val="20"/>
                <w:lang w:eastAsia="en-GB"/>
              </w:rPr>
            </w:pPr>
            <w:r>
              <w:rPr>
                <w:rFonts w:ascii="Times New Roman" w:eastAsia="Times New Roman" w:hAnsi="Times New Roman" w:cs="Times New Roman"/>
                <w:noProof/>
                <w:color w:val="006100"/>
                <w:sz w:val="20"/>
                <w:szCs w:val="20"/>
                <w:lang w:eastAsia="en-GB"/>
              </w:rPr>
              <w:t>Milestone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06CE2464"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Legal agreements signed with final beneficiaries and investment completion</w:t>
            </w:r>
          </w:p>
        </w:tc>
      </w:tr>
      <w:tr w:rsidR="0039681A" w:rsidRPr="0070054C" w14:paraId="2ED84B34"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5A81BBC"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M5C1-20</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4D3D03AA" w14:textId="1600A141"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5</w:t>
            </w:r>
            <w:r>
              <w:rPr>
                <w:rFonts w:ascii="Times New Roman" w:eastAsia="Times New Roman" w:hAnsi="Times New Roman" w:cs="Times New Roman"/>
                <w:noProof/>
                <w:color w:val="006100"/>
                <w:sz w:val="20"/>
                <w:szCs w:val="20"/>
                <w:lang w:val="en-IE" w:eastAsia="en-GB"/>
              </w:rPr>
              <w:t xml:space="preserve"> -</w:t>
            </w:r>
            <w:r w:rsidRPr="00A36E36">
              <w:rPr>
                <w:rFonts w:ascii="Times New Roman" w:eastAsia="Times New Roman" w:hAnsi="Times New Roman" w:cs="Times New Roman"/>
                <w:noProof/>
                <w:color w:val="006100"/>
                <w:sz w:val="20"/>
                <w:szCs w:val="20"/>
                <w:lang w:val="en-IE" w:eastAsia="en-GB"/>
              </w:rPr>
              <w:t xml:space="preserve"> Creation of women’s enterprises</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C28113"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18DE9A75"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T</w:t>
            </w:r>
            <w:r w:rsidRPr="00A36E36">
              <w:rPr>
                <w:rFonts w:ascii="Times New Roman" w:eastAsia="Times New Roman" w:hAnsi="Times New Roman" w:cs="Times New Roman"/>
                <w:noProof/>
                <w:color w:val="006100"/>
                <w:sz w:val="20"/>
                <w:szCs w:val="20"/>
                <w:lang w:val="en-IE" w:eastAsia="en-GB"/>
              </w:rPr>
              <w:t xml:space="preserve">ransfer to Invitalia </w:t>
            </w:r>
            <w:r>
              <w:rPr>
                <w:rFonts w:ascii="Times New Roman" w:eastAsia="Times New Roman" w:hAnsi="Times New Roman" w:cs="Times New Roman"/>
                <w:noProof/>
                <w:color w:val="006100"/>
                <w:sz w:val="20"/>
                <w:szCs w:val="20"/>
                <w:lang w:val="en-IE" w:eastAsia="en-GB"/>
              </w:rPr>
              <w:t>and l</w:t>
            </w:r>
            <w:r w:rsidRPr="00A36E36">
              <w:rPr>
                <w:rFonts w:ascii="Times New Roman" w:eastAsia="Times New Roman" w:hAnsi="Times New Roman" w:cs="Times New Roman"/>
                <w:noProof/>
                <w:color w:val="006100"/>
                <w:sz w:val="20"/>
                <w:szCs w:val="20"/>
                <w:lang w:val="en-IE" w:eastAsia="en-GB"/>
              </w:rPr>
              <w:t xml:space="preserve">egal agreements signed with final beneficiaries </w:t>
            </w:r>
          </w:p>
        </w:tc>
      </w:tr>
      <w:tr w:rsidR="0039681A" w:rsidRPr="0070054C" w14:paraId="44AC87A1"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C9D56B"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M5C2-6</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6C0D474E"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1 - Supporting vulnerable people and preventing institutionalization</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4756895"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739EFAD"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Actions to support vulnerable people finalised in social districts</w:t>
            </w:r>
          </w:p>
        </w:tc>
      </w:tr>
      <w:tr w:rsidR="0039681A" w:rsidRPr="0070054C" w14:paraId="2F61605D"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29DC05C7"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M5C2-8</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8D67869"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2 - Autonomy patterns for people with disabilities</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6D63B2B"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3A8D788" w14:textId="236FB8FF"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Beneficiaries have </w:t>
            </w:r>
            <w:r w:rsidRPr="3FD80386">
              <w:rPr>
                <w:rFonts w:ascii="Times New Roman" w:eastAsia="Times New Roman" w:hAnsi="Times New Roman" w:cs="Times New Roman"/>
                <w:noProof/>
                <w:color w:val="006100"/>
                <w:sz w:val="20"/>
                <w:szCs w:val="20"/>
                <w:lang w:val="en-IE" w:eastAsia="en-GB"/>
              </w:rPr>
              <w:t xml:space="preserve">been </w:t>
            </w:r>
            <w:r w:rsidRPr="65A1CD76">
              <w:rPr>
                <w:rFonts w:ascii="Times New Roman" w:eastAsia="Times New Roman" w:hAnsi="Times New Roman" w:cs="Times New Roman"/>
                <w:noProof/>
                <w:color w:val="006100"/>
                <w:sz w:val="20"/>
                <w:szCs w:val="20"/>
                <w:lang w:val="en-IE" w:eastAsia="en-GB"/>
              </w:rPr>
              <w:t>provided access to housing</w:t>
            </w:r>
            <w:r w:rsidRPr="00A36E36">
              <w:rPr>
                <w:rFonts w:ascii="Times New Roman" w:eastAsia="Times New Roman" w:hAnsi="Times New Roman" w:cs="Times New Roman"/>
                <w:noProof/>
                <w:color w:val="006100"/>
                <w:sz w:val="20"/>
                <w:szCs w:val="20"/>
                <w:lang w:val="en-IE" w:eastAsia="en-GB"/>
              </w:rPr>
              <w:t xml:space="preserve"> and/or ICT devices accompanied by training on digital skills</w:t>
            </w:r>
          </w:p>
        </w:tc>
      </w:tr>
      <w:tr w:rsidR="0039681A" w:rsidRPr="0070054C" w14:paraId="0ED00871" w14:textId="77777777">
        <w:trPr>
          <w:trHeight w:val="300"/>
        </w:trPr>
        <w:tc>
          <w:tcPr>
            <w:tcW w:w="1246" w:type="dxa"/>
            <w:shd w:val="clear" w:color="auto" w:fill="C6EFCE"/>
            <w:tcMar>
              <w:left w:w="108" w:type="dxa"/>
              <w:right w:w="108" w:type="dxa"/>
            </w:tcMar>
            <w:vAlign w:val="center"/>
          </w:tcPr>
          <w:p w14:paraId="45BA8F40"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M5C2-10</w:t>
            </w:r>
          </w:p>
        </w:tc>
        <w:tc>
          <w:tcPr>
            <w:tcW w:w="3449" w:type="dxa"/>
            <w:shd w:val="clear" w:color="auto" w:fill="C6EFCE"/>
            <w:tcMar>
              <w:left w:w="108" w:type="dxa"/>
              <w:right w:w="108" w:type="dxa"/>
            </w:tcMar>
            <w:vAlign w:val="center"/>
          </w:tcPr>
          <w:p w14:paraId="21165E52"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3 - Housing First and Post Stations</w:t>
            </w:r>
          </w:p>
        </w:tc>
        <w:tc>
          <w:tcPr>
            <w:tcW w:w="1134" w:type="dxa"/>
            <w:shd w:val="clear" w:color="auto" w:fill="C6EFCE"/>
            <w:tcMar>
              <w:left w:w="108" w:type="dxa"/>
              <w:right w:w="108" w:type="dxa"/>
            </w:tcMar>
            <w:vAlign w:val="center"/>
          </w:tcPr>
          <w:p w14:paraId="722D41FC"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D49445A"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People living in severely material deprivation taken in charge by projects on Housing First for at least six months and Post stations</w:t>
            </w:r>
          </w:p>
        </w:tc>
      </w:tr>
      <w:tr w:rsidR="0039681A" w:rsidRPr="0070054C" w14:paraId="62A10074" w14:textId="77777777">
        <w:trPr>
          <w:trHeight w:val="300"/>
        </w:trPr>
        <w:tc>
          <w:tcPr>
            <w:tcW w:w="1246" w:type="dxa"/>
            <w:shd w:val="clear" w:color="auto" w:fill="C6EFCE"/>
            <w:tcMar>
              <w:left w:w="108" w:type="dxa"/>
              <w:right w:w="108" w:type="dxa"/>
            </w:tcMar>
            <w:vAlign w:val="center"/>
          </w:tcPr>
          <w:p w14:paraId="5DE07F10"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M1C2-31</w:t>
            </w:r>
          </w:p>
        </w:tc>
        <w:tc>
          <w:tcPr>
            <w:tcW w:w="3449" w:type="dxa"/>
            <w:shd w:val="clear" w:color="auto" w:fill="C6EFCE"/>
            <w:tcMar>
              <w:left w:w="108" w:type="dxa"/>
              <w:right w:w="108" w:type="dxa"/>
            </w:tcMar>
            <w:vAlign w:val="center"/>
          </w:tcPr>
          <w:p w14:paraId="08776281" w14:textId="77777777" w:rsidR="0039681A" w:rsidRPr="00647572" w:rsidRDefault="0039681A" w:rsidP="00351087">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7 – National Connectivity Fund</w:t>
            </w:r>
          </w:p>
        </w:tc>
        <w:tc>
          <w:tcPr>
            <w:tcW w:w="1134" w:type="dxa"/>
            <w:shd w:val="clear" w:color="auto" w:fill="C6EFCE"/>
            <w:tcMar>
              <w:left w:w="108" w:type="dxa"/>
              <w:right w:w="108" w:type="dxa"/>
            </w:tcMar>
            <w:vAlign w:val="center"/>
          </w:tcPr>
          <w:p w14:paraId="670AB299"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20727937"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Legal agreements signed with final beneficiaries and investment completion</w:t>
            </w:r>
          </w:p>
        </w:tc>
      </w:tr>
      <w:tr w:rsidR="0039681A" w:rsidRPr="0070054C" w14:paraId="50B1EBDB" w14:textId="77777777">
        <w:trPr>
          <w:trHeight w:val="300"/>
        </w:trPr>
        <w:tc>
          <w:tcPr>
            <w:tcW w:w="1246" w:type="dxa"/>
            <w:shd w:val="clear" w:color="auto" w:fill="C6EFCE"/>
            <w:tcMar>
              <w:left w:w="108" w:type="dxa"/>
              <w:right w:w="108" w:type="dxa"/>
            </w:tcMar>
            <w:vAlign w:val="center"/>
          </w:tcPr>
          <w:p w14:paraId="559B5B4C"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M1C2-32</w:t>
            </w:r>
          </w:p>
        </w:tc>
        <w:tc>
          <w:tcPr>
            <w:tcW w:w="3449" w:type="dxa"/>
            <w:shd w:val="clear" w:color="auto" w:fill="C6EFCE"/>
            <w:tcMar>
              <w:left w:w="108" w:type="dxa"/>
              <w:right w:w="108" w:type="dxa"/>
            </w:tcMar>
            <w:vAlign w:val="center"/>
          </w:tcPr>
          <w:p w14:paraId="440A67CC"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Investment 8 – InvestEU Member State Compartment </w:t>
            </w:r>
          </w:p>
        </w:tc>
        <w:tc>
          <w:tcPr>
            <w:tcW w:w="1134" w:type="dxa"/>
            <w:shd w:val="clear" w:color="auto" w:fill="C6EFCE"/>
            <w:tcMar>
              <w:left w:w="108" w:type="dxa"/>
              <w:right w:w="108" w:type="dxa"/>
            </w:tcMar>
            <w:vAlign w:val="center"/>
          </w:tcPr>
          <w:p w14:paraId="5E3CDA3E"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5F8D7442"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Signature of the Contribution Agreement between the Government of Italy and the European Commission </w:t>
            </w:r>
          </w:p>
        </w:tc>
      </w:tr>
      <w:tr w:rsidR="0039681A" w:rsidRPr="0070054C" w14:paraId="267484F5" w14:textId="77777777">
        <w:trPr>
          <w:trHeight w:val="300"/>
        </w:trPr>
        <w:tc>
          <w:tcPr>
            <w:tcW w:w="1246" w:type="dxa"/>
            <w:shd w:val="clear" w:color="auto" w:fill="C6EFCE"/>
            <w:tcMar>
              <w:left w:w="108" w:type="dxa"/>
              <w:right w:w="108" w:type="dxa"/>
            </w:tcMar>
            <w:vAlign w:val="center"/>
          </w:tcPr>
          <w:p w14:paraId="54B20F44"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M1C2-33</w:t>
            </w:r>
          </w:p>
        </w:tc>
        <w:tc>
          <w:tcPr>
            <w:tcW w:w="3449" w:type="dxa"/>
            <w:shd w:val="clear" w:color="auto" w:fill="C6EFCE"/>
            <w:tcMar>
              <w:left w:w="108" w:type="dxa"/>
              <w:right w:w="108" w:type="dxa"/>
            </w:tcMar>
            <w:vAlign w:val="center"/>
          </w:tcPr>
          <w:p w14:paraId="4E009452"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8 – InvestEU Member State Compartment</w:t>
            </w:r>
          </w:p>
        </w:tc>
        <w:tc>
          <w:tcPr>
            <w:tcW w:w="1134" w:type="dxa"/>
            <w:shd w:val="clear" w:color="auto" w:fill="C6EFCE"/>
            <w:tcMar>
              <w:left w:w="108" w:type="dxa"/>
              <w:right w:w="108" w:type="dxa"/>
            </w:tcMar>
            <w:vAlign w:val="center"/>
          </w:tcPr>
          <w:p w14:paraId="0746E7DB"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46397CC6"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Financing or investment operations approved by the InvestEU Investment Committee </w:t>
            </w:r>
          </w:p>
        </w:tc>
      </w:tr>
      <w:tr w:rsidR="0039681A" w:rsidRPr="0070054C" w14:paraId="20E80FA6" w14:textId="77777777">
        <w:trPr>
          <w:trHeight w:val="300"/>
        </w:trPr>
        <w:tc>
          <w:tcPr>
            <w:tcW w:w="1246" w:type="dxa"/>
            <w:shd w:val="clear" w:color="auto" w:fill="C6EFCE"/>
            <w:tcMar>
              <w:left w:w="108" w:type="dxa"/>
              <w:right w:w="108" w:type="dxa"/>
            </w:tcMar>
            <w:vAlign w:val="center"/>
          </w:tcPr>
          <w:p w14:paraId="3D032292"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M3C1-28</w:t>
            </w:r>
          </w:p>
        </w:tc>
        <w:tc>
          <w:tcPr>
            <w:tcW w:w="3449" w:type="dxa"/>
            <w:shd w:val="clear" w:color="auto" w:fill="C6EFCE"/>
            <w:tcMar>
              <w:left w:w="108" w:type="dxa"/>
              <w:right w:w="108" w:type="dxa"/>
            </w:tcMar>
            <w:vAlign w:val="center"/>
          </w:tcPr>
          <w:p w14:paraId="3C52163A"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1.10 - Strengthening metropolitan nodes, interregional and regional railway lines</w:t>
            </w:r>
          </w:p>
        </w:tc>
        <w:tc>
          <w:tcPr>
            <w:tcW w:w="1134" w:type="dxa"/>
            <w:shd w:val="clear" w:color="auto" w:fill="C6EFCE"/>
            <w:tcMar>
              <w:left w:w="108" w:type="dxa"/>
              <w:right w:w="108" w:type="dxa"/>
            </w:tcMar>
            <w:vAlign w:val="center"/>
          </w:tcPr>
          <w:p w14:paraId="342B8B15"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05838092" w14:textId="15FEEDCD"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3</w:t>
            </w:r>
            <w:r w:rsidR="007A506B">
              <w:rPr>
                <w:rFonts w:ascii="Times New Roman" w:eastAsia="Times New Roman" w:hAnsi="Times New Roman" w:cs="Times New Roman"/>
                <w:noProof/>
                <w:color w:val="006100"/>
                <w:sz w:val="20"/>
                <w:szCs w:val="20"/>
                <w:lang w:val="en-IE" w:eastAsia="en-GB"/>
              </w:rPr>
              <w:t> </w:t>
            </w:r>
            <w:r w:rsidRPr="00A36E36">
              <w:rPr>
                <w:rFonts w:ascii="Times New Roman" w:eastAsia="Times New Roman" w:hAnsi="Times New Roman" w:cs="Times New Roman"/>
                <w:noProof/>
                <w:color w:val="006100"/>
                <w:sz w:val="20"/>
                <w:szCs w:val="20"/>
                <w:lang w:val="en-IE" w:eastAsia="en-GB"/>
              </w:rPr>
              <w:t>309 km of upgraded line sections built</w:t>
            </w:r>
          </w:p>
        </w:tc>
      </w:tr>
      <w:tr w:rsidR="0039681A" w:rsidRPr="0070054C" w14:paraId="5A7B5E96" w14:textId="77777777">
        <w:trPr>
          <w:trHeight w:val="300"/>
        </w:trPr>
        <w:tc>
          <w:tcPr>
            <w:tcW w:w="1246" w:type="dxa"/>
            <w:shd w:val="clear" w:color="auto" w:fill="C6EFCE"/>
            <w:tcMar>
              <w:left w:w="108" w:type="dxa"/>
              <w:right w:w="108" w:type="dxa"/>
            </w:tcMar>
            <w:vAlign w:val="center"/>
          </w:tcPr>
          <w:p w14:paraId="01AD0609"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M2C4-40</w:t>
            </w:r>
          </w:p>
        </w:tc>
        <w:tc>
          <w:tcPr>
            <w:tcW w:w="3449" w:type="dxa"/>
            <w:shd w:val="clear" w:color="auto" w:fill="C6EFCE"/>
            <w:tcMar>
              <w:left w:w="108" w:type="dxa"/>
              <w:right w:w="108" w:type="dxa"/>
            </w:tcMar>
            <w:vAlign w:val="center"/>
          </w:tcPr>
          <w:p w14:paraId="65CD399F"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4.5 – Grant scheme for investments on water infrastructures</w:t>
            </w:r>
          </w:p>
        </w:tc>
        <w:tc>
          <w:tcPr>
            <w:tcW w:w="1134" w:type="dxa"/>
            <w:shd w:val="clear" w:color="auto" w:fill="C6EFCE"/>
            <w:tcMar>
              <w:left w:w="108" w:type="dxa"/>
              <w:right w:w="108" w:type="dxa"/>
            </w:tcMar>
            <w:vAlign w:val="center"/>
          </w:tcPr>
          <w:p w14:paraId="0D286501"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61B7927B"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Pr>
                <w:rFonts w:ascii="Times New Roman" w:eastAsia="Times New Roman" w:hAnsi="Times New Roman" w:cs="Times New Roman"/>
                <w:noProof/>
                <w:color w:val="006100"/>
                <w:sz w:val="20"/>
                <w:szCs w:val="20"/>
                <w:lang w:val="en-IE" w:eastAsia="en-GB"/>
              </w:rPr>
              <w:t>Legal agreements signed with final beneficiaries and completion of the investment.</w:t>
            </w:r>
          </w:p>
        </w:tc>
      </w:tr>
      <w:tr w:rsidR="0039681A" w:rsidRPr="0070054C" w14:paraId="5788B6DE" w14:textId="77777777">
        <w:trPr>
          <w:trHeight w:val="300"/>
        </w:trPr>
        <w:tc>
          <w:tcPr>
            <w:tcW w:w="1246" w:type="dxa"/>
            <w:shd w:val="clear" w:color="auto" w:fill="C6EFCE"/>
            <w:tcMar>
              <w:left w:w="108" w:type="dxa"/>
              <w:right w:w="108" w:type="dxa"/>
            </w:tcMar>
            <w:vAlign w:val="center"/>
          </w:tcPr>
          <w:p w14:paraId="49E87B88"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M1C2-34</w:t>
            </w:r>
          </w:p>
        </w:tc>
        <w:tc>
          <w:tcPr>
            <w:tcW w:w="3449" w:type="dxa"/>
            <w:shd w:val="clear" w:color="auto" w:fill="C6EFCE"/>
            <w:tcMar>
              <w:left w:w="108" w:type="dxa"/>
              <w:right w:w="108" w:type="dxa"/>
            </w:tcMar>
            <w:vAlign w:val="center"/>
          </w:tcPr>
          <w:p w14:paraId="76D7DE7A" w14:textId="77777777" w:rsidR="0039681A" w:rsidRPr="00647572" w:rsidRDefault="0039681A" w:rsidP="00351087">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Investment 9 – Transition 4.0 – scale-up</w:t>
            </w:r>
          </w:p>
        </w:tc>
        <w:tc>
          <w:tcPr>
            <w:tcW w:w="1134" w:type="dxa"/>
            <w:shd w:val="clear" w:color="auto" w:fill="C6EFCE"/>
            <w:tcMar>
              <w:left w:w="108" w:type="dxa"/>
              <w:right w:w="108" w:type="dxa"/>
            </w:tcMar>
            <w:vAlign w:val="center"/>
          </w:tcPr>
          <w:p w14:paraId="527EF8DD"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6C1E0A94"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Transition 4.0 tax credits granted to firms based on documents presented in 2021-2026</w:t>
            </w:r>
          </w:p>
        </w:tc>
      </w:tr>
      <w:tr w:rsidR="0039681A" w:rsidRPr="0070054C" w14:paraId="747D0FF0" w14:textId="77777777">
        <w:trPr>
          <w:trHeight w:val="300"/>
        </w:trPr>
        <w:tc>
          <w:tcPr>
            <w:tcW w:w="1246" w:type="dxa"/>
            <w:shd w:val="clear" w:color="auto" w:fill="C6EFCE"/>
            <w:tcMar>
              <w:left w:w="108" w:type="dxa"/>
              <w:right w:w="108" w:type="dxa"/>
            </w:tcMar>
            <w:vAlign w:val="center"/>
          </w:tcPr>
          <w:p w14:paraId="32DC3A17"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M2C1-27</w:t>
            </w:r>
          </w:p>
        </w:tc>
        <w:tc>
          <w:tcPr>
            <w:tcW w:w="3449" w:type="dxa"/>
            <w:shd w:val="clear" w:color="auto" w:fill="C6EFCE"/>
            <w:tcMar>
              <w:left w:w="108" w:type="dxa"/>
              <w:right w:w="108" w:type="dxa"/>
            </w:tcMar>
            <w:vAlign w:val="center"/>
          </w:tcPr>
          <w:p w14:paraId="45AD5D38"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 Agri-Solar Park Facility</w:t>
            </w:r>
          </w:p>
        </w:tc>
        <w:tc>
          <w:tcPr>
            <w:tcW w:w="1134" w:type="dxa"/>
            <w:shd w:val="clear" w:color="auto" w:fill="C6EFCE"/>
            <w:tcMar>
              <w:left w:w="108" w:type="dxa"/>
              <w:right w:w="108" w:type="dxa"/>
            </w:tcMar>
            <w:vAlign w:val="center"/>
          </w:tcPr>
          <w:p w14:paraId="26DE1785"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shd w:val="clear" w:color="auto" w:fill="C6EFCE"/>
            <w:tcMar>
              <w:left w:w="108" w:type="dxa"/>
              <w:right w:w="108" w:type="dxa"/>
            </w:tcMar>
            <w:vAlign w:val="center"/>
          </w:tcPr>
          <w:p w14:paraId="31390B8E"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Legal agreements signed with final beneficiaries and investment completion</w:t>
            </w:r>
          </w:p>
        </w:tc>
      </w:tr>
      <w:tr w:rsidR="0039681A" w:rsidRPr="0070054C" w14:paraId="0D1690CC" w14:textId="77777777">
        <w:trPr>
          <w:trHeight w:val="300"/>
        </w:trPr>
        <w:tc>
          <w:tcPr>
            <w:tcW w:w="1246"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7CD963B8"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M2C4-39</w:t>
            </w:r>
          </w:p>
        </w:tc>
        <w:tc>
          <w:tcPr>
            <w:tcW w:w="3449"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AD37BA9"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Investment 4.5 – Grant scheme for investment on water infrastructure</w:t>
            </w:r>
          </w:p>
        </w:tc>
        <w:tc>
          <w:tcPr>
            <w:tcW w:w="1134"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5E3BD8EF"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Milestone</w:t>
            </w:r>
          </w:p>
        </w:tc>
        <w:tc>
          <w:tcPr>
            <w:tcW w:w="3402" w:type="dxa"/>
            <w:tcBorders>
              <w:top w:val="single" w:sz="4" w:space="0" w:color="auto"/>
              <w:left w:val="single" w:sz="4" w:space="0" w:color="auto"/>
              <w:bottom w:val="single" w:sz="4" w:space="0" w:color="auto"/>
              <w:right w:val="single" w:sz="4" w:space="0" w:color="auto"/>
            </w:tcBorders>
            <w:shd w:val="clear" w:color="auto" w:fill="C6EFCE"/>
            <w:tcMar>
              <w:left w:w="108" w:type="dxa"/>
              <w:right w:w="108" w:type="dxa"/>
            </w:tcMar>
            <w:vAlign w:val="center"/>
          </w:tcPr>
          <w:p w14:paraId="38FE4129"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r w:rsidRPr="00A36E36">
              <w:rPr>
                <w:rFonts w:ascii="Times New Roman" w:eastAsia="Times New Roman" w:hAnsi="Times New Roman" w:cs="Times New Roman"/>
                <w:noProof/>
                <w:color w:val="006100"/>
                <w:sz w:val="20"/>
                <w:szCs w:val="20"/>
                <w:lang w:val="en-IE" w:eastAsia="en-GB"/>
              </w:rPr>
              <w:t xml:space="preserve">Entry into force of the Implementing Agreement </w:t>
            </w:r>
          </w:p>
        </w:tc>
      </w:tr>
      <w:tr w:rsidR="0039681A" w14:paraId="611E09B6" w14:textId="77777777" w:rsidTr="00351087">
        <w:trPr>
          <w:trHeight w:val="300"/>
        </w:trPr>
        <w:tc>
          <w:tcPr>
            <w:tcW w:w="1246" w:type="dxa"/>
            <w:shd w:val="clear" w:color="auto" w:fill="C6EFCE"/>
            <w:tcMar>
              <w:left w:w="108" w:type="dxa"/>
              <w:right w:w="108" w:type="dxa"/>
            </w:tcMar>
            <w:vAlign w:val="center"/>
          </w:tcPr>
          <w:p w14:paraId="35BD9FDA" w14:textId="77777777" w:rsidR="0039681A" w:rsidRDefault="0039681A" w:rsidP="00351087">
            <w:pPr>
              <w:spacing w:line="240" w:lineRule="auto"/>
              <w:jc w:val="center"/>
              <w:rPr>
                <w:noProof/>
              </w:rPr>
            </w:pPr>
            <w:r w:rsidRPr="385AC748">
              <w:rPr>
                <w:rFonts w:ascii="Times New Roman" w:eastAsia="Times New Roman" w:hAnsi="Times New Roman" w:cs="Times New Roman"/>
                <w:noProof/>
                <w:color w:val="006100"/>
                <w:sz w:val="20"/>
                <w:szCs w:val="20"/>
                <w:lang w:val="en-IE" w:eastAsia="en-GB"/>
              </w:rPr>
              <w:t>M2C2</w:t>
            </w:r>
            <w:r w:rsidRPr="12BFC617">
              <w:rPr>
                <w:rFonts w:ascii="Times New Roman" w:eastAsia="Times New Roman" w:hAnsi="Times New Roman" w:cs="Times New Roman"/>
                <w:noProof/>
                <w:color w:val="006100"/>
                <w:sz w:val="20"/>
                <w:szCs w:val="20"/>
                <w:lang w:val="en-IE" w:eastAsia="en-GB"/>
              </w:rPr>
              <w:t>-54</w:t>
            </w:r>
          </w:p>
        </w:tc>
        <w:tc>
          <w:tcPr>
            <w:tcW w:w="3449" w:type="dxa"/>
            <w:shd w:val="clear" w:color="auto" w:fill="C6EFCE"/>
            <w:tcMar>
              <w:left w:w="108" w:type="dxa"/>
              <w:right w:w="108" w:type="dxa"/>
            </w:tcMar>
            <w:vAlign w:val="center"/>
          </w:tcPr>
          <w:p w14:paraId="46AA3B72" w14:textId="77777777" w:rsidR="0039681A" w:rsidRDefault="0039681A" w:rsidP="00351087">
            <w:pPr>
              <w:spacing w:line="240" w:lineRule="auto"/>
              <w:rPr>
                <w:rFonts w:ascii="Times New Roman" w:eastAsia="Times New Roman" w:hAnsi="Times New Roman" w:cs="Times New Roman"/>
                <w:noProof/>
                <w:color w:val="006100"/>
                <w:sz w:val="20"/>
                <w:szCs w:val="20"/>
                <w:lang w:val="en-IE" w:eastAsia="en-GB"/>
              </w:rPr>
            </w:pPr>
            <w:r w:rsidRPr="12BFC617">
              <w:rPr>
                <w:rFonts w:ascii="Times New Roman" w:eastAsia="Times New Roman" w:hAnsi="Times New Roman" w:cs="Times New Roman"/>
                <w:noProof/>
                <w:color w:val="006100"/>
                <w:sz w:val="20"/>
                <w:szCs w:val="20"/>
                <w:lang w:val="en-IE" w:eastAsia="en-GB"/>
              </w:rPr>
              <w:t xml:space="preserve">Investment 4.6 - Diagnostic </w:t>
            </w:r>
            <w:r w:rsidRPr="2E224E8D">
              <w:rPr>
                <w:rFonts w:ascii="Times New Roman" w:eastAsia="Times New Roman" w:hAnsi="Times New Roman" w:cs="Times New Roman"/>
                <w:noProof/>
                <w:color w:val="006100"/>
                <w:sz w:val="20"/>
                <w:szCs w:val="20"/>
                <w:lang w:val="en-IE" w:eastAsia="en-GB"/>
              </w:rPr>
              <w:t>trains</w:t>
            </w:r>
          </w:p>
        </w:tc>
        <w:tc>
          <w:tcPr>
            <w:tcW w:w="1134" w:type="dxa"/>
            <w:shd w:val="clear" w:color="auto" w:fill="C6EFCE"/>
            <w:tcMar>
              <w:left w:w="108" w:type="dxa"/>
              <w:right w:w="108" w:type="dxa"/>
            </w:tcMar>
            <w:vAlign w:val="center"/>
          </w:tcPr>
          <w:p w14:paraId="0BB768AC" w14:textId="77777777" w:rsidR="0039681A" w:rsidRDefault="0039681A" w:rsidP="00351087">
            <w:pPr>
              <w:spacing w:line="240" w:lineRule="auto"/>
              <w:jc w:val="center"/>
              <w:rPr>
                <w:rFonts w:ascii="Times New Roman" w:eastAsia="Times New Roman" w:hAnsi="Times New Roman" w:cs="Times New Roman"/>
                <w:noProof/>
                <w:color w:val="006100"/>
                <w:sz w:val="20"/>
                <w:szCs w:val="20"/>
                <w:lang w:eastAsia="en-GB"/>
              </w:rPr>
            </w:pPr>
            <w:r w:rsidRPr="6D86B83C">
              <w:rPr>
                <w:rFonts w:ascii="Times New Roman" w:eastAsia="Times New Roman" w:hAnsi="Times New Roman" w:cs="Times New Roman"/>
                <w:noProof/>
                <w:color w:val="006100"/>
                <w:sz w:val="20"/>
                <w:szCs w:val="20"/>
                <w:lang w:eastAsia="en-GB"/>
              </w:rPr>
              <w:t>Target</w:t>
            </w:r>
          </w:p>
        </w:tc>
        <w:tc>
          <w:tcPr>
            <w:tcW w:w="3402" w:type="dxa"/>
            <w:shd w:val="clear" w:color="auto" w:fill="C6EFCE"/>
            <w:tcMar>
              <w:left w:w="108" w:type="dxa"/>
              <w:right w:w="108" w:type="dxa"/>
            </w:tcMar>
            <w:vAlign w:val="center"/>
          </w:tcPr>
          <w:p w14:paraId="16374350" w14:textId="77777777" w:rsidR="0039681A" w:rsidRDefault="0039681A" w:rsidP="00351087">
            <w:pPr>
              <w:spacing w:line="240" w:lineRule="auto"/>
              <w:rPr>
                <w:noProof/>
              </w:rPr>
            </w:pPr>
            <w:r w:rsidRPr="6D86B83C">
              <w:rPr>
                <w:rFonts w:ascii="Times New Roman" w:eastAsia="Times New Roman" w:hAnsi="Times New Roman" w:cs="Times New Roman"/>
                <w:noProof/>
                <w:color w:val="006100"/>
                <w:sz w:val="20"/>
                <w:szCs w:val="20"/>
                <w:lang w:eastAsia="en-GB"/>
              </w:rPr>
              <w:t>Diagnostic trains</w:t>
            </w:r>
          </w:p>
        </w:tc>
      </w:tr>
      <w:tr w:rsidR="0039681A" w:rsidRPr="00647572" w14:paraId="3113DC0D" w14:textId="77777777">
        <w:trPr>
          <w:trHeight w:val="300"/>
        </w:trPr>
        <w:tc>
          <w:tcPr>
            <w:tcW w:w="1246" w:type="dxa"/>
            <w:shd w:val="clear" w:color="auto" w:fill="C6EFCE"/>
            <w:tcMar>
              <w:left w:w="108" w:type="dxa"/>
              <w:right w:w="108" w:type="dxa"/>
            </w:tcMar>
            <w:vAlign w:val="center"/>
          </w:tcPr>
          <w:p w14:paraId="5867670E" w14:textId="77777777" w:rsidR="0039681A" w:rsidRPr="00A36E36" w:rsidRDefault="0039681A" w:rsidP="00351087">
            <w:pPr>
              <w:spacing w:after="0" w:line="240" w:lineRule="auto"/>
              <w:jc w:val="center"/>
              <w:rPr>
                <w:rFonts w:ascii="Times New Roman" w:eastAsia="Times New Roman" w:hAnsi="Times New Roman" w:cs="Times New Roman"/>
                <w:noProof/>
                <w:color w:val="006100"/>
                <w:sz w:val="20"/>
                <w:szCs w:val="20"/>
                <w:lang w:val="en-IE" w:eastAsia="en-GB"/>
              </w:rPr>
            </w:pPr>
          </w:p>
        </w:tc>
        <w:tc>
          <w:tcPr>
            <w:tcW w:w="3449" w:type="dxa"/>
            <w:shd w:val="clear" w:color="auto" w:fill="C6EFCE"/>
            <w:tcMar>
              <w:left w:w="108" w:type="dxa"/>
              <w:right w:w="108" w:type="dxa"/>
            </w:tcMar>
            <w:vAlign w:val="center"/>
          </w:tcPr>
          <w:p w14:paraId="11E9590F" w14:textId="77777777" w:rsidR="0039681A" w:rsidRPr="00A36E36" w:rsidRDefault="0039681A" w:rsidP="00351087">
            <w:pPr>
              <w:spacing w:after="0" w:line="240" w:lineRule="auto"/>
              <w:rPr>
                <w:rFonts w:ascii="Times New Roman" w:eastAsia="Times New Roman" w:hAnsi="Times New Roman" w:cs="Times New Roman"/>
                <w:noProof/>
                <w:color w:val="006100"/>
                <w:sz w:val="20"/>
                <w:szCs w:val="20"/>
                <w:lang w:val="en-IE" w:eastAsia="en-GB"/>
              </w:rPr>
            </w:pPr>
          </w:p>
        </w:tc>
        <w:tc>
          <w:tcPr>
            <w:tcW w:w="1134" w:type="dxa"/>
            <w:shd w:val="clear" w:color="auto" w:fill="C6EFCE"/>
            <w:tcMar>
              <w:left w:w="108" w:type="dxa"/>
              <w:right w:w="108" w:type="dxa"/>
            </w:tcMar>
            <w:vAlign w:val="center"/>
          </w:tcPr>
          <w:p w14:paraId="400A472D" w14:textId="77777777" w:rsidR="0039681A" w:rsidRPr="00647572" w:rsidRDefault="0039681A" w:rsidP="00351087">
            <w:pPr>
              <w:spacing w:after="0" w:line="240" w:lineRule="auto"/>
              <w:jc w:val="center"/>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Instalment Amount</w:t>
            </w:r>
          </w:p>
        </w:tc>
        <w:tc>
          <w:tcPr>
            <w:tcW w:w="3402" w:type="dxa"/>
            <w:shd w:val="clear" w:color="auto" w:fill="C6EFCE"/>
            <w:tcMar>
              <w:left w:w="108" w:type="dxa"/>
              <w:right w:w="108" w:type="dxa"/>
            </w:tcMar>
            <w:vAlign w:val="center"/>
          </w:tcPr>
          <w:p w14:paraId="65596210" w14:textId="77777777" w:rsidR="0039681A" w:rsidRPr="00647572" w:rsidRDefault="0039681A" w:rsidP="00351087">
            <w:pPr>
              <w:spacing w:after="0" w:line="240" w:lineRule="auto"/>
              <w:rPr>
                <w:rFonts w:ascii="Times New Roman" w:eastAsia="Times New Roman" w:hAnsi="Times New Roman" w:cs="Times New Roman"/>
                <w:noProof/>
                <w:color w:val="006100"/>
                <w:sz w:val="20"/>
                <w:szCs w:val="20"/>
                <w:lang w:eastAsia="en-GB"/>
              </w:rPr>
            </w:pPr>
            <w:r w:rsidRPr="00647572">
              <w:rPr>
                <w:rFonts w:ascii="Times New Roman" w:eastAsia="Times New Roman" w:hAnsi="Times New Roman" w:cs="Times New Roman"/>
                <w:noProof/>
                <w:color w:val="006100"/>
                <w:sz w:val="20"/>
                <w:szCs w:val="20"/>
                <w:lang w:eastAsia="en-GB"/>
              </w:rPr>
              <w:t>EUR 19</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919</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595</w:t>
            </w:r>
            <w:r w:rsidRPr="00647572">
              <w:rPr>
                <w:rFonts w:ascii="Times New Roman" w:eastAsia="Times New Roman" w:hAnsi="Times New Roman" w:cs="Times New Roman"/>
                <w:noProof/>
                <w:sz w:val="23"/>
                <w:szCs w:val="23"/>
                <w:lang w:eastAsia="en-GB"/>
              </w:rPr>
              <w:t> </w:t>
            </w:r>
            <w:r w:rsidRPr="00647572">
              <w:rPr>
                <w:rFonts w:ascii="Times New Roman" w:eastAsia="Times New Roman" w:hAnsi="Times New Roman" w:cs="Times New Roman"/>
                <w:noProof/>
                <w:color w:val="006100"/>
                <w:sz w:val="20"/>
                <w:szCs w:val="20"/>
                <w:lang w:eastAsia="en-GB"/>
              </w:rPr>
              <w:t>964</w:t>
            </w:r>
          </w:p>
        </w:tc>
      </w:tr>
    </w:tbl>
    <w:p w14:paraId="61EDA933" w14:textId="77777777" w:rsidR="0039681A" w:rsidRPr="00647572" w:rsidRDefault="0039681A" w:rsidP="00351087">
      <w:pPr>
        <w:rPr>
          <w:rFonts w:ascii="Times New Roman" w:eastAsiaTheme="majorEastAsia" w:hAnsi="Times New Roman" w:cs="Times New Roman"/>
          <w:b/>
          <w:bCs/>
          <w:noProof/>
          <w:lang w:eastAsia="en-GB"/>
        </w:rPr>
      </w:pPr>
      <w:r w:rsidRPr="00647572">
        <w:rPr>
          <w:rFonts w:ascii="Times New Roman" w:hAnsi="Times New Roman" w:cs="Times New Roman"/>
          <w:b/>
          <w:bCs/>
          <w:noProof/>
          <w:lang w:eastAsia="en-GB"/>
        </w:rPr>
        <w:br w:type="page"/>
      </w:r>
    </w:p>
    <w:p w14:paraId="7580F87E" w14:textId="77777777" w:rsidR="0039681A" w:rsidRPr="00647572" w:rsidRDefault="0039681A" w:rsidP="00351087">
      <w:pPr>
        <w:pStyle w:val="Heading2"/>
        <w:rPr>
          <w:rFonts w:ascii="Times New Roman" w:hAnsi="Times New Roman" w:cs="Times New Roman"/>
          <w:b/>
          <w:bCs/>
          <w:noProof/>
          <w:color w:val="auto"/>
          <w:sz w:val="24"/>
          <w:szCs w:val="24"/>
          <w:lang w:eastAsia="en-GB"/>
        </w:rPr>
      </w:pPr>
      <w:r w:rsidRPr="00647572">
        <w:rPr>
          <w:rFonts w:ascii="Times New Roman" w:hAnsi="Times New Roman" w:cs="Times New Roman"/>
          <w:b/>
          <w:bCs/>
          <w:noProof/>
          <w:color w:val="auto"/>
          <w:sz w:val="24"/>
          <w:szCs w:val="24"/>
          <w:lang w:eastAsia="en-GB"/>
        </w:rPr>
        <w:t xml:space="preserve">SECTION 3: ADDITIONAL ARRANGEMENTS </w:t>
      </w:r>
    </w:p>
    <w:p w14:paraId="6FC9FA59" w14:textId="77777777" w:rsidR="0039681A" w:rsidRPr="00A36E36" w:rsidRDefault="0039681A" w:rsidP="0039681A">
      <w:pPr>
        <w:numPr>
          <w:ilvl w:val="0"/>
          <w:numId w:val="168"/>
        </w:numPr>
        <w:spacing w:before="120" w:after="120" w:line="240" w:lineRule="auto"/>
        <w:jc w:val="both"/>
        <w:rPr>
          <w:rFonts w:ascii="Times New Roman" w:eastAsia="Calibri" w:hAnsi="Times New Roman" w:cs="Times New Roman"/>
          <w:b/>
          <w:noProof/>
          <w:lang w:val="en-IE" w:eastAsia="en-GB"/>
        </w:rPr>
      </w:pPr>
      <w:r w:rsidRPr="00A36E36">
        <w:rPr>
          <w:rFonts w:ascii="Times New Roman" w:eastAsia="Calibri" w:hAnsi="Times New Roman" w:cs="Times New Roman"/>
          <w:b/>
          <w:noProof/>
          <w:lang w:val="en-IE" w:eastAsia="en-GB"/>
        </w:rPr>
        <w:t>Arrangements for monitoring and implementation of the recovery and resilience plan</w:t>
      </w:r>
    </w:p>
    <w:p w14:paraId="32961CD9" w14:textId="77777777" w:rsidR="0039681A" w:rsidRPr="00A36E36" w:rsidRDefault="0039681A" w:rsidP="00351087">
      <w:pPr>
        <w:spacing w:before="120" w:after="120" w:line="240" w:lineRule="auto"/>
        <w:jc w:val="both"/>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t>The monitoring and implementation of the recovery and resilience plan of Italy shall take place in accordance with the following arrangements.</w:t>
      </w:r>
    </w:p>
    <w:p w14:paraId="43DD75B1" w14:textId="77777777" w:rsidR="0039681A" w:rsidRPr="00A36E36" w:rsidRDefault="0039681A" w:rsidP="00351087">
      <w:pPr>
        <w:spacing w:before="120" w:after="120" w:line="240" w:lineRule="auto"/>
        <w:jc w:val="both"/>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t>As provided under Decree-Law No. 77 of 31 May 2021 as amended by Decree-Law No. 13 of 24 February 2023, a number of coordinating structures are created for the monitoring and implementation of the plan. These include in particular: (i) a high-level steering committee (“cabina di regia”) established at the Presidency of the Council of Ministers, with the main task to steer and coordinate the implementation of the plan; (ii) a mission structure established at the Presidency of the Council of Ministers, at least for the duration of the plan, empowered to act as a central coordination structure for the implementation and monitoring of the plan; (iii) a technical structure at the Ministry of Economy and Finance, performing the operational monitoring of the implementation of plan, the control of the regularity of procedures and expenses and the reporting, and the technical and operational support to the implementation phase. The mission structure at the Presidency of the Council of Ministers acts as a single point of contact at national level for the European Commission. The Ministry of Economy and Finance ensures the evaluation of the results of the plan. Social partners and other stakeholders participate to dedicated meetings of “cabina di regia” to ensure their involvement in the implementation of the plan. Moreover, coordination structures are identified at the level of each central administration responsible for measures included in the plan, tasked with the management, monitoring, reporting and control on the relevant interventions, including in relation to the supervision of implementation and progress towards the achievement of milestones and targets. Finally, enforcement mechanisms in case of implementation issues, including through the activation of substitution powers vis-à-vis the administrations responsible for the measures of the plan, are envisaged with the aim to guarantee a timely and effective delivery of projects and ex-ante mechanisms for the resolution of conflicts are put in place.</w:t>
      </w:r>
    </w:p>
    <w:p w14:paraId="21F8DE5F" w14:textId="77777777" w:rsidR="0039681A" w:rsidRPr="00A36E36" w:rsidRDefault="0039681A" w:rsidP="00351087">
      <w:pPr>
        <w:spacing w:before="120" w:after="120" w:line="240" w:lineRule="auto"/>
        <w:jc w:val="both"/>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t xml:space="preserve">In order to strengthen administrative capacity for the monitoring and implementation, the recruitment of temporary personnel is envisaged, including in relation to central administrations responsible for plan’s interventions and the Ministry of Economy and Finance (including concerning the central coordinating structure and the State Accounting Department), as provided under Decree Law of 9 June 2021, n. 80, as well as in relation to administrations of the South of Italy, which are expected to reinforce human capital involved in the planning and spending of EU funds, as provided in particular under Law n. 178 of 2020. In addition, resources are allocated to the mission structure established at the Presidency of the Council of Ministers to ensure its effective functioning, as provided under Decree-Law No. 13 of 24 February 2023. Finally, technical and operational support to central and local administrations is envisaged in the implementation of projects, including through the use of public capital companies, a pool of experts for technical assistance, and the possibility to resort to external expertise. These actions shall be accompanied by the implementation of measures to cut red tape and simplify administrative procedures, as provided for under Decree Law No. 77 of 31 May 2021 and Decree-Law No. 13 of 24 February 2023. </w:t>
      </w:r>
    </w:p>
    <w:p w14:paraId="63779888" w14:textId="77777777" w:rsidR="0039681A" w:rsidRPr="00A36E36" w:rsidRDefault="0039681A" w:rsidP="00351087">
      <w:pPr>
        <w:spacing w:before="120" w:after="120" w:line="240" w:lineRule="auto"/>
        <w:jc w:val="both"/>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t>The arrangements also provide for the use of an integrated IT system (“ReGiS”). The existing audit service Inspectorate General for Financial Relations with the European Union (IGRUE), within the Ministry of Economy and Finance, is tasked with the coordination of the audit systems and conducting the controls with the support of the State Territorial Accounts Office (RTS). Enhanced arrangements with Guardia di Finanza and relevant independent authorities such as the national anti-corruption agency ANAC shall remain in place, thus reinforcing the role that the Italian legal system already attributes to these authorities in relation to the protection of public finances, including those from the EU.</w:t>
      </w:r>
    </w:p>
    <w:p w14:paraId="7E23982E" w14:textId="77777777" w:rsidR="0039681A" w:rsidRPr="00A36E36" w:rsidRDefault="0039681A" w:rsidP="00351087">
      <w:pPr>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br w:type="page"/>
      </w:r>
    </w:p>
    <w:p w14:paraId="369229CD" w14:textId="77777777" w:rsidR="0039681A" w:rsidRPr="005D46BA" w:rsidRDefault="0039681A" w:rsidP="00351087">
      <w:pPr>
        <w:spacing w:before="120" w:after="120" w:line="240" w:lineRule="auto"/>
        <w:jc w:val="both"/>
        <w:rPr>
          <w:rFonts w:ascii="Times New Roman" w:eastAsia="Calibri" w:hAnsi="Times New Roman" w:cs="Times New Roman"/>
          <w:noProof/>
          <w:sz w:val="2"/>
          <w:szCs w:val="2"/>
          <w:lang w:val="en-IE" w:eastAsia="en-GB"/>
        </w:rPr>
      </w:pPr>
    </w:p>
    <w:p w14:paraId="205A7883" w14:textId="77777777" w:rsidR="0039681A" w:rsidRPr="00A36E36" w:rsidRDefault="0039681A" w:rsidP="0039681A">
      <w:pPr>
        <w:numPr>
          <w:ilvl w:val="0"/>
          <w:numId w:val="168"/>
        </w:numPr>
        <w:spacing w:before="120" w:after="120" w:line="240" w:lineRule="auto"/>
        <w:jc w:val="both"/>
        <w:rPr>
          <w:rFonts w:ascii="Times New Roman" w:eastAsia="Times New Roman" w:hAnsi="Times New Roman" w:cs="Times New Roman"/>
          <w:b/>
          <w:noProof/>
          <w:lang w:val="en-IE" w:eastAsia="en-GB"/>
        </w:rPr>
      </w:pPr>
      <w:r w:rsidRPr="00A36E36">
        <w:rPr>
          <w:rFonts w:ascii="Times New Roman" w:eastAsia="Times New Roman" w:hAnsi="Times New Roman" w:cs="Times New Roman"/>
          <w:b/>
          <w:noProof/>
          <w:lang w:val="en-IE" w:eastAsia="en-GB"/>
        </w:rPr>
        <w:t>Arrangements for providing full access by the Commission to the underlying data</w:t>
      </w:r>
    </w:p>
    <w:p w14:paraId="49CE07AA" w14:textId="77777777" w:rsidR="0039681A" w:rsidRPr="00A36E36" w:rsidRDefault="0039681A" w:rsidP="00351087">
      <w:pPr>
        <w:spacing w:before="120" w:after="120" w:line="240" w:lineRule="auto"/>
        <w:jc w:val="both"/>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t>In order to provide full access to the Commission to the underlying relevant data, Italy shall have in place the following arrangements.</w:t>
      </w:r>
    </w:p>
    <w:p w14:paraId="0008E8F1" w14:textId="77777777" w:rsidR="0039681A" w:rsidRPr="00A36E36" w:rsidRDefault="0039681A" w:rsidP="00351087">
      <w:pPr>
        <w:spacing w:before="120" w:after="120" w:line="240" w:lineRule="auto"/>
        <w:jc w:val="both"/>
        <w:rPr>
          <w:rFonts w:ascii="Times New Roman" w:eastAsia="Calibri" w:hAnsi="Times New Roman" w:cs="Times New Roman"/>
          <w:noProof/>
          <w:lang w:val="en-IE" w:eastAsia="en-GB"/>
        </w:rPr>
      </w:pPr>
      <w:r w:rsidRPr="00A36E36">
        <w:rPr>
          <w:rFonts w:ascii="Times New Roman" w:eastAsia="Calibri" w:hAnsi="Times New Roman" w:cs="Times New Roman"/>
          <w:noProof/>
          <w:lang w:val="en-IE" w:eastAsia="en-GB"/>
        </w:rPr>
        <w:t>The Ministry of Economy and Finance acts as a technical structure for monitoring, including on progress on milestones and targets, and, where appropriate, implementing control and audit activities, and for providing reporting and requests for payments. It coordinates the reporting of milestones and targets, relevant indicators, but also qualitative financial information and other data, such as on final recipients. The data encoding is taking place at the level of the central administrations responsible for the plan’s measures, which shall report the required data to the Ministry of Economy and Finance. In accordance with Article 24(2) of Regulation (EU) 2021/241, upon completion of the relevant agreed milestones and targets in Section 2.1 of this Annex, Italy shall submit to the Commission a duly justified request for payment of the financial contribution and, where relevant, of the loan. Italy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70DD1367" w14:textId="77777777" w:rsidR="0039681A" w:rsidRPr="005361CE" w:rsidRDefault="0039681A">
      <w:pPr>
        <w:rPr>
          <w:noProof/>
          <w:lang w:val="en-IE"/>
        </w:rPr>
      </w:pPr>
    </w:p>
    <w:p w14:paraId="06C5F4A4" w14:textId="77777777" w:rsidR="0039681A" w:rsidRPr="0039681A" w:rsidRDefault="0039681A">
      <w:pPr>
        <w:rPr>
          <w:noProof/>
          <w:lang w:val="en-IE"/>
        </w:rPr>
      </w:pPr>
    </w:p>
    <w:sectPr w:rsidR="0039681A" w:rsidRPr="0039681A" w:rsidSect="007A506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41BD60" w14:textId="77777777" w:rsidR="0000353F" w:rsidRDefault="0000353F" w:rsidP="0039681A">
      <w:pPr>
        <w:spacing w:after="0" w:line="240" w:lineRule="auto"/>
      </w:pPr>
      <w:r>
        <w:separator/>
      </w:r>
    </w:p>
  </w:endnote>
  <w:endnote w:type="continuationSeparator" w:id="0">
    <w:p w14:paraId="34CCF918" w14:textId="77777777" w:rsidR="0000353F" w:rsidRDefault="0000353F" w:rsidP="00396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Arial"/>
    <w:panose1 w:val="020B0606020202030204"/>
    <w:charset w:val="00"/>
    <w:family w:val="swiss"/>
    <w:pitch w:val="variable"/>
    <w:sig w:usb0="00000287" w:usb1="00000800" w:usb2="00000000" w:usb3="00000000" w:csb0="0000009F" w:csb1="00000000"/>
  </w:font>
  <w:font w:name="Noto Sans Symbols">
    <w:altName w:val="Calibri"/>
    <w:charset w:val="00"/>
    <w:family w:val="swiss"/>
    <w:pitch w:val="variable"/>
    <w:sig w:usb0="00000003" w:usb1="0200E0A0" w:usb2="00000000" w:usb3="00000000" w:csb0="00000001" w:csb1="00000000"/>
  </w:font>
  <w:font w:name="&quot;Times New Roman&quot;,seri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EC Square Sans Pro">
    <w:charset w:val="00"/>
    <w:family w:val="swiss"/>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3BCD5" w14:textId="58E1A3F7" w:rsidR="00844659" w:rsidRPr="00844659" w:rsidRDefault="00844659" w:rsidP="00844659">
    <w:pPr>
      <w:pStyle w:val="FooterCoverPage"/>
      <w:rPr>
        <w:rFonts w:ascii="Arial" w:hAnsi="Arial" w:cs="Arial"/>
        <w:b/>
        <w:sz w:val="48"/>
      </w:rPr>
    </w:pPr>
    <w:r w:rsidRPr="00844659">
      <w:rPr>
        <w:rFonts w:ascii="Arial" w:hAnsi="Arial" w:cs="Arial"/>
        <w:b/>
        <w:sz w:val="48"/>
      </w:rPr>
      <w:t>EN</w:t>
    </w:r>
    <w:r w:rsidRPr="00844659">
      <w:rPr>
        <w:rFonts w:ascii="Arial" w:hAnsi="Arial" w:cs="Arial"/>
        <w:b/>
        <w:sz w:val="48"/>
      </w:rPr>
      <w:tab/>
    </w:r>
    <w:r w:rsidRPr="00844659">
      <w:rPr>
        <w:rFonts w:ascii="Arial" w:hAnsi="Arial" w:cs="Arial"/>
        <w:b/>
        <w:sz w:val="48"/>
      </w:rPr>
      <w:tab/>
    </w:r>
    <w:r w:rsidRPr="00844659">
      <w:tab/>
    </w:r>
    <w:r w:rsidRPr="0084465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4E4C7" w14:textId="25AED35C" w:rsidR="00844659" w:rsidRPr="00844659" w:rsidRDefault="00844659" w:rsidP="00844659">
    <w:pPr>
      <w:pStyle w:val="FooterCoverPage"/>
      <w:rPr>
        <w:rFonts w:ascii="Arial" w:hAnsi="Arial" w:cs="Arial"/>
        <w:b/>
        <w:sz w:val="48"/>
      </w:rPr>
    </w:pPr>
    <w:r w:rsidRPr="00844659">
      <w:rPr>
        <w:rFonts w:ascii="Arial" w:hAnsi="Arial" w:cs="Arial"/>
        <w:b/>
        <w:sz w:val="48"/>
      </w:rPr>
      <w:t>EN</w:t>
    </w:r>
    <w:r w:rsidRPr="00844659">
      <w:rPr>
        <w:rFonts w:ascii="Arial" w:hAnsi="Arial" w:cs="Arial"/>
        <w:b/>
        <w:sz w:val="48"/>
      </w:rPr>
      <w:tab/>
    </w:r>
    <w:r w:rsidRPr="00844659">
      <w:rPr>
        <w:rFonts w:ascii="Arial" w:hAnsi="Arial" w:cs="Arial"/>
        <w:b/>
        <w:sz w:val="48"/>
      </w:rPr>
      <w:tab/>
    </w:r>
    <w:r w:rsidRPr="00844659">
      <w:tab/>
    </w:r>
    <w:r w:rsidRPr="0084465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9EBCF" w14:textId="77777777" w:rsidR="00844659" w:rsidRPr="00844659" w:rsidRDefault="00844659" w:rsidP="0084465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1676F" w14:textId="77777777" w:rsidR="00AF5341" w:rsidRDefault="00AF53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347330"/>
      <w:docPartObj>
        <w:docPartGallery w:val="Page Numbers (Bottom of Page)"/>
        <w:docPartUnique/>
      </w:docPartObj>
    </w:sdtPr>
    <w:sdtEndPr>
      <w:rPr>
        <w:noProof/>
      </w:rPr>
    </w:sdtEndPr>
    <w:sdtContent>
      <w:p w14:paraId="62C165F2" w14:textId="7C99AC17" w:rsidR="00AF5341" w:rsidRDefault="00AF5341">
        <w:pPr>
          <w:pStyle w:val="Footer"/>
          <w:jc w:val="center"/>
        </w:pPr>
        <w:r>
          <w:fldChar w:fldCharType="begin"/>
        </w:r>
        <w:r>
          <w:instrText xml:space="preserve"> PAGE   \* MERGEFORMAT </w:instrText>
        </w:r>
        <w:r>
          <w:fldChar w:fldCharType="separate"/>
        </w:r>
        <w:r w:rsidR="00844659">
          <w:rPr>
            <w:noProof/>
          </w:rPr>
          <w:t>7</w:t>
        </w:r>
        <w:r>
          <w:rPr>
            <w:noProof/>
          </w:rPr>
          <w:fldChar w:fldCharType="end"/>
        </w:r>
      </w:p>
    </w:sdtContent>
  </w:sdt>
  <w:p w14:paraId="60BD8C73" w14:textId="77777777" w:rsidR="00AF5341" w:rsidRDefault="00AF53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F2E22" w14:textId="77777777" w:rsidR="00AF5341" w:rsidRDefault="00AF534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930462"/>
      <w:docPartObj>
        <w:docPartGallery w:val="Page Numbers (Bottom of Page)"/>
        <w:docPartUnique/>
      </w:docPartObj>
    </w:sdtPr>
    <w:sdtEndPr>
      <w:rPr>
        <w:noProof/>
      </w:rPr>
    </w:sdtEndPr>
    <w:sdtContent>
      <w:p w14:paraId="704BCAE7" w14:textId="6360E4F7" w:rsidR="00AF5341" w:rsidRDefault="00AF5341">
        <w:pPr>
          <w:pStyle w:val="Footer"/>
          <w:jc w:val="center"/>
        </w:pPr>
        <w:r>
          <w:fldChar w:fldCharType="begin"/>
        </w:r>
        <w:r>
          <w:instrText xml:space="preserve"> PAGE   \* MERGEFORMAT </w:instrText>
        </w:r>
        <w:r>
          <w:fldChar w:fldCharType="separate"/>
        </w:r>
        <w:r w:rsidR="00844659">
          <w:rPr>
            <w:noProof/>
          </w:rPr>
          <w:t>8</w:t>
        </w:r>
        <w:r>
          <w:rPr>
            <w:noProof/>
          </w:rPr>
          <w:fldChar w:fldCharType="end"/>
        </w:r>
      </w:p>
    </w:sdtContent>
  </w:sdt>
  <w:p w14:paraId="6981D3D6" w14:textId="77777777" w:rsidR="00AF5341" w:rsidRDefault="00AF534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5289007"/>
      <w:docPartObj>
        <w:docPartGallery w:val="Page Numbers (Bottom of Page)"/>
        <w:docPartUnique/>
      </w:docPartObj>
    </w:sdtPr>
    <w:sdtEndPr>
      <w:rPr>
        <w:noProof/>
      </w:rPr>
    </w:sdtEndPr>
    <w:sdtContent>
      <w:p w14:paraId="7034180F" w14:textId="74FEEE43" w:rsidR="00E668BD" w:rsidRDefault="00E668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39AA8E" w14:textId="77777777" w:rsidR="00AF5341" w:rsidRDefault="00AF534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261868"/>
      <w:docPartObj>
        <w:docPartGallery w:val="Page Numbers (Bottom of Page)"/>
        <w:docPartUnique/>
      </w:docPartObj>
    </w:sdtPr>
    <w:sdtEndPr>
      <w:rPr>
        <w:noProof/>
      </w:rPr>
    </w:sdtEndPr>
    <w:sdtContent>
      <w:p w14:paraId="10ECA796" w14:textId="1598D77E" w:rsidR="00E668BD" w:rsidRDefault="00E668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0FADEB" w14:textId="77777777" w:rsidR="00AF5341" w:rsidRDefault="00AF534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752350"/>
      <w:docPartObj>
        <w:docPartGallery w:val="Page Numbers (Bottom of Page)"/>
        <w:docPartUnique/>
      </w:docPartObj>
    </w:sdtPr>
    <w:sdtEndPr>
      <w:rPr>
        <w:noProof/>
      </w:rPr>
    </w:sdtEndPr>
    <w:sdtContent>
      <w:p w14:paraId="7E5C3E2E" w14:textId="3376AA44" w:rsidR="00E668BD" w:rsidRDefault="00E668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04966B" w14:textId="77777777" w:rsidR="00AF5341" w:rsidRDefault="00AF534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923669"/>
      <w:docPartObj>
        <w:docPartGallery w:val="Page Numbers (Bottom of Page)"/>
        <w:docPartUnique/>
      </w:docPartObj>
    </w:sdtPr>
    <w:sdtEndPr>
      <w:rPr>
        <w:noProof/>
      </w:rPr>
    </w:sdtEndPr>
    <w:sdtContent>
      <w:p w14:paraId="763E09B0" w14:textId="0A38AF4C"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0E9897" w14:textId="77777777" w:rsidR="00AF5341" w:rsidRDefault="00AF534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6401837"/>
      <w:docPartObj>
        <w:docPartGallery w:val="Page Numbers (Bottom of Page)"/>
        <w:docPartUnique/>
      </w:docPartObj>
    </w:sdtPr>
    <w:sdtEndPr>
      <w:rPr>
        <w:noProof/>
      </w:rPr>
    </w:sdtEndPr>
    <w:sdtContent>
      <w:p w14:paraId="50CE05DA" w14:textId="2B6CE66A"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728387" w14:textId="77777777" w:rsidR="00AF5341" w:rsidRDefault="00AF534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042737"/>
      <w:docPartObj>
        <w:docPartGallery w:val="Page Numbers (Bottom of Page)"/>
        <w:docPartUnique/>
      </w:docPartObj>
    </w:sdtPr>
    <w:sdtEndPr>
      <w:rPr>
        <w:noProof/>
      </w:rPr>
    </w:sdtEndPr>
    <w:sdtContent>
      <w:p w14:paraId="7B86B342" w14:textId="099FD1E6"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3D0CF" w14:textId="77777777" w:rsidR="00AF5341" w:rsidRDefault="00AF534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3331436"/>
      <w:docPartObj>
        <w:docPartGallery w:val="Page Numbers (Bottom of Page)"/>
        <w:docPartUnique/>
      </w:docPartObj>
    </w:sdtPr>
    <w:sdtEndPr>
      <w:rPr>
        <w:noProof/>
      </w:rPr>
    </w:sdtEndPr>
    <w:sdtContent>
      <w:p w14:paraId="2A0B26FE" w14:textId="57BA6304"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DE841A" w14:textId="77777777" w:rsidR="00AF5341" w:rsidRDefault="00AF534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5317973"/>
      <w:docPartObj>
        <w:docPartGallery w:val="Page Numbers (Bottom of Page)"/>
        <w:docPartUnique/>
      </w:docPartObj>
    </w:sdtPr>
    <w:sdtEndPr>
      <w:rPr>
        <w:noProof/>
      </w:rPr>
    </w:sdtEndPr>
    <w:sdtContent>
      <w:p w14:paraId="13D97363" w14:textId="79C6410C"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D062CA" w14:textId="77777777" w:rsidR="00AF5341" w:rsidRDefault="00AF534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9180308"/>
      <w:docPartObj>
        <w:docPartGallery w:val="Page Numbers (Bottom of Page)"/>
        <w:docPartUnique/>
      </w:docPartObj>
    </w:sdtPr>
    <w:sdtEndPr>
      <w:rPr>
        <w:noProof/>
      </w:rPr>
    </w:sdtEndPr>
    <w:sdtContent>
      <w:p w14:paraId="61241F83" w14:textId="6BE567A6"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D20212" w14:textId="77777777" w:rsidR="00AF5341" w:rsidRDefault="00AF534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4729869"/>
      <w:docPartObj>
        <w:docPartGallery w:val="Page Numbers (Bottom of Page)"/>
        <w:docPartUnique/>
      </w:docPartObj>
    </w:sdtPr>
    <w:sdtEndPr>
      <w:rPr>
        <w:noProof/>
      </w:rPr>
    </w:sdtEndPr>
    <w:sdtContent>
      <w:p w14:paraId="26A26488" w14:textId="46EC37F5"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D95BCF" w14:textId="77777777" w:rsidR="00AF5341" w:rsidRDefault="00AF534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521933"/>
      <w:docPartObj>
        <w:docPartGallery w:val="Page Numbers (Bottom of Page)"/>
        <w:docPartUnique/>
      </w:docPartObj>
    </w:sdtPr>
    <w:sdtEndPr>
      <w:rPr>
        <w:noProof/>
      </w:rPr>
    </w:sdtEndPr>
    <w:sdtContent>
      <w:p w14:paraId="5777D3CF" w14:textId="12174B6C"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B86076" w14:textId="77777777" w:rsidR="00AF5341" w:rsidRDefault="00AF534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103775"/>
      <w:docPartObj>
        <w:docPartGallery w:val="Page Numbers (Bottom of Page)"/>
        <w:docPartUnique/>
      </w:docPartObj>
    </w:sdtPr>
    <w:sdtEndPr>
      <w:rPr>
        <w:noProof/>
      </w:rPr>
    </w:sdtEndPr>
    <w:sdtContent>
      <w:p w14:paraId="67583A10" w14:textId="0E62B6EE"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F221B0" w14:textId="77777777" w:rsidR="00AF5341" w:rsidRDefault="00AF534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9843438"/>
      <w:docPartObj>
        <w:docPartGallery w:val="Page Numbers (Bottom of Page)"/>
        <w:docPartUnique/>
      </w:docPartObj>
    </w:sdtPr>
    <w:sdtEndPr>
      <w:rPr>
        <w:noProof/>
      </w:rPr>
    </w:sdtEndPr>
    <w:sdtContent>
      <w:p w14:paraId="0E2AECF1" w14:textId="7B210B01"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4ED995" w14:textId="77777777" w:rsidR="00AF5341" w:rsidRDefault="00AF534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063686"/>
      <w:docPartObj>
        <w:docPartGallery w:val="Page Numbers (Bottom of Page)"/>
        <w:docPartUnique/>
      </w:docPartObj>
    </w:sdtPr>
    <w:sdtEndPr>
      <w:rPr>
        <w:noProof/>
      </w:rPr>
    </w:sdtEndPr>
    <w:sdtContent>
      <w:p w14:paraId="04265A66" w14:textId="608D490F"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780AA7" w14:textId="77777777" w:rsidR="00AF5341" w:rsidRDefault="00AF534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011353"/>
      <w:docPartObj>
        <w:docPartGallery w:val="Page Numbers (Bottom of Page)"/>
        <w:docPartUnique/>
      </w:docPartObj>
    </w:sdtPr>
    <w:sdtEndPr>
      <w:rPr>
        <w:noProof/>
      </w:rPr>
    </w:sdtEndPr>
    <w:sdtContent>
      <w:p w14:paraId="5F4BA1F8" w14:textId="463E71E9"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E2FB7D" w14:textId="77777777" w:rsidR="00AF5341" w:rsidRDefault="00AF534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8877122"/>
      <w:docPartObj>
        <w:docPartGallery w:val="Page Numbers (Bottom of Page)"/>
        <w:docPartUnique/>
      </w:docPartObj>
    </w:sdtPr>
    <w:sdtEndPr>
      <w:rPr>
        <w:noProof/>
      </w:rPr>
    </w:sdtEndPr>
    <w:sdtContent>
      <w:p w14:paraId="124ED46C" w14:textId="7B92E8BD"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607CCD" w14:textId="77777777" w:rsidR="00AF5341" w:rsidRDefault="00AF534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824519"/>
      <w:docPartObj>
        <w:docPartGallery w:val="Page Numbers (Bottom of Page)"/>
        <w:docPartUnique/>
      </w:docPartObj>
    </w:sdtPr>
    <w:sdtEndPr>
      <w:rPr>
        <w:noProof/>
      </w:rPr>
    </w:sdtEndPr>
    <w:sdtContent>
      <w:p w14:paraId="61C523F3" w14:textId="2A0754EF"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C62513" w14:textId="77777777" w:rsidR="00AF5341" w:rsidRDefault="00AF534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3833177"/>
      <w:docPartObj>
        <w:docPartGallery w:val="Page Numbers (Bottom of Page)"/>
        <w:docPartUnique/>
      </w:docPartObj>
    </w:sdtPr>
    <w:sdtEndPr>
      <w:rPr>
        <w:noProof/>
      </w:rPr>
    </w:sdtEndPr>
    <w:sdtContent>
      <w:p w14:paraId="7A0A397F" w14:textId="3CD4509B"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2DB6F2" w14:textId="77777777" w:rsidR="00AF5341" w:rsidRDefault="00AF534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408734"/>
      <w:docPartObj>
        <w:docPartGallery w:val="Page Numbers (Bottom of Page)"/>
        <w:docPartUnique/>
      </w:docPartObj>
    </w:sdtPr>
    <w:sdtEndPr>
      <w:rPr>
        <w:noProof/>
      </w:rPr>
    </w:sdtEndPr>
    <w:sdtContent>
      <w:p w14:paraId="544BAC78" w14:textId="48000980"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31932E" w14:textId="77777777" w:rsidR="00AF5341" w:rsidRDefault="00AF534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443697"/>
      <w:docPartObj>
        <w:docPartGallery w:val="Page Numbers (Bottom of Page)"/>
        <w:docPartUnique/>
      </w:docPartObj>
    </w:sdtPr>
    <w:sdtEndPr>
      <w:rPr>
        <w:noProof/>
      </w:rPr>
    </w:sdtEndPr>
    <w:sdtContent>
      <w:p w14:paraId="78AC400D" w14:textId="746171F2"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BB813A3" w14:textId="77777777" w:rsidR="00AF5341" w:rsidRDefault="00AF534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6158115"/>
      <w:docPartObj>
        <w:docPartGallery w:val="Page Numbers (Bottom of Page)"/>
        <w:docPartUnique/>
      </w:docPartObj>
    </w:sdtPr>
    <w:sdtEndPr>
      <w:rPr>
        <w:noProof/>
      </w:rPr>
    </w:sdtEndPr>
    <w:sdtContent>
      <w:p w14:paraId="1A13C0FD" w14:textId="2CFAA33A"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3982E8" w14:textId="77777777" w:rsidR="00AF5341" w:rsidRDefault="00AF534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8589060"/>
      <w:docPartObj>
        <w:docPartGallery w:val="Page Numbers (Bottom of Page)"/>
        <w:docPartUnique/>
      </w:docPartObj>
    </w:sdtPr>
    <w:sdtEndPr>
      <w:rPr>
        <w:noProof/>
      </w:rPr>
    </w:sdtEndPr>
    <w:sdtContent>
      <w:p w14:paraId="3D85F018" w14:textId="0AC7B3BB"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F018A1" w14:textId="77777777" w:rsidR="00AF5341" w:rsidRDefault="00AF534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999403"/>
      <w:docPartObj>
        <w:docPartGallery w:val="Page Numbers (Bottom of Page)"/>
        <w:docPartUnique/>
      </w:docPartObj>
    </w:sdtPr>
    <w:sdtEndPr>
      <w:rPr>
        <w:noProof/>
      </w:rPr>
    </w:sdtEndPr>
    <w:sdtContent>
      <w:p w14:paraId="46BC507B" w14:textId="14326BDA"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D92720" w14:textId="77777777" w:rsidR="00AF5341" w:rsidRDefault="00AF534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872280"/>
      <w:docPartObj>
        <w:docPartGallery w:val="Page Numbers (Bottom of Page)"/>
        <w:docPartUnique/>
      </w:docPartObj>
    </w:sdtPr>
    <w:sdtEndPr>
      <w:rPr>
        <w:noProof/>
      </w:rPr>
    </w:sdtEndPr>
    <w:sdtContent>
      <w:p w14:paraId="133008BD" w14:textId="2585D167"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FD0507" w14:textId="77777777" w:rsidR="00AF5341" w:rsidRDefault="00AF534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DFA9F" w14:textId="77777777" w:rsidR="0039681A" w:rsidRDefault="0039681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2407979"/>
      <w:docPartObj>
        <w:docPartGallery w:val="Page Numbers (Bottom of Page)"/>
        <w:docPartUnique/>
      </w:docPartObj>
    </w:sdtPr>
    <w:sdtEndPr>
      <w:rPr>
        <w:noProof/>
      </w:rPr>
    </w:sdtEndPr>
    <w:sdtContent>
      <w:p w14:paraId="704FFB91" w14:textId="0740944D"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C4025B" w14:textId="77777777" w:rsidR="0039681A" w:rsidRDefault="0039681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92C31" w14:textId="77777777" w:rsidR="0039681A" w:rsidRDefault="0039681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2867619"/>
      <w:docPartObj>
        <w:docPartGallery w:val="Page Numbers (Bottom of Page)"/>
        <w:docPartUnique/>
      </w:docPartObj>
    </w:sdtPr>
    <w:sdtEndPr>
      <w:rPr>
        <w:noProof/>
      </w:rPr>
    </w:sdtEndPr>
    <w:sdtContent>
      <w:p w14:paraId="3B149F5D" w14:textId="3352169D"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67745B" w14:textId="77777777" w:rsidR="00AF5341" w:rsidRDefault="00AF534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502397"/>
      <w:docPartObj>
        <w:docPartGallery w:val="Page Numbers (Bottom of Page)"/>
        <w:docPartUnique/>
      </w:docPartObj>
    </w:sdtPr>
    <w:sdtEndPr>
      <w:rPr>
        <w:noProof/>
      </w:rPr>
    </w:sdtEndPr>
    <w:sdtContent>
      <w:p w14:paraId="0A0F5F35" w14:textId="4237E566"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F8C249" w14:textId="77777777" w:rsidR="00AF5341" w:rsidRDefault="00AF534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4397340"/>
      <w:docPartObj>
        <w:docPartGallery w:val="Page Numbers (Bottom of Page)"/>
        <w:docPartUnique/>
      </w:docPartObj>
    </w:sdtPr>
    <w:sdtEndPr>
      <w:rPr>
        <w:noProof/>
      </w:rPr>
    </w:sdtEndPr>
    <w:sdtContent>
      <w:p w14:paraId="3B8C3829" w14:textId="40348B79" w:rsidR="00ED66B8" w:rsidRDefault="00ED66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6F6CE9" w14:textId="77777777" w:rsidR="00AF5341" w:rsidRDefault="00AF534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4172995"/>
      <w:docPartObj>
        <w:docPartGallery w:val="Page Numbers (Bottom of Page)"/>
        <w:docPartUnique/>
      </w:docPartObj>
    </w:sdtPr>
    <w:sdtEndPr>
      <w:rPr>
        <w:noProof/>
      </w:rPr>
    </w:sdtEndPr>
    <w:sdtContent>
      <w:p w14:paraId="5410DD49" w14:textId="7D0235C7"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4F2D73" w14:textId="77777777" w:rsidR="00AF5341" w:rsidRDefault="00AF534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106490"/>
      <w:docPartObj>
        <w:docPartGallery w:val="Page Numbers (Bottom of Page)"/>
        <w:docPartUnique/>
      </w:docPartObj>
    </w:sdtPr>
    <w:sdtEndPr>
      <w:rPr>
        <w:noProof/>
      </w:rPr>
    </w:sdtEndPr>
    <w:sdtContent>
      <w:p w14:paraId="351A19A6" w14:textId="6748B978"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776070" w14:textId="77777777" w:rsidR="00AF5341" w:rsidRDefault="00AF534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7031594"/>
      <w:docPartObj>
        <w:docPartGallery w:val="Page Numbers (Bottom of Page)"/>
        <w:docPartUnique/>
      </w:docPartObj>
    </w:sdtPr>
    <w:sdtEndPr>
      <w:rPr>
        <w:noProof/>
      </w:rPr>
    </w:sdtEndPr>
    <w:sdtContent>
      <w:p w14:paraId="363A630A" w14:textId="48C1B80C"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EA70C7" w14:textId="77777777" w:rsidR="00AF5341" w:rsidRDefault="00AF534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818362"/>
      <w:docPartObj>
        <w:docPartGallery w:val="Page Numbers (Bottom of Page)"/>
        <w:docPartUnique/>
      </w:docPartObj>
    </w:sdtPr>
    <w:sdtEndPr>
      <w:rPr>
        <w:noProof/>
      </w:rPr>
    </w:sdtEndPr>
    <w:sdtContent>
      <w:p w14:paraId="752666C8" w14:textId="700FFCC7" w:rsidR="000647DD" w:rsidRDefault="000647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4CF1CC" w14:textId="77777777" w:rsidR="00AF5341" w:rsidRDefault="00AF534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877823"/>
      <w:docPartObj>
        <w:docPartGallery w:val="Page Numbers (Bottom of Page)"/>
        <w:docPartUnique/>
      </w:docPartObj>
    </w:sdtPr>
    <w:sdtEndPr>
      <w:rPr>
        <w:noProof/>
      </w:rPr>
    </w:sdtEndPr>
    <w:sdtContent>
      <w:p w14:paraId="0043F03A" w14:textId="410C9DE3" w:rsidR="000647DD" w:rsidRDefault="000647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EED37F" w14:textId="77777777" w:rsidR="00AF5341" w:rsidRDefault="00AF534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5594190"/>
      <w:docPartObj>
        <w:docPartGallery w:val="Page Numbers (Bottom of Page)"/>
        <w:docPartUnique/>
      </w:docPartObj>
    </w:sdtPr>
    <w:sdtEndPr>
      <w:rPr>
        <w:noProof/>
      </w:rPr>
    </w:sdtEndPr>
    <w:sdtContent>
      <w:p w14:paraId="637CFE4D" w14:textId="2D8AAEBE"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8BBA55" w14:textId="77777777" w:rsidR="00AF5341" w:rsidRDefault="00AF534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23C04" w14:textId="77777777" w:rsidR="0039681A" w:rsidRPr="004E5E7C" w:rsidRDefault="0039681A" w:rsidP="0035108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7695744"/>
      <w:docPartObj>
        <w:docPartGallery w:val="Page Numbers (Bottom of Page)"/>
        <w:docPartUnique/>
      </w:docPartObj>
    </w:sdtPr>
    <w:sdtEndPr>
      <w:rPr>
        <w:noProof/>
      </w:rPr>
    </w:sdtEndPr>
    <w:sdtContent>
      <w:p w14:paraId="4A2BA922" w14:textId="4C8C93AE"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24AA4E" w14:textId="77777777" w:rsidR="0039681A" w:rsidRPr="00A260C7" w:rsidRDefault="0039681A" w:rsidP="0035108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2AE3B" w14:textId="77777777" w:rsidR="0039681A" w:rsidRPr="004E5E7C" w:rsidRDefault="0039681A" w:rsidP="0035108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55BDD" w14:textId="77777777" w:rsidR="0039681A" w:rsidRPr="004E5E7C" w:rsidRDefault="0039681A" w:rsidP="0035108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274701"/>
      <w:docPartObj>
        <w:docPartGallery w:val="Page Numbers (Bottom of Page)"/>
        <w:docPartUnique/>
      </w:docPartObj>
    </w:sdtPr>
    <w:sdtEndPr>
      <w:rPr>
        <w:noProof/>
      </w:rPr>
    </w:sdtEndPr>
    <w:sdtContent>
      <w:p w14:paraId="47270A6F" w14:textId="6C9ACFA0"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CD464C" w14:textId="77777777" w:rsidR="0039681A" w:rsidRDefault="0039681A">
    <w:pPr>
      <w:pStyle w:val="FooterCouncil"/>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B6B56" w14:textId="77777777" w:rsidR="0039681A" w:rsidRPr="004E5E7C" w:rsidRDefault="0039681A" w:rsidP="0035108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C0F2E" w14:textId="77777777" w:rsidR="0039681A" w:rsidRPr="004E5E7C" w:rsidRDefault="0039681A" w:rsidP="0035108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9920728"/>
      <w:docPartObj>
        <w:docPartGallery w:val="Page Numbers (Bottom of Page)"/>
        <w:docPartUnique/>
      </w:docPartObj>
    </w:sdtPr>
    <w:sdtEndPr>
      <w:rPr>
        <w:noProof/>
      </w:rPr>
    </w:sdtEndPr>
    <w:sdtContent>
      <w:p w14:paraId="3A59E4CB" w14:textId="7C465AA7"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03D3AA" w14:textId="77777777" w:rsidR="0039681A" w:rsidRPr="00A260C7" w:rsidRDefault="0039681A" w:rsidP="0035108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3C28B" w14:textId="77777777" w:rsidR="0039681A" w:rsidRPr="004E5E7C" w:rsidRDefault="0039681A" w:rsidP="0035108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429221"/>
      <w:docPartObj>
        <w:docPartGallery w:val="Page Numbers (Bottom of Page)"/>
        <w:docPartUnique/>
      </w:docPartObj>
    </w:sdtPr>
    <w:sdtEndPr>
      <w:rPr>
        <w:noProof/>
      </w:rPr>
    </w:sdtEndPr>
    <w:sdtContent>
      <w:p w14:paraId="09B08CEF" w14:textId="58B71451"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CB544A" w14:textId="77777777" w:rsidR="00AF5341" w:rsidRPr="00A260C7" w:rsidRDefault="00AF5341" w:rsidP="0035108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7019869"/>
      <w:docPartObj>
        <w:docPartGallery w:val="Page Numbers (Bottom of Page)"/>
        <w:docPartUnique/>
      </w:docPartObj>
    </w:sdtPr>
    <w:sdtEndPr>
      <w:rPr>
        <w:noProof/>
      </w:rPr>
    </w:sdtEndPr>
    <w:sdtContent>
      <w:p w14:paraId="66FF0511" w14:textId="68C9D64F"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318BCD" w14:textId="77777777" w:rsidR="00AF5341" w:rsidRPr="00A260C7" w:rsidRDefault="00AF5341" w:rsidP="0035108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8758277"/>
      <w:docPartObj>
        <w:docPartGallery w:val="Page Numbers (Bottom of Page)"/>
        <w:docPartUnique/>
      </w:docPartObj>
    </w:sdtPr>
    <w:sdtEndPr>
      <w:rPr>
        <w:noProof/>
      </w:rPr>
    </w:sdtEndPr>
    <w:sdtContent>
      <w:p w14:paraId="50BE6C6A" w14:textId="5DDDBD02"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C8EF21" w14:textId="77777777" w:rsidR="00AF5341" w:rsidRPr="00A260C7" w:rsidRDefault="00AF5341" w:rsidP="0035108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0560860"/>
      <w:docPartObj>
        <w:docPartGallery w:val="Page Numbers (Bottom of Page)"/>
        <w:docPartUnique/>
      </w:docPartObj>
    </w:sdtPr>
    <w:sdtEndPr>
      <w:rPr>
        <w:noProof/>
      </w:rPr>
    </w:sdtEndPr>
    <w:sdtContent>
      <w:p w14:paraId="39C6918D" w14:textId="285E122B"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242382" w14:textId="77777777" w:rsidR="00AF5341" w:rsidRPr="00A260C7" w:rsidRDefault="00AF5341" w:rsidP="0035108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478223"/>
      <w:docPartObj>
        <w:docPartGallery w:val="Page Numbers (Bottom of Page)"/>
        <w:docPartUnique/>
      </w:docPartObj>
    </w:sdtPr>
    <w:sdtEndPr>
      <w:rPr>
        <w:noProof/>
      </w:rPr>
    </w:sdtEndPr>
    <w:sdtContent>
      <w:p w14:paraId="35D5208E" w14:textId="41A4F595"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AD9CEB" w14:textId="77777777" w:rsidR="00AF5341" w:rsidRPr="00A260C7" w:rsidRDefault="00AF5341" w:rsidP="0035108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5433227"/>
      <w:docPartObj>
        <w:docPartGallery w:val="Page Numbers (Bottom of Page)"/>
        <w:docPartUnique/>
      </w:docPartObj>
    </w:sdtPr>
    <w:sdtEndPr>
      <w:rPr>
        <w:noProof/>
      </w:rPr>
    </w:sdtEndPr>
    <w:sdtContent>
      <w:p w14:paraId="308D572F" w14:textId="0ADBA224"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B66A12" w14:textId="77777777" w:rsidR="00AF5341" w:rsidRPr="00A260C7" w:rsidRDefault="00AF5341" w:rsidP="0035108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929711"/>
      <w:docPartObj>
        <w:docPartGallery w:val="Page Numbers (Bottom of Page)"/>
        <w:docPartUnique/>
      </w:docPartObj>
    </w:sdtPr>
    <w:sdtEndPr>
      <w:rPr>
        <w:noProof/>
      </w:rPr>
    </w:sdtEndPr>
    <w:sdtContent>
      <w:p w14:paraId="4E625C89" w14:textId="6BABB586"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80A60E" w14:textId="77777777" w:rsidR="00AF5341" w:rsidRPr="00A260C7" w:rsidRDefault="00AF5341" w:rsidP="0035108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0178706"/>
      <w:docPartObj>
        <w:docPartGallery w:val="Page Numbers (Bottom of Page)"/>
        <w:docPartUnique/>
      </w:docPartObj>
    </w:sdtPr>
    <w:sdtEndPr>
      <w:rPr>
        <w:noProof/>
      </w:rPr>
    </w:sdtEndPr>
    <w:sdtContent>
      <w:p w14:paraId="1CA1D079" w14:textId="416AB4C8"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509168" w14:textId="77777777" w:rsidR="00AF5341" w:rsidRPr="00A260C7" w:rsidRDefault="00AF5341" w:rsidP="0035108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47962"/>
      <w:docPartObj>
        <w:docPartGallery w:val="Page Numbers (Bottom of Page)"/>
        <w:docPartUnique/>
      </w:docPartObj>
    </w:sdtPr>
    <w:sdtEndPr>
      <w:rPr>
        <w:noProof/>
      </w:rPr>
    </w:sdtEndPr>
    <w:sdtContent>
      <w:p w14:paraId="7673F0D3" w14:textId="386C010C"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1E6AF2" w14:textId="77777777" w:rsidR="00AF5341" w:rsidRPr="00A260C7" w:rsidRDefault="00AF5341" w:rsidP="0035108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07572"/>
      <w:docPartObj>
        <w:docPartGallery w:val="Page Numbers (Bottom of Page)"/>
        <w:docPartUnique/>
      </w:docPartObj>
    </w:sdtPr>
    <w:sdtEndPr>
      <w:rPr>
        <w:noProof/>
      </w:rPr>
    </w:sdtEndPr>
    <w:sdtContent>
      <w:p w14:paraId="0C808988" w14:textId="7C0228C8"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000E77" w14:textId="77777777" w:rsidR="00AF5341" w:rsidRPr="00A260C7" w:rsidRDefault="00AF5341" w:rsidP="0035108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638073"/>
      <w:docPartObj>
        <w:docPartGallery w:val="Page Numbers (Bottom of Page)"/>
        <w:docPartUnique/>
      </w:docPartObj>
    </w:sdtPr>
    <w:sdtEndPr>
      <w:rPr>
        <w:noProof/>
      </w:rPr>
    </w:sdtEndPr>
    <w:sdtContent>
      <w:p w14:paraId="17220B54" w14:textId="3B4447C9" w:rsidR="000647DD" w:rsidRDefault="000647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6FD331" w14:textId="77777777" w:rsidR="00AF5341" w:rsidRPr="00A260C7" w:rsidRDefault="00AF5341" w:rsidP="0035108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264832"/>
      <w:docPartObj>
        <w:docPartGallery w:val="Page Numbers (Bottom of Page)"/>
        <w:docPartUnique/>
      </w:docPartObj>
    </w:sdtPr>
    <w:sdtEndPr>
      <w:rPr>
        <w:noProof/>
      </w:rPr>
    </w:sdtEndPr>
    <w:sdtContent>
      <w:p w14:paraId="5446A0C8" w14:textId="302655AC"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AB146B" w14:textId="77777777" w:rsidR="00AF5341" w:rsidRPr="00A260C7" w:rsidRDefault="00AF5341" w:rsidP="0035108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745987"/>
      <w:docPartObj>
        <w:docPartGallery w:val="Page Numbers (Bottom of Page)"/>
        <w:docPartUnique/>
      </w:docPartObj>
    </w:sdtPr>
    <w:sdtEndPr>
      <w:rPr>
        <w:noProof/>
      </w:rPr>
    </w:sdtEndPr>
    <w:sdtContent>
      <w:p w14:paraId="5AB97B26" w14:textId="518C223A"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91C0A2" w14:textId="77777777" w:rsidR="00AF5341" w:rsidRPr="00A260C7" w:rsidRDefault="00AF5341" w:rsidP="0035108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5747952"/>
      <w:docPartObj>
        <w:docPartGallery w:val="Page Numbers (Bottom of Page)"/>
        <w:docPartUnique/>
      </w:docPartObj>
    </w:sdtPr>
    <w:sdtEndPr>
      <w:rPr>
        <w:noProof/>
      </w:rPr>
    </w:sdtEndPr>
    <w:sdtContent>
      <w:p w14:paraId="0F3186FA" w14:textId="646286AF"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06BC1A" w14:textId="77777777" w:rsidR="00AF5341" w:rsidRPr="00A260C7" w:rsidRDefault="00AF5341" w:rsidP="0035108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409158"/>
      <w:docPartObj>
        <w:docPartGallery w:val="Page Numbers (Bottom of Page)"/>
        <w:docPartUnique/>
      </w:docPartObj>
    </w:sdtPr>
    <w:sdtEndPr>
      <w:rPr>
        <w:noProof/>
      </w:rPr>
    </w:sdtEndPr>
    <w:sdtContent>
      <w:p w14:paraId="29B16AFB" w14:textId="0AB53A67"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5126A8" w14:textId="77777777" w:rsidR="00AF5341" w:rsidRPr="00A260C7" w:rsidRDefault="00AF5341" w:rsidP="0035108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6456716"/>
      <w:docPartObj>
        <w:docPartGallery w:val="Page Numbers (Bottom of Page)"/>
        <w:docPartUnique/>
      </w:docPartObj>
    </w:sdtPr>
    <w:sdtEndPr>
      <w:rPr>
        <w:noProof/>
      </w:rPr>
    </w:sdtEndPr>
    <w:sdtContent>
      <w:p w14:paraId="40CB9BEA" w14:textId="7EAFD567"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D33855" w14:textId="77777777" w:rsidR="00AF5341" w:rsidRPr="00A260C7" w:rsidRDefault="00AF5341" w:rsidP="0035108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589849"/>
      <w:docPartObj>
        <w:docPartGallery w:val="Page Numbers (Bottom of Page)"/>
        <w:docPartUnique/>
      </w:docPartObj>
    </w:sdtPr>
    <w:sdtEndPr>
      <w:rPr>
        <w:noProof/>
      </w:rPr>
    </w:sdtEndPr>
    <w:sdtContent>
      <w:p w14:paraId="6134F36A" w14:textId="27CE78E7"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77F18E" w14:textId="77777777" w:rsidR="00AF5341" w:rsidRPr="00A260C7" w:rsidRDefault="00AF5341" w:rsidP="0035108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8669325"/>
      <w:docPartObj>
        <w:docPartGallery w:val="Page Numbers (Bottom of Page)"/>
        <w:docPartUnique/>
      </w:docPartObj>
    </w:sdtPr>
    <w:sdtEndPr>
      <w:rPr>
        <w:noProof/>
      </w:rPr>
    </w:sdtEndPr>
    <w:sdtContent>
      <w:p w14:paraId="761FFC5E" w14:textId="446E3D84"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781B3F" w14:textId="77777777" w:rsidR="00AF5341" w:rsidRPr="00A260C7" w:rsidRDefault="00AF5341" w:rsidP="0035108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9968629"/>
      <w:docPartObj>
        <w:docPartGallery w:val="Page Numbers (Bottom of Page)"/>
        <w:docPartUnique/>
      </w:docPartObj>
    </w:sdtPr>
    <w:sdtEndPr>
      <w:rPr>
        <w:noProof/>
      </w:rPr>
    </w:sdtEndPr>
    <w:sdtContent>
      <w:p w14:paraId="62BABECD" w14:textId="7E9DDB3D"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D02DDA" w14:textId="77777777" w:rsidR="00AF5341" w:rsidRPr="00A260C7" w:rsidRDefault="00AF5341" w:rsidP="0035108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3531030"/>
      <w:docPartObj>
        <w:docPartGallery w:val="Page Numbers (Bottom of Page)"/>
        <w:docPartUnique/>
      </w:docPartObj>
    </w:sdtPr>
    <w:sdtEndPr>
      <w:rPr>
        <w:noProof/>
      </w:rPr>
    </w:sdtEndPr>
    <w:sdtContent>
      <w:p w14:paraId="2AE55C88" w14:textId="00E7B2FC"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94F592" w14:textId="77777777" w:rsidR="00AF5341" w:rsidRPr="00A260C7" w:rsidRDefault="00AF5341" w:rsidP="0035108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5554021"/>
      <w:docPartObj>
        <w:docPartGallery w:val="Page Numbers (Bottom of Page)"/>
        <w:docPartUnique/>
      </w:docPartObj>
    </w:sdtPr>
    <w:sdtEndPr>
      <w:rPr>
        <w:noProof/>
      </w:rPr>
    </w:sdtEndPr>
    <w:sdtContent>
      <w:p w14:paraId="4C4679D2" w14:textId="3CDE97C6"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6391AE" w14:textId="77777777" w:rsidR="00AF5341" w:rsidRPr="00A260C7" w:rsidRDefault="00AF5341" w:rsidP="0035108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4291798"/>
      <w:docPartObj>
        <w:docPartGallery w:val="Page Numbers (Bottom of Page)"/>
        <w:docPartUnique/>
      </w:docPartObj>
    </w:sdtPr>
    <w:sdtEndPr>
      <w:rPr>
        <w:noProof/>
      </w:rPr>
    </w:sdtEndPr>
    <w:sdtContent>
      <w:p w14:paraId="02396A96" w14:textId="630EFB3C" w:rsidR="00E13675" w:rsidRDefault="00E1367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04A894" w14:textId="77777777" w:rsidR="00AF5341" w:rsidRPr="00A260C7" w:rsidRDefault="00AF5341" w:rsidP="003510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77E4E7" w14:textId="77777777" w:rsidR="0000353F" w:rsidRDefault="0000353F" w:rsidP="0039681A">
      <w:pPr>
        <w:spacing w:after="0" w:line="240" w:lineRule="auto"/>
      </w:pPr>
      <w:r>
        <w:separator/>
      </w:r>
    </w:p>
  </w:footnote>
  <w:footnote w:type="continuationSeparator" w:id="0">
    <w:p w14:paraId="0C258E26" w14:textId="77777777" w:rsidR="0000353F" w:rsidRDefault="0000353F" w:rsidP="0039681A">
      <w:pPr>
        <w:spacing w:after="0" w:line="240" w:lineRule="auto"/>
      </w:pPr>
      <w:r>
        <w:continuationSeparator/>
      </w:r>
    </w:p>
  </w:footnote>
  <w:footnote w:id="1">
    <w:p w14:paraId="7E8A5557" w14:textId="77777777" w:rsidR="0039681A" w:rsidRPr="00A36E36" w:rsidRDefault="0039681A" w:rsidP="00351087">
      <w:pPr>
        <w:spacing w:after="0" w:line="240" w:lineRule="auto"/>
        <w:jc w:val="both"/>
        <w:rPr>
          <w:rFonts w:ascii="Times New Roman" w:hAnsi="Times New Roman" w:cs="Times New Roman"/>
          <w:sz w:val="20"/>
          <w:szCs w:val="20"/>
          <w:lang w:val="en-IE"/>
        </w:rPr>
      </w:pPr>
      <w:r w:rsidRPr="00647572">
        <w:rPr>
          <w:vertAlign w:val="superscript"/>
        </w:rPr>
        <w:footnoteRef/>
      </w:r>
      <w:r w:rsidRPr="00A36E36">
        <w:rPr>
          <w:vertAlign w:val="superscript"/>
          <w:lang w:val="en-IE"/>
        </w:rPr>
        <w:t xml:space="preserve"> </w:t>
      </w:r>
      <w:r w:rsidRPr="00A36E36">
        <w:rPr>
          <w:rFonts w:ascii="Times New Roman" w:hAnsi="Times New Roman" w:cs="Times New Roman"/>
          <w:sz w:val="20"/>
          <w:szCs w:val="20"/>
          <w:lang w:val="en-IE"/>
        </w:rPr>
        <w:t>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2">
    <w:p w14:paraId="1BF8EB7C" w14:textId="77777777" w:rsidR="0039681A" w:rsidRPr="00A36E36" w:rsidRDefault="0039681A" w:rsidP="00351087">
      <w:pPr>
        <w:spacing w:after="0" w:line="240" w:lineRule="auto"/>
        <w:jc w:val="both"/>
        <w:rPr>
          <w:sz w:val="20"/>
          <w:szCs w:val="20"/>
          <w:lang w:val="en-IE"/>
        </w:rPr>
      </w:pPr>
      <w:r w:rsidRPr="00647572">
        <w:rPr>
          <w:rFonts w:ascii="Times New Roman" w:hAnsi="Times New Roman" w:cs="Times New Roman"/>
          <w:sz w:val="20"/>
          <w:szCs w:val="20"/>
          <w:vertAlign w:val="superscript"/>
        </w:rPr>
        <w:footnoteRef/>
      </w:r>
      <w:r w:rsidRPr="00A36E36">
        <w:rPr>
          <w:rFonts w:ascii="Times New Roman" w:hAnsi="Times New Roman" w:cs="Times New Roman"/>
          <w:sz w:val="20"/>
          <w:szCs w:val="20"/>
          <w:vertAlign w:val="superscript"/>
          <w:lang w:val="en-IE"/>
        </w:rPr>
        <w:t xml:space="preserve"> </w:t>
      </w:r>
      <w:r w:rsidRPr="00A36E36">
        <w:rPr>
          <w:rFonts w:ascii="Times New Roman" w:hAnsi="Times New Roman" w:cs="Times New Roman"/>
          <w:sz w:val="20"/>
          <w:szCs w:val="20"/>
          <w:lang w:val="en-IE"/>
        </w:rPr>
        <w:t>Where the activity supported achieves projected greenhouse gas emissions that are not significantly lower than the relevant benchmarks an explanation of the reasons why this is not possible should be provided. Benchmarks established</w:t>
      </w:r>
      <w:r w:rsidRPr="00A36E36">
        <w:rPr>
          <w:sz w:val="20"/>
          <w:lang w:val="en-IE"/>
        </w:rPr>
        <w:t xml:space="preserve"> </w:t>
      </w:r>
      <w:r w:rsidRPr="00A36E36">
        <w:rPr>
          <w:rFonts w:ascii="Times New Roman" w:hAnsi="Times New Roman" w:cs="Times New Roman"/>
          <w:sz w:val="20"/>
          <w:szCs w:val="20"/>
          <w:lang w:val="en-IE"/>
        </w:rPr>
        <w:t>for free allocation for activities falling within the scope of the Emissions Trading System, as set out in the Commission Implementing Regulation (EU) 2021/447.</w:t>
      </w:r>
    </w:p>
  </w:footnote>
  <w:footnote w:id="3">
    <w:p w14:paraId="376EB7B5" w14:textId="77777777" w:rsidR="0039681A" w:rsidRPr="00A36E36" w:rsidRDefault="0039681A" w:rsidP="00351087">
      <w:pPr>
        <w:spacing w:after="0" w:line="240" w:lineRule="auto"/>
        <w:jc w:val="both"/>
        <w:rPr>
          <w:rFonts w:ascii="Times New Roman" w:hAnsi="Times New Roman" w:cs="Times New Roman"/>
          <w:sz w:val="20"/>
          <w:szCs w:val="20"/>
          <w:lang w:val="en-IE"/>
        </w:rPr>
      </w:pPr>
      <w:r w:rsidRPr="00647572">
        <w:rPr>
          <w:vertAlign w:val="superscript"/>
        </w:rPr>
        <w:footnoteRef/>
      </w:r>
      <w:r w:rsidRPr="00A36E36">
        <w:rPr>
          <w:vertAlign w:val="superscript"/>
          <w:lang w:val="en-IE"/>
        </w:rPr>
        <w:t xml:space="preserve"> </w:t>
      </w:r>
      <w:r w:rsidRPr="00A36E36">
        <w:rPr>
          <w:rFonts w:ascii="Times New Roman" w:hAnsi="Times New Roman" w:cs="Times New Roman"/>
          <w:sz w:val="20"/>
          <w:szCs w:val="20"/>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4">
    <w:p w14:paraId="2D8A756B" w14:textId="77777777" w:rsidR="0039681A" w:rsidRPr="00A36E36" w:rsidRDefault="0039681A" w:rsidP="00351087">
      <w:pPr>
        <w:spacing w:after="0" w:line="240" w:lineRule="auto"/>
        <w:jc w:val="both"/>
        <w:rPr>
          <w:sz w:val="20"/>
          <w:szCs w:val="20"/>
          <w:lang w:val="en-IE"/>
        </w:rPr>
      </w:pPr>
      <w:r w:rsidRPr="00647572">
        <w:rPr>
          <w:rFonts w:ascii="Times New Roman" w:hAnsi="Times New Roman" w:cs="Times New Roman"/>
          <w:sz w:val="20"/>
          <w:szCs w:val="20"/>
          <w:vertAlign w:val="superscript"/>
        </w:rPr>
        <w:footnoteRef/>
      </w:r>
      <w:r w:rsidRPr="00A36E36">
        <w:rPr>
          <w:rFonts w:ascii="Times New Roman" w:hAnsi="Times New Roman" w:cs="Times New Roman"/>
          <w:sz w:val="20"/>
          <w:szCs w:val="20"/>
          <w:vertAlign w:val="superscript"/>
          <w:lang w:val="en-IE"/>
        </w:rPr>
        <w:t xml:space="preserve"> </w:t>
      </w:r>
      <w:r w:rsidRPr="00A36E36">
        <w:rPr>
          <w:rFonts w:ascii="Times New Roman" w:hAnsi="Times New Roman" w:cs="Times New Roman"/>
          <w:sz w:val="20"/>
          <w:szCs w:val="20"/>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5">
    <w:p w14:paraId="33C75B78"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6">
    <w:p w14:paraId="020CDD05" w14:textId="77777777" w:rsidR="0039681A" w:rsidRPr="007473DA" w:rsidRDefault="0039681A" w:rsidP="00351087">
      <w:pPr>
        <w:pStyle w:val="FootnoteText"/>
        <w:ind w:left="0" w:firstLine="0"/>
        <w:rPr>
          <w:rFonts w:eastAsia="EC Square Sans Pro"/>
          <w:lang w:val="en-IE"/>
        </w:rPr>
      </w:pPr>
      <w:r w:rsidRPr="00647572">
        <w:rPr>
          <w:rStyle w:val="FootnoteReference"/>
        </w:rPr>
        <w:footnoteRef/>
      </w:r>
      <w:r w:rsidRPr="007473DA">
        <w:rPr>
          <w:lang w:val="en-IE"/>
        </w:rPr>
        <w:t xml:space="preserve"> </w:t>
      </w:r>
      <w:r w:rsidRPr="007473DA">
        <w:rPr>
          <w:rFonts w:eastAsia="EC Square Sans Pro"/>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7">
    <w:p w14:paraId="4287B4CD"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8">
    <w:p w14:paraId="6B2FE7DA"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9">
    <w:p w14:paraId="27DE7CB3" w14:textId="77777777" w:rsidR="0039681A" w:rsidRPr="00A36E36" w:rsidRDefault="0039681A" w:rsidP="00351087">
      <w:pPr>
        <w:spacing w:after="0"/>
        <w:jc w:val="both"/>
        <w:rPr>
          <w:rFonts w:ascii="Times New Roman" w:hAnsi="Times New Roman" w:cs="Times New Roman"/>
          <w:sz w:val="20"/>
          <w:szCs w:val="20"/>
          <w:lang w:val="en-IE"/>
        </w:rPr>
      </w:pPr>
      <w:r w:rsidRPr="00647572">
        <w:rPr>
          <w:rStyle w:val="FootnoteReference"/>
        </w:rPr>
        <w:footnoteRef/>
      </w:r>
      <w:r w:rsidRPr="00A36E36">
        <w:rPr>
          <w:rFonts w:ascii="Times New Roman" w:hAnsi="Times New Roman" w:cs="Times New Roman"/>
          <w:sz w:val="20"/>
          <w:szCs w:val="20"/>
          <w:lang w:val="en-IE"/>
        </w:rPr>
        <w:t>Except for (a) projects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0">
    <w:p w14:paraId="1D62A516"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1">
    <w:p w14:paraId="6C641076"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in plants exclusively dedicated to treating non-recyclable hazardous waste, and to existing plants, where the actions are for the purpose of increasing energy efficiency, capturing exhaust gases for storage or use or recovering materials from incineration ashes, provided such actions do not result in an increase of the plants’ waste processing capacity or in an extension of the lifetime of the plants; for which evidence is provided at plant level.</w:t>
      </w:r>
    </w:p>
  </w:footnote>
  <w:footnote w:id="12">
    <w:p w14:paraId="55D8660B"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in existing mechanical biological treatment plants, where the actions are for the purpose of increasing energy efficiency or retrofitting to recycling operations of separated waste to compost bio-waste and anaerobic digestion of bio-waste, provided such actions do not result in an increase of the plants’ waste processing capacity or in an extension of the lifetime of the plants; for which evidence is provided at plant level.</w:t>
      </w:r>
    </w:p>
  </w:footnote>
  <w:footnote w:id="13">
    <w:p w14:paraId="43D16D96"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Except for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4">
    <w:p w14:paraId="5465EEE7"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5">
    <w:p w14:paraId="658B04D5"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6">
    <w:p w14:paraId="21455551"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17">
    <w:p w14:paraId="7BE6DA84"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Except for (a) projects under this measure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8">
    <w:p w14:paraId="6259EED7"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19">
    <w:p w14:paraId="2F2C95BC"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20">
    <w:p w14:paraId="5C7908CA"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21">
    <w:p w14:paraId="0634A634"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2">
    <w:p w14:paraId="2CD8BF8E" w14:textId="21917EDD"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r w:rsidR="00E321E3">
        <w:rPr>
          <w:lang w:val="en-IE"/>
        </w:rPr>
        <w:t>.</w:t>
      </w:r>
    </w:p>
  </w:footnote>
  <w:footnote w:id="23">
    <w:p w14:paraId="123979F0"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24">
    <w:p w14:paraId="4207AD60"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25">
    <w:p w14:paraId="3B9316C3"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26">
    <w:p w14:paraId="14DD1D58"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7">
    <w:p w14:paraId="01BB7F08" w14:textId="65BCBB20"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r w:rsidR="00E321E3">
        <w:rPr>
          <w:lang w:val="en-IE"/>
        </w:rPr>
        <w:t>.</w:t>
      </w:r>
    </w:p>
  </w:footnote>
  <w:footnote w:id="28">
    <w:p w14:paraId="11050304"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29">
    <w:p w14:paraId="08517146"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30">
    <w:p w14:paraId="3773331E"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31">
    <w:p w14:paraId="741DF336" w14:textId="77777777" w:rsidR="0039681A" w:rsidRPr="007473DA" w:rsidRDefault="0039681A" w:rsidP="00351087">
      <w:pPr>
        <w:pStyle w:val="FootnoteText"/>
        <w:ind w:left="0" w:firstLine="0"/>
        <w:rPr>
          <w:rStyle w:val="FootnoteReference"/>
          <w:vertAlign w:val="baseline"/>
          <w:lang w:val="en-IE"/>
        </w:rPr>
      </w:pPr>
      <w:r w:rsidRPr="00647572">
        <w:rPr>
          <w:rStyle w:val="FootnoteReference"/>
        </w:rPr>
        <w:footnoteRef/>
      </w:r>
      <w:r w:rsidRPr="007473DA">
        <w:rPr>
          <w:rStyle w:val="FootnoteReference"/>
          <w:lang w:val="en-IE"/>
        </w:rPr>
        <w:t xml:space="preserve"> </w:t>
      </w:r>
      <w:r w:rsidRPr="007473DA">
        <w:rPr>
          <w:lang w:val="en-IE"/>
        </w:rPr>
        <w:t>In particular, the13% maximum cap does not include carried interested, performance fees related to GTF and all costs and management fees related to third party funds.</w:t>
      </w:r>
    </w:p>
  </w:footnote>
  <w:footnote w:id="32">
    <w:p w14:paraId="3C085F6B" w14:textId="77777777" w:rsidR="0039681A" w:rsidRPr="00647572" w:rsidRDefault="0039681A" w:rsidP="00351087">
      <w:pPr>
        <w:pStyle w:val="FootnoteText"/>
        <w:ind w:left="0" w:firstLine="0"/>
        <w:rPr>
          <w:rStyle w:val="FootnoteReference"/>
        </w:rPr>
      </w:pPr>
      <w:r w:rsidRPr="00647572">
        <w:rPr>
          <w:rStyle w:val="FootnoteReference"/>
        </w:rPr>
        <w:footnoteRef/>
      </w:r>
      <w:r w:rsidRPr="00647572">
        <w:rPr>
          <w:rStyle w:val="FootnoteReference"/>
        </w:rPr>
        <w:t xml:space="preserve"> </w:t>
      </w:r>
      <w:r w:rsidRPr="00647572">
        <w:rPr>
          <w:rStyle w:val="FootnoteReference"/>
          <w:vertAlign w:val="baseline"/>
        </w:rPr>
        <w:t>In particular, in case of direct investments, the GTF shall operate by providing equity or quasi equity support; in case of indirect investments, the GTF shall operate by financing third party funds which shall operate by providing at least one of the following: equity, or quasi-equity, or debt, or quasi-debt instruments.</w:t>
      </w:r>
    </w:p>
  </w:footnote>
  <w:footnote w:id="33">
    <w:p w14:paraId="28416F01" w14:textId="77777777" w:rsidR="0039681A" w:rsidRPr="00647572" w:rsidRDefault="0039681A" w:rsidP="00351087">
      <w:pPr>
        <w:pStyle w:val="FootnoteText"/>
        <w:ind w:left="0" w:firstLine="0"/>
        <w:rPr>
          <w:rStyle w:val="FootnoteReference"/>
        </w:rPr>
      </w:pPr>
      <w:r w:rsidRPr="00647572">
        <w:rPr>
          <w:rStyle w:val="FootnoteReference"/>
        </w:rPr>
        <w:footnoteRef/>
      </w:r>
      <w:r w:rsidRPr="00647572">
        <w:rPr>
          <w:rStyle w:val="FootnoteReference"/>
        </w:rPr>
        <w:t xml:space="preserve"> </w:t>
      </w:r>
      <w:r w:rsidRPr="00647572">
        <w:rPr>
          <w:rStyle w:val="FootnoteReference"/>
          <w:vertAlign w:val="baselin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34">
    <w:p w14:paraId="714C38C0" w14:textId="77777777" w:rsidR="0039681A" w:rsidRPr="007473DA" w:rsidRDefault="0039681A" w:rsidP="00351087">
      <w:pPr>
        <w:pStyle w:val="FootnoteText"/>
        <w:ind w:left="0" w:firstLine="0"/>
        <w:rPr>
          <w:rStyle w:val="FootnoteReference"/>
          <w:lang w:val="en-IE"/>
        </w:rPr>
      </w:pPr>
      <w:r w:rsidRPr="00647572">
        <w:rPr>
          <w:rStyle w:val="FootnoteReference"/>
        </w:rPr>
        <w:footnoteRef/>
      </w:r>
      <w:r w:rsidRPr="007473DA">
        <w:rPr>
          <w:rStyle w:val="FootnoteReference"/>
          <w:lang w:val="en-IE"/>
        </w:rPr>
        <w:t xml:space="preserve"> </w:t>
      </w:r>
      <w:r w:rsidRPr="007473DA">
        <w:rPr>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5">
    <w:p w14:paraId="142A1138" w14:textId="77777777" w:rsidR="0039681A" w:rsidRPr="007473DA" w:rsidRDefault="0039681A" w:rsidP="00351087">
      <w:pPr>
        <w:pStyle w:val="FootnoteText"/>
        <w:ind w:left="0" w:firstLine="0"/>
        <w:rPr>
          <w:rStyle w:val="FootnoteReference"/>
          <w:lang w:val="en-IE"/>
        </w:rPr>
      </w:pPr>
      <w:r w:rsidRPr="00647572">
        <w:rPr>
          <w:rStyle w:val="FootnoteReference"/>
        </w:rPr>
        <w:footnoteRef/>
      </w:r>
      <w:r w:rsidRPr="007473DA">
        <w:rPr>
          <w:rStyle w:val="FootnoteReference"/>
          <w:lang w:val="en-IE"/>
        </w:rPr>
        <w:t xml:space="preserve"> </w:t>
      </w:r>
      <w:r w:rsidRPr="007473DA">
        <w:rPr>
          <w:rFonts w:eastAsia="EC Square Sans Pro"/>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36">
    <w:p w14:paraId="2CE34160" w14:textId="77777777" w:rsidR="0039681A" w:rsidRPr="007473DA" w:rsidRDefault="0039681A" w:rsidP="00351087">
      <w:pPr>
        <w:pStyle w:val="FootnoteText"/>
        <w:ind w:left="0" w:firstLine="0"/>
        <w:rPr>
          <w:rStyle w:val="FootnoteReference"/>
          <w:lang w:val="en-IE"/>
        </w:rPr>
      </w:pPr>
      <w:r w:rsidRPr="00647572">
        <w:rPr>
          <w:rStyle w:val="FootnoteReference"/>
        </w:rPr>
        <w:footnoteRef/>
      </w:r>
      <w:r w:rsidRPr="007473DA">
        <w:rPr>
          <w:rStyle w:val="FootnoteReference"/>
          <w:lang w:val="en-IE"/>
        </w:rPr>
        <w:t xml:space="preserve"> </w:t>
      </w:r>
      <w:r w:rsidRPr="007473DA">
        <w:rPr>
          <w:rFonts w:eastAsia="EC Square Sans Pro"/>
          <w:lang w:val="en-IE"/>
        </w:rPr>
        <w:t>Polluting vehicles are defined as non-zero-emission vehicles.</w:t>
      </w:r>
    </w:p>
  </w:footnote>
  <w:footnote w:id="37">
    <w:p w14:paraId="254FC3E9" w14:textId="77777777" w:rsidR="0039681A" w:rsidRPr="007473DA" w:rsidRDefault="0039681A" w:rsidP="00351087">
      <w:pPr>
        <w:pStyle w:val="FootnoteText"/>
        <w:ind w:left="0" w:firstLine="0"/>
        <w:rPr>
          <w:lang w:val="en-IE"/>
        </w:rPr>
      </w:pPr>
      <w:r w:rsidRPr="00647572">
        <w:rPr>
          <w:rStyle w:val="FootnoteReference"/>
        </w:rPr>
        <w:footnoteRef/>
      </w:r>
      <w:r w:rsidRPr="007473DA">
        <w:rPr>
          <w:rStyle w:val="FootnoteReference"/>
          <w:lang w:val="en-IE"/>
        </w:rPr>
        <w:t xml:space="preserve"> </w:t>
      </w:r>
      <w:r w:rsidRPr="007473DA">
        <w:rPr>
          <w:rFonts w:eastAsia="EC Square Sans Pro"/>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38">
    <w:p w14:paraId="673F300A" w14:textId="67F98C0F" w:rsidR="007473DA" w:rsidRPr="00AF5341" w:rsidRDefault="007473DA">
      <w:pPr>
        <w:pStyle w:val="FootnoteText"/>
        <w:rPr>
          <w:lang w:val="en-IE"/>
        </w:rPr>
      </w:pPr>
      <w:r>
        <w:rPr>
          <w:rStyle w:val="FootnoteReference"/>
        </w:rPr>
        <w:footnoteRef/>
      </w:r>
      <w:r w:rsidRPr="00AF5341">
        <w:rPr>
          <w:lang w:val="en-IE"/>
        </w:rPr>
        <w:t xml:space="preserve"> </w:t>
      </w:r>
      <w:r w:rsidRPr="007473DA">
        <w:rPr>
          <w:lang w:val="en-IE"/>
        </w:rPr>
        <w:t>In particular, the scheme refers to annexes A and B of law 11 December 2016, n. 232</w:t>
      </w:r>
      <w:r>
        <w:rPr>
          <w:lang w:val="en-IE"/>
        </w:rPr>
        <w:t>.</w:t>
      </w:r>
    </w:p>
  </w:footnote>
  <w:footnote w:id="39">
    <w:p w14:paraId="001B98CA" w14:textId="77777777" w:rsidR="0039681A" w:rsidRPr="007473DA" w:rsidRDefault="0039681A" w:rsidP="00351087">
      <w:pPr>
        <w:pStyle w:val="FootnoteText"/>
        <w:rPr>
          <w:lang w:val="en-IE"/>
        </w:rPr>
      </w:pPr>
      <w:r w:rsidRPr="00647572">
        <w:rPr>
          <w:rStyle w:val="FootnoteReference"/>
        </w:rPr>
        <w:footnoteRef/>
      </w:r>
      <w:r w:rsidRPr="007473DA">
        <w:rPr>
          <w:lang w:val="en-IE"/>
        </w:rPr>
        <w:t xml:space="preserve"> In line with intervention field 72 bis of Annex VI to the Regulation (EU) 2021/241, it also applies to bi-mode trains.</w:t>
      </w:r>
    </w:p>
  </w:footnote>
  <w:footnote w:id="40">
    <w:p w14:paraId="3DC13A60"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purposeof the computation of the climate contribution, final beneficiaries from equity, quasi-equity, corporate bonds orequivalent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41">
    <w:p w14:paraId="38E9492C" w14:textId="77777777" w:rsidR="0039681A" w:rsidRPr="007473DA" w:rsidRDefault="0039681A" w:rsidP="00351087">
      <w:pPr>
        <w:pStyle w:val="FootnoteText"/>
        <w:ind w:left="0" w:firstLine="0"/>
        <w:rPr>
          <w:lang w:val="en-IE"/>
        </w:rPr>
      </w:pPr>
      <w:r w:rsidRPr="00647572">
        <w:rPr>
          <w:rStyle w:val="FootnoteReference"/>
          <w:rFonts w:eastAsia="Yu Gothic Light"/>
        </w:rPr>
        <w:footnoteRef/>
      </w:r>
      <w:r w:rsidRPr="007473DA">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42">
    <w:p w14:paraId="68A8EC1B" w14:textId="77777777" w:rsidR="0039681A" w:rsidRPr="007473DA" w:rsidRDefault="0039681A" w:rsidP="00351087">
      <w:pPr>
        <w:pStyle w:val="FootnoteText"/>
        <w:ind w:left="0" w:firstLine="0"/>
        <w:rPr>
          <w:rFonts w:eastAsia="EC Square Sans Pro"/>
          <w:lang w:val="en-IE"/>
        </w:rPr>
      </w:pPr>
      <w:r w:rsidRPr="00647572">
        <w:rPr>
          <w:rStyle w:val="FootnoteReference"/>
          <w:rFonts w:eastAsia="Yu Gothic Light"/>
        </w:rPr>
        <w:footnoteRef/>
      </w:r>
      <w:r w:rsidRPr="007473DA">
        <w:rPr>
          <w:lang w:val="en-IE"/>
        </w:rPr>
        <w:t xml:space="preserve"> </w:t>
      </w:r>
      <w:r w:rsidRPr="007473DA">
        <w:rPr>
          <w:rFonts w:eastAsia="EC Square Sans Pro"/>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43">
    <w:p w14:paraId="3376C0D2" w14:textId="77777777" w:rsidR="0039681A" w:rsidRPr="007473DA" w:rsidRDefault="0039681A" w:rsidP="00351087">
      <w:pPr>
        <w:pStyle w:val="FootnoteText"/>
        <w:ind w:left="0" w:firstLine="0"/>
        <w:rPr>
          <w:lang w:val="en-IE"/>
        </w:rPr>
      </w:pPr>
      <w:r w:rsidRPr="00647572">
        <w:rPr>
          <w:rStyle w:val="FootnoteReference"/>
          <w:rFonts w:eastAsia="Yu Gothic Light"/>
        </w:rPr>
        <w:footnoteRef/>
      </w:r>
      <w:r w:rsidRPr="007473DA">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44">
    <w:p w14:paraId="6DCFF92D" w14:textId="77777777" w:rsidR="0039681A" w:rsidRPr="007473DA" w:rsidRDefault="0039681A" w:rsidP="00351087">
      <w:pPr>
        <w:pStyle w:val="FootnoteText"/>
        <w:ind w:left="0" w:firstLine="0"/>
        <w:rPr>
          <w:lang w:val="en-IE"/>
        </w:rPr>
      </w:pPr>
      <w:r w:rsidRPr="00647572">
        <w:rPr>
          <w:rStyle w:val="FootnoteReference"/>
          <w:rFonts w:eastAsia="Yu Gothic Light"/>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45">
    <w:p w14:paraId="5E9718B9"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final beneficiaries from equity,quasi-equity,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46">
    <w:p w14:paraId="659C6844" w14:textId="77D96A1D" w:rsidR="0039681A" w:rsidRPr="00A36E36" w:rsidRDefault="0039681A" w:rsidP="00351087">
      <w:pPr>
        <w:spacing w:after="0"/>
        <w:jc w:val="both"/>
        <w:rPr>
          <w:rFonts w:ascii="Times New Roman" w:hAnsi="Times New Roman" w:cs="Times New Roman"/>
          <w:sz w:val="20"/>
          <w:szCs w:val="20"/>
          <w:lang w:val="en-IE"/>
        </w:rPr>
      </w:pPr>
      <w:r w:rsidRPr="00647572">
        <w:rPr>
          <w:rStyle w:val="FootnoteReference"/>
          <w:rFonts w:ascii="Times New Roman" w:eastAsia="Times New Roman" w:hAnsi="Times New Roman" w:cs="Times New Roman"/>
          <w:sz w:val="20"/>
          <w:szCs w:val="20"/>
          <w:lang w:eastAsia="en-GB"/>
        </w:rPr>
        <w:footnoteRef/>
      </w:r>
      <w:r w:rsidRPr="00A36E36">
        <w:rPr>
          <w:rFonts w:ascii="Times New Roman" w:hAnsi="Times New Roman" w:cs="Times New Roman"/>
          <w:sz w:val="20"/>
          <w:szCs w:val="20"/>
          <w:lang w:val="en-IE"/>
        </w:rPr>
        <w:t xml:space="preserve"> </w:t>
      </w:r>
      <w:r w:rsidRPr="00A36E36">
        <w:rPr>
          <w:rFonts w:ascii="Times New Roman" w:eastAsia="Calibri" w:hAnsi="Times New Roman" w:cs="Times New Roman"/>
          <w:sz w:val="20"/>
          <w:szCs w:val="20"/>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r w:rsidR="00E321E3">
        <w:rPr>
          <w:rFonts w:ascii="Times New Roman" w:eastAsia="Calibri" w:hAnsi="Times New Roman" w:cs="Times New Roman"/>
          <w:sz w:val="20"/>
          <w:szCs w:val="20"/>
          <w:lang w:val="en-IE"/>
        </w:rPr>
        <w:t>.</w:t>
      </w:r>
    </w:p>
  </w:footnote>
  <w:footnote w:id="47">
    <w:p w14:paraId="3C58EA98" w14:textId="4E42E85F" w:rsidR="0039681A" w:rsidRPr="00A36E36" w:rsidRDefault="0039681A" w:rsidP="00351087">
      <w:pPr>
        <w:spacing w:after="0"/>
        <w:jc w:val="both"/>
        <w:rPr>
          <w:rFonts w:ascii="Times New Roman" w:eastAsia="Aptos" w:hAnsi="Times New Roman" w:cs="Times New Roman"/>
          <w:sz w:val="20"/>
          <w:szCs w:val="20"/>
          <w:lang w:val="en-IE"/>
        </w:rPr>
      </w:pPr>
      <w:r w:rsidRPr="00647572">
        <w:rPr>
          <w:rStyle w:val="FootnoteReference"/>
          <w:rFonts w:ascii="Times New Roman" w:eastAsia="Times New Roman" w:hAnsi="Times New Roman" w:cs="Times New Roman"/>
          <w:sz w:val="20"/>
          <w:szCs w:val="20"/>
          <w:lang w:eastAsia="en-GB"/>
        </w:rPr>
        <w:footnoteRef/>
      </w:r>
      <w:r w:rsidRPr="00A36E36">
        <w:rPr>
          <w:rFonts w:ascii="Times New Roman" w:hAnsi="Times New Roman" w:cs="Times New Roman"/>
          <w:sz w:val="20"/>
          <w:szCs w:val="20"/>
          <w:lang w:val="en-IE"/>
        </w:rPr>
        <w:t xml:space="preserve"> </w:t>
      </w:r>
      <w:r w:rsidRPr="00A36E36">
        <w:rPr>
          <w:rFonts w:ascii="Times New Roman" w:eastAsia="Calibri" w:hAnsi="Times New Roman" w:cs="Times New Roman"/>
          <w:sz w:val="20"/>
          <w:szCs w:val="20"/>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r w:rsidR="00E321E3">
        <w:rPr>
          <w:rFonts w:ascii="Times New Roman" w:eastAsia="Calibri" w:hAnsi="Times New Roman" w:cs="Times New Roman"/>
          <w:sz w:val="20"/>
          <w:szCs w:val="20"/>
          <w:lang w:val="en-IE"/>
        </w:rPr>
        <w:t>.</w:t>
      </w:r>
    </w:p>
  </w:footnote>
  <w:footnote w:id="48">
    <w:p w14:paraId="3A2CA6A8" w14:textId="77777777" w:rsidR="0039681A" w:rsidRPr="00A36E36" w:rsidRDefault="0039681A" w:rsidP="00351087">
      <w:pPr>
        <w:spacing w:after="0"/>
        <w:jc w:val="both"/>
        <w:rPr>
          <w:rFonts w:ascii="Times New Roman" w:eastAsia="Aptos" w:hAnsi="Times New Roman" w:cs="Times New Roman"/>
          <w:sz w:val="20"/>
          <w:szCs w:val="20"/>
          <w:lang w:val="en-IE"/>
        </w:rPr>
      </w:pPr>
      <w:r w:rsidRPr="00647572">
        <w:rPr>
          <w:rStyle w:val="FootnoteReference"/>
          <w:rFonts w:ascii="Times New Roman" w:eastAsia="Times New Roman" w:hAnsi="Times New Roman" w:cs="Times New Roman"/>
          <w:sz w:val="20"/>
          <w:szCs w:val="20"/>
          <w:lang w:eastAsia="en-GB"/>
        </w:rPr>
        <w:footnoteRef/>
      </w:r>
      <w:r w:rsidRPr="00A36E36">
        <w:rPr>
          <w:rFonts w:ascii="Times New Roman" w:hAnsi="Times New Roman" w:cs="Times New Roman"/>
          <w:sz w:val="20"/>
          <w:szCs w:val="20"/>
          <w:lang w:val="en-IE"/>
        </w:rPr>
        <w:t xml:space="preserve"> </w:t>
      </w:r>
      <w:r w:rsidRPr="00A36E36">
        <w:rPr>
          <w:rFonts w:ascii="Times New Roman" w:eastAsia="Calibri" w:hAnsi="Times New Roman" w:cs="Times New Roman"/>
          <w:sz w:val="20"/>
          <w:szCs w:val="20"/>
          <w:lang w:val="en-IE"/>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49">
    <w:p w14:paraId="5E0241E9" w14:textId="77777777" w:rsidR="0039681A" w:rsidRPr="00A36E36" w:rsidRDefault="0039681A" w:rsidP="00351087">
      <w:pPr>
        <w:spacing w:after="0"/>
        <w:jc w:val="both"/>
        <w:rPr>
          <w:rFonts w:ascii="Aptos" w:eastAsia="Aptos" w:hAnsi="Aptos" w:cs="Aptos"/>
          <w:lang w:val="en-IE"/>
        </w:rPr>
      </w:pPr>
      <w:r w:rsidRPr="00647572">
        <w:rPr>
          <w:rStyle w:val="FootnoteReference"/>
          <w:rFonts w:ascii="Times New Roman" w:eastAsia="Times New Roman" w:hAnsi="Times New Roman" w:cs="Times New Roman"/>
          <w:sz w:val="20"/>
          <w:szCs w:val="20"/>
          <w:lang w:eastAsia="en-GB"/>
        </w:rPr>
        <w:footnoteRef/>
      </w:r>
      <w:r w:rsidRPr="00A36E36">
        <w:rPr>
          <w:rFonts w:ascii="Times New Roman" w:hAnsi="Times New Roman" w:cs="Times New Roman"/>
          <w:sz w:val="20"/>
          <w:szCs w:val="20"/>
          <w:lang w:val="en-IE"/>
        </w:rPr>
        <w:t xml:space="preserve"> </w:t>
      </w:r>
      <w:r w:rsidRPr="00A36E36">
        <w:rPr>
          <w:rFonts w:ascii="Times New Roman" w:eastAsia="Calibri" w:hAnsi="Times New Roman" w:cs="Times New Roman"/>
          <w:sz w:val="20"/>
          <w:szCs w:val="20"/>
          <w:lang w:val="en-I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r w:rsidRPr="00A36E36">
        <w:rPr>
          <w:rFonts w:ascii="Calibri" w:eastAsia="Calibri" w:hAnsi="Calibri" w:cs="Calibri"/>
          <w:lang w:val="en-IE"/>
        </w:rPr>
        <w:t> </w:t>
      </w:r>
    </w:p>
  </w:footnote>
  <w:footnote w:id="50">
    <w:p w14:paraId="101C2CA1"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computationof the climate contribution,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51">
    <w:p w14:paraId="23E8D8A8"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52">
    <w:p w14:paraId="36CC7967" w14:textId="63DDB9CE"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r w:rsidR="002D3AB2">
        <w:rPr>
          <w:lang w:val="en-IE"/>
        </w:rPr>
        <w:t>.</w:t>
      </w:r>
    </w:p>
  </w:footnote>
  <w:footnote w:id="53">
    <w:p w14:paraId="5D5A2C1F"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54">
    <w:p w14:paraId="675B9AF1"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55">
    <w:p w14:paraId="40540F27"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56">
    <w:p w14:paraId="73D631D1"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57">
    <w:p w14:paraId="7B421948"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58">
    <w:p w14:paraId="31D0D0D3"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59">
    <w:p w14:paraId="32E7F742"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final beneficiaries from equity,quasi-equity,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60">
    <w:p w14:paraId="08057932"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61">
    <w:p w14:paraId="55071AF3"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62">
    <w:p w14:paraId="0CA1C76E"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63">
    <w:p w14:paraId="356C70B2"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64">
    <w:p w14:paraId="1C2C3D2D" w14:textId="77777777" w:rsidR="0039681A" w:rsidRPr="007473DA" w:rsidRDefault="0039681A" w:rsidP="00351087">
      <w:pPr>
        <w:pStyle w:val="FootnoteText"/>
        <w:ind w:left="0" w:firstLine="0"/>
        <w:rPr>
          <w:rStyle w:val="FootnoteReference"/>
          <w:vertAlign w:val="baseline"/>
          <w:lang w:val="en-IE"/>
        </w:rPr>
      </w:pPr>
      <w:r w:rsidRPr="00647572">
        <w:rPr>
          <w:rStyle w:val="FootnoteReference"/>
        </w:rPr>
        <w:footnoteRef/>
      </w:r>
      <w:r w:rsidRPr="007473DA">
        <w:rPr>
          <w:rStyle w:val="FootnoteReference"/>
          <w:lang w:val="en-IE"/>
        </w:rPr>
        <w:t xml:space="preserve"> </w:t>
      </w:r>
      <w:r w:rsidRPr="007473DA">
        <w:rPr>
          <w:lang w:val="en-IE"/>
        </w:rPr>
        <w:t>In particular, the13% maximum cap does not include carried interested, performance fees related to GTF and all costs and management fees related to third party funds.</w:t>
      </w:r>
    </w:p>
  </w:footnote>
  <w:footnote w:id="65">
    <w:p w14:paraId="68339906" w14:textId="77777777" w:rsidR="0039681A" w:rsidRPr="00647572" w:rsidRDefault="0039681A" w:rsidP="00351087">
      <w:pPr>
        <w:pStyle w:val="FootnoteText"/>
        <w:ind w:left="0" w:firstLine="0"/>
        <w:rPr>
          <w:rStyle w:val="FootnoteReference"/>
        </w:rPr>
      </w:pPr>
      <w:r w:rsidRPr="00647572">
        <w:rPr>
          <w:rStyle w:val="FootnoteReference"/>
        </w:rPr>
        <w:footnoteRef/>
      </w:r>
      <w:r w:rsidRPr="00647572">
        <w:rPr>
          <w:rStyle w:val="FootnoteReference"/>
        </w:rPr>
        <w:t xml:space="preserve"> </w:t>
      </w:r>
      <w:r w:rsidRPr="00647572">
        <w:rPr>
          <w:rStyle w:val="FootnoteReference"/>
          <w:vertAlign w:val="baseline"/>
        </w:rPr>
        <w:t>In particular, in case of direct investments, the GTF shall operate by providing equity or quasi equity support; in case of indirect investments, the GTF shall operate by financing third party funds which shall operate by providing at least one of the following: equity, or quasi-equity, or debt, or quasi-debt instruments.</w:t>
      </w:r>
    </w:p>
  </w:footnote>
  <w:footnote w:id="66">
    <w:p w14:paraId="1E82656E" w14:textId="77777777" w:rsidR="0039681A" w:rsidRPr="00647572" w:rsidRDefault="0039681A" w:rsidP="00351087">
      <w:pPr>
        <w:pStyle w:val="FootnoteText"/>
        <w:ind w:left="0" w:firstLine="0"/>
        <w:rPr>
          <w:rStyle w:val="FootnoteReference"/>
        </w:rPr>
      </w:pPr>
      <w:r w:rsidRPr="00647572">
        <w:rPr>
          <w:rStyle w:val="FootnoteReference"/>
        </w:rPr>
        <w:footnoteRef/>
      </w:r>
      <w:r w:rsidRPr="00647572">
        <w:rPr>
          <w:rStyle w:val="FootnoteReference"/>
        </w:rPr>
        <w:t xml:space="preserve"> </w:t>
      </w:r>
      <w:r w:rsidRPr="00647572">
        <w:rPr>
          <w:rStyle w:val="FootnoteReference"/>
          <w:vertAlign w:val="baseline"/>
        </w:rPr>
        <w:t>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67">
    <w:p w14:paraId="0B79F62B" w14:textId="77777777" w:rsidR="0039681A" w:rsidRPr="007473DA" w:rsidRDefault="0039681A" w:rsidP="00351087">
      <w:pPr>
        <w:pStyle w:val="FootnoteText"/>
        <w:ind w:left="0" w:firstLine="0"/>
        <w:rPr>
          <w:rStyle w:val="FootnoteReference"/>
          <w:lang w:val="en-IE"/>
        </w:rPr>
      </w:pPr>
      <w:r w:rsidRPr="00647572">
        <w:rPr>
          <w:rStyle w:val="FootnoteReference"/>
        </w:rPr>
        <w:footnoteRef/>
      </w:r>
      <w:r w:rsidRPr="007473DA">
        <w:rPr>
          <w:rStyle w:val="FootnoteReference"/>
          <w:lang w:val="en-IE"/>
        </w:rPr>
        <w:t xml:space="preserve"> </w:t>
      </w:r>
      <w:r w:rsidRPr="007473DA">
        <w:rPr>
          <w:lang w:val="en-IE"/>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68">
    <w:p w14:paraId="60E594DA" w14:textId="77777777" w:rsidR="0039681A" w:rsidRPr="007473DA" w:rsidRDefault="0039681A" w:rsidP="00351087">
      <w:pPr>
        <w:pStyle w:val="FootnoteText"/>
        <w:ind w:left="0" w:firstLine="0"/>
        <w:rPr>
          <w:rStyle w:val="FootnoteReference"/>
          <w:lang w:val="en-IE"/>
        </w:rPr>
      </w:pPr>
      <w:r w:rsidRPr="00647572">
        <w:rPr>
          <w:rStyle w:val="FootnoteReference"/>
        </w:rPr>
        <w:footnoteRef/>
      </w:r>
      <w:r w:rsidRPr="007473DA">
        <w:rPr>
          <w:rStyle w:val="FootnoteReference"/>
          <w:lang w:val="en-IE"/>
        </w:rPr>
        <w:t xml:space="preserve"> </w:t>
      </w:r>
      <w:r w:rsidRPr="007473DA">
        <w:rPr>
          <w:rFonts w:eastAsia="EC Square Sans Pro"/>
          <w:lang w:val="en-IE"/>
        </w:rPr>
        <w:t>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69">
    <w:p w14:paraId="628C691A" w14:textId="77777777" w:rsidR="0039681A" w:rsidRPr="007473DA" w:rsidRDefault="0039681A" w:rsidP="00351087">
      <w:pPr>
        <w:pStyle w:val="FootnoteText"/>
        <w:ind w:left="0" w:firstLine="0"/>
        <w:rPr>
          <w:rStyle w:val="FootnoteReference"/>
          <w:lang w:val="en-IE"/>
        </w:rPr>
      </w:pPr>
      <w:r w:rsidRPr="00647572">
        <w:rPr>
          <w:rStyle w:val="FootnoteReference"/>
        </w:rPr>
        <w:footnoteRef/>
      </w:r>
      <w:r w:rsidRPr="007473DA">
        <w:rPr>
          <w:rStyle w:val="FootnoteReference"/>
          <w:lang w:val="en-IE"/>
        </w:rPr>
        <w:t xml:space="preserve"> </w:t>
      </w:r>
      <w:r w:rsidRPr="007473DA">
        <w:rPr>
          <w:rFonts w:eastAsia="EC Square Sans Pro"/>
          <w:lang w:val="en-IE"/>
        </w:rPr>
        <w:t>Polluting vehicles are defined as non-zero-emission vehicles.</w:t>
      </w:r>
    </w:p>
  </w:footnote>
  <w:footnote w:id="70">
    <w:p w14:paraId="3FA8F897" w14:textId="77777777" w:rsidR="0039681A" w:rsidRPr="007473DA" w:rsidRDefault="0039681A" w:rsidP="00351087">
      <w:pPr>
        <w:pStyle w:val="FootnoteText"/>
        <w:ind w:left="0" w:firstLine="0"/>
        <w:rPr>
          <w:lang w:val="en-IE"/>
        </w:rPr>
      </w:pPr>
      <w:r w:rsidRPr="00647572">
        <w:rPr>
          <w:rStyle w:val="FootnoteReference"/>
        </w:rPr>
        <w:footnoteRef/>
      </w:r>
      <w:r w:rsidRPr="007473DA">
        <w:rPr>
          <w:rStyle w:val="FootnoteReference"/>
          <w:lang w:val="en-IE"/>
        </w:rPr>
        <w:t xml:space="preserve"> </w:t>
      </w:r>
      <w:r w:rsidRPr="007473DA">
        <w:rPr>
          <w:rFonts w:eastAsia="EC Square Sans Pro"/>
          <w:lang w:val="en-IE"/>
        </w:rPr>
        <w:t>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71">
    <w:p w14:paraId="204E602C" w14:textId="77777777" w:rsidR="0039681A" w:rsidRPr="007473DA" w:rsidRDefault="0039681A" w:rsidP="00351087">
      <w:pPr>
        <w:pStyle w:val="FootnoteText"/>
        <w:ind w:left="0" w:firstLine="0"/>
        <w:rPr>
          <w:lang w:val="en-IE"/>
        </w:rPr>
      </w:pPr>
      <w:r w:rsidRPr="00647572">
        <w:rPr>
          <w:rStyle w:val="FootnoteReference"/>
          <w:rFonts w:eastAsiaTheme="majorEastAsia"/>
        </w:rPr>
        <w:footnoteRef/>
      </w:r>
      <w:r w:rsidRPr="007473DA">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w:t>
      </w:r>
    </w:p>
  </w:footnote>
  <w:footnote w:id="72">
    <w:p w14:paraId="79CC2C82" w14:textId="5A8EAC4F"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w:t>
      </w:r>
      <w:r w:rsidR="007473DA">
        <w:rPr>
          <w:lang w:val="en-IE"/>
        </w:rPr>
        <w:t xml:space="preserve"> </w:t>
      </w:r>
      <w:r w:rsidRPr="007473DA">
        <w:rPr>
          <w:lang w:val="en-IE"/>
        </w:rPr>
        <w:t>of the computation of the climate contribution, final beneficiaries from equity, quasi-equity, corporate bonds or</w:t>
      </w:r>
      <w:r w:rsidR="007473DA">
        <w:rPr>
          <w:lang w:val="en-IE"/>
        </w:rPr>
        <w:t xml:space="preserve"> </w:t>
      </w:r>
      <w:r w:rsidRPr="007473DA">
        <w:rPr>
          <w:lang w:val="en-IE"/>
        </w:rPr>
        <w:t xml:space="preserve">equivalent instruments not targeted to specific projects shall </w:t>
      </w:r>
      <w:r w:rsidR="00CE7E7F">
        <w:rPr>
          <w:lang w:val="en-IE"/>
        </w:rPr>
        <w:t>pr</w:t>
      </w:r>
      <w:r w:rsidRPr="007473DA">
        <w:rPr>
          <w:lang w:val="en-IE"/>
        </w:rPr>
        <w:t>ovide a justification for the selected intervention field(s). The implementing partner shall also be required to provide to the Member State a semi-annual report on the implementation of each project/activity.</w:t>
      </w:r>
    </w:p>
  </w:footnote>
  <w:footnote w:id="73">
    <w:p w14:paraId="2C78828C" w14:textId="77777777" w:rsidR="0039681A" w:rsidRPr="007473DA" w:rsidRDefault="0039681A" w:rsidP="00351087">
      <w:pPr>
        <w:pStyle w:val="FootnoteText"/>
        <w:ind w:left="0" w:firstLine="0"/>
        <w:rPr>
          <w:lang w:val="en-IE"/>
        </w:rPr>
      </w:pPr>
      <w:r w:rsidRPr="00647572">
        <w:rPr>
          <w:rStyle w:val="FootnoteReference"/>
          <w:rFonts w:eastAsiaTheme="majorEastAsia"/>
        </w:rPr>
        <w:footnoteRef/>
      </w:r>
      <w:r w:rsidRPr="007473DA">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74">
    <w:p w14:paraId="2634F02B" w14:textId="77777777" w:rsidR="0039681A" w:rsidRPr="007473DA" w:rsidRDefault="0039681A" w:rsidP="00351087">
      <w:pPr>
        <w:pStyle w:val="FootnoteText"/>
        <w:ind w:left="0" w:firstLine="0"/>
        <w:rPr>
          <w:rFonts w:eastAsia="EC Square Sans Pro"/>
          <w:lang w:val="en-IE"/>
        </w:rPr>
      </w:pPr>
      <w:r w:rsidRPr="00647572">
        <w:rPr>
          <w:rStyle w:val="FootnoteReference"/>
          <w:rFonts w:eastAsiaTheme="majorEastAsia"/>
        </w:rPr>
        <w:footnoteRef/>
      </w:r>
      <w:r w:rsidRPr="007473DA">
        <w:rPr>
          <w:lang w:val="en-IE"/>
        </w:rPr>
        <w:t xml:space="preserve"> </w:t>
      </w:r>
      <w:r w:rsidRPr="007473DA">
        <w:rPr>
          <w:rFonts w:eastAsia="EC Square Sans Pro"/>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75">
    <w:p w14:paraId="57EE5F66" w14:textId="77777777" w:rsidR="0039681A" w:rsidRPr="007473DA" w:rsidRDefault="0039681A" w:rsidP="00351087">
      <w:pPr>
        <w:pStyle w:val="FootnoteText"/>
        <w:ind w:left="0" w:firstLine="0"/>
        <w:rPr>
          <w:lang w:val="en-IE"/>
        </w:rPr>
      </w:pPr>
      <w:r w:rsidRPr="00647572">
        <w:rPr>
          <w:rStyle w:val="FootnoteReference"/>
          <w:rFonts w:eastAsiaTheme="majorEastAsia"/>
        </w:rPr>
        <w:footnoteRef/>
      </w:r>
      <w:r w:rsidRPr="007473DA">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76">
    <w:p w14:paraId="6ECEAFF8" w14:textId="77777777" w:rsidR="0039681A" w:rsidRPr="007473DA" w:rsidRDefault="0039681A" w:rsidP="00351087">
      <w:pPr>
        <w:pStyle w:val="FootnoteText"/>
        <w:ind w:left="0" w:firstLine="0"/>
        <w:rPr>
          <w:lang w:val="en-IE"/>
        </w:rPr>
      </w:pPr>
      <w:r w:rsidRPr="00647572">
        <w:rPr>
          <w:rStyle w:val="FootnoteReference"/>
          <w:rFonts w:eastAsiaTheme="majorEastAsia"/>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77">
    <w:p w14:paraId="3ECD64B3" w14:textId="77777777" w:rsidR="0039681A" w:rsidRPr="005F751A" w:rsidRDefault="0039681A" w:rsidP="00351087">
      <w:pPr>
        <w:pStyle w:val="FootnoteText"/>
        <w:rPr>
          <w:lang w:val="en-GB"/>
        </w:rPr>
      </w:pPr>
      <w:r w:rsidRPr="00402CC0">
        <w:footnoteRef/>
      </w:r>
      <w:r w:rsidRPr="007473DA">
        <w:rPr>
          <w:lang w:val="en-IE"/>
        </w:rPr>
        <w:t xml:space="preserve"> </w:t>
      </w:r>
      <w:r w:rsidRPr="005F751A">
        <w:rPr>
          <w:lang w:val="en-GB"/>
        </w:rPr>
        <w:t>In particular, the13% maximum cap does not include carried interested, performance fees related to DTF and</w:t>
      </w:r>
    </w:p>
    <w:p w14:paraId="689D05F6" w14:textId="77777777" w:rsidR="0039681A" w:rsidRPr="007473DA" w:rsidRDefault="0039681A" w:rsidP="00351087">
      <w:pPr>
        <w:pStyle w:val="FootnoteText"/>
        <w:rPr>
          <w:lang w:val="en-IE"/>
        </w:rPr>
      </w:pPr>
      <w:r w:rsidRPr="007473DA">
        <w:rPr>
          <w:lang w:val="en-IE"/>
        </w:rPr>
        <w:t>all costs and management fees related to indirect investments / third party funds.</w:t>
      </w:r>
    </w:p>
  </w:footnote>
  <w:footnote w:id="78">
    <w:p w14:paraId="6AFA8D86" w14:textId="77777777" w:rsidR="0039681A" w:rsidRPr="007473DA" w:rsidRDefault="0039681A" w:rsidP="00351087">
      <w:pPr>
        <w:pStyle w:val="FootnoteText"/>
        <w:ind w:left="0" w:firstLine="0"/>
        <w:rPr>
          <w:lang w:val="en-IE"/>
        </w:rPr>
      </w:pPr>
      <w:r w:rsidRPr="00402CC0">
        <w:footnoteRef/>
      </w:r>
      <w:r w:rsidRPr="007473DA">
        <w:rPr>
          <w:lang w:val="en-IE"/>
        </w:rPr>
        <w:t xml:space="preserve"> In particular, in case of direct investments, the DTF shall operate by providing equity or quasi equity support;</w:t>
      </w:r>
    </w:p>
    <w:p w14:paraId="291441BF" w14:textId="77777777" w:rsidR="0039681A" w:rsidRPr="007473DA" w:rsidRDefault="0039681A" w:rsidP="00351087">
      <w:pPr>
        <w:pStyle w:val="FootnoteText"/>
        <w:ind w:left="0" w:firstLine="0"/>
        <w:rPr>
          <w:lang w:val="en-IE"/>
        </w:rPr>
      </w:pPr>
      <w:r w:rsidRPr="007473DA">
        <w:rPr>
          <w:lang w:val="en-IE"/>
        </w:rPr>
        <w:t>in case of indirect investments, the DTF shall operate by financing third party funds which shall operate by providing at least one of the following: equity, or quasi-equity, or debt, or quasi-debt instruments.</w:t>
      </w:r>
    </w:p>
  </w:footnote>
  <w:footnote w:id="79">
    <w:p w14:paraId="092AFDCE" w14:textId="77777777" w:rsidR="0039681A" w:rsidRPr="00402CC0" w:rsidRDefault="0039681A" w:rsidP="00351087">
      <w:pPr>
        <w:spacing w:after="0" w:line="240" w:lineRule="auto"/>
        <w:jc w:val="both"/>
        <w:rPr>
          <w:rFonts w:ascii="Times New Roman" w:eastAsia="Times New Roman" w:hAnsi="Times New Roman" w:cs="Times New Roman"/>
          <w:sz w:val="20"/>
          <w:szCs w:val="20"/>
          <w:lang w:val="en-IE" w:eastAsia="en-GB"/>
        </w:rPr>
      </w:pPr>
      <w:r w:rsidRPr="00402CC0">
        <w:rPr>
          <w:rFonts w:ascii="Times New Roman" w:eastAsia="Times New Roman" w:hAnsi="Times New Roman" w:cs="Times New Roman"/>
          <w:sz w:val="20"/>
          <w:szCs w:val="20"/>
          <w:lang w:val="en-IE" w:eastAsia="en-GB"/>
        </w:rPr>
        <w:footnoteRef/>
      </w:r>
      <w:r w:rsidRPr="00402CC0">
        <w:rPr>
          <w:rFonts w:ascii="Times New Roman" w:eastAsia="Times New Roman" w:hAnsi="Times New Roman" w:cs="Times New Roman"/>
          <w:sz w:val="20"/>
          <w:szCs w:val="20"/>
          <w:lang w:val="en-IE" w:eastAsia="en-GB"/>
        </w:rPr>
        <w:t xml:space="preserve"> 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80">
    <w:p w14:paraId="51576AE7" w14:textId="77777777" w:rsidR="0039681A" w:rsidRPr="00402CC0" w:rsidRDefault="0039681A" w:rsidP="00351087">
      <w:pPr>
        <w:spacing w:after="0" w:line="240" w:lineRule="auto"/>
        <w:jc w:val="both"/>
        <w:rPr>
          <w:rFonts w:ascii="Times New Roman" w:eastAsia="Times New Roman" w:hAnsi="Times New Roman" w:cs="Times New Roman"/>
          <w:sz w:val="20"/>
          <w:szCs w:val="20"/>
          <w:lang w:val="en-IE" w:eastAsia="en-GB"/>
        </w:rPr>
      </w:pPr>
      <w:r w:rsidRPr="00402CC0">
        <w:rPr>
          <w:rFonts w:ascii="Times New Roman" w:eastAsia="Times New Roman" w:hAnsi="Times New Roman" w:cs="Times New Roman"/>
          <w:sz w:val="20"/>
          <w:szCs w:val="20"/>
          <w:lang w:val="en-IE" w:eastAsia="en-GB"/>
        </w:rPr>
        <w:footnoteRef/>
      </w:r>
      <w:r w:rsidRPr="00402CC0">
        <w:rPr>
          <w:rFonts w:ascii="Times New Roman" w:eastAsia="Times New Roman" w:hAnsi="Times New Roman" w:cs="Times New Roman"/>
          <w:sz w:val="20"/>
          <w:szCs w:val="20"/>
          <w:lang w:val="en-IE" w:eastAsia="en-GB"/>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81">
    <w:p w14:paraId="21ACFA0F" w14:textId="77777777" w:rsidR="0039681A" w:rsidRPr="00402CC0" w:rsidRDefault="0039681A" w:rsidP="00351087">
      <w:pPr>
        <w:spacing w:after="0" w:line="240" w:lineRule="auto"/>
        <w:jc w:val="both"/>
        <w:rPr>
          <w:rFonts w:ascii="Times New Roman" w:eastAsia="Times New Roman" w:hAnsi="Times New Roman" w:cs="Times New Roman"/>
          <w:sz w:val="20"/>
          <w:szCs w:val="20"/>
          <w:lang w:val="en-IE" w:eastAsia="en-GB"/>
        </w:rPr>
      </w:pPr>
      <w:r w:rsidRPr="00402CC0">
        <w:rPr>
          <w:rFonts w:ascii="Times New Roman" w:eastAsia="Times New Roman" w:hAnsi="Times New Roman" w:cs="Times New Roman"/>
          <w:sz w:val="20"/>
          <w:szCs w:val="20"/>
          <w:lang w:val="en-IE" w:eastAsia="en-GB"/>
        </w:rPr>
        <w:footnoteRef/>
      </w:r>
      <w:r w:rsidRPr="00402CC0">
        <w:rPr>
          <w:rFonts w:ascii="Times New Roman" w:eastAsia="Times New Roman" w:hAnsi="Times New Roman" w:cs="Times New Roman"/>
          <w:sz w:val="20"/>
          <w:szCs w:val="20"/>
          <w:lang w:val="en-IE" w:eastAsia="en-GB"/>
        </w:rPr>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82">
    <w:p w14:paraId="0401D8A3" w14:textId="77777777" w:rsidR="0039681A" w:rsidRPr="00402CC0" w:rsidRDefault="0039681A" w:rsidP="00351087">
      <w:pPr>
        <w:spacing w:after="0" w:line="240" w:lineRule="auto"/>
        <w:jc w:val="both"/>
        <w:rPr>
          <w:rFonts w:ascii="Times New Roman" w:eastAsia="Times New Roman" w:hAnsi="Times New Roman" w:cs="Times New Roman"/>
          <w:sz w:val="20"/>
          <w:szCs w:val="20"/>
          <w:lang w:val="en-IE" w:eastAsia="en-GB"/>
        </w:rPr>
      </w:pPr>
      <w:r w:rsidRPr="00402CC0">
        <w:rPr>
          <w:rFonts w:ascii="Times New Roman" w:eastAsia="Times New Roman" w:hAnsi="Times New Roman" w:cs="Times New Roman"/>
          <w:sz w:val="20"/>
          <w:szCs w:val="20"/>
          <w:lang w:val="en-IE" w:eastAsia="en-GB"/>
        </w:rPr>
        <w:footnoteRef/>
      </w:r>
      <w:r w:rsidRPr="00402CC0">
        <w:rPr>
          <w:rFonts w:ascii="Times New Roman" w:eastAsia="Times New Roman" w:hAnsi="Times New Roman" w:cs="Times New Roman"/>
          <w:sz w:val="20"/>
          <w:szCs w:val="20"/>
          <w:lang w:val="en-IE" w:eastAsia="en-GB"/>
        </w:rPr>
        <w:t xml:space="preserve"> Polluting vehicles are defined as non-zero-emission vehicles.</w:t>
      </w:r>
    </w:p>
  </w:footnote>
  <w:footnote w:id="83">
    <w:p w14:paraId="55E087C1" w14:textId="77777777" w:rsidR="0039681A" w:rsidRPr="005F751A" w:rsidRDefault="0039681A" w:rsidP="00351087">
      <w:pPr>
        <w:spacing w:after="0" w:line="240" w:lineRule="auto"/>
        <w:jc w:val="both"/>
        <w:rPr>
          <w:rFonts w:ascii="Times New Roman" w:eastAsia="Times New Roman" w:hAnsi="Times New Roman" w:cs="Times New Roman"/>
          <w:sz w:val="20"/>
          <w:szCs w:val="20"/>
          <w:lang w:val="en-GB"/>
        </w:rPr>
      </w:pPr>
      <w:r w:rsidRPr="00402CC0">
        <w:rPr>
          <w:rFonts w:ascii="Times New Roman" w:eastAsia="Times New Roman" w:hAnsi="Times New Roman" w:cs="Times New Roman"/>
          <w:sz w:val="20"/>
          <w:szCs w:val="20"/>
          <w:lang w:val="en-IE" w:eastAsia="en-GB"/>
        </w:rPr>
        <w:footnoteRef/>
      </w:r>
      <w:r w:rsidRPr="00402CC0">
        <w:rPr>
          <w:rFonts w:ascii="Times New Roman" w:eastAsia="Times New Roman" w:hAnsi="Times New Roman" w:cs="Times New Roman"/>
          <w:sz w:val="20"/>
          <w:szCs w:val="20"/>
          <w:lang w:val="en-IE" w:eastAsia="en-GB"/>
        </w:rPr>
        <w:t xml:space="preserve"> 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w:t>
      </w:r>
      <w:r w:rsidRPr="00402CC0">
        <w:rPr>
          <w:rFonts w:eastAsia="Times New Roman"/>
          <w:lang w:val="en-IE" w:eastAsia="en-GB"/>
        </w:rPr>
        <w:t xml:space="preserve"> </w:t>
      </w:r>
      <w:r w:rsidRPr="00402CC0">
        <w:rPr>
          <w:rFonts w:ascii="Times New Roman" w:eastAsia="Times New Roman" w:hAnsi="Times New Roman" w:cs="Times New Roman"/>
          <w:sz w:val="20"/>
          <w:szCs w:val="20"/>
          <w:lang w:val="en-IE" w:eastAsia="en-GB"/>
        </w:rPr>
        <w:t>plants’ waste processing capacity or in an extension of the lifetime of the plants; for which evidence is provided at plant level.</w:t>
      </w:r>
    </w:p>
  </w:footnote>
  <w:footnote w:id="84">
    <w:p w14:paraId="49F6E993"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85">
    <w:p w14:paraId="206B989A" w14:textId="77777777" w:rsidR="0039681A" w:rsidRPr="007473DA" w:rsidRDefault="0039681A" w:rsidP="00351087">
      <w:pPr>
        <w:pStyle w:val="FootnoteText"/>
        <w:ind w:left="0" w:firstLine="0"/>
        <w:rPr>
          <w:rFonts w:eastAsia="EC Square Sans Pro"/>
          <w:lang w:val="en-IE"/>
        </w:rPr>
      </w:pPr>
      <w:r w:rsidRPr="00647572">
        <w:rPr>
          <w:rStyle w:val="FootnoteReference"/>
        </w:rPr>
        <w:footnoteRef/>
      </w:r>
      <w:r w:rsidRPr="007473DA">
        <w:rPr>
          <w:lang w:val="en-IE"/>
        </w:rPr>
        <w:t xml:space="preserve"> </w:t>
      </w:r>
      <w:r w:rsidRPr="007473DA">
        <w:rPr>
          <w:rFonts w:eastAsia="EC Square Sans Pro"/>
          <w:lang w:val="en-IE"/>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86">
    <w:p w14:paraId="5ACA0A82" w14:textId="77777777" w:rsidR="0039681A" w:rsidRPr="007473DA" w:rsidRDefault="0039681A" w:rsidP="00351087">
      <w:pPr>
        <w:pStyle w:val="FootnoteText"/>
        <w:ind w:left="0" w:firstLine="0"/>
        <w:rPr>
          <w:rFonts w:eastAsiaTheme="minorHAnsi" w:cstheme="minorBidi"/>
          <w:lang w:val="en-IE"/>
        </w:rPr>
      </w:pPr>
      <w:r w:rsidRPr="00647572">
        <w:rPr>
          <w:rStyle w:val="FootnoteReference"/>
        </w:rPr>
        <w:footnoteRef/>
      </w:r>
      <w:r w:rsidRPr="007473DA">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87">
    <w:p w14:paraId="140210C5"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88">
    <w:p w14:paraId="5432CF08"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89">
    <w:p w14:paraId="3C3D55A0"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90">
    <w:p w14:paraId="180AAE4C" w14:textId="77777777" w:rsidR="0039681A" w:rsidRPr="00A36E36" w:rsidRDefault="0039681A" w:rsidP="00351087">
      <w:pPr>
        <w:spacing w:after="0" w:line="240" w:lineRule="auto"/>
        <w:jc w:val="both"/>
        <w:rPr>
          <w:rFonts w:ascii="Times New Roman" w:hAnsi="Times New Roman" w:cs="Times New Roman"/>
          <w:lang w:val="en-IE"/>
        </w:rPr>
      </w:pPr>
      <w:r w:rsidRPr="00647572">
        <w:rPr>
          <w:rStyle w:val="FootnoteReference"/>
          <w:rFonts w:ascii="Times New Roman" w:hAnsi="Times New Roman" w:cs="Times New Roman"/>
          <w:sz w:val="20"/>
          <w:szCs w:val="20"/>
        </w:rPr>
        <w:footnoteRef/>
      </w:r>
      <w:r w:rsidRPr="00A36E36">
        <w:rPr>
          <w:rFonts w:ascii="Times New Roman" w:hAnsi="Times New Roman" w:cs="Times New Roman"/>
          <w:sz w:val="20"/>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91">
    <w:p w14:paraId="6CCD64E9"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92">
    <w:p w14:paraId="23B12A28" w14:textId="77777777" w:rsidR="0039681A" w:rsidRPr="00A36E36" w:rsidRDefault="0039681A" w:rsidP="00F025C3">
      <w:pPr>
        <w:spacing w:after="0"/>
        <w:rPr>
          <w:lang w:val="en-IE"/>
        </w:rPr>
      </w:pPr>
      <w:r w:rsidRPr="001C0694">
        <w:rPr>
          <w:rStyle w:val="FootnoteReference"/>
          <w:rFonts w:ascii="Times New Roman" w:eastAsia="Times New Roman" w:hAnsi="Times New Roman" w:cs="Times New Roman"/>
          <w:sz w:val="20"/>
          <w:szCs w:val="20"/>
          <w:lang w:eastAsia="en-GB"/>
        </w:rPr>
        <w:footnoteRef/>
      </w:r>
      <w:r w:rsidRPr="00A36E36">
        <w:rPr>
          <w:lang w:val="en-IE"/>
        </w:rPr>
        <w:t xml:space="preserve"> </w:t>
      </w:r>
      <w:r w:rsidRPr="00A36E36">
        <w:rPr>
          <w:rFonts w:ascii="Times New Roman" w:eastAsia="Times New Roman" w:hAnsi="Times New Roman" w:cs="Times New Roman"/>
          <w:sz w:val="20"/>
          <w:szCs w:val="20"/>
          <w:lang w:val="en-IE" w:eastAsia="en-GB"/>
        </w:rPr>
        <w:t>In particular, the scheme refers to annexes A and B of law 11 December 2016, n. 232.</w:t>
      </w:r>
    </w:p>
  </w:footnote>
  <w:footnote w:id="93">
    <w:p w14:paraId="5EAAFF18" w14:textId="77777777" w:rsidR="0039681A" w:rsidRPr="007473DA" w:rsidRDefault="0039681A" w:rsidP="00F025C3">
      <w:pPr>
        <w:pStyle w:val="FootnoteText"/>
        <w:ind w:left="0" w:firstLine="0"/>
        <w:rPr>
          <w:lang w:val="en-IE"/>
        </w:rPr>
      </w:pPr>
      <w:r w:rsidRPr="00647572">
        <w:rPr>
          <w:rStyle w:val="FootnoteReference"/>
        </w:rPr>
        <w:footnoteRef/>
      </w:r>
      <w:r w:rsidRPr="007473DA">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p>
  </w:footnote>
  <w:footnote w:id="94">
    <w:p w14:paraId="61092F42" w14:textId="77777777" w:rsidR="0039681A" w:rsidRPr="007473DA" w:rsidRDefault="0039681A" w:rsidP="00351087">
      <w:pPr>
        <w:pStyle w:val="FootnoteText"/>
        <w:ind w:left="0" w:firstLine="0"/>
        <w:rPr>
          <w:lang w:val="en-IE"/>
        </w:rPr>
      </w:pPr>
      <w:r w:rsidRPr="00647572">
        <w:rPr>
          <w:rStyle w:val="FootnoteReference"/>
          <w:rFonts w:eastAsiaTheme="majorEastAsia"/>
        </w:rPr>
        <w:footnoteRef/>
      </w:r>
      <w:r w:rsidRPr="007473DA">
        <w:rPr>
          <w:lang w:val="en-IE"/>
        </w:rPr>
        <w:t xml:space="preserve"> 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95">
    <w:p w14:paraId="3866D443" w14:textId="77777777" w:rsidR="0039681A" w:rsidRPr="00A36E36" w:rsidRDefault="0039681A" w:rsidP="00351087">
      <w:pPr>
        <w:spacing w:after="0" w:line="240" w:lineRule="auto"/>
        <w:jc w:val="both"/>
        <w:rPr>
          <w:rFonts w:ascii="Times New Roman" w:hAnsi="Times New Roman" w:cs="Times New Roman"/>
          <w:sz w:val="20"/>
          <w:szCs w:val="20"/>
          <w:lang w:val="en-IE"/>
        </w:rPr>
      </w:pPr>
      <w:r w:rsidRPr="00647572">
        <w:rPr>
          <w:rStyle w:val="FootnoteReference"/>
          <w:rFonts w:ascii="Times New Roman" w:eastAsiaTheme="majorEastAsia" w:hAnsi="Times New Roman" w:cs="Times New Roman"/>
          <w:sz w:val="20"/>
          <w:szCs w:val="20"/>
        </w:rPr>
        <w:footnoteRef/>
      </w:r>
      <w:r w:rsidRPr="00A36E36">
        <w:rPr>
          <w:rFonts w:ascii="Times New Roman" w:hAnsi="Times New Roman" w:cs="Times New Roman"/>
          <w:sz w:val="20"/>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96">
    <w:p w14:paraId="5BE9EDA6" w14:textId="77777777" w:rsidR="0039681A" w:rsidRPr="00A36E36" w:rsidRDefault="0039681A" w:rsidP="00351087">
      <w:pPr>
        <w:spacing w:after="0" w:line="240" w:lineRule="auto"/>
        <w:jc w:val="both"/>
        <w:rPr>
          <w:rFonts w:ascii="Times New Roman" w:hAnsi="Times New Roman" w:cs="Times New Roman"/>
          <w:sz w:val="20"/>
          <w:szCs w:val="20"/>
          <w:lang w:val="en-IE"/>
        </w:rPr>
      </w:pPr>
      <w:r w:rsidRPr="00647572">
        <w:rPr>
          <w:rStyle w:val="FootnoteReference"/>
          <w:rFonts w:ascii="Times New Roman" w:eastAsiaTheme="majorEastAsia" w:hAnsi="Times New Roman" w:cs="Times New Roman"/>
          <w:sz w:val="20"/>
          <w:szCs w:val="20"/>
        </w:rPr>
        <w:footnoteRef/>
      </w:r>
      <w:r w:rsidRPr="00A36E36">
        <w:rPr>
          <w:rFonts w:ascii="Times New Roman" w:hAnsi="Times New Roman" w:cs="Times New Roman"/>
          <w:sz w:val="20"/>
          <w:lang w:val="en-IE"/>
        </w:rPr>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97">
    <w:p w14:paraId="384ED4F1" w14:textId="77777777" w:rsidR="0039681A" w:rsidRPr="00A36E36" w:rsidRDefault="0039681A" w:rsidP="00351087">
      <w:pPr>
        <w:spacing w:after="0" w:line="240" w:lineRule="auto"/>
        <w:jc w:val="both"/>
        <w:rPr>
          <w:rFonts w:ascii="Times New Roman" w:hAnsi="Times New Roman" w:cs="Times New Roman"/>
          <w:sz w:val="20"/>
          <w:szCs w:val="20"/>
          <w:lang w:val="en-IE"/>
        </w:rPr>
      </w:pPr>
      <w:r w:rsidRPr="00647572">
        <w:rPr>
          <w:rStyle w:val="FootnoteReference"/>
          <w:rFonts w:ascii="Times New Roman" w:eastAsiaTheme="majorEastAsia" w:hAnsi="Times New Roman" w:cs="Times New Roman"/>
          <w:sz w:val="20"/>
          <w:szCs w:val="20"/>
        </w:rPr>
        <w:footnoteRef/>
      </w:r>
      <w:r w:rsidRPr="00A36E36">
        <w:rPr>
          <w:rFonts w:ascii="Times New Roman" w:hAnsi="Times New Roman" w:cs="Times New Roman"/>
          <w:sz w:val="20"/>
          <w:lang w:val="en-IE"/>
        </w:rPr>
        <w:t xml:space="preserve"> Polluting vehicles are defined as non-zero-emission vehicles.</w:t>
      </w:r>
    </w:p>
  </w:footnote>
  <w:footnote w:id="98">
    <w:p w14:paraId="434C0102" w14:textId="77777777" w:rsidR="0039681A" w:rsidRPr="007473DA" w:rsidRDefault="0039681A" w:rsidP="00351087">
      <w:pPr>
        <w:pStyle w:val="FootnoteText"/>
        <w:ind w:left="0" w:firstLine="0"/>
        <w:rPr>
          <w:lang w:val="en-IE"/>
        </w:rPr>
      </w:pPr>
      <w:r w:rsidRPr="00647572">
        <w:rPr>
          <w:rStyle w:val="FootnoteReference"/>
          <w:rFonts w:eastAsiaTheme="majorEastAsia"/>
        </w:rPr>
        <w:footnoteRef/>
      </w:r>
      <w:r w:rsidRPr="007473DA">
        <w:rPr>
          <w:lang w:val="en-IE"/>
        </w:rPr>
        <w:t xml:space="preserve"> 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99">
    <w:p w14:paraId="55CF934D"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p>
  </w:footnote>
  <w:footnote w:id="100">
    <w:p w14:paraId="1752C831" w14:textId="77777777" w:rsidR="0039681A" w:rsidRPr="007473DA" w:rsidRDefault="0039681A" w:rsidP="00351087">
      <w:pPr>
        <w:pStyle w:val="FootnoteText"/>
        <w:ind w:left="0" w:firstLine="0"/>
        <w:rPr>
          <w:lang w:val="en-IE"/>
        </w:rPr>
      </w:pPr>
      <w:r w:rsidRPr="00647572">
        <w:rPr>
          <w:rStyle w:val="FootnoteReference"/>
        </w:rPr>
        <w:footnoteRef/>
      </w:r>
      <w:r w:rsidRPr="007473DA">
        <w:rPr>
          <w:lang w:val="en-IE"/>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01">
    <w:p w14:paraId="5DD6C3C2" w14:textId="77777777" w:rsidR="0039681A" w:rsidRPr="007473DA" w:rsidRDefault="0039681A" w:rsidP="00351087">
      <w:pPr>
        <w:pStyle w:val="FootnoteText"/>
        <w:ind w:left="0" w:firstLine="0"/>
        <w:rPr>
          <w:rFonts w:eastAsia="EC Square Sans Pro"/>
          <w:lang w:val="en-IE"/>
        </w:rPr>
      </w:pPr>
      <w:r w:rsidRPr="00647572">
        <w:rPr>
          <w:rStyle w:val="FootnoteReference"/>
          <w:rFonts w:eastAsiaTheme="majorEastAsia"/>
        </w:rPr>
        <w:footnoteRef/>
      </w:r>
      <w:r w:rsidRPr="007473DA">
        <w:rPr>
          <w:lang w:val="en-IE"/>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02">
    <w:p w14:paraId="1320E004" w14:textId="77777777" w:rsidR="0039681A" w:rsidRPr="007473DA" w:rsidRDefault="0039681A" w:rsidP="00351087">
      <w:pPr>
        <w:pStyle w:val="FootnoteText"/>
        <w:ind w:left="0" w:firstLine="0"/>
        <w:rPr>
          <w:lang w:val="en-IE"/>
        </w:rPr>
      </w:pPr>
      <w:r w:rsidRPr="00647572">
        <w:rPr>
          <w:rStyle w:val="FootnoteReference"/>
          <w:rFonts w:eastAsiaTheme="majorEastAsia"/>
        </w:rPr>
        <w:footnoteRef/>
      </w:r>
      <w:r w:rsidRPr="007473DA">
        <w:rPr>
          <w:lang w:val="en-IE"/>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03">
    <w:p w14:paraId="6F3EBA90" w14:textId="77777777" w:rsidR="0039681A" w:rsidRPr="007473DA" w:rsidRDefault="0039681A" w:rsidP="00351087">
      <w:pPr>
        <w:pStyle w:val="FootnoteText"/>
        <w:ind w:left="0" w:firstLine="0"/>
        <w:rPr>
          <w:lang w:val="en-IE"/>
        </w:rPr>
      </w:pPr>
      <w:r w:rsidRPr="00647572">
        <w:rPr>
          <w:rStyle w:val="FootnoteReference"/>
          <w:rFonts w:eastAsiaTheme="majorEastAsia"/>
        </w:rPr>
        <w:footnoteRef/>
      </w:r>
      <w:r w:rsidRPr="007473DA">
        <w:rPr>
          <w:lang w:val="en-IE"/>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96E3A" w14:textId="77777777" w:rsidR="00844659" w:rsidRPr="00844659" w:rsidRDefault="00844659" w:rsidP="0084465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517FD" w14:textId="77777777" w:rsidR="00844659" w:rsidRPr="00844659" w:rsidRDefault="00844659" w:rsidP="0084465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33C521" w14:textId="77777777" w:rsidR="00844659" w:rsidRPr="00844659" w:rsidRDefault="00844659" w:rsidP="0084465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4C43E" w14:textId="77777777" w:rsidR="00AF5341" w:rsidRPr="004E5E7C" w:rsidRDefault="00AF53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6E65D" w14:textId="77777777" w:rsidR="00AF5341" w:rsidRDefault="00AF5341">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E4EBD" w14:textId="77777777" w:rsidR="00AF5341" w:rsidRPr="004E5E7C" w:rsidRDefault="00AF534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C20F6" w14:textId="77777777" w:rsidR="0039681A" w:rsidRPr="004E5E7C" w:rsidRDefault="0039681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91F92" w14:textId="77777777" w:rsidR="0039681A" w:rsidRDefault="0039681A">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3EAE6C" w14:textId="77777777" w:rsidR="0039681A" w:rsidRPr="004E5E7C" w:rsidRDefault="0039681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79AE9" w14:textId="77777777" w:rsidR="0039681A" w:rsidRPr="004E5E7C" w:rsidRDefault="0039681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8F5CB" w14:textId="77777777" w:rsidR="0039681A" w:rsidRDefault="0039681A">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66D70" w14:textId="77777777" w:rsidR="0039681A" w:rsidRPr="004E5E7C" w:rsidRDefault="0039681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F927A" w14:textId="77777777" w:rsidR="0039681A" w:rsidRPr="004E5E7C" w:rsidRDefault="0039681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98D1E" w14:textId="77777777" w:rsidR="0039681A" w:rsidRDefault="0039681A">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C5D49" w14:textId="77777777" w:rsidR="0039681A" w:rsidRPr="004E5E7C" w:rsidRDefault="0039681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A4BB9" w14:textId="77777777" w:rsidR="0039681A" w:rsidRPr="004E5E7C" w:rsidRDefault="0039681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52F7A" w14:textId="77777777" w:rsidR="0039681A" w:rsidRDefault="0039681A">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907DC" w14:textId="77777777" w:rsidR="0039681A" w:rsidRPr="004E5E7C" w:rsidRDefault="0039681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8D3EE" w14:textId="77777777" w:rsidR="0039681A" w:rsidRPr="004E5E7C" w:rsidRDefault="0039681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5C3A3" w14:textId="77777777" w:rsidR="0039681A" w:rsidRDefault="0039681A">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CEBD5" w14:textId="77777777" w:rsidR="0039681A" w:rsidRPr="004E5E7C" w:rsidRDefault="0039681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0BDF3" w14:textId="77777777" w:rsidR="0039681A" w:rsidRPr="004E5E7C" w:rsidRDefault="0039681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A5D19" w14:textId="77777777" w:rsidR="0039681A" w:rsidRDefault="0039681A">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70A08" w14:textId="77777777" w:rsidR="0039681A" w:rsidRPr="004E5E7C" w:rsidRDefault="0039681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30FC4" w14:textId="77777777" w:rsidR="0039681A" w:rsidRPr="004E5E7C" w:rsidRDefault="0039681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C7529" w14:textId="77777777" w:rsidR="0039681A" w:rsidRDefault="0039681A">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450B72" w14:textId="77777777" w:rsidR="0039681A" w:rsidRPr="004E5E7C" w:rsidRDefault="0039681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47234" w14:textId="77777777" w:rsidR="0039681A" w:rsidRPr="004E5E7C" w:rsidRDefault="0039681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B6AF6" w14:textId="77777777" w:rsidR="0039681A" w:rsidRDefault="0039681A">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B7F5F" w14:textId="77777777" w:rsidR="0039681A" w:rsidRPr="004E5E7C" w:rsidRDefault="0039681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A6C4B" w14:textId="77777777" w:rsidR="0039681A" w:rsidRPr="004E5E7C" w:rsidRDefault="0039681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B44B9" w14:textId="77777777" w:rsidR="0039681A" w:rsidRDefault="0039681A">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886D1D" w14:textId="77777777" w:rsidR="0039681A" w:rsidRPr="004E5E7C" w:rsidRDefault="0039681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209643" w14:textId="77777777" w:rsidR="0039681A" w:rsidRPr="004E5E7C" w:rsidRDefault="0039681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7A038" w14:textId="77777777" w:rsidR="0039681A" w:rsidRDefault="0039681A">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556D9" w14:textId="77777777" w:rsidR="0039681A" w:rsidRPr="004E5E7C" w:rsidRDefault="0039681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CD193" w14:textId="77777777" w:rsidR="0039681A" w:rsidRPr="004E5E7C" w:rsidRDefault="0039681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593EE" w14:textId="77777777" w:rsidR="0039681A" w:rsidRDefault="0039681A">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D0256" w14:textId="77777777" w:rsidR="0039681A" w:rsidRPr="004E5E7C" w:rsidRDefault="0039681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6DE45" w14:textId="77777777" w:rsidR="0039681A" w:rsidRPr="004E5E7C" w:rsidRDefault="0039681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77212" w14:textId="77777777" w:rsidR="0039681A" w:rsidRDefault="0039681A">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5C341" w14:textId="77777777" w:rsidR="0039681A" w:rsidRPr="004E5E7C" w:rsidRDefault="0039681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2C346" w14:textId="77777777" w:rsidR="0039681A" w:rsidRPr="004E5E7C" w:rsidRDefault="0039681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B604A" w14:textId="77777777" w:rsidR="0039681A" w:rsidRDefault="0039681A">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70841" w14:textId="77777777" w:rsidR="0039681A" w:rsidRPr="004E5E7C" w:rsidRDefault="0039681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59325" w14:textId="77777777" w:rsidR="0039681A" w:rsidRPr="004E5E7C" w:rsidRDefault="0039681A" w:rsidP="0035108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69FFA" w14:textId="77777777" w:rsidR="0039681A" w:rsidRDefault="0039681A">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E9C1B" w14:textId="77777777" w:rsidR="0039681A" w:rsidRPr="004E5E7C" w:rsidRDefault="0039681A" w:rsidP="0035108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1CCC1" w14:textId="77777777" w:rsidR="0039681A" w:rsidRPr="004E5E7C" w:rsidRDefault="0039681A" w:rsidP="0035108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7DC24" w14:textId="77777777" w:rsidR="0039681A" w:rsidRDefault="0039681A">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87892" w14:textId="77777777" w:rsidR="0039681A" w:rsidRPr="004E5E7C" w:rsidRDefault="0039681A" w:rsidP="0035108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7228F" w14:textId="77777777" w:rsidR="0039681A" w:rsidRPr="004E5E7C" w:rsidRDefault="0039681A" w:rsidP="0035108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FE5E6" w14:textId="77777777" w:rsidR="0039681A" w:rsidRDefault="0039681A">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9F8A3" w14:textId="77777777" w:rsidR="0039681A" w:rsidRPr="004E5E7C" w:rsidRDefault="0039681A" w:rsidP="0035108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56DD1" w14:textId="77777777" w:rsidR="0039681A" w:rsidRPr="004E5E7C" w:rsidRDefault="0039681A" w:rsidP="0035108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B168F6" w14:textId="77777777" w:rsidR="0039681A" w:rsidRDefault="0039681A">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4E1D9" w14:textId="77777777" w:rsidR="0039681A" w:rsidRPr="004E5E7C" w:rsidRDefault="0039681A" w:rsidP="0035108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FDE1F" w14:textId="77777777" w:rsidR="0039681A" w:rsidRPr="004E5E7C" w:rsidRDefault="0039681A" w:rsidP="0035108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DF13A" w14:textId="77777777" w:rsidR="0039681A" w:rsidRDefault="0039681A">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8B8FF" w14:textId="77777777" w:rsidR="0039681A" w:rsidRPr="004E5E7C" w:rsidRDefault="0039681A" w:rsidP="0035108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2A885" w14:textId="77777777" w:rsidR="0039681A" w:rsidRPr="004E5E7C" w:rsidRDefault="0039681A" w:rsidP="0035108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9CDEF" w14:textId="77777777" w:rsidR="0039681A" w:rsidRDefault="0039681A">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34284" w14:textId="77777777" w:rsidR="0039681A" w:rsidRPr="004E5E7C" w:rsidRDefault="0039681A" w:rsidP="0035108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1F743" w14:textId="77777777" w:rsidR="0039681A" w:rsidRPr="004E5E7C" w:rsidRDefault="0039681A" w:rsidP="0035108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681C5" w14:textId="77777777" w:rsidR="0039681A" w:rsidRDefault="0039681A">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7FEB0" w14:textId="77777777" w:rsidR="0039681A" w:rsidRPr="004E5E7C" w:rsidRDefault="0039681A" w:rsidP="0035108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E3C1A" w14:textId="77777777" w:rsidR="0039681A" w:rsidRPr="004E5E7C" w:rsidRDefault="0039681A" w:rsidP="0035108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C8386" w14:textId="77777777" w:rsidR="0039681A" w:rsidRDefault="0039681A">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25861" w14:textId="77777777" w:rsidR="0039681A" w:rsidRPr="004E5E7C" w:rsidRDefault="0039681A" w:rsidP="0035108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45DBB" w14:textId="77777777" w:rsidR="0039681A" w:rsidRPr="004E5E7C" w:rsidRDefault="0039681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CA7BE" w14:textId="77777777" w:rsidR="0039681A" w:rsidRDefault="0039681A">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1C41AF" w14:textId="77777777" w:rsidR="0039681A" w:rsidRPr="004E5E7C" w:rsidRDefault="0039681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F4729" w14:textId="77777777" w:rsidR="0039681A" w:rsidRPr="004E5E7C" w:rsidRDefault="0039681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44866" w14:textId="77777777" w:rsidR="0039681A" w:rsidRDefault="0039681A">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7E3D5" w14:textId="77777777" w:rsidR="0039681A" w:rsidRPr="004E5E7C" w:rsidRDefault="0039681A">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C17BF" w14:textId="77777777" w:rsidR="0039681A" w:rsidRPr="004E5E7C" w:rsidRDefault="0039681A">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986A1" w14:textId="77777777" w:rsidR="0039681A" w:rsidRDefault="0039681A">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CEC90" w14:textId="77777777" w:rsidR="0039681A" w:rsidRPr="004E5E7C" w:rsidRDefault="0039681A">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CEAFF" w14:textId="77777777" w:rsidR="0039681A" w:rsidRPr="004E5E7C" w:rsidRDefault="0039681A">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9360B" w14:textId="77777777" w:rsidR="0039681A" w:rsidRDefault="0039681A">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DA984" w14:textId="77777777" w:rsidR="0039681A" w:rsidRPr="004E5E7C" w:rsidRDefault="0039681A">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D724E" w14:textId="77777777" w:rsidR="0039681A" w:rsidRPr="004E5E7C" w:rsidRDefault="0039681A">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7FE2B" w14:textId="77777777" w:rsidR="0039681A" w:rsidRDefault="0039681A">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FB141" w14:textId="77777777" w:rsidR="0039681A" w:rsidRPr="004E5E7C" w:rsidRDefault="0039681A">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FBF57" w14:textId="77777777" w:rsidR="0039681A" w:rsidRPr="004E5E7C" w:rsidRDefault="0039681A">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62043" w14:textId="77777777" w:rsidR="0039681A" w:rsidRDefault="0039681A">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AFC58" w14:textId="77777777" w:rsidR="0039681A" w:rsidRPr="004E5E7C" w:rsidRDefault="0039681A">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6D115" w14:textId="77777777" w:rsidR="0039681A" w:rsidRPr="004E5E7C" w:rsidRDefault="0039681A">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6D4D9" w14:textId="77777777" w:rsidR="0039681A" w:rsidRPr="00D0479D" w:rsidRDefault="0039681A">
    <w:pPr>
      <w:rPr>
        <w:lang w:val="en-IE"/>
      </w:rP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FE57C" w14:textId="77777777" w:rsidR="0039681A" w:rsidRPr="004E5E7C" w:rsidRDefault="0039681A">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03CD6" w14:textId="77777777" w:rsidR="0039681A" w:rsidRPr="004E5E7C" w:rsidRDefault="0039681A">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0B3B12" w14:textId="77777777" w:rsidR="0039681A" w:rsidRDefault="0039681A">
    <w:r>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35832" w14:textId="77777777" w:rsidR="0039681A" w:rsidRPr="004E5E7C" w:rsidRDefault="0039681A">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BB824" w14:textId="77777777" w:rsidR="0039681A" w:rsidRPr="004E5E7C" w:rsidRDefault="0039681A">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50845" w14:textId="77777777" w:rsidR="0039681A" w:rsidRDefault="0039681A">
    <w:r>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0F2A0" w14:textId="77777777" w:rsidR="0039681A" w:rsidRPr="004E5E7C" w:rsidRDefault="0039681A">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1B26F" w14:textId="77777777" w:rsidR="0039681A" w:rsidRDefault="0039681A">
    <w:r>
      <w:t> </w:t>
    </w: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B0F24" w14:textId="77777777" w:rsidR="0039681A" w:rsidRPr="004E5E7C" w:rsidRDefault="0039681A">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811A6" w14:textId="77777777" w:rsidR="0039681A" w:rsidRDefault="0039681A">
    <w:r>
      <w:t> </w:t>
    </w: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3F415" w14:textId="77777777" w:rsidR="0039681A" w:rsidRPr="004E5E7C" w:rsidRDefault="0039681A">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82262" w14:textId="77777777" w:rsidR="0039681A" w:rsidRPr="004E5E7C" w:rsidRDefault="0039681A">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4A9B5" w14:textId="77777777" w:rsidR="00AF5341" w:rsidRDefault="00AF5341">
    <w:r>
      <w:t> </w:t>
    </w: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B4212" w14:textId="77777777" w:rsidR="0039681A" w:rsidRPr="004E5E7C" w:rsidRDefault="0039681A">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B2E495" w14:textId="77777777" w:rsidR="0039681A" w:rsidRPr="004E5E7C" w:rsidRDefault="0039681A">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D982E" w14:textId="77777777" w:rsidR="0039681A" w:rsidRDefault="0039681A">
    <w:r>
      <w:t> </w:t>
    </w: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A14B7" w14:textId="77777777" w:rsidR="0039681A" w:rsidRPr="004E5E7C" w:rsidRDefault="0039681A">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36C30" w14:textId="77777777" w:rsidR="0039681A" w:rsidRPr="004E5E7C" w:rsidRDefault="0039681A">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93C54" w14:textId="77777777" w:rsidR="0039681A" w:rsidRDefault="0039681A">
    <w:r>
      <w:t> </w:t>
    </w: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F1E7A" w14:textId="77777777" w:rsidR="0039681A" w:rsidRPr="004E5E7C" w:rsidRDefault="0039681A">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4ED34" w14:textId="77777777" w:rsidR="0039681A" w:rsidRPr="004E5E7C" w:rsidRDefault="0039681A" w:rsidP="0035108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EB13C" w14:textId="77777777" w:rsidR="0039681A" w:rsidRDefault="0039681A">
    <w:r>
      <w:t> </w:t>
    </w: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277A9" w14:textId="77777777" w:rsidR="0039681A" w:rsidRPr="004E5E7C" w:rsidRDefault="0039681A" w:rsidP="0035108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40116" w14:textId="77777777" w:rsidR="0039681A" w:rsidRPr="004E5E7C" w:rsidRDefault="0039681A" w:rsidP="0035108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38505" w14:textId="77777777" w:rsidR="0039681A" w:rsidRDefault="0039681A">
    <w:r>
      <w:t> </w:t>
    </w: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FB02F" w14:textId="77777777" w:rsidR="0039681A" w:rsidRPr="004E5E7C" w:rsidRDefault="0039681A" w:rsidP="0035108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EAC9C" w14:textId="77777777" w:rsidR="0039681A" w:rsidRPr="004E5E7C" w:rsidRDefault="0039681A" w:rsidP="00351087">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E2169" w14:textId="77777777" w:rsidR="0039681A" w:rsidRDefault="0039681A">
    <w:r>
      <w:t> </w:t>
    </w: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980B4" w14:textId="77777777" w:rsidR="0039681A" w:rsidRPr="004E5E7C" w:rsidRDefault="0039681A" w:rsidP="0035108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A0C7E" w14:textId="77777777" w:rsidR="0039681A" w:rsidRPr="004E5E7C" w:rsidRDefault="0039681A" w:rsidP="00351087">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ECC7C" w14:textId="77777777" w:rsidR="0039681A" w:rsidRDefault="0039681A">
    <w:r>
      <w:t> </w:t>
    </w: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FD0A8" w14:textId="77777777" w:rsidR="0039681A" w:rsidRPr="004E5E7C" w:rsidRDefault="0039681A" w:rsidP="0035108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D8616C" w14:textId="77777777" w:rsidR="0039681A" w:rsidRPr="004E5E7C" w:rsidRDefault="0039681A" w:rsidP="00351087">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00731" w14:textId="77777777" w:rsidR="0039681A" w:rsidRDefault="0039681A">
    <w:r>
      <w:t> </w:t>
    </w: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5436A" w14:textId="77777777" w:rsidR="0039681A" w:rsidRPr="004E5E7C" w:rsidRDefault="0039681A" w:rsidP="0035108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2907F" w14:textId="77777777" w:rsidR="0039681A" w:rsidRPr="004E5E7C" w:rsidRDefault="0039681A" w:rsidP="00351087">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BDFC5" w14:textId="77777777" w:rsidR="0039681A" w:rsidRDefault="0039681A">
    <w:r>
      <w:t> </w:t>
    </w: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643B9" w14:textId="77777777" w:rsidR="0039681A" w:rsidRPr="004E5E7C" w:rsidRDefault="0039681A" w:rsidP="0035108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041D9" w14:textId="77777777" w:rsidR="0039681A" w:rsidRPr="004E5E7C" w:rsidRDefault="0039681A" w:rsidP="00351087">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E72C" w14:textId="77777777" w:rsidR="0039681A" w:rsidRDefault="0039681A">
    <w:r>
      <w:t> </w:t>
    </w: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A5189" w14:textId="77777777" w:rsidR="0039681A" w:rsidRPr="004E5E7C" w:rsidRDefault="0039681A" w:rsidP="0035108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52D8A" w14:textId="77777777" w:rsidR="0039681A" w:rsidRPr="004E5E7C" w:rsidRDefault="0039681A">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68D83" w14:textId="77777777" w:rsidR="0039681A" w:rsidRDefault="0039681A">
    <w:r>
      <w:t> </w:t>
    </w: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3969F" w14:textId="77777777" w:rsidR="0039681A" w:rsidRPr="004E5E7C" w:rsidRDefault="0039681A">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A17C1" w14:textId="77777777" w:rsidR="0039681A" w:rsidRPr="004E5E7C" w:rsidRDefault="0039681A">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C07AC" w14:textId="77777777" w:rsidR="0039681A" w:rsidRDefault="0039681A">
    <w:r>
      <w:t> </w:t>
    </w: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B2650" w14:textId="77777777" w:rsidR="0039681A" w:rsidRPr="004E5E7C" w:rsidRDefault="0039681A">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E725CA" w14:textId="77777777" w:rsidR="0039681A" w:rsidRPr="004E5E7C" w:rsidRDefault="0039681A">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598AB" w14:textId="77777777" w:rsidR="0039681A" w:rsidRDefault="0039681A">
    <w:r>
      <w:t> </w:t>
    </w: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AD173" w14:textId="77777777" w:rsidR="0039681A" w:rsidRPr="004E5E7C" w:rsidRDefault="0039681A">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381AB" w14:textId="77777777" w:rsidR="0039681A" w:rsidRPr="004E5E7C" w:rsidRDefault="0039681A">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16D64" w14:textId="77777777" w:rsidR="0039681A" w:rsidRDefault="0039681A">
    <w:r>
      <w:t> </w:t>
    </w: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B82FA3" w14:textId="77777777" w:rsidR="0039681A" w:rsidRPr="004E5E7C" w:rsidRDefault="0039681A">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297C5" w14:textId="77777777" w:rsidR="0039681A" w:rsidRPr="004E5E7C" w:rsidRDefault="0039681A">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1A40B" w14:textId="77777777" w:rsidR="0039681A" w:rsidRDefault="0039681A">
    <w:r>
      <w:t> </w:t>
    </w: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E035F" w14:textId="77777777" w:rsidR="0039681A" w:rsidRPr="004E5E7C" w:rsidRDefault="0039681A">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157A6" w14:textId="77777777" w:rsidR="0039681A" w:rsidRPr="004E5E7C" w:rsidRDefault="0039681A">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E092D" w14:textId="77777777" w:rsidR="0039681A" w:rsidRDefault="0039681A">
    <w:r>
      <w:t> </w:t>
    </w: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A79CC" w14:textId="77777777" w:rsidR="0039681A" w:rsidRPr="004E5E7C" w:rsidRDefault="0039681A">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9EEC90" w14:textId="77777777" w:rsidR="0039681A" w:rsidRPr="004E5E7C" w:rsidRDefault="0039681A">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278D3" w14:textId="77777777" w:rsidR="0039681A" w:rsidRDefault="0039681A">
    <w:r>
      <w:t> </w:t>
    </w: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1942A" w14:textId="77777777" w:rsidR="0039681A" w:rsidRPr="004E5E7C" w:rsidRDefault="0039681A">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00A82" w14:textId="77777777" w:rsidR="0039681A" w:rsidRPr="004E5E7C" w:rsidRDefault="0039681A">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0CB16" w14:textId="77777777" w:rsidR="0039681A" w:rsidRDefault="0039681A">
    <w:r>
      <w:t> </w:t>
    </w: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00A37" w14:textId="77777777" w:rsidR="0039681A" w:rsidRPr="004E5E7C" w:rsidRDefault="0039681A">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F9D3F" w14:textId="77777777" w:rsidR="0039681A" w:rsidRPr="004E5E7C" w:rsidRDefault="0039681A">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0AEEE" w14:textId="77777777" w:rsidR="0039681A" w:rsidRDefault="0039681A">
    <w:r>
      <w:t> </w:t>
    </w: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0D903" w14:textId="77777777" w:rsidR="0039681A" w:rsidRPr="004E5E7C" w:rsidRDefault="0039681A">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689A1" w14:textId="77777777" w:rsidR="0039681A" w:rsidRPr="004E5E7C" w:rsidRDefault="0039681A">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A5936" w14:textId="77777777" w:rsidR="0039681A" w:rsidRDefault="0039681A">
    <w:r>
      <w:t> </w:t>
    </w: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8246C" w14:textId="77777777" w:rsidR="0039681A" w:rsidRPr="004E5E7C" w:rsidRDefault="0039681A">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F19EB" w14:textId="77777777" w:rsidR="0039681A" w:rsidRPr="004E5E7C" w:rsidRDefault="0039681A">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F6342" w14:textId="77777777" w:rsidR="0039681A" w:rsidRDefault="0039681A">
    <w:r>
      <w:t> </w:t>
    </w: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9A5B7" w14:textId="77777777" w:rsidR="0039681A" w:rsidRPr="004E5E7C" w:rsidRDefault="0039681A">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C20CF" w14:textId="77777777" w:rsidR="0039681A" w:rsidRPr="004E5E7C" w:rsidRDefault="0039681A">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64FFB" w14:textId="77777777" w:rsidR="0039681A" w:rsidRDefault="0039681A">
    <w:r>
      <w:t> </w:t>
    </w: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17B68" w14:textId="77777777" w:rsidR="0039681A" w:rsidRPr="004E5E7C" w:rsidRDefault="0039681A">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3FB49" w14:textId="77777777" w:rsidR="0039681A" w:rsidRPr="004E5E7C" w:rsidRDefault="0039681A">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321AF" w14:textId="77777777" w:rsidR="0039681A" w:rsidRDefault="0039681A">
    <w:r>
      <w:t> </w:t>
    </w: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25ED3" w14:textId="77777777" w:rsidR="0039681A" w:rsidRPr="004E5E7C" w:rsidRDefault="0039681A">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5E18E" w14:textId="77777777" w:rsidR="0039681A" w:rsidRPr="004E5E7C" w:rsidRDefault="0039681A">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386CF" w14:textId="77777777" w:rsidR="0039681A" w:rsidRDefault="0039681A">
    <w:r>
      <w:t> </w:t>
    </w: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77CDC" w14:textId="77777777" w:rsidR="0039681A" w:rsidRPr="004E5E7C" w:rsidRDefault="0039681A">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882098" w14:textId="77777777" w:rsidR="0039681A" w:rsidRPr="004E5E7C" w:rsidRDefault="0039681A">
    <w:pPr>
      <w:pStyle w:val="Header"/>
    </w:pP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B9128" w14:textId="77777777" w:rsidR="0039681A" w:rsidRDefault="0039681A">
    <w:r>
      <w:t> </w:t>
    </w: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86650" w14:textId="77777777" w:rsidR="0039681A" w:rsidRPr="004E5E7C" w:rsidRDefault="0039681A">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9373B" w14:textId="77777777" w:rsidR="0039681A" w:rsidRPr="004E5E7C" w:rsidRDefault="0039681A">
    <w:pPr>
      <w:pStyle w:val="Header"/>
    </w:pP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A8188" w14:textId="77777777" w:rsidR="0039681A" w:rsidRDefault="0039681A">
    <w:r>
      <w:t> </w:t>
    </w: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077F9" w14:textId="77777777" w:rsidR="0039681A" w:rsidRPr="004E5E7C" w:rsidRDefault="0039681A">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A30E4" w14:textId="77777777" w:rsidR="0039681A" w:rsidRPr="004E5E7C" w:rsidRDefault="0039681A">
    <w:pPr>
      <w:pStyle w:val="Header"/>
    </w:pP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7E575" w14:textId="77777777" w:rsidR="0039681A" w:rsidRDefault="0039681A">
    <w:r>
      <w:t> </w:t>
    </w: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F1E09" w14:textId="77777777" w:rsidR="0039681A" w:rsidRPr="004E5E7C" w:rsidRDefault="0039681A">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949D0" w14:textId="77777777" w:rsidR="00AF5341" w:rsidRDefault="00AF5341">
    <w:r>
      <w: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1"/>
      <w:lvlText w:val="%1."/>
      <w:lvlJc w:val="left"/>
      <w:pPr>
        <w:tabs>
          <w:tab w:val="num" w:pos="1056"/>
        </w:tabs>
        <w:ind w:left="1056" w:hanging="360"/>
      </w:pPr>
    </w:lvl>
  </w:abstractNum>
  <w:abstractNum w:abstractNumId="1" w15:restartNumberingAfterBreak="0">
    <w:nsid w:val="FFFFFF7E"/>
    <w:multiLevelType w:val="singleLevel"/>
    <w:tmpl w:val="55A6272C"/>
    <w:lvl w:ilvl="0">
      <w:start w:val="1"/>
      <w:numFmt w:val="decimal"/>
      <w:pStyle w:val="ListNumber31"/>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1"/>
      <w:lvlText w:val="%1."/>
      <w:lvlJc w:val="left"/>
      <w:pPr>
        <w:tabs>
          <w:tab w:val="num" w:pos="643"/>
        </w:tabs>
        <w:ind w:left="643" w:hanging="360"/>
      </w:pPr>
    </w:lvl>
  </w:abstractNum>
  <w:abstractNum w:abstractNumId="3" w15:restartNumberingAfterBreak="0">
    <w:nsid w:val="FFFFFF88"/>
    <w:multiLevelType w:val="singleLevel"/>
    <w:tmpl w:val="AD788A4A"/>
    <w:lvl w:ilvl="0">
      <w:start w:val="1"/>
      <w:numFmt w:val="decimal"/>
      <w:pStyle w:val="ListNumber1"/>
      <w:lvlText w:val="%1."/>
      <w:lvlJc w:val="left"/>
      <w:pPr>
        <w:tabs>
          <w:tab w:val="num" w:pos="360"/>
        </w:tabs>
        <w:ind w:left="360" w:hanging="360"/>
      </w:pPr>
    </w:lvl>
  </w:abstractNum>
  <w:abstractNum w:abstractNumId="4" w15:restartNumberingAfterBreak="0">
    <w:nsid w:val="FFFFFF89"/>
    <w:multiLevelType w:val="singleLevel"/>
    <w:tmpl w:val="3FE82790"/>
    <w:lvl w:ilvl="0">
      <w:start w:val="1"/>
      <w:numFmt w:val="bullet"/>
      <w:pStyle w:val="ListBullet"/>
      <w:lvlText w:val=""/>
      <w:lvlJc w:val="left"/>
      <w:pPr>
        <w:tabs>
          <w:tab w:val="num" w:pos="360"/>
        </w:tabs>
        <w:ind w:left="360" w:hanging="360"/>
      </w:pPr>
      <w:rPr>
        <w:rFonts w:ascii="Symbol" w:hAnsi="Symbol" w:hint="default"/>
      </w:rPr>
    </w:lvl>
  </w:abstractNum>
  <w:abstractNum w:abstractNumId="5" w15:restartNumberingAfterBreak="0">
    <w:nsid w:val="00D81DA2"/>
    <w:multiLevelType w:val="multilevel"/>
    <w:tmpl w:val="0E1CAF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1281CA7"/>
    <w:multiLevelType w:val="hybridMultilevel"/>
    <w:tmpl w:val="8B104CD2"/>
    <w:lvl w:ilvl="0" w:tplc="18090019">
      <w:start w:val="1"/>
      <w:numFmt w:val="lowerLetter"/>
      <w:lvlText w:val="%1."/>
      <w:lvlJc w:val="left"/>
      <w:pPr>
        <w:ind w:left="836" w:hanging="360"/>
      </w:pPr>
    </w:lvl>
    <w:lvl w:ilvl="1" w:tplc="FFFFFFFF" w:tentative="1">
      <w:start w:val="1"/>
      <w:numFmt w:val="lowerLetter"/>
      <w:lvlText w:val="%2."/>
      <w:lvlJc w:val="left"/>
      <w:pPr>
        <w:ind w:left="1556" w:hanging="360"/>
      </w:pPr>
    </w:lvl>
    <w:lvl w:ilvl="2" w:tplc="FFFFFFFF" w:tentative="1">
      <w:start w:val="1"/>
      <w:numFmt w:val="lowerRoman"/>
      <w:lvlText w:val="%3."/>
      <w:lvlJc w:val="right"/>
      <w:pPr>
        <w:ind w:left="2276" w:hanging="180"/>
      </w:pPr>
    </w:lvl>
    <w:lvl w:ilvl="3" w:tplc="FFFFFFFF" w:tentative="1">
      <w:start w:val="1"/>
      <w:numFmt w:val="decimal"/>
      <w:lvlText w:val="%4."/>
      <w:lvlJc w:val="left"/>
      <w:pPr>
        <w:ind w:left="2996" w:hanging="360"/>
      </w:pPr>
    </w:lvl>
    <w:lvl w:ilvl="4" w:tplc="FFFFFFFF" w:tentative="1">
      <w:start w:val="1"/>
      <w:numFmt w:val="lowerLetter"/>
      <w:lvlText w:val="%5."/>
      <w:lvlJc w:val="left"/>
      <w:pPr>
        <w:ind w:left="3716" w:hanging="360"/>
      </w:pPr>
    </w:lvl>
    <w:lvl w:ilvl="5" w:tplc="FFFFFFFF" w:tentative="1">
      <w:start w:val="1"/>
      <w:numFmt w:val="lowerRoman"/>
      <w:lvlText w:val="%6."/>
      <w:lvlJc w:val="right"/>
      <w:pPr>
        <w:ind w:left="4436" w:hanging="180"/>
      </w:pPr>
    </w:lvl>
    <w:lvl w:ilvl="6" w:tplc="FFFFFFFF" w:tentative="1">
      <w:start w:val="1"/>
      <w:numFmt w:val="decimal"/>
      <w:lvlText w:val="%7."/>
      <w:lvlJc w:val="left"/>
      <w:pPr>
        <w:ind w:left="5156" w:hanging="360"/>
      </w:pPr>
    </w:lvl>
    <w:lvl w:ilvl="7" w:tplc="FFFFFFFF" w:tentative="1">
      <w:start w:val="1"/>
      <w:numFmt w:val="lowerLetter"/>
      <w:lvlText w:val="%8."/>
      <w:lvlJc w:val="left"/>
      <w:pPr>
        <w:ind w:left="5876" w:hanging="360"/>
      </w:pPr>
    </w:lvl>
    <w:lvl w:ilvl="8" w:tplc="FFFFFFFF" w:tentative="1">
      <w:start w:val="1"/>
      <w:numFmt w:val="lowerRoman"/>
      <w:lvlText w:val="%9."/>
      <w:lvlJc w:val="right"/>
      <w:pPr>
        <w:ind w:left="6596" w:hanging="180"/>
      </w:pPr>
    </w:lvl>
  </w:abstractNum>
  <w:abstractNum w:abstractNumId="7" w15:restartNumberingAfterBreak="0">
    <w:nsid w:val="02003373"/>
    <w:multiLevelType w:val="hybridMultilevel"/>
    <w:tmpl w:val="F3802738"/>
    <w:lvl w:ilvl="0" w:tplc="FC26DA30">
      <w:start w:val="1"/>
      <w:numFmt w:val="bullet"/>
      <w:lvlText w:val="-"/>
      <w:lvlJc w:val="left"/>
      <w:pPr>
        <w:ind w:left="720" w:hanging="360"/>
      </w:pPr>
      <w:rPr>
        <w:rFonts w:ascii="Symbol" w:hAnsi="Symbol" w:hint="default"/>
      </w:rPr>
    </w:lvl>
    <w:lvl w:ilvl="1" w:tplc="0462880E">
      <w:start w:val="1"/>
      <w:numFmt w:val="bullet"/>
      <w:lvlText w:val="o"/>
      <w:lvlJc w:val="left"/>
      <w:pPr>
        <w:ind w:left="1440" w:hanging="360"/>
      </w:pPr>
      <w:rPr>
        <w:rFonts w:ascii="Courier New" w:hAnsi="Courier New" w:cs="Times New Roman" w:hint="default"/>
      </w:rPr>
    </w:lvl>
    <w:lvl w:ilvl="2" w:tplc="F90A8E8E">
      <w:start w:val="1"/>
      <w:numFmt w:val="bullet"/>
      <w:lvlText w:val=""/>
      <w:lvlJc w:val="left"/>
      <w:pPr>
        <w:ind w:left="2160" w:hanging="360"/>
      </w:pPr>
      <w:rPr>
        <w:rFonts w:ascii="Wingdings" w:hAnsi="Wingdings" w:hint="default"/>
      </w:rPr>
    </w:lvl>
    <w:lvl w:ilvl="3" w:tplc="6D4420D6">
      <w:start w:val="1"/>
      <w:numFmt w:val="bullet"/>
      <w:lvlText w:val=""/>
      <w:lvlJc w:val="left"/>
      <w:pPr>
        <w:ind w:left="2880" w:hanging="360"/>
      </w:pPr>
      <w:rPr>
        <w:rFonts w:ascii="Symbol" w:hAnsi="Symbol" w:hint="default"/>
      </w:rPr>
    </w:lvl>
    <w:lvl w:ilvl="4" w:tplc="16727DC8">
      <w:start w:val="1"/>
      <w:numFmt w:val="bullet"/>
      <w:lvlText w:val="o"/>
      <w:lvlJc w:val="left"/>
      <w:pPr>
        <w:ind w:left="3600" w:hanging="360"/>
      </w:pPr>
      <w:rPr>
        <w:rFonts w:ascii="Courier New" w:hAnsi="Courier New" w:cs="Times New Roman" w:hint="default"/>
      </w:rPr>
    </w:lvl>
    <w:lvl w:ilvl="5" w:tplc="C7B4C740">
      <w:start w:val="1"/>
      <w:numFmt w:val="bullet"/>
      <w:lvlText w:val=""/>
      <w:lvlJc w:val="left"/>
      <w:pPr>
        <w:ind w:left="4320" w:hanging="360"/>
      </w:pPr>
      <w:rPr>
        <w:rFonts w:ascii="Wingdings" w:hAnsi="Wingdings" w:hint="default"/>
      </w:rPr>
    </w:lvl>
    <w:lvl w:ilvl="6" w:tplc="6172E3C4">
      <w:start w:val="1"/>
      <w:numFmt w:val="bullet"/>
      <w:lvlText w:val=""/>
      <w:lvlJc w:val="left"/>
      <w:pPr>
        <w:ind w:left="5040" w:hanging="360"/>
      </w:pPr>
      <w:rPr>
        <w:rFonts w:ascii="Symbol" w:hAnsi="Symbol" w:hint="default"/>
      </w:rPr>
    </w:lvl>
    <w:lvl w:ilvl="7" w:tplc="778A8E7C">
      <w:start w:val="1"/>
      <w:numFmt w:val="bullet"/>
      <w:lvlText w:val="o"/>
      <w:lvlJc w:val="left"/>
      <w:pPr>
        <w:ind w:left="5760" w:hanging="360"/>
      </w:pPr>
      <w:rPr>
        <w:rFonts w:ascii="Courier New" w:hAnsi="Courier New" w:cs="Times New Roman" w:hint="default"/>
      </w:rPr>
    </w:lvl>
    <w:lvl w:ilvl="8" w:tplc="B5700FD6">
      <w:start w:val="1"/>
      <w:numFmt w:val="bullet"/>
      <w:lvlText w:val=""/>
      <w:lvlJc w:val="left"/>
      <w:pPr>
        <w:ind w:left="6480" w:hanging="360"/>
      </w:pPr>
      <w:rPr>
        <w:rFonts w:ascii="Wingdings" w:hAnsi="Wingdings" w:hint="default"/>
      </w:rPr>
    </w:lvl>
  </w:abstractNum>
  <w:abstractNum w:abstractNumId="8" w15:restartNumberingAfterBreak="0">
    <w:nsid w:val="02978374"/>
    <w:multiLevelType w:val="hybridMultilevel"/>
    <w:tmpl w:val="FFFFFFFF"/>
    <w:lvl w:ilvl="0" w:tplc="F94C6FB4">
      <w:start w:val="1"/>
      <w:numFmt w:val="bullet"/>
      <w:lvlText w:val="·"/>
      <w:lvlJc w:val="left"/>
      <w:pPr>
        <w:ind w:left="720" w:hanging="360"/>
      </w:pPr>
      <w:rPr>
        <w:rFonts w:ascii="Symbol" w:hAnsi="Symbol" w:hint="default"/>
      </w:rPr>
    </w:lvl>
    <w:lvl w:ilvl="1" w:tplc="A87C51DE">
      <w:start w:val="1"/>
      <w:numFmt w:val="bullet"/>
      <w:lvlText w:val="o"/>
      <w:lvlJc w:val="left"/>
      <w:pPr>
        <w:ind w:left="1440" w:hanging="360"/>
      </w:pPr>
      <w:rPr>
        <w:rFonts w:ascii="Courier New" w:hAnsi="Courier New" w:hint="default"/>
      </w:rPr>
    </w:lvl>
    <w:lvl w:ilvl="2" w:tplc="476A0580">
      <w:start w:val="1"/>
      <w:numFmt w:val="bullet"/>
      <w:lvlText w:val=""/>
      <w:lvlJc w:val="left"/>
      <w:pPr>
        <w:ind w:left="2160" w:hanging="360"/>
      </w:pPr>
      <w:rPr>
        <w:rFonts w:ascii="Wingdings" w:hAnsi="Wingdings" w:hint="default"/>
      </w:rPr>
    </w:lvl>
    <w:lvl w:ilvl="3" w:tplc="720833BA">
      <w:start w:val="1"/>
      <w:numFmt w:val="bullet"/>
      <w:lvlText w:val=""/>
      <w:lvlJc w:val="left"/>
      <w:pPr>
        <w:ind w:left="2880" w:hanging="360"/>
      </w:pPr>
      <w:rPr>
        <w:rFonts w:ascii="Symbol" w:hAnsi="Symbol" w:hint="default"/>
      </w:rPr>
    </w:lvl>
    <w:lvl w:ilvl="4" w:tplc="B88A2602">
      <w:start w:val="1"/>
      <w:numFmt w:val="bullet"/>
      <w:lvlText w:val="o"/>
      <w:lvlJc w:val="left"/>
      <w:pPr>
        <w:ind w:left="3600" w:hanging="360"/>
      </w:pPr>
      <w:rPr>
        <w:rFonts w:ascii="Courier New" w:hAnsi="Courier New" w:hint="default"/>
      </w:rPr>
    </w:lvl>
    <w:lvl w:ilvl="5" w:tplc="75E40A7A">
      <w:start w:val="1"/>
      <w:numFmt w:val="bullet"/>
      <w:lvlText w:val=""/>
      <w:lvlJc w:val="left"/>
      <w:pPr>
        <w:ind w:left="4320" w:hanging="360"/>
      </w:pPr>
      <w:rPr>
        <w:rFonts w:ascii="Wingdings" w:hAnsi="Wingdings" w:hint="default"/>
      </w:rPr>
    </w:lvl>
    <w:lvl w:ilvl="6" w:tplc="30105FF0">
      <w:start w:val="1"/>
      <w:numFmt w:val="bullet"/>
      <w:lvlText w:val=""/>
      <w:lvlJc w:val="left"/>
      <w:pPr>
        <w:ind w:left="5040" w:hanging="360"/>
      </w:pPr>
      <w:rPr>
        <w:rFonts w:ascii="Symbol" w:hAnsi="Symbol" w:hint="default"/>
      </w:rPr>
    </w:lvl>
    <w:lvl w:ilvl="7" w:tplc="E28A437E">
      <w:start w:val="1"/>
      <w:numFmt w:val="bullet"/>
      <w:lvlText w:val="o"/>
      <w:lvlJc w:val="left"/>
      <w:pPr>
        <w:ind w:left="5760" w:hanging="360"/>
      </w:pPr>
      <w:rPr>
        <w:rFonts w:ascii="Courier New" w:hAnsi="Courier New" w:hint="default"/>
      </w:rPr>
    </w:lvl>
    <w:lvl w:ilvl="8" w:tplc="9B36E314">
      <w:start w:val="1"/>
      <w:numFmt w:val="bullet"/>
      <w:lvlText w:val=""/>
      <w:lvlJc w:val="left"/>
      <w:pPr>
        <w:ind w:left="6480" w:hanging="360"/>
      </w:pPr>
      <w:rPr>
        <w:rFonts w:ascii="Wingdings" w:hAnsi="Wingdings" w:hint="default"/>
      </w:rPr>
    </w:lvl>
  </w:abstractNum>
  <w:abstractNum w:abstractNumId="9" w15:restartNumberingAfterBreak="0">
    <w:nsid w:val="02FE307A"/>
    <w:multiLevelType w:val="hybridMultilevel"/>
    <w:tmpl w:val="F1609306"/>
    <w:lvl w:ilvl="0" w:tplc="EC54D02A">
      <w:start w:val="1"/>
      <w:numFmt w:val="decimal"/>
      <w:lvlText w:val="%1."/>
      <w:lvlJc w:val="left"/>
      <w:pPr>
        <w:ind w:left="720" w:hanging="360"/>
      </w:pPr>
    </w:lvl>
    <w:lvl w:ilvl="1" w:tplc="72CEE8E4">
      <w:start w:val="1"/>
      <w:numFmt w:val="lowerLetter"/>
      <w:lvlText w:val="%2."/>
      <w:lvlJc w:val="left"/>
      <w:pPr>
        <w:ind w:left="1440" w:hanging="360"/>
      </w:pPr>
    </w:lvl>
    <w:lvl w:ilvl="2" w:tplc="138C35F4">
      <w:start w:val="1"/>
      <w:numFmt w:val="lowerRoman"/>
      <w:lvlText w:val="%3."/>
      <w:lvlJc w:val="right"/>
      <w:pPr>
        <w:ind w:left="2160" w:hanging="180"/>
      </w:pPr>
    </w:lvl>
    <w:lvl w:ilvl="3" w:tplc="306E3D08">
      <w:start w:val="1"/>
      <w:numFmt w:val="decimal"/>
      <w:lvlText w:val="%4."/>
      <w:lvlJc w:val="left"/>
      <w:pPr>
        <w:ind w:left="2880" w:hanging="360"/>
      </w:pPr>
    </w:lvl>
    <w:lvl w:ilvl="4" w:tplc="B080B7A4">
      <w:start w:val="1"/>
      <w:numFmt w:val="lowerLetter"/>
      <w:lvlText w:val="%5."/>
      <w:lvlJc w:val="left"/>
      <w:pPr>
        <w:ind w:left="3600" w:hanging="360"/>
      </w:pPr>
    </w:lvl>
    <w:lvl w:ilvl="5" w:tplc="8D928C04">
      <w:start w:val="1"/>
      <w:numFmt w:val="lowerRoman"/>
      <w:lvlText w:val="%6."/>
      <w:lvlJc w:val="right"/>
      <w:pPr>
        <w:ind w:left="4320" w:hanging="180"/>
      </w:pPr>
    </w:lvl>
    <w:lvl w:ilvl="6" w:tplc="D9EE2BD0">
      <w:start w:val="1"/>
      <w:numFmt w:val="decimal"/>
      <w:lvlText w:val="%7."/>
      <w:lvlJc w:val="left"/>
      <w:pPr>
        <w:ind w:left="5040" w:hanging="360"/>
      </w:pPr>
    </w:lvl>
    <w:lvl w:ilvl="7" w:tplc="52B6879A">
      <w:start w:val="1"/>
      <w:numFmt w:val="lowerLetter"/>
      <w:lvlText w:val="%8."/>
      <w:lvlJc w:val="left"/>
      <w:pPr>
        <w:ind w:left="5760" w:hanging="360"/>
      </w:pPr>
    </w:lvl>
    <w:lvl w:ilvl="8" w:tplc="A0EE479A">
      <w:start w:val="1"/>
      <w:numFmt w:val="lowerRoman"/>
      <w:lvlText w:val="%9."/>
      <w:lvlJc w:val="right"/>
      <w:pPr>
        <w:ind w:left="6480" w:hanging="180"/>
      </w:pPr>
    </w:lvl>
  </w:abstractNum>
  <w:abstractNum w:abstractNumId="10" w15:restartNumberingAfterBreak="0">
    <w:nsid w:val="057D2A71"/>
    <w:multiLevelType w:val="hybridMultilevel"/>
    <w:tmpl w:val="ECC8397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6331374"/>
    <w:multiLevelType w:val="hybridMultilevel"/>
    <w:tmpl w:val="F94A11DC"/>
    <w:lvl w:ilvl="0" w:tplc="18090015">
      <w:start w:val="1"/>
      <w:numFmt w:val="upp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2" w15:restartNumberingAfterBreak="0">
    <w:nsid w:val="06CE3E43"/>
    <w:multiLevelType w:val="hybridMultilevel"/>
    <w:tmpl w:val="9230E6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6F47115"/>
    <w:multiLevelType w:val="hybridMultilevel"/>
    <w:tmpl w:val="523AD6C6"/>
    <w:lvl w:ilvl="0" w:tplc="E4E01FB6">
      <w:start w:val="1"/>
      <w:numFmt w:val="lowerRoman"/>
      <w:lvlText w:val="%1."/>
      <w:lvlJc w:val="right"/>
      <w:pPr>
        <w:ind w:left="720" w:hanging="360"/>
      </w:pPr>
    </w:lvl>
    <w:lvl w:ilvl="1" w:tplc="CC14CE30">
      <w:start w:val="1"/>
      <w:numFmt w:val="lowerLetter"/>
      <w:lvlText w:val="%2."/>
      <w:lvlJc w:val="left"/>
      <w:pPr>
        <w:ind w:left="1440" w:hanging="360"/>
      </w:pPr>
    </w:lvl>
    <w:lvl w:ilvl="2" w:tplc="7C30A1AA">
      <w:start w:val="1"/>
      <w:numFmt w:val="lowerRoman"/>
      <w:lvlText w:val="%3."/>
      <w:lvlJc w:val="right"/>
      <w:pPr>
        <w:ind w:left="2160" w:hanging="180"/>
      </w:pPr>
    </w:lvl>
    <w:lvl w:ilvl="3" w:tplc="A5343F08">
      <w:start w:val="1"/>
      <w:numFmt w:val="decimal"/>
      <w:lvlText w:val="%4."/>
      <w:lvlJc w:val="left"/>
      <w:pPr>
        <w:ind w:left="2880" w:hanging="360"/>
      </w:pPr>
    </w:lvl>
    <w:lvl w:ilvl="4" w:tplc="A412B3A4">
      <w:start w:val="1"/>
      <w:numFmt w:val="lowerLetter"/>
      <w:lvlText w:val="%5."/>
      <w:lvlJc w:val="left"/>
      <w:pPr>
        <w:ind w:left="3600" w:hanging="360"/>
      </w:pPr>
    </w:lvl>
    <w:lvl w:ilvl="5" w:tplc="2D3A5EC6">
      <w:start w:val="1"/>
      <w:numFmt w:val="lowerRoman"/>
      <w:lvlText w:val="%6."/>
      <w:lvlJc w:val="right"/>
      <w:pPr>
        <w:ind w:left="4320" w:hanging="180"/>
      </w:pPr>
    </w:lvl>
    <w:lvl w:ilvl="6" w:tplc="442A8E74">
      <w:start w:val="1"/>
      <w:numFmt w:val="decimal"/>
      <w:lvlText w:val="%7."/>
      <w:lvlJc w:val="left"/>
      <w:pPr>
        <w:ind w:left="5040" w:hanging="360"/>
      </w:pPr>
    </w:lvl>
    <w:lvl w:ilvl="7" w:tplc="978A2838">
      <w:start w:val="1"/>
      <w:numFmt w:val="lowerLetter"/>
      <w:lvlText w:val="%8."/>
      <w:lvlJc w:val="left"/>
      <w:pPr>
        <w:ind w:left="5760" w:hanging="360"/>
      </w:pPr>
    </w:lvl>
    <w:lvl w:ilvl="8" w:tplc="5EC4DE44">
      <w:start w:val="1"/>
      <w:numFmt w:val="lowerRoman"/>
      <w:lvlText w:val="%9."/>
      <w:lvlJc w:val="right"/>
      <w:pPr>
        <w:ind w:left="6480" w:hanging="180"/>
      </w:pPr>
    </w:lvl>
  </w:abstractNum>
  <w:abstractNum w:abstractNumId="14" w15:restartNumberingAfterBreak="0">
    <w:nsid w:val="083D4687"/>
    <w:multiLevelType w:val="multilevel"/>
    <w:tmpl w:val="0D3C09D4"/>
    <w:lvl w:ilvl="0">
      <w:start w:val="4"/>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 w15:restartNumberingAfterBreak="0">
    <w:nsid w:val="0869CDD7"/>
    <w:multiLevelType w:val="hybridMultilevel"/>
    <w:tmpl w:val="E6F60F72"/>
    <w:lvl w:ilvl="0" w:tplc="CC5A35A2">
      <w:start w:val="1"/>
      <w:numFmt w:val="bullet"/>
      <w:lvlText w:val="-"/>
      <w:lvlJc w:val="left"/>
      <w:pPr>
        <w:ind w:left="720" w:hanging="360"/>
      </w:pPr>
      <w:rPr>
        <w:rFonts w:ascii="Symbol" w:hAnsi="Symbol" w:hint="default"/>
      </w:rPr>
    </w:lvl>
    <w:lvl w:ilvl="1" w:tplc="E90CF390">
      <w:start w:val="1"/>
      <w:numFmt w:val="bullet"/>
      <w:lvlText w:val="o"/>
      <w:lvlJc w:val="left"/>
      <w:pPr>
        <w:ind w:left="1440" w:hanging="360"/>
      </w:pPr>
      <w:rPr>
        <w:rFonts w:ascii="Courier New" w:hAnsi="Courier New" w:cs="Times New Roman" w:hint="default"/>
      </w:rPr>
    </w:lvl>
    <w:lvl w:ilvl="2" w:tplc="62C827A8">
      <w:start w:val="1"/>
      <w:numFmt w:val="bullet"/>
      <w:lvlText w:val=""/>
      <w:lvlJc w:val="left"/>
      <w:pPr>
        <w:ind w:left="2160" w:hanging="360"/>
      </w:pPr>
      <w:rPr>
        <w:rFonts w:ascii="Wingdings" w:hAnsi="Wingdings" w:hint="default"/>
      </w:rPr>
    </w:lvl>
    <w:lvl w:ilvl="3" w:tplc="C6AC6B24">
      <w:start w:val="1"/>
      <w:numFmt w:val="bullet"/>
      <w:lvlText w:val=""/>
      <w:lvlJc w:val="left"/>
      <w:pPr>
        <w:ind w:left="2880" w:hanging="360"/>
      </w:pPr>
      <w:rPr>
        <w:rFonts w:ascii="Symbol" w:hAnsi="Symbol" w:hint="default"/>
      </w:rPr>
    </w:lvl>
    <w:lvl w:ilvl="4" w:tplc="DF44F6A4">
      <w:start w:val="1"/>
      <w:numFmt w:val="bullet"/>
      <w:lvlText w:val="o"/>
      <w:lvlJc w:val="left"/>
      <w:pPr>
        <w:ind w:left="3600" w:hanging="360"/>
      </w:pPr>
      <w:rPr>
        <w:rFonts w:ascii="Courier New" w:hAnsi="Courier New" w:cs="Times New Roman" w:hint="default"/>
      </w:rPr>
    </w:lvl>
    <w:lvl w:ilvl="5" w:tplc="8126F19E">
      <w:start w:val="1"/>
      <w:numFmt w:val="bullet"/>
      <w:lvlText w:val=""/>
      <w:lvlJc w:val="left"/>
      <w:pPr>
        <w:ind w:left="4320" w:hanging="360"/>
      </w:pPr>
      <w:rPr>
        <w:rFonts w:ascii="Wingdings" w:hAnsi="Wingdings" w:hint="default"/>
      </w:rPr>
    </w:lvl>
    <w:lvl w:ilvl="6" w:tplc="E4401EFE">
      <w:start w:val="1"/>
      <w:numFmt w:val="bullet"/>
      <w:lvlText w:val=""/>
      <w:lvlJc w:val="left"/>
      <w:pPr>
        <w:ind w:left="5040" w:hanging="360"/>
      </w:pPr>
      <w:rPr>
        <w:rFonts w:ascii="Symbol" w:hAnsi="Symbol" w:hint="default"/>
      </w:rPr>
    </w:lvl>
    <w:lvl w:ilvl="7" w:tplc="57C0F16C">
      <w:start w:val="1"/>
      <w:numFmt w:val="bullet"/>
      <w:lvlText w:val="o"/>
      <w:lvlJc w:val="left"/>
      <w:pPr>
        <w:ind w:left="5760" w:hanging="360"/>
      </w:pPr>
      <w:rPr>
        <w:rFonts w:ascii="Courier New" w:hAnsi="Courier New" w:cs="Times New Roman" w:hint="default"/>
      </w:rPr>
    </w:lvl>
    <w:lvl w:ilvl="8" w:tplc="59DA7ED4">
      <w:start w:val="1"/>
      <w:numFmt w:val="bullet"/>
      <w:lvlText w:val=""/>
      <w:lvlJc w:val="left"/>
      <w:pPr>
        <w:ind w:left="6480" w:hanging="360"/>
      </w:pPr>
      <w:rPr>
        <w:rFonts w:ascii="Wingdings" w:hAnsi="Wingdings" w:hint="default"/>
      </w:rPr>
    </w:lvl>
  </w:abstractNum>
  <w:abstractNum w:abstractNumId="16" w15:restartNumberingAfterBreak="0">
    <w:nsid w:val="0B41762F"/>
    <w:multiLevelType w:val="hybridMultilevel"/>
    <w:tmpl w:val="758601BC"/>
    <w:lvl w:ilvl="0" w:tplc="D7FEB5D2">
      <w:start w:val="1"/>
      <w:numFmt w:val="bullet"/>
      <w:lvlText w:val=""/>
      <w:lvlJc w:val="left"/>
      <w:pPr>
        <w:ind w:left="720" w:hanging="360"/>
      </w:pPr>
      <w:rPr>
        <w:rFonts w:ascii="Symbol" w:hAnsi="Symbol" w:hint="default"/>
      </w:rPr>
    </w:lvl>
    <w:lvl w:ilvl="1" w:tplc="B6F0C5A4">
      <w:start w:val="1"/>
      <w:numFmt w:val="bullet"/>
      <w:lvlText w:val="o"/>
      <w:lvlJc w:val="left"/>
      <w:pPr>
        <w:ind w:left="1440" w:hanging="360"/>
      </w:pPr>
      <w:rPr>
        <w:rFonts w:ascii="Courier New" w:hAnsi="Courier New" w:hint="default"/>
      </w:rPr>
    </w:lvl>
    <w:lvl w:ilvl="2" w:tplc="B6601F7E">
      <w:start w:val="1"/>
      <w:numFmt w:val="bullet"/>
      <w:lvlText w:val=""/>
      <w:lvlJc w:val="left"/>
      <w:pPr>
        <w:ind w:left="2160" w:hanging="360"/>
      </w:pPr>
      <w:rPr>
        <w:rFonts w:ascii="Wingdings" w:hAnsi="Wingdings" w:hint="default"/>
      </w:rPr>
    </w:lvl>
    <w:lvl w:ilvl="3" w:tplc="A7F26932">
      <w:start w:val="1"/>
      <w:numFmt w:val="bullet"/>
      <w:lvlText w:val=""/>
      <w:lvlJc w:val="left"/>
      <w:pPr>
        <w:ind w:left="2880" w:hanging="360"/>
      </w:pPr>
      <w:rPr>
        <w:rFonts w:ascii="Symbol" w:hAnsi="Symbol" w:hint="default"/>
      </w:rPr>
    </w:lvl>
    <w:lvl w:ilvl="4" w:tplc="0A001BA4">
      <w:start w:val="1"/>
      <w:numFmt w:val="bullet"/>
      <w:lvlText w:val="o"/>
      <w:lvlJc w:val="left"/>
      <w:pPr>
        <w:ind w:left="3600" w:hanging="360"/>
      </w:pPr>
      <w:rPr>
        <w:rFonts w:ascii="Courier New" w:hAnsi="Courier New" w:hint="default"/>
      </w:rPr>
    </w:lvl>
    <w:lvl w:ilvl="5" w:tplc="C5888858">
      <w:start w:val="1"/>
      <w:numFmt w:val="bullet"/>
      <w:lvlText w:val=""/>
      <w:lvlJc w:val="left"/>
      <w:pPr>
        <w:ind w:left="4320" w:hanging="360"/>
      </w:pPr>
      <w:rPr>
        <w:rFonts w:ascii="Wingdings" w:hAnsi="Wingdings" w:hint="default"/>
      </w:rPr>
    </w:lvl>
    <w:lvl w:ilvl="6" w:tplc="4282EB4C">
      <w:start w:val="1"/>
      <w:numFmt w:val="bullet"/>
      <w:lvlText w:val=""/>
      <w:lvlJc w:val="left"/>
      <w:pPr>
        <w:ind w:left="5040" w:hanging="360"/>
      </w:pPr>
      <w:rPr>
        <w:rFonts w:ascii="Symbol" w:hAnsi="Symbol" w:hint="default"/>
      </w:rPr>
    </w:lvl>
    <w:lvl w:ilvl="7" w:tplc="7A544E5C">
      <w:start w:val="1"/>
      <w:numFmt w:val="bullet"/>
      <w:lvlText w:val="o"/>
      <w:lvlJc w:val="left"/>
      <w:pPr>
        <w:ind w:left="5760" w:hanging="360"/>
      </w:pPr>
      <w:rPr>
        <w:rFonts w:ascii="Courier New" w:hAnsi="Courier New" w:hint="default"/>
      </w:rPr>
    </w:lvl>
    <w:lvl w:ilvl="8" w:tplc="A622FBBC">
      <w:start w:val="1"/>
      <w:numFmt w:val="bullet"/>
      <w:lvlText w:val=""/>
      <w:lvlJc w:val="left"/>
      <w:pPr>
        <w:ind w:left="6480" w:hanging="360"/>
      </w:pPr>
      <w:rPr>
        <w:rFonts w:ascii="Wingdings" w:hAnsi="Wingdings" w:hint="default"/>
      </w:rPr>
    </w:lvl>
  </w:abstractNum>
  <w:abstractNum w:abstractNumId="17" w15:restartNumberingAfterBreak="0">
    <w:nsid w:val="0C8B7279"/>
    <w:multiLevelType w:val="hybridMultilevel"/>
    <w:tmpl w:val="6D724774"/>
    <w:lvl w:ilvl="0" w:tplc="FFFFFFFF">
      <w:start w:val="1"/>
      <w:numFmt w:val="decimal"/>
      <w:lvlText w:val="%1."/>
      <w:lvlJc w:val="left"/>
      <w:pPr>
        <w:ind w:left="2345" w:hanging="360"/>
      </w:pPr>
    </w:lvl>
    <w:lvl w:ilvl="1" w:tplc="FFFFFFFF" w:tentative="1">
      <w:start w:val="1"/>
      <w:numFmt w:val="lowerLetter"/>
      <w:lvlText w:val="%2."/>
      <w:lvlJc w:val="left"/>
      <w:pPr>
        <w:ind w:left="3065" w:hanging="360"/>
      </w:pPr>
    </w:lvl>
    <w:lvl w:ilvl="2" w:tplc="FFFFFFFF" w:tentative="1">
      <w:start w:val="1"/>
      <w:numFmt w:val="lowerRoman"/>
      <w:lvlText w:val="%3."/>
      <w:lvlJc w:val="right"/>
      <w:pPr>
        <w:ind w:left="3785" w:hanging="180"/>
      </w:pPr>
    </w:lvl>
    <w:lvl w:ilvl="3" w:tplc="FFFFFFFF" w:tentative="1">
      <w:start w:val="1"/>
      <w:numFmt w:val="decimal"/>
      <w:lvlText w:val="%4."/>
      <w:lvlJc w:val="left"/>
      <w:pPr>
        <w:ind w:left="4505" w:hanging="360"/>
      </w:pPr>
    </w:lvl>
    <w:lvl w:ilvl="4" w:tplc="FFFFFFFF" w:tentative="1">
      <w:start w:val="1"/>
      <w:numFmt w:val="lowerLetter"/>
      <w:lvlText w:val="%5."/>
      <w:lvlJc w:val="left"/>
      <w:pPr>
        <w:ind w:left="5225" w:hanging="360"/>
      </w:pPr>
    </w:lvl>
    <w:lvl w:ilvl="5" w:tplc="FFFFFFFF" w:tentative="1">
      <w:start w:val="1"/>
      <w:numFmt w:val="lowerRoman"/>
      <w:lvlText w:val="%6."/>
      <w:lvlJc w:val="right"/>
      <w:pPr>
        <w:ind w:left="5945" w:hanging="180"/>
      </w:pPr>
    </w:lvl>
    <w:lvl w:ilvl="6" w:tplc="FFFFFFFF" w:tentative="1">
      <w:start w:val="1"/>
      <w:numFmt w:val="decimal"/>
      <w:lvlText w:val="%7."/>
      <w:lvlJc w:val="left"/>
      <w:pPr>
        <w:ind w:left="6665" w:hanging="360"/>
      </w:pPr>
    </w:lvl>
    <w:lvl w:ilvl="7" w:tplc="FFFFFFFF" w:tentative="1">
      <w:start w:val="1"/>
      <w:numFmt w:val="lowerLetter"/>
      <w:lvlText w:val="%8."/>
      <w:lvlJc w:val="left"/>
      <w:pPr>
        <w:ind w:left="7385" w:hanging="360"/>
      </w:pPr>
    </w:lvl>
    <w:lvl w:ilvl="8" w:tplc="FFFFFFFF" w:tentative="1">
      <w:start w:val="1"/>
      <w:numFmt w:val="lowerRoman"/>
      <w:lvlText w:val="%9."/>
      <w:lvlJc w:val="right"/>
      <w:pPr>
        <w:ind w:left="8105" w:hanging="180"/>
      </w:pPr>
    </w:lvl>
  </w:abstractNum>
  <w:abstractNum w:abstractNumId="18" w15:restartNumberingAfterBreak="0">
    <w:nsid w:val="0D860C36"/>
    <w:multiLevelType w:val="multilevel"/>
    <w:tmpl w:val="3A7E7F8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100D6C98"/>
    <w:multiLevelType w:val="hybridMultilevel"/>
    <w:tmpl w:val="C1183510"/>
    <w:lvl w:ilvl="0" w:tplc="F496A694">
      <w:start w:val="1"/>
      <w:numFmt w:val="bullet"/>
      <w:lvlText w:val=""/>
      <w:lvlJc w:val="left"/>
      <w:pPr>
        <w:ind w:left="720" w:hanging="360"/>
      </w:pPr>
      <w:rPr>
        <w:rFonts w:ascii="Symbol" w:hAnsi="Symbol" w:hint="default"/>
      </w:rPr>
    </w:lvl>
    <w:lvl w:ilvl="1" w:tplc="F4865392">
      <w:start w:val="1"/>
      <w:numFmt w:val="bullet"/>
      <w:lvlText w:val="o"/>
      <w:lvlJc w:val="left"/>
      <w:pPr>
        <w:ind w:left="1440" w:hanging="360"/>
      </w:pPr>
      <w:rPr>
        <w:rFonts w:ascii="Courier New" w:hAnsi="Courier New" w:hint="default"/>
      </w:rPr>
    </w:lvl>
    <w:lvl w:ilvl="2" w:tplc="96A008EE">
      <w:start w:val="1"/>
      <w:numFmt w:val="bullet"/>
      <w:lvlText w:val=""/>
      <w:lvlJc w:val="left"/>
      <w:pPr>
        <w:ind w:left="2160" w:hanging="360"/>
      </w:pPr>
      <w:rPr>
        <w:rFonts w:ascii="Wingdings" w:hAnsi="Wingdings" w:hint="default"/>
      </w:rPr>
    </w:lvl>
    <w:lvl w:ilvl="3" w:tplc="EB0A6D76">
      <w:start w:val="1"/>
      <w:numFmt w:val="bullet"/>
      <w:lvlText w:val=""/>
      <w:lvlJc w:val="left"/>
      <w:pPr>
        <w:ind w:left="2880" w:hanging="360"/>
      </w:pPr>
      <w:rPr>
        <w:rFonts w:ascii="Symbol" w:hAnsi="Symbol" w:hint="default"/>
      </w:rPr>
    </w:lvl>
    <w:lvl w:ilvl="4" w:tplc="CE7ACB2A">
      <w:start w:val="1"/>
      <w:numFmt w:val="bullet"/>
      <w:lvlText w:val="o"/>
      <w:lvlJc w:val="left"/>
      <w:pPr>
        <w:ind w:left="3600" w:hanging="360"/>
      </w:pPr>
      <w:rPr>
        <w:rFonts w:ascii="Courier New" w:hAnsi="Courier New" w:hint="default"/>
      </w:rPr>
    </w:lvl>
    <w:lvl w:ilvl="5" w:tplc="B8064BFA">
      <w:start w:val="1"/>
      <w:numFmt w:val="bullet"/>
      <w:lvlText w:val=""/>
      <w:lvlJc w:val="left"/>
      <w:pPr>
        <w:ind w:left="4320" w:hanging="360"/>
      </w:pPr>
      <w:rPr>
        <w:rFonts w:ascii="Wingdings" w:hAnsi="Wingdings" w:hint="default"/>
      </w:rPr>
    </w:lvl>
    <w:lvl w:ilvl="6" w:tplc="04766396">
      <w:start w:val="1"/>
      <w:numFmt w:val="bullet"/>
      <w:lvlText w:val=""/>
      <w:lvlJc w:val="left"/>
      <w:pPr>
        <w:ind w:left="5040" w:hanging="360"/>
      </w:pPr>
      <w:rPr>
        <w:rFonts w:ascii="Symbol" w:hAnsi="Symbol" w:hint="default"/>
      </w:rPr>
    </w:lvl>
    <w:lvl w:ilvl="7" w:tplc="CFB025BA">
      <w:start w:val="1"/>
      <w:numFmt w:val="bullet"/>
      <w:lvlText w:val="o"/>
      <w:lvlJc w:val="left"/>
      <w:pPr>
        <w:ind w:left="5760" w:hanging="360"/>
      </w:pPr>
      <w:rPr>
        <w:rFonts w:ascii="Courier New" w:hAnsi="Courier New" w:hint="default"/>
      </w:rPr>
    </w:lvl>
    <w:lvl w:ilvl="8" w:tplc="D7F680FE">
      <w:start w:val="1"/>
      <w:numFmt w:val="bullet"/>
      <w:lvlText w:val=""/>
      <w:lvlJc w:val="left"/>
      <w:pPr>
        <w:ind w:left="6480" w:hanging="360"/>
      </w:pPr>
      <w:rPr>
        <w:rFonts w:ascii="Wingdings" w:hAnsi="Wingdings" w:hint="default"/>
      </w:rPr>
    </w:lvl>
  </w:abstractNum>
  <w:abstractNum w:abstractNumId="20" w15:restartNumberingAfterBreak="0">
    <w:nsid w:val="1148198B"/>
    <w:multiLevelType w:val="multilevel"/>
    <w:tmpl w:val="378204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18A1EC2"/>
    <w:multiLevelType w:val="multilevel"/>
    <w:tmpl w:val="4EDCD4E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13042290"/>
    <w:multiLevelType w:val="hybridMultilevel"/>
    <w:tmpl w:val="26E691E0"/>
    <w:lvl w:ilvl="0" w:tplc="A1747E5E">
      <w:start w:val="1"/>
      <w:numFmt w:val="lowerLetter"/>
      <w:lvlText w:val="%1)"/>
      <w:lvlJc w:val="left"/>
      <w:pPr>
        <w:ind w:left="405" w:hanging="360"/>
      </w:pPr>
      <w:rPr>
        <w:rFonts w:ascii="Arial Narrow" w:eastAsia="Times New Roman" w:hAnsi="Arial Narrow" w:cs="Times New Roman"/>
      </w:rPr>
    </w:lvl>
    <w:lvl w:ilvl="1" w:tplc="04100019">
      <w:start w:val="1"/>
      <w:numFmt w:val="lowerLetter"/>
      <w:lvlText w:val="%2."/>
      <w:lvlJc w:val="left"/>
      <w:pPr>
        <w:ind w:left="1125" w:hanging="360"/>
      </w:pPr>
    </w:lvl>
    <w:lvl w:ilvl="2" w:tplc="0410001B">
      <w:start w:val="1"/>
      <w:numFmt w:val="lowerRoman"/>
      <w:lvlText w:val="%3."/>
      <w:lvlJc w:val="right"/>
      <w:pPr>
        <w:ind w:left="1845" w:hanging="180"/>
      </w:pPr>
    </w:lvl>
    <w:lvl w:ilvl="3" w:tplc="0410000F">
      <w:start w:val="1"/>
      <w:numFmt w:val="decimal"/>
      <w:lvlText w:val="%4."/>
      <w:lvlJc w:val="left"/>
      <w:pPr>
        <w:ind w:left="2565" w:hanging="360"/>
      </w:pPr>
    </w:lvl>
    <w:lvl w:ilvl="4" w:tplc="04100019">
      <w:start w:val="1"/>
      <w:numFmt w:val="lowerLetter"/>
      <w:lvlText w:val="%5."/>
      <w:lvlJc w:val="left"/>
      <w:pPr>
        <w:ind w:left="3285" w:hanging="360"/>
      </w:pPr>
    </w:lvl>
    <w:lvl w:ilvl="5" w:tplc="0410001B">
      <w:start w:val="1"/>
      <w:numFmt w:val="lowerRoman"/>
      <w:lvlText w:val="%6."/>
      <w:lvlJc w:val="right"/>
      <w:pPr>
        <w:ind w:left="4005" w:hanging="180"/>
      </w:pPr>
    </w:lvl>
    <w:lvl w:ilvl="6" w:tplc="0410000F">
      <w:start w:val="1"/>
      <w:numFmt w:val="decimal"/>
      <w:lvlText w:val="%7."/>
      <w:lvlJc w:val="left"/>
      <w:pPr>
        <w:ind w:left="4725" w:hanging="360"/>
      </w:pPr>
    </w:lvl>
    <w:lvl w:ilvl="7" w:tplc="04100019">
      <w:start w:val="1"/>
      <w:numFmt w:val="lowerLetter"/>
      <w:lvlText w:val="%8."/>
      <w:lvlJc w:val="left"/>
      <w:pPr>
        <w:ind w:left="5445" w:hanging="360"/>
      </w:pPr>
    </w:lvl>
    <w:lvl w:ilvl="8" w:tplc="0410001B">
      <w:start w:val="1"/>
      <w:numFmt w:val="lowerRoman"/>
      <w:lvlText w:val="%9."/>
      <w:lvlJc w:val="right"/>
      <w:pPr>
        <w:ind w:left="6165" w:hanging="180"/>
      </w:pPr>
    </w:lvl>
  </w:abstractNum>
  <w:abstractNum w:abstractNumId="23" w15:restartNumberingAfterBreak="0">
    <w:nsid w:val="149832F7"/>
    <w:multiLevelType w:val="hybridMultilevel"/>
    <w:tmpl w:val="FFFFFFFF"/>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14ED7B12"/>
    <w:multiLevelType w:val="hybridMultilevel"/>
    <w:tmpl w:val="29EA5478"/>
    <w:lvl w:ilvl="0" w:tplc="C624DD22">
      <w:start w:val="1"/>
      <w:numFmt w:val="lowerRoman"/>
      <w:lvlText w:val="%1)"/>
      <w:lvlJc w:val="left"/>
      <w:pPr>
        <w:ind w:left="1440" w:hanging="360"/>
      </w:pPr>
    </w:lvl>
    <w:lvl w:ilvl="1" w:tplc="E18AE650">
      <w:start w:val="1"/>
      <w:numFmt w:val="lowerLetter"/>
      <w:lvlText w:val="%2."/>
      <w:lvlJc w:val="left"/>
      <w:pPr>
        <w:ind w:left="2160" w:hanging="360"/>
      </w:pPr>
    </w:lvl>
    <w:lvl w:ilvl="2" w:tplc="39ACE392">
      <w:start w:val="1"/>
      <w:numFmt w:val="lowerRoman"/>
      <w:lvlText w:val="%3."/>
      <w:lvlJc w:val="right"/>
      <w:pPr>
        <w:ind w:left="2880" w:hanging="180"/>
      </w:pPr>
    </w:lvl>
    <w:lvl w:ilvl="3" w:tplc="020E0FE2">
      <w:start w:val="1"/>
      <w:numFmt w:val="decimal"/>
      <w:lvlText w:val="%4."/>
      <w:lvlJc w:val="left"/>
      <w:pPr>
        <w:ind w:left="3600" w:hanging="360"/>
      </w:pPr>
    </w:lvl>
    <w:lvl w:ilvl="4" w:tplc="AD32E020">
      <w:start w:val="1"/>
      <w:numFmt w:val="lowerLetter"/>
      <w:lvlText w:val="%5."/>
      <w:lvlJc w:val="left"/>
      <w:pPr>
        <w:ind w:left="4320" w:hanging="360"/>
      </w:pPr>
    </w:lvl>
    <w:lvl w:ilvl="5" w:tplc="CD663922">
      <w:start w:val="1"/>
      <w:numFmt w:val="lowerRoman"/>
      <w:lvlText w:val="%6."/>
      <w:lvlJc w:val="right"/>
      <w:pPr>
        <w:ind w:left="5040" w:hanging="180"/>
      </w:pPr>
    </w:lvl>
    <w:lvl w:ilvl="6" w:tplc="4554061E">
      <w:start w:val="1"/>
      <w:numFmt w:val="decimal"/>
      <w:lvlText w:val="%7."/>
      <w:lvlJc w:val="left"/>
      <w:pPr>
        <w:ind w:left="5760" w:hanging="360"/>
      </w:pPr>
    </w:lvl>
    <w:lvl w:ilvl="7" w:tplc="F4F64926">
      <w:start w:val="1"/>
      <w:numFmt w:val="lowerLetter"/>
      <w:lvlText w:val="%8."/>
      <w:lvlJc w:val="left"/>
      <w:pPr>
        <w:ind w:left="6480" w:hanging="360"/>
      </w:pPr>
    </w:lvl>
    <w:lvl w:ilvl="8" w:tplc="C4EE6804">
      <w:start w:val="1"/>
      <w:numFmt w:val="lowerRoman"/>
      <w:lvlText w:val="%9."/>
      <w:lvlJc w:val="right"/>
      <w:pPr>
        <w:ind w:left="7200" w:hanging="180"/>
      </w:pPr>
    </w:lvl>
  </w:abstractNum>
  <w:abstractNum w:abstractNumId="25" w15:restartNumberingAfterBreak="0">
    <w:nsid w:val="14FA76B4"/>
    <w:multiLevelType w:val="hybridMultilevel"/>
    <w:tmpl w:val="6D72477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15D54647"/>
    <w:multiLevelType w:val="hybridMultilevel"/>
    <w:tmpl w:val="CDD2791E"/>
    <w:lvl w:ilvl="0" w:tplc="ECE249C6">
      <w:start w:val="1"/>
      <w:numFmt w:val="bullet"/>
      <w:lvlText w:val=""/>
      <w:lvlJc w:val="right"/>
      <w:pPr>
        <w:ind w:left="720" w:hanging="360"/>
      </w:pPr>
      <w:rPr>
        <w:rFonts w:ascii="Symbol" w:hAnsi="Symbol" w:hint="default"/>
        <w:color w:val="3A7C22" w:themeColor="accent6" w:themeShade="BF"/>
        <w:spacing w:val="6"/>
        <w:position w:val="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15E226B0"/>
    <w:multiLevelType w:val="multilevel"/>
    <w:tmpl w:val="C5D2BA54"/>
    <w:lvl w:ilvl="0">
      <w:start w:val="1"/>
      <w:numFmt w:val="bullet"/>
      <w:lvlText w:val="●"/>
      <w:lvlJc w:val="left"/>
      <w:pPr>
        <w:ind w:left="360" w:hanging="360"/>
      </w:pPr>
      <w:rPr>
        <w:rFonts w:ascii="Noto Sans Symbols" w:hAnsi="Noto Sans Symbols"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Noto Sans Symbols" w:hAnsi="Noto Sans Symbols" w:hint="default"/>
      </w:rPr>
    </w:lvl>
    <w:lvl w:ilvl="3">
      <w:start w:val="1"/>
      <w:numFmt w:val="bullet"/>
      <w:lvlText w:val="●"/>
      <w:lvlJc w:val="left"/>
      <w:pPr>
        <w:ind w:left="2520" w:hanging="360"/>
      </w:pPr>
      <w:rPr>
        <w:rFonts w:ascii="Noto Sans Symbols" w:hAnsi="Noto Sans Symbols"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Noto Sans Symbols" w:hAnsi="Noto Sans Symbols" w:hint="default"/>
      </w:rPr>
    </w:lvl>
    <w:lvl w:ilvl="6">
      <w:start w:val="1"/>
      <w:numFmt w:val="bullet"/>
      <w:lvlText w:val="●"/>
      <w:lvlJc w:val="left"/>
      <w:pPr>
        <w:ind w:left="4680" w:hanging="360"/>
      </w:pPr>
      <w:rPr>
        <w:rFonts w:ascii="Noto Sans Symbols" w:hAnsi="Noto Sans Symbols"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Noto Sans Symbols" w:hAnsi="Noto Sans Symbols" w:hint="default"/>
      </w:rPr>
    </w:lvl>
  </w:abstractNum>
  <w:abstractNum w:abstractNumId="28" w15:restartNumberingAfterBreak="0">
    <w:nsid w:val="16353175"/>
    <w:multiLevelType w:val="multilevel"/>
    <w:tmpl w:val="397A91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165622D8"/>
    <w:multiLevelType w:val="hybridMultilevel"/>
    <w:tmpl w:val="E6E46808"/>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181C2342"/>
    <w:multiLevelType w:val="multilevel"/>
    <w:tmpl w:val="BA5E2E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19337120"/>
    <w:multiLevelType w:val="multilevel"/>
    <w:tmpl w:val="3A4A7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9811323"/>
    <w:multiLevelType w:val="hybridMultilevel"/>
    <w:tmpl w:val="D428AE04"/>
    <w:lvl w:ilvl="0" w:tplc="07F82988">
      <w:start w:val="1"/>
      <w:numFmt w:val="bullet"/>
      <w:lvlText w:val="-"/>
      <w:lvlJc w:val="left"/>
      <w:pPr>
        <w:ind w:left="1429" w:hanging="360"/>
      </w:pPr>
      <w:rPr>
        <w:rFonts w:ascii="Times New Roman" w:hAnsi="Times New Roman" w:hint="default"/>
      </w:rPr>
    </w:lvl>
    <w:lvl w:ilvl="1" w:tplc="9222CE2E">
      <w:start w:val="1"/>
      <w:numFmt w:val="bullet"/>
      <w:lvlText w:val="o"/>
      <w:lvlJc w:val="left"/>
      <w:pPr>
        <w:ind w:left="2149" w:hanging="360"/>
      </w:pPr>
      <w:rPr>
        <w:rFonts w:ascii="Courier New" w:hAnsi="Courier New" w:hint="default"/>
      </w:rPr>
    </w:lvl>
    <w:lvl w:ilvl="2" w:tplc="701E9312">
      <w:start w:val="1"/>
      <w:numFmt w:val="bullet"/>
      <w:lvlText w:val=""/>
      <w:lvlJc w:val="left"/>
      <w:pPr>
        <w:ind w:left="2869" w:hanging="360"/>
      </w:pPr>
      <w:rPr>
        <w:rFonts w:ascii="Wingdings" w:hAnsi="Wingdings" w:hint="default"/>
      </w:rPr>
    </w:lvl>
    <w:lvl w:ilvl="3" w:tplc="C162749A">
      <w:start w:val="1"/>
      <w:numFmt w:val="bullet"/>
      <w:lvlText w:val=""/>
      <w:lvlJc w:val="left"/>
      <w:pPr>
        <w:ind w:left="3589" w:hanging="360"/>
      </w:pPr>
      <w:rPr>
        <w:rFonts w:ascii="Symbol" w:hAnsi="Symbol" w:hint="default"/>
      </w:rPr>
    </w:lvl>
    <w:lvl w:ilvl="4" w:tplc="BD6EA15C">
      <w:start w:val="1"/>
      <w:numFmt w:val="bullet"/>
      <w:lvlText w:val="o"/>
      <w:lvlJc w:val="left"/>
      <w:pPr>
        <w:ind w:left="4309" w:hanging="360"/>
      </w:pPr>
      <w:rPr>
        <w:rFonts w:ascii="Courier New" w:hAnsi="Courier New" w:hint="default"/>
      </w:rPr>
    </w:lvl>
    <w:lvl w:ilvl="5" w:tplc="B1B03284">
      <w:start w:val="1"/>
      <w:numFmt w:val="bullet"/>
      <w:lvlText w:val=""/>
      <w:lvlJc w:val="left"/>
      <w:pPr>
        <w:ind w:left="5029" w:hanging="360"/>
      </w:pPr>
      <w:rPr>
        <w:rFonts w:ascii="Wingdings" w:hAnsi="Wingdings" w:hint="default"/>
      </w:rPr>
    </w:lvl>
    <w:lvl w:ilvl="6" w:tplc="5BFAF6F2">
      <w:start w:val="1"/>
      <w:numFmt w:val="bullet"/>
      <w:lvlText w:val=""/>
      <w:lvlJc w:val="left"/>
      <w:pPr>
        <w:ind w:left="5749" w:hanging="360"/>
      </w:pPr>
      <w:rPr>
        <w:rFonts w:ascii="Symbol" w:hAnsi="Symbol" w:hint="default"/>
      </w:rPr>
    </w:lvl>
    <w:lvl w:ilvl="7" w:tplc="3D4AC7AE">
      <w:start w:val="1"/>
      <w:numFmt w:val="bullet"/>
      <w:lvlText w:val="o"/>
      <w:lvlJc w:val="left"/>
      <w:pPr>
        <w:ind w:left="6469" w:hanging="360"/>
      </w:pPr>
      <w:rPr>
        <w:rFonts w:ascii="Courier New" w:hAnsi="Courier New" w:hint="default"/>
      </w:rPr>
    </w:lvl>
    <w:lvl w:ilvl="8" w:tplc="0366C68C">
      <w:start w:val="1"/>
      <w:numFmt w:val="bullet"/>
      <w:lvlText w:val=""/>
      <w:lvlJc w:val="left"/>
      <w:pPr>
        <w:ind w:left="7189" w:hanging="360"/>
      </w:pPr>
      <w:rPr>
        <w:rFonts w:ascii="Wingdings" w:hAnsi="Wingdings" w:hint="default"/>
      </w:rPr>
    </w:lvl>
  </w:abstractNum>
  <w:abstractNum w:abstractNumId="33" w15:restartNumberingAfterBreak="0">
    <w:nsid w:val="1A747A46"/>
    <w:multiLevelType w:val="multilevel"/>
    <w:tmpl w:val="DAE6534A"/>
    <w:lvl w:ilvl="0">
      <w:start w:val="5"/>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4"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3numb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pStyle w:val="Point0letter"/>
      <w:lvlText w:val="(%4)"/>
      <w:lvlJc w:val="left"/>
      <w:pPr>
        <w:tabs>
          <w:tab w:val="num" w:pos="1417"/>
        </w:tabs>
        <w:ind w:left="1417" w:hanging="567"/>
      </w:pPr>
    </w:lvl>
    <w:lvl w:ilvl="4">
      <w:start w:val="1"/>
      <w:numFmt w:val="decimal"/>
      <w:pStyle w:val="Point1number"/>
      <w:lvlText w:val="(%5)"/>
      <w:lvlJc w:val="left"/>
      <w:pPr>
        <w:tabs>
          <w:tab w:val="num" w:pos="1984"/>
        </w:tabs>
        <w:ind w:left="1984" w:hanging="567"/>
      </w:pPr>
    </w:lvl>
    <w:lvl w:ilvl="5">
      <w:start w:val="1"/>
      <w:numFmt w:val="lowerLetter"/>
      <w:pStyle w:val="Point1letter"/>
      <w:lvlText w:val="(%6)"/>
      <w:lvlJc w:val="left"/>
      <w:pPr>
        <w:tabs>
          <w:tab w:val="num" w:pos="1984"/>
        </w:tabs>
        <w:ind w:left="1984" w:hanging="567"/>
      </w:pPr>
    </w:lvl>
    <w:lvl w:ilvl="6">
      <w:start w:val="1"/>
      <w:numFmt w:val="decimal"/>
      <w:pStyle w:val="Point2number"/>
      <w:lvlText w:val="(%7)"/>
      <w:lvlJc w:val="left"/>
      <w:pPr>
        <w:tabs>
          <w:tab w:val="num" w:pos="2551"/>
        </w:tabs>
        <w:ind w:left="2551" w:hanging="567"/>
      </w:pPr>
    </w:lvl>
    <w:lvl w:ilvl="7">
      <w:start w:val="1"/>
      <w:numFmt w:val="lowerLetter"/>
      <w:pStyle w:val="Point2letter"/>
      <w:lvlText w:val="(%8)"/>
      <w:lvlJc w:val="left"/>
      <w:pPr>
        <w:tabs>
          <w:tab w:val="num" w:pos="2551"/>
        </w:tabs>
        <w:ind w:left="2551" w:hanging="567"/>
      </w:pPr>
    </w:lvl>
    <w:lvl w:ilvl="8">
      <w:start w:val="1"/>
      <w:numFmt w:val="lowerLetter"/>
      <w:pStyle w:val="Point3letter"/>
      <w:lvlText w:val="(%9)"/>
      <w:lvlJc w:val="left"/>
      <w:pPr>
        <w:tabs>
          <w:tab w:val="num" w:pos="3118"/>
        </w:tabs>
        <w:ind w:left="3118" w:hanging="567"/>
      </w:pPr>
    </w:lvl>
  </w:abstractNum>
  <w:abstractNum w:abstractNumId="35" w15:restartNumberingAfterBreak="0">
    <w:nsid w:val="1E317D26"/>
    <w:multiLevelType w:val="hybridMultilevel"/>
    <w:tmpl w:val="F2566412"/>
    <w:lvl w:ilvl="0" w:tplc="7CC4E43C">
      <w:start w:val="1"/>
      <w:numFmt w:val="decimal"/>
      <w:lvlText w:val="%1."/>
      <w:lvlJc w:val="left"/>
      <w:pPr>
        <w:ind w:left="720" w:hanging="360"/>
      </w:pPr>
    </w:lvl>
    <w:lvl w:ilvl="1" w:tplc="98B4BE10">
      <w:start w:val="1"/>
      <w:numFmt w:val="lowerLetter"/>
      <w:lvlText w:val="%2."/>
      <w:lvlJc w:val="left"/>
      <w:pPr>
        <w:ind w:left="1440" w:hanging="360"/>
      </w:pPr>
    </w:lvl>
    <w:lvl w:ilvl="2" w:tplc="E28A6A02">
      <w:start w:val="1"/>
      <w:numFmt w:val="lowerRoman"/>
      <w:lvlText w:val="%3."/>
      <w:lvlJc w:val="right"/>
      <w:pPr>
        <w:ind w:left="2160" w:hanging="180"/>
      </w:pPr>
    </w:lvl>
    <w:lvl w:ilvl="3" w:tplc="6EB468B2">
      <w:start w:val="1"/>
      <w:numFmt w:val="decimal"/>
      <w:lvlText w:val="%4."/>
      <w:lvlJc w:val="left"/>
      <w:pPr>
        <w:ind w:left="2880" w:hanging="360"/>
      </w:pPr>
    </w:lvl>
    <w:lvl w:ilvl="4" w:tplc="DD965FD8">
      <w:start w:val="1"/>
      <w:numFmt w:val="lowerLetter"/>
      <w:lvlText w:val="%5."/>
      <w:lvlJc w:val="left"/>
      <w:pPr>
        <w:ind w:left="3600" w:hanging="360"/>
      </w:pPr>
    </w:lvl>
    <w:lvl w:ilvl="5" w:tplc="4E466424">
      <w:start w:val="1"/>
      <w:numFmt w:val="lowerRoman"/>
      <w:lvlText w:val="%6."/>
      <w:lvlJc w:val="right"/>
      <w:pPr>
        <w:ind w:left="4320" w:hanging="180"/>
      </w:pPr>
    </w:lvl>
    <w:lvl w:ilvl="6" w:tplc="2174BC9C">
      <w:start w:val="1"/>
      <w:numFmt w:val="decimal"/>
      <w:lvlText w:val="%7."/>
      <w:lvlJc w:val="left"/>
      <w:pPr>
        <w:ind w:left="5040" w:hanging="360"/>
      </w:pPr>
    </w:lvl>
    <w:lvl w:ilvl="7" w:tplc="3EA00D02">
      <w:start w:val="1"/>
      <w:numFmt w:val="lowerLetter"/>
      <w:lvlText w:val="%8."/>
      <w:lvlJc w:val="left"/>
      <w:pPr>
        <w:ind w:left="5760" w:hanging="360"/>
      </w:pPr>
    </w:lvl>
    <w:lvl w:ilvl="8" w:tplc="4616220A">
      <w:start w:val="1"/>
      <w:numFmt w:val="lowerRoman"/>
      <w:lvlText w:val="%9."/>
      <w:lvlJc w:val="right"/>
      <w:pPr>
        <w:ind w:left="6480" w:hanging="180"/>
      </w:pPr>
    </w:lvl>
  </w:abstractNum>
  <w:abstractNum w:abstractNumId="36" w15:restartNumberingAfterBreak="0">
    <w:nsid w:val="1E950445"/>
    <w:multiLevelType w:val="multilevel"/>
    <w:tmpl w:val="610804BC"/>
    <w:lvl w:ilvl="0">
      <w:start w:val="1"/>
      <w:numFmt w:val="decimal"/>
      <w:lvlText w:val="%1."/>
      <w:lvlJc w:val="left"/>
      <w:pPr>
        <w:ind w:left="476" w:hanging="476"/>
      </w:pPr>
      <w:rPr>
        <w:b/>
        <w:bCs/>
      </w:rPr>
    </w:lvl>
    <w:lvl w:ilvl="1">
      <w:start w:val="1"/>
      <w:numFmt w:val="lowerLetter"/>
      <w:lvlText w:val="%2)"/>
      <w:lvlJc w:val="left"/>
      <w:pPr>
        <w:ind w:left="836" w:hanging="360"/>
      </w:pPr>
    </w:lvl>
    <w:lvl w:ilvl="2">
      <w:start w:val="1"/>
      <w:numFmt w:val="lowerRoman"/>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1F49CA69"/>
    <w:multiLevelType w:val="hybridMultilevel"/>
    <w:tmpl w:val="FFFFFFFF"/>
    <w:lvl w:ilvl="0" w:tplc="90A81C8C">
      <w:start w:val="1"/>
      <w:numFmt w:val="bullet"/>
      <w:lvlText w:val="·"/>
      <w:lvlJc w:val="left"/>
      <w:pPr>
        <w:ind w:left="720" w:hanging="360"/>
      </w:pPr>
      <w:rPr>
        <w:rFonts w:ascii="&quot;Times New Roman&quot;,serif" w:hAnsi="&quot;Times New Roman&quot;,serif" w:hint="default"/>
      </w:rPr>
    </w:lvl>
    <w:lvl w:ilvl="1" w:tplc="735E7372">
      <w:start w:val="1"/>
      <w:numFmt w:val="bullet"/>
      <w:lvlText w:val="o"/>
      <w:lvlJc w:val="left"/>
      <w:pPr>
        <w:ind w:left="1440" w:hanging="360"/>
      </w:pPr>
      <w:rPr>
        <w:rFonts w:ascii="Courier New" w:hAnsi="Courier New" w:hint="default"/>
      </w:rPr>
    </w:lvl>
    <w:lvl w:ilvl="2" w:tplc="590A3876">
      <w:start w:val="1"/>
      <w:numFmt w:val="bullet"/>
      <w:lvlText w:val=""/>
      <w:lvlJc w:val="left"/>
      <w:pPr>
        <w:ind w:left="2160" w:hanging="360"/>
      </w:pPr>
      <w:rPr>
        <w:rFonts w:ascii="Wingdings" w:hAnsi="Wingdings" w:hint="default"/>
      </w:rPr>
    </w:lvl>
    <w:lvl w:ilvl="3" w:tplc="5B9CFFC0">
      <w:start w:val="1"/>
      <w:numFmt w:val="bullet"/>
      <w:lvlText w:val=""/>
      <w:lvlJc w:val="left"/>
      <w:pPr>
        <w:ind w:left="2880" w:hanging="360"/>
      </w:pPr>
      <w:rPr>
        <w:rFonts w:ascii="Symbol" w:hAnsi="Symbol" w:hint="default"/>
      </w:rPr>
    </w:lvl>
    <w:lvl w:ilvl="4" w:tplc="073250B8">
      <w:start w:val="1"/>
      <w:numFmt w:val="bullet"/>
      <w:lvlText w:val="o"/>
      <w:lvlJc w:val="left"/>
      <w:pPr>
        <w:ind w:left="3600" w:hanging="360"/>
      </w:pPr>
      <w:rPr>
        <w:rFonts w:ascii="Courier New" w:hAnsi="Courier New" w:hint="default"/>
      </w:rPr>
    </w:lvl>
    <w:lvl w:ilvl="5" w:tplc="0EC86D48">
      <w:start w:val="1"/>
      <w:numFmt w:val="bullet"/>
      <w:lvlText w:val=""/>
      <w:lvlJc w:val="left"/>
      <w:pPr>
        <w:ind w:left="4320" w:hanging="360"/>
      </w:pPr>
      <w:rPr>
        <w:rFonts w:ascii="Wingdings" w:hAnsi="Wingdings" w:hint="default"/>
      </w:rPr>
    </w:lvl>
    <w:lvl w:ilvl="6" w:tplc="BF0A5434">
      <w:start w:val="1"/>
      <w:numFmt w:val="bullet"/>
      <w:lvlText w:val=""/>
      <w:lvlJc w:val="left"/>
      <w:pPr>
        <w:ind w:left="5040" w:hanging="360"/>
      </w:pPr>
      <w:rPr>
        <w:rFonts w:ascii="Symbol" w:hAnsi="Symbol" w:hint="default"/>
      </w:rPr>
    </w:lvl>
    <w:lvl w:ilvl="7" w:tplc="BD8085AE">
      <w:start w:val="1"/>
      <w:numFmt w:val="bullet"/>
      <w:lvlText w:val="o"/>
      <w:lvlJc w:val="left"/>
      <w:pPr>
        <w:ind w:left="5760" w:hanging="360"/>
      </w:pPr>
      <w:rPr>
        <w:rFonts w:ascii="Courier New" w:hAnsi="Courier New" w:hint="default"/>
      </w:rPr>
    </w:lvl>
    <w:lvl w:ilvl="8" w:tplc="E04ECBF0">
      <w:start w:val="1"/>
      <w:numFmt w:val="bullet"/>
      <w:lvlText w:val=""/>
      <w:lvlJc w:val="left"/>
      <w:pPr>
        <w:ind w:left="6480" w:hanging="360"/>
      </w:pPr>
      <w:rPr>
        <w:rFonts w:ascii="Wingdings" w:hAnsi="Wingdings" w:hint="default"/>
      </w:rPr>
    </w:lvl>
  </w:abstractNum>
  <w:abstractNum w:abstractNumId="38" w15:restartNumberingAfterBreak="0">
    <w:nsid w:val="220012FB"/>
    <w:multiLevelType w:val="multilevel"/>
    <w:tmpl w:val="AADC2D4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22B3650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2C57B55"/>
    <w:multiLevelType w:val="hybridMultilevel"/>
    <w:tmpl w:val="F00468AA"/>
    <w:lvl w:ilvl="0" w:tplc="BFD03DC8">
      <w:start w:val="1"/>
      <w:numFmt w:val="decimal"/>
      <w:lvlText w:val="%1."/>
      <w:lvlJc w:val="left"/>
      <w:pPr>
        <w:ind w:left="720" w:hanging="360"/>
      </w:pPr>
    </w:lvl>
    <w:lvl w:ilvl="1" w:tplc="7BEA5B4C">
      <w:start w:val="1"/>
      <w:numFmt w:val="lowerLetter"/>
      <w:lvlText w:val="%2."/>
      <w:lvlJc w:val="left"/>
      <w:pPr>
        <w:ind w:left="1440" w:hanging="360"/>
      </w:pPr>
    </w:lvl>
    <w:lvl w:ilvl="2" w:tplc="0340264E">
      <w:start w:val="1"/>
      <w:numFmt w:val="lowerRoman"/>
      <w:lvlText w:val="%3."/>
      <w:lvlJc w:val="right"/>
      <w:pPr>
        <w:ind w:left="2160" w:hanging="180"/>
      </w:pPr>
    </w:lvl>
    <w:lvl w:ilvl="3" w:tplc="067CFC30">
      <w:start w:val="1"/>
      <w:numFmt w:val="decimal"/>
      <w:lvlText w:val="%4."/>
      <w:lvlJc w:val="left"/>
      <w:pPr>
        <w:ind w:left="2880" w:hanging="360"/>
      </w:pPr>
    </w:lvl>
    <w:lvl w:ilvl="4" w:tplc="61BE31DE">
      <w:start w:val="1"/>
      <w:numFmt w:val="lowerLetter"/>
      <w:lvlText w:val="%5."/>
      <w:lvlJc w:val="left"/>
      <w:pPr>
        <w:ind w:left="3600" w:hanging="360"/>
      </w:pPr>
    </w:lvl>
    <w:lvl w:ilvl="5" w:tplc="5F4419A6">
      <w:start w:val="1"/>
      <w:numFmt w:val="lowerRoman"/>
      <w:lvlText w:val="%6."/>
      <w:lvlJc w:val="right"/>
      <w:pPr>
        <w:ind w:left="4320" w:hanging="180"/>
      </w:pPr>
    </w:lvl>
    <w:lvl w:ilvl="6" w:tplc="4B4AE438">
      <w:start w:val="1"/>
      <w:numFmt w:val="decimal"/>
      <w:lvlText w:val="%7."/>
      <w:lvlJc w:val="left"/>
      <w:pPr>
        <w:ind w:left="5040" w:hanging="360"/>
      </w:pPr>
    </w:lvl>
    <w:lvl w:ilvl="7" w:tplc="F216CCC8">
      <w:start w:val="1"/>
      <w:numFmt w:val="lowerLetter"/>
      <w:lvlText w:val="%8."/>
      <w:lvlJc w:val="left"/>
      <w:pPr>
        <w:ind w:left="5760" w:hanging="360"/>
      </w:pPr>
    </w:lvl>
    <w:lvl w:ilvl="8" w:tplc="9AB6D958">
      <w:start w:val="1"/>
      <w:numFmt w:val="lowerRoman"/>
      <w:lvlText w:val="%9."/>
      <w:lvlJc w:val="right"/>
      <w:pPr>
        <w:ind w:left="6480" w:hanging="180"/>
      </w:pPr>
    </w:lvl>
  </w:abstractNum>
  <w:abstractNum w:abstractNumId="41" w15:restartNumberingAfterBreak="0">
    <w:nsid w:val="22E44180"/>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1"/>
      <w:lvlText w:val="%1.%2."/>
      <w:lvlJc w:val="left"/>
      <w:pPr>
        <w:tabs>
          <w:tab w:val="num" w:pos="850"/>
        </w:tabs>
        <w:ind w:left="850" w:hanging="850"/>
      </w:pPr>
    </w:lvl>
    <w:lvl w:ilvl="2">
      <w:start w:val="1"/>
      <w:numFmt w:val="decimal"/>
      <w:pStyle w:val="NumPar2"/>
      <w:lvlText w:val="%1.%2.%3."/>
      <w:lvlJc w:val="left"/>
      <w:pPr>
        <w:tabs>
          <w:tab w:val="num" w:pos="850"/>
        </w:tabs>
        <w:ind w:left="850" w:hanging="850"/>
      </w:pPr>
    </w:lvl>
    <w:lvl w:ilvl="3">
      <w:start w:val="1"/>
      <w:numFmt w:val="decimal"/>
      <w:pStyle w:val="NumPar3"/>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23164AFB"/>
    <w:multiLevelType w:val="hybridMultilevel"/>
    <w:tmpl w:val="8B6C2238"/>
    <w:lvl w:ilvl="0" w:tplc="1C2C3C14">
      <w:start w:val="1"/>
      <w:numFmt w:val="decimal"/>
      <w:lvlText w:val="%1."/>
      <w:lvlJc w:val="left"/>
      <w:pPr>
        <w:ind w:left="1080" w:hanging="360"/>
      </w:pPr>
    </w:lvl>
    <w:lvl w:ilvl="1" w:tplc="400CA014">
      <w:start w:val="1"/>
      <w:numFmt w:val="lowerLetter"/>
      <w:lvlText w:val="%2."/>
      <w:lvlJc w:val="left"/>
      <w:pPr>
        <w:ind w:left="1800" w:hanging="360"/>
      </w:pPr>
    </w:lvl>
    <w:lvl w:ilvl="2" w:tplc="9FE250C4">
      <w:start w:val="1"/>
      <w:numFmt w:val="lowerRoman"/>
      <w:lvlText w:val="%3."/>
      <w:lvlJc w:val="right"/>
      <w:pPr>
        <w:ind w:left="2520" w:hanging="180"/>
      </w:pPr>
    </w:lvl>
    <w:lvl w:ilvl="3" w:tplc="0220BE9C">
      <w:start w:val="1"/>
      <w:numFmt w:val="decimal"/>
      <w:lvlText w:val="%4."/>
      <w:lvlJc w:val="left"/>
      <w:pPr>
        <w:ind w:left="3240" w:hanging="360"/>
      </w:pPr>
    </w:lvl>
    <w:lvl w:ilvl="4" w:tplc="194015C8">
      <w:start w:val="1"/>
      <w:numFmt w:val="lowerLetter"/>
      <w:lvlText w:val="%5."/>
      <w:lvlJc w:val="left"/>
      <w:pPr>
        <w:ind w:left="3960" w:hanging="360"/>
      </w:pPr>
    </w:lvl>
    <w:lvl w:ilvl="5" w:tplc="FD30D5EA">
      <w:start w:val="1"/>
      <w:numFmt w:val="lowerRoman"/>
      <w:lvlText w:val="%6."/>
      <w:lvlJc w:val="right"/>
      <w:pPr>
        <w:ind w:left="4680" w:hanging="180"/>
      </w:pPr>
    </w:lvl>
    <w:lvl w:ilvl="6" w:tplc="17522B08">
      <w:start w:val="1"/>
      <w:numFmt w:val="decimal"/>
      <w:lvlText w:val="%7."/>
      <w:lvlJc w:val="left"/>
      <w:pPr>
        <w:ind w:left="5400" w:hanging="360"/>
      </w:pPr>
    </w:lvl>
    <w:lvl w:ilvl="7" w:tplc="1C7E61F4">
      <w:start w:val="1"/>
      <w:numFmt w:val="lowerLetter"/>
      <w:lvlText w:val="%8."/>
      <w:lvlJc w:val="left"/>
      <w:pPr>
        <w:ind w:left="6120" w:hanging="360"/>
      </w:pPr>
    </w:lvl>
    <w:lvl w:ilvl="8" w:tplc="2A36D5F2">
      <w:start w:val="1"/>
      <w:numFmt w:val="lowerRoman"/>
      <w:lvlText w:val="%9."/>
      <w:lvlJc w:val="right"/>
      <w:pPr>
        <w:ind w:left="6840" w:hanging="180"/>
      </w:pPr>
    </w:lvl>
  </w:abstractNum>
  <w:abstractNum w:abstractNumId="43" w15:restartNumberingAfterBreak="0">
    <w:nsid w:val="23646EE9"/>
    <w:multiLevelType w:val="multilevel"/>
    <w:tmpl w:val="6AE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46A2E3F"/>
    <w:multiLevelType w:val="hybridMultilevel"/>
    <w:tmpl w:val="DDC0CB96"/>
    <w:lvl w:ilvl="0" w:tplc="74F0ABD6">
      <w:start w:val="2025"/>
      <w:numFmt w:val="bullet"/>
      <w:lvlText w:val="-"/>
      <w:lvlJc w:val="left"/>
      <w:pPr>
        <w:ind w:left="1080" w:hanging="360"/>
      </w:pPr>
      <w:rPr>
        <w:rFonts w:ascii="Segoe UI" w:hAnsi="Segoe UI" w:hint="default"/>
      </w:rPr>
    </w:lvl>
    <w:lvl w:ilvl="1" w:tplc="CCD83952">
      <w:start w:val="1"/>
      <w:numFmt w:val="bullet"/>
      <w:lvlText w:val="o"/>
      <w:lvlJc w:val="left"/>
      <w:pPr>
        <w:ind w:left="1800" w:hanging="360"/>
      </w:pPr>
      <w:rPr>
        <w:rFonts w:ascii="Courier New" w:hAnsi="Courier New" w:hint="default"/>
      </w:rPr>
    </w:lvl>
    <w:lvl w:ilvl="2" w:tplc="4D3099A2">
      <w:start w:val="1"/>
      <w:numFmt w:val="bullet"/>
      <w:lvlText w:val=""/>
      <w:lvlJc w:val="left"/>
      <w:pPr>
        <w:ind w:left="2520" w:hanging="360"/>
      </w:pPr>
      <w:rPr>
        <w:rFonts w:ascii="Wingdings" w:hAnsi="Wingdings" w:hint="default"/>
      </w:rPr>
    </w:lvl>
    <w:lvl w:ilvl="3" w:tplc="40989C6E">
      <w:start w:val="1"/>
      <w:numFmt w:val="bullet"/>
      <w:lvlText w:val=""/>
      <w:lvlJc w:val="left"/>
      <w:pPr>
        <w:ind w:left="3240" w:hanging="360"/>
      </w:pPr>
      <w:rPr>
        <w:rFonts w:ascii="Symbol" w:hAnsi="Symbol" w:hint="default"/>
      </w:rPr>
    </w:lvl>
    <w:lvl w:ilvl="4" w:tplc="B6C2CE2E">
      <w:start w:val="1"/>
      <w:numFmt w:val="bullet"/>
      <w:lvlText w:val="o"/>
      <w:lvlJc w:val="left"/>
      <w:pPr>
        <w:ind w:left="3960" w:hanging="360"/>
      </w:pPr>
      <w:rPr>
        <w:rFonts w:ascii="Courier New" w:hAnsi="Courier New" w:hint="default"/>
      </w:rPr>
    </w:lvl>
    <w:lvl w:ilvl="5" w:tplc="71E023EC">
      <w:start w:val="1"/>
      <w:numFmt w:val="bullet"/>
      <w:lvlText w:val=""/>
      <w:lvlJc w:val="left"/>
      <w:pPr>
        <w:ind w:left="4680" w:hanging="360"/>
      </w:pPr>
      <w:rPr>
        <w:rFonts w:ascii="Wingdings" w:hAnsi="Wingdings" w:hint="default"/>
      </w:rPr>
    </w:lvl>
    <w:lvl w:ilvl="6" w:tplc="84FC4682">
      <w:start w:val="1"/>
      <w:numFmt w:val="bullet"/>
      <w:lvlText w:val=""/>
      <w:lvlJc w:val="left"/>
      <w:pPr>
        <w:ind w:left="5400" w:hanging="360"/>
      </w:pPr>
      <w:rPr>
        <w:rFonts w:ascii="Symbol" w:hAnsi="Symbol" w:hint="default"/>
      </w:rPr>
    </w:lvl>
    <w:lvl w:ilvl="7" w:tplc="77FC9FDE">
      <w:start w:val="1"/>
      <w:numFmt w:val="bullet"/>
      <w:lvlText w:val="o"/>
      <w:lvlJc w:val="left"/>
      <w:pPr>
        <w:ind w:left="6120" w:hanging="360"/>
      </w:pPr>
      <w:rPr>
        <w:rFonts w:ascii="Courier New" w:hAnsi="Courier New" w:hint="default"/>
      </w:rPr>
    </w:lvl>
    <w:lvl w:ilvl="8" w:tplc="AF5C0566">
      <w:start w:val="1"/>
      <w:numFmt w:val="bullet"/>
      <w:lvlText w:val=""/>
      <w:lvlJc w:val="left"/>
      <w:pPr>
        <w:ind w:left="6840" w:hanging="360"/>
      </w:pPr>
      <w:rPr>
        <w:rFonts w:ascii="Wingdings" w:hAnsi="Wingdings" w:hint="default"/>
      </w:rPr>
    </w:lvl>
  </w:abstractNum>
  <w:abstractNum w:abstractNumId="45" w15:restartNumberingAfterBreak="0">
    <w:nsid w:val="247C42D8"/>
    <w:multiLevelType w:val="hybridMultilevel"/>
    <w:tmpl w:val="9E907B50"/>
    <w:lvl w:ilvl="0" w:tplc="47A4F1BA">
      <w:start w:val="1"/>
      <w:numFmt w:val="bullet"/>
      <w:lvlText w:val=""/>
      <w:lvlJc w:val="left"/>
      <w:pPr>
        <w:ind w:left="720" w:hanging="360"/>
      </w:pPr>
      <w:rPr>
        <w:rFonts w:ascii="Wingdings" w:hAnsi="Wingdings" w:hint="default"/>
      </w:rPr>
    </w:lvl>
    <w:lvl w:ilvl="1" w:tplc="FE12B13E">
      <w:start w:val="1"/>
      <w:numFmt w:val="bullet"/>
      <w:lvlText w:val=""/>
      <w:lvlJc w:val="left"/>
      <w:pPr>
        <w:ind w:left="1440" w:hanging="360"/>
      </w:pPr>
      <w:rPr>
        <w:rFonts w:ascii="Wingdings" w:hAnsi="Wingdings" w:hint="default"/>
      </w:rPr>
    </w:lvl>
    <w:lvl w:ilvl="2" w:tplc="4AB8EB06">
      <w:start w:val="1"/>
      <w:numFmt w:val="bullet"/>
      <w:lvlText w:val=""/>
      <w:lvlJc w:val="left"/>
      <w:pPr>
        <w:ind w:left="2160" w:hanging="360"/>
      </w:pPr>
      <w:rPr>
        <w:rFonts w:ascii="Wingdings" w:hAnsi="Wingdings" w:hint="default"/>
      </w:rPr>
    </w:lvl>
    <w:lvl w:ilvl="3" w:tplc="F0FC748E">
      <w:start w:val="1"/>
      <w:numFmt w:val="bullet"/>
      <w:lvlText w:val=""/>
      <w:lvlJc w:val="left"/>
      <w:pPr>
        <w:ind w:left="2880" w:hanging="360"/>
      </w:pPr>
      <w:rPr>
        <w:rFonts w:ascii="Wingdings" w:hAnsi="Wingdings" w:hint="default"/>
      </w:rPr>
    </w:lvl>
    <w:lvl w:ilvl="4" w:tplc="E18EB424">
      <w:start w:val="1"/>
      <w:numFmt w:val="bullet"/>
      <w:lvlText w:val=""/>
      <w:lvlJc w:val="left"/>
      <w:pPr>
        <w:ind w:left="3600" w:hanging="360"/>
      </w:pPr>
      <w:rPr>
        <w:rFonts w:ascii="Wingdings" w:hAnsi="Wingdings" w:hint="default"/>
      </w:rPr>
    </w:lvl>
    <w:lvl w:ilvl="5" w:tplc="7B608AC6">
      <w:start w:val="1"/>
      <w:numFmt w:val="bullet"/>
      <w:lvlText w:val=""/>
      <w:lvlJc w:val="left"/>
      <w:pPr>
        <w:ind w:left="4320" w:hanging="360"/>
      </w:pPr>
      <w:rPr>
        <w:rFonts w:ascii="Wingdings" w:hAnsi="Wingdings" w:hint="default"/>
      </w:rPr>
    </w:lvl>
    <w:lvl w:ilvl="6" w:tplc="743CA110">
      <w:start w:val="1"/>
      <w:numFmt w:val="bullet"/>
      <w:lvlText w:val=""/>
      <w:lvlJc w:val="left"/>
      <w:pPr>
        <w:ind w:left="5040" w:hanging="360"/>
      </w:pPr>
      <w:rPr>
        <w:rFonts w:ascii="Wingdings" w:hAnsi="Wingdings" w:hint="default"/>
      </w:rPr>
    </w:lvl>
    <w:lvl w:ilvl="7" w:tplc="89DAF316">
      <w:start w:val="1"/>
      <w:numFmt w:val="bullet"/>
      <w:lvlText w:val=""/>
      <w:lvlJc w:val="left"/>
      <w:pPr>
        <w:ind w:left="5760" w:hanging="360"/>
      </w:pPr>
      <w:rPr>
        <w:rFonts w:ascii="Wingdings" w:hAnsi="Wingdings" w:hint="default"/>
      </w:rPr>
    </w:lvl>
    <w:lvl w:ilvl="8" w:tplc="5AA03AEA">
      <w:start w:val="1"/>
      <w:numFmt w:val="bullet"/>
      <w:lvlText w:val=""/>
      <w:lvlJc w:val="left"/>
      <w:pPr>
        <w:ind w:left="6480" w:hanging="360"/>
      </w:pPr>
      <w:rPr>
        <w:rFonts w:ascii="Wingdings" w:hAnsi="Wingdings" w:hint="default"/>
      </w:rPr>
    </w:lvl>
  </w:abstractNum>
  <w:abstractNum w:abstractNumId="46" w15:restartNumberingAfterBreak="0">
    <w:nsid w:val="24AF1572"/>
    <w:multiLevelType w:val="singleLevel"/>
    <w:tmpl w:val="3FE82790"/>
    <w:styleLink w:val="Puntielenco0"/>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24BB5D4E"/>
    <w:multiLevelType w:val="multilevel"/>
    <w:tmpl w:val="8A3A51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24EB7D87"/>
    <w:multiLevelType w:val="multilevel"/>
    <w:tmpl w:val="A4A6DBE0"/>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57F9FDB"/>
    <w:multiLevelType w:val="hybridMultilevel"/>
    <w:tmpl w:val="24A2D85C"/>
    <w:lvl w:ilvl="0" w:tplc="BDFE6A24">
      <w:start w:val="1"/>
      <w:numFmt w:val="bullet"/>
      <w:lvlText w:val=""/>
      <w:lvlJc w:val="left"/>
      <w:pPr>
        <w:ind w:left="720" w:hanging="360"/>
      </w:pPr>
      <w:rPr>
        <w:rFonts w:ascii="Symbol" w:hAnsi="Symbol" w:hint="default"/>
      </w:rPr>
    </w:lvl>
    <w:lvl w:ilvl="1" w:tplc="65027D36">
      <w:start w:val="1"/>
      <w:numFmt w:val="bullet"/>
      <w:lvlText w:val="o"/>
      <w:lvlJc w:val="left"/>
      <w:pPr>
        <w:ind w:left="1440" w:hanging="360"/>
      </w:pPr>
      <w:rPr>
        <w:rFonts w:ascii="Courier New" w:hAnsi="Courier New" w:hint="default"/>
      </w:rPr>
    </w:lvl>
    <w:lvl w:ilvl="2" w:tplc="0634593E">
      <w:start w:val="1"/>
      <w:numFmt w:val="bullet"/>
      <w:lvlText w:val=""/>
      <w:lvlJc w:val="left"/>
      <w:pPr>
        <w:ind w:left="2160" w:hanging="360"/>
      </w:pPr>
      <w:rPr>
        <w:rFonts w:ascii="Wingdings" w:hAnsi="Wingdings" w:hint="default"/>
      </w:rPr>
    </w:lvl>
    <w:lvl w:ilvl="3" w:tplc="23303FF0">
      <w:start w:val="1"/>
      <w:numFmt w:val="bullet"/>
      <w:lvlText w:val=""/>
      <w:lvlJc w:val="left"/>
      <w:pPr>
        <w:ind w:left="2880" w:hanging="360"/>
      </w:pPr>
      <w:rPr>
        <w:rFonts w:ascii="Symbol" w:hAnsi="Symbol" w:hint="default"/>
      </w:rPr>
    </w:lvl>
    <w:lvl w:ilvl="4" w:tplc="41C231E8">
      <w:start w:val="1"/>
      <w:numFmt w:val="bullet"/>
      <w:lvlText w:val="o"/>
      <w:lvlJc w:val="left"/>
      <w:pPr>
        <w:ind w:left="3600" w:hanging="360"/>
      </w:pPr>
      <w:rPr>
        <w:rFonts w:ascii="Courier New" w:hAnsi="Courier New" w:hint="default"/>
      </w:rPr>
    </w:lvl>
    <w:lvl w:ilvl="5" w:tplc="1F1A87FE">
      <w:start w:val="1"/>
      <w:numFmt w:val="bullet"/>
      <w:lvlText w:val=""/>
      <w:lvlJc w:val="left"/>
      <w:pPr>
        <w:ind w:left="4320" w:hanging="360"/>
      </w:pPr>
      <w:rPr>
        <w:rFonts w:ascii="Wingdings" w:hAnsi="Wingdings" w:hint="default"/>
      </w:rPr>
    </w:lvl>
    <w:lvl w:ilvl="6" w:tplc="ADD2C128">
      <w:start w:val="1"/>
      <w:numFmt w:val="bullet"/>
      <w:lvlText w:val=""/>
      <w:lvlJc w:val="left"/>
      <w:pPr>
        <w:ind w:left="5040" w:hanging="360"/>
      </w:pPr>
      <w:rPr>
        <w:rFonts w:ascii="Symbol" w:hAnsi="Symbol" w:hint="default"/>
      </w:rPr>
    </w:lvl>
    <w:lvl w:ilvl="7" w:tplc="BA04DE9E">
      <w:start w:val="1"/>
      <w:numFmt w:val="bullet"/>
      <w:lvlText w:val="o"/>
      <w:lvlJc w:val="left"/>
      <w:pPr>
        <w:ind w:left="5760" w:hanging="360"/>
      </w:pPr>
      <w:rPr>
        <w:rFonts w:ascii="Courier New" w:hAnsi="Courier New" w:hint="default"/>
      </w:rPr>
    </w:lvl>
    <w:lvl w:ilvl="8" w:tplc="EB62CF00">
      <w:start w:val="1"/>
      <w:numFmt w:val="bullet"/>
      <w:lvlText w:val=""/>
      <w:lvlJc w:val="left"/>
      <w:pPr>
        <w:ind w:left="6480" w:hanging="360"/>
      </w:pPr>
      <w:rPr>
        <w:rFonts w:ascii="Wingdings" w:hAnsi="Wingdings" w:hint="default"/>
      </w:rPr>
    </w:lvl>
  </w:abstractNum>
  <w:abstractNum w:abstractNumId="50" w15:restartNumberingAfterBreak="0">
    <w:nsid w:val="26E7148B"/>
    <w:multiLevelType w:val="hybridMultilevel"/>
    <w:tmpl w:val="AE1ABF60"/>
    <w:lvl w:ilvl="0" w:tplc="3EA80E8E">
      <w:start w:val="1"/>
      <w:numFmt w:val="bullet"/>
      <w:lvlText w:val=""/>
      <w:lvlJc w:val="left"/>
      <w:pPr>
        <w:ind w:left="720" w:hanging="360"/>
      </w:pPr>
      <w:rPr>
        <w:rFonts w:ascii="Symbol" w:hAnsi="Symbol" w:hint="default"/>
      </w:rPr>
    </w:lvl>
    <w:lvl w:ilvl="1" w:tplc="A81EF75A">
      <w:start w:val="1"/>
      <w:numFmt w:val="bullet"/>
      <w:lvlText w:val="o"/>
      <w:lvlJc w:val="left"/>
      <w:pPr>
        <w:ind w:left="1440" w:hanging="360"/>
      </w:pPr>
      <w:rPr>
        <w:rFonts w:ascii="Courier New" w:hAnsi="Courier New" w:hint="default"/>
      </w:rPr>
    </w:lvl>
    <w:lvl w:ilvl="2" w:tplc="C010B64C">
      <w:start w:val="1"/>
      <w:numFmt w:val="bullet"/>
      <w:lvlText w:val=""/>
      <w:lvlJc w:val="left"/>
      <w:pPr>
        <w:ind w:left="2160" w:hanging="360"/>
      </w:pPr>
      <w:rPr>
        <w:rFonts w:ascii="Wingdings" w:hAnsi="Wingdings" w:hint="default"/>
      </w:rPr>
    </w:lvl>
    <w:lvl w:ilvl="3" w:tplc="F8DA74A0">
      <w:start w:val="1"/>
      <w:numFmt w:val="bullet"/>
      <w:lvlText w:val=""/>
      <w:lvlJc w:val="left"/>
      <w:pPr>
        <w:ind w:left="2880" w:hanging="360"/>
      </w:pPr>
      <w:rPr>
        <w:rFonts w:ascii="Symbol" w:hAnsi="Symbol" w:hint="default"/>
      </w:rPr>
    </w:lvl>
    <w:lvl w:ilvl="4" w:tplc="835E426C">
      <w:start w:val="1"/>
      <w:numFmt w:val="bullet"/>
      <w:lvlText w:val="o"/>
      <w:lvlJc w:val="left"/>
      <w:pPr>
        <w:ind w:left="3600" w:hanging="360"/>
      </w:pPr>
      <w:rPr>
        <w:rFonts w:ascii="Courier New" w:hAnsi="Courier New" w:hint="default"/>
      </w:rPr>
    </w:lvl>
    <w:lvl w:ilvl="5" w:tplc="8AC4FF18">
      <w:start w:val="1"/>
      <w:numFmt w:val="bullet"/>
      <w:lvlText w:val=""/>
      <w:lvlJc w:val="left"/>
      <w:pPr>
        <w:ind w:left="4320" w:hanging="360"/>
      </w:pPr>
      <w:rPr>
        <w:rFonts w:ascii="Wingdings" w:hAnsi="Wingdings" w:hint="default"/>
      </w:rPr>
    </w:lvl>
    <w:lvl w:ilvl="6" w:tplc="F3745DE0">
      <w:start w:val="1"/>
      <w:numFmt w:val="bullet"/>
      <w:lvlText w:val=""/>
      <w:lvlJc w:val="left"/>
      <w:pPr>
        <w:ind w:left="5040" w:hanging="360"/>
      </w:pPr>
      <w:rPr>
        <w:rFonts w:ascii="Symbol" w:hAnsi="Symbol" w:hint="default"/>
      </w:rPr>
    </w:lvl>
    <w:lvl w:ilvl="7" w:tplc="BC84CD90">
      <w:start w:val="1"/>
      <w:numFmt w:val="bullet"/>
      <w:lvlText w:val="o"/>
      <w:lvlJc w:val="left"/>
      <w:pPr>
        <w:ind w:left="5760" w:hanging="360"/>
      </w:pPr>
      <w:rPr>
        <w:rFonts w:ascii="Courier New" w:hAnsi="Courier New" w:hint="default"/>
      </w:rPr>
    </w:lvl>
    <w:lvl w:ilvl="8" w:tplc="B418948A">
      <w:start w:val="1"/>
      <w:numFmt w:val="bullet"/>
      <w:lvlText w:val=""/>
      <w:lvlJc w:val="left"/>
      <w:pPr>
        <w:ind w:left="6480" w:hanging="360"/>
      </w:pPr>
      <w:rPr>
        <w:rFonts w:ascii="Wingdings" w:hAnsi="Wingdings" w:hint="default"/>
      </w:rPr>
    </w:lvl>
  </w:abstractNum>
  <w:abstractNum w:abstractNumId="51" w15:restartNumberingAfterBreak="0">
    <w:nsid w:val="28BD17F5"/>
    <w:multiLevelType w:val="hybridMultilevel"/>
    <w:tmpl w:val="6E3089F2"/>
    <w:lvl w:ilvl="0" w:tplc="6E24EB66">
      <w:start w:val="1"/>
      <w:numFmt w:val="decimal"/>
      <w:lvlText w:val="%1)"/>
      <w:lvlJc w:val="left"/>
      <w:pPr>
        <w:ind w:left="927" w:hanging="360"/>
      </w:p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52" w15:restartNumberingAfterBreak="0">
    <w:nsid w:val="298A4C8A"/>
    <w:multiLevelType w:val="hybridMultilevel"/>
    <w:tmpl w:val="2D4623CC"/>
    <w:lvl w:ilvl="0" w:tplc="D8CCA47E">
      <w:start w:val="1"/>
      <w:numFmt w:val="bullet"/>
      <w:lvlText w:val="-"/>
      <w:lvlJc w:val="left"/>
      <w:pPr>
        <w:ind w:left="360" w:hanging="360"/>
      </w:pPr>
      <w:rPr>
        <w:rFonts w:ascii="Times New Roman" w:hAnsi="Times New Roman" w:cs="Times New Roman" w:hint="default"/>
      </w:rPr>
    </w:lvl>
    <w:lvl w:ilvl="1" w:tplc="18090003" w:tentative="1">
      <w:start w:val="1"/>
      <w:numFmt w:val="bullet"/>
      <w:lvlText w:val="o"/>
      <w:lvlJc w:val="left"/>
      <w:pPr>
        <w:ind w:left="371" w:hanging="360"/>
      </w:pPr>
      <w:rPr>
        <w:rFonts w:ascii="Courier New" w:hAnsi="Courier New" w:cs="Courier New" w:hint="default"/>
      </w:rPr>
    </w:lvl>
    <w:lvl w:ilvl="2" w:tplc="18090005" w:tentative="1">
      <w:start w:val="1"/>
      <w:numFmt w:val="bullet"/>
      <w:lvlText w:val=""/>
      <w:lvlJc w:val="left"/>
      <w:pPr>
        <w:ind w:left="1091" w:hanging="360"/>
      </w:pPr>
      <w:rPr>
        <w:rFonts w:ascii="Wingdings" w:hAnsi="Wingdings" w:hint="default"/>
      </w:rPr>
    </w:lvl>
    <w:lvl w:ilvl="3" w:tplc="18090001" w:tentative="1">
      <w:start w:val="1"/>
      <w:numFmt w:val="bullet"/>
      <w:lvlText w:val=""/>
      <w:lvlJc w:val="left"/>
      <w:pPr>
        <w:ind w:left="1811" w:hanging="360"/>
      </w:pPr>
      <w:rPr>
        <w:rFonts w:ascii="Symbol" w:hAnsi="Symbol" w:hint="default"/>
      </w:rPr>
    </w:lvl>
    <w:lvl w:ilvl="4" w:tplc="18090003" w:tentative="1">
      <w:start w:val="1"/>
      <w:numFmt w:val="bullet"/>
      <w:lvlText w:val="o"/>
      <w:lvlJc w:val="left"/>
      <w:pPr>
        <w:ind w:left="2531" w:hanging="360"/>
      </w:pPr>
      <w:rPr>
        <w:rFonts w:ascii="Courier New" w:hAnsi="Courier New" w:cs="Courier New" w:hint="default"/>
      </w:rPr>
    </w:lvl>
    <w:lvl w:ilvl="5" w:tplc="18090005" w:tentative="1">
      <w:start w:val="1"/>
      <w:numFmt w:val="bullet"/>
      <w:lvlText w:val=""/>
      <w:lvlJc w:val="left"/>
      <w:pPr>
        <w:ind w:left="3251" w:hanging="360"/>
      </w:pPr>
      <w:rPr>
        <w:rFonts w:ascii="Wingdings" w:hAnsi="Wingdings" w:hint="default"/>
      </w:rPr>
    </w:lvl>
    <w:lvl w:ilvl="6" w:tplc="18090001" w:tentative="1">
      <w:start w:val="1"/>
      <w:numFmt w:val="bullet"/>
      <w:lvlText w:val=""/>
      <w:lvlJc w:val="left"/>
      <w:pPr>
        <w:ind w:left="3971" w:hanging="360"/>
      </w:pPr>
      <w:rPr>
        <w:rFonts w:ascii="Symbol" w:hAnsi="Symbol" w:hint="default"/>
      </w:rPr>
    </w:lvl>
    <w:lvl w:ilvl="7" w:tplc="18090003" w:tentative="1">
      <w:start w:val="1"/>
      <w:numFmt w:val="bullet"/>
      <w:lvlText w:val="o"/>
      <w:lvlJc w:val="left"/>
      <w:pPr>
        <w:ind w:left="4691" w:hanging="360"/>
      </w:pPr>
      <w:rPr>
        <w:rFonts w:ascii="Courier New" w:hAnsi="Courier New" w:cs="Courier New" w:hint="default"/>
      </w:rPr>
    </w:lvl>
    <w:lvl w:ilvl="8" w:tplc="18090005" w:tentative="1">
      <w:start w:val="1"/>
      <w:numFmt w:val="bullet"/>
      <w:lvlText w:val=""/>
      <w:lvlJc w:val="left"/>
      <w:pPr>
        <w:ind w:left="5411" w:hanging="360"/>
      </w:pPr>
      <w:rPr>
        <w:rFonts w:ascii="Wingdings" w:hAnsi="Wingdings" w:hint="default"/>
      </w:rPr>
    </w:lvl>
  </w:abstractNum>
  <w:abstractNum w:abstractNumId="53" w15:restartNumberingAfterBreak="0">
    <w:nsid w:val="2A92660E"/>
    <w:multiLevelType w:val="hybridMultilevel"/>
    <w:tmpl w:val="E50C9DBA"/>
    <w:lvl w:ilvl="0" w:tplc="BCAC91D2">
      <w:numFmt w:val="bullet"/>
      <w:lvlText w:val="-"/>
      <w:lvlJc w:val="left"/>
      <w:pPr>
        <w:ind w:left="720" w:hanging="360"/>
      </w:pPr>
      <w:rPr>
        <w:rFonts w:ascii="Calibri" w:hAnsi="Calibri" w:hint="default"/>
      </w:rPr>
    </w:lvl>
    <w:lvl w:ilvl="1" w:tplc="97B44F9C">
      <w:start w:val="1"/>
      <w:numFmt w:val="bullet"/>
      <w:lvlText w:val="o"/>
      <w:lvlJc w:val="left"/>
      <w:pPr>
        <w:ind w:left="1440" w:hanging="360"/>
      </w:pPr>
      <w:rPr>
        <w:rFonts w:ascii="Courier New" w:hAnsi="Courier New" w:hint="default"/>
      </w:rPr>
    </w:lvl>
    <w:lvl w:ilvl="2" w:tplc="79A880CC">
      <w:start w:val="1"/>
      <w:numFmt w:val="bullet"/>
      <w:lvlText w:val=""/>
      <w:lvlJc w:val="left"/>
      <w:pPr>
        <w:ind w:left="2160" w:hanging="360"/>
      </w:pPr>
      <w:rPr>
        <w:rFonts w:ascii="Wingdings" w:hAnsi="Wingdings" w:hint="default"/>
      </w:rPr>
    </w:lvl>
    <w:lvl w:ilvl="3" w:tplc="9A80CFE2">
      <w:start w:val="1"/>
      <w:numFmt w:val="bullet"/>
      <w:lvlText w:val=""/>
      <w:lvlJc w:val="left"/>
      <w:pPr>
        <w:ind w:left="2880" w:hanging="360"/>
      </w:pPr>
      <w:rPr>
        <w:rFonts w:ascii="Symbol" w:hAnsi="Symbol" w:hint="default"/>
      </w:rPr>
    </w:lvl>
    <w:lvl w:ilvl="4" w:tplc="CB983B8A">
      <w:start w:val="1"/>
      <w:numFmt w:val="bullet"/>
      <w:lvlText w:val="o"/>
      <w:lvlJc w:val="left"/>
      <w:pPr>
        <w:ind w:left="3600" w:hanging="360"/>
      </w:pPr>
      <w:rPr>
        <w:rFonts w:ascii="Courier New" w:hAnsi="Courier New" w:hint="default"/>
      </w:rPr>
    </w:lvl>
    <w:lvl w:ilvl="5" w:tplc="7C3A297C">
      <w:start w:val="1"/>
      <w:numFmt w:val="bullet"/>
      <w:lvlText w:val=""/>
      <w:lvlJc w:val="left"/>
      <w:pPr>
        <w:ind w:left="4320" w:hanging="360"/>
      </w:pPr>
      <w:rPr>
        <w:rFonts w:ascii="Wingdings" w:hAnsi="Wingdings" w:hint="default"/>
      </w:rPr>
    </w:lvl>
    <w:lvl w:ilvl="6" w:tplc="CA804ED0">
      <w:start w:val="1"/>
      <w:numFmt w:val="bullet"/>
      <w:lvlText w:val=""/>
      <w:lvlJc w:val="left"/>
      <w:pPr>
        <w:ind w:left="5040" w:hanging="360"/>
      </w:pPr>
      <w:rPr>
        <w:rFonts w:ascii="Symbol" w:hAnsi="Symbol" w:hint="default"/>
      </w:rPr>
    </w:lvl>
    <w:lvl w:ilvl="7" w:tplc="F2762A04">
      <w:start w:val="1"/>
      <w:numFmt w:val="bullet"/>
      <w:lvlText w:val="o"/>
      <w:lvlJc w:val="left"/>
      <w:pPr>
        <w:ind w:left="5760" w:hanging="360"/>
      </w:pPr>
      <w:rPr>
        <w:rFonts w:ascii="Courier New" w:hAnsi="Courier New" w:hint="default"/>
      </w:rPr>
    </w:lvl>
    <w:lvl w:ilvl="8" w:tplc="35EAA85C">
      <w:start w:val="1"/>
      <w:numFmt w:val="bullet"/>
      <w:lvlText w:val=""/>
      <w:lvlJc w:val="left"/>
      <w:pPr>
        <w:ind w:left="6480" w:hanging="360"/>
      </w:pPr>
      <w:rPr>
        <w:rFonts w:ascii="Wingdings" w:hAnsi="Wingdings" w:hint="default"/>
      </w:rPr>
    </w:lvl>
  </w:abstractNum>
  <w:abstractNum w:abstractNumId="54" w15:restartNumberingAfterBreak="0">
    <w:nsid w:val="2AAA6B98"/>
    <w:multiLevelType w:val="multilevel"/>
    <w:tmpl w:val="5CDAAE02"/>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B436764"/>
    <w:multiLevelType w:val="hybridMultilevel"/>
    <w:tmpl w:val="8DE88880"/>
    <w:lvl w:ilvl="0" w:tplc="D83292C0">
      <w:start w:val="1"/>
      <w:numFmt w:val="bullet"/>
      <w:lvlText w:val="-"/>
      <w:lvlJc w:val="left"/>
      <w:pPr>
        <w:ind w:left="360" w:hanging="360"/>
      </w:pPr>
      <w:rPr>
        <w:rFonts w:ascii="Times" w:hAnsi="Times" w:hint="default"/>
      </w:rPr>
    </w:lvl>
    <w:lvl w:ilvl="1" w:tplc="7E78348C">
      <w:start w:val="1"/>
      <w:numFmt w:val="bullet"/>
      <w:lvlText w:val="o"/>
      <w:lvlJc w:val="left"/>
      <w:pPr>
        <w:ind w:left="2149" w:hanging="360"/>
      </w:pPr>
      <w:rPr>
        <w:rFonts w:ascii="Courier New" w:hAnsi="Courier New" w:hint="default"/>
      </w:rPr>
    </w:lvl>
    <w:lvl w:ilvl="2" w:tplc="432AF8A6">
      <w:start w:val="1"/>
      <w:numFmt w:val="bullet"/>
      <w:lvlText w:val=""/>
      <w:lvlJc w:val="left"/>
      <w:pPr>
        <w:ind w:left="2869" w:hanging="360"/>
      </w:pPr>
      <w:rPr>
        <w:rFonts w:ascii="Wingdings" w:hAnsi="Wingdings" w:hint="default"/>
      </w:rPr>
    </w:lvl>
    <w:lvl w:ilvl="3" w:tplc="82CE792C">
      <w:start w:val="1"/>
      <w:numFmt w:val="bullet"/>
      <w:lvlText w:val=""/>
      <w:lvlJc w:val="left"/>
      <w:pPr>
        <w:ind w:left="3589" w:hanging="360"/>
      </w:pPr>
      <w:rPr>
        <w:rFonts w:ascii="Symbol" w:hAnsi="Symbol" w:hint="default"/>
      </w:rPr>
    </w:lvl>
    <w:lvl w:ilvl="4" w:tplc="21E0FDFE">
      <w:start w:val="1"/>
      <w:numFmt w:val="bullet"/>
      <w:lvlText w:val="o"/>
      <w:lvlJc w:val="left"/>
      <w:pPr>
        <w:ind w:left="4309" w:hanging="360"/>
      </w:pPr>
      <w:rPr>
        <w:rFonts w:ascii="Courier New" w:hAnsi="Courier New" w:hint="default"/>
      </w:rPr>
    </w:lvl>
    <w:lvl w:ilvl="5" w:tplc="9E0E093A">
      <w:start w:val="1"/>
      <w:numFmt w:val="bullet"/>
      <w:lvlText w:val=""/>
      <w:lvlJc w:val="left"/>
      <w:pPr>
        <w:ind w:left="5029" w:hanging="360"/>
      </w:pPr>
      <w:rPr>
        <w:rFonts w:ascii="Wingdings" w:hAnsi="Wingdings" w:hint="default"/>
      </w:rPr>
    </w:lvl>
    <w:lvl w:ilvl="6" w:tplc="72E07D7A">
      <w:start w:val="1"/>
      <w:numFmt w:val="bullet"/>
      <w:lvlText w:val=""/>
      <w:lvlJc w:val="left"/>
      <w:pPr>
        <w:ind w:left="5749" w:hanging="360"/>
      </w:pPr>
      <w:rPr>
        <w:rFonts w:ascii="Symbol" w:hAnsi="Symbol" w:hint="default"/>
      </w:rPr>
    </w:lvl>
    <w:lvl w:ilvl="7" w:tplc="2288421C">
      <w:start w:val="1"/>
      <w:numFmt w:val="bullet"/>
      <w:lvlText w:val="o"/>
      <w:lvlJc w:val="left"/>
      <w:pPr>
        <w:ind w:left="6469" w:hanging="360"/>
      </w:pPr>
      <w:rPr>
        <w:rFonts w:ascii="Courier New" w:hAnsi="Courier New" w:hint="default"/>
      </w:rPr>
    </w:lvl>
    <w:lvl w:ilvl="8" w:tplc="9F3082AC">
      <w:start w:val="1"/>
      <w:numFmt w:val="bullet"/>
      <w:lvlText w:val=""/>
      <w:lvlJc w:val="left"/>
      <w:pPr>
        <w:ind w:left="7189" w:hanging="360"/>
      </w:pPr>
      <w:rPr>
        <w:rFonts w:ascii="Wingdings" w:hAnsi="Wingdings" w:hint="default"/>
      </w:rPr>
    </w:lvl>
  </w:abstractNum>
  <w:abstractNum w:abstractNumId="56"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7" w15:restartNumberingAfterBreak="0">
    <w:nsid w:val="2D7B7DD8"/>
    <w:multiLevelType w:val="hybridMultilevel"/>
    <w:tmpl w:val="B1C8EDC6"/>
    <w:lvl w:ilvl="0" w:tplc="A7A05992">
      <w:start w:val="1"/>
      <w:numFmt w:val="lowerRoman"/>
      <w:lvlText w:val="%1."/>
      <w:lvlJc w:val="right"/>
      <w:pPr>
        <w:ind w:left="1200" w:hanging="360"/>
      </w:pPr>
    </w:lvl>
    <w:lvl w:ilvl="1" w:tplc="AB5209EE">
      <w:start w:val="1"/>
      <w:numFmt w:val="bullet"/>
      <w:lvlText w:val="o"/>
      <w:lvlJc w:val="left"/>
      <w:pPr>
        <w:ind w:left="1920" w:hanging="360"/>
      </w:pPr>
      <w:rPr>
        <w:rFonts w:ascii="Courier New" w:hAnsi="Courier New" w:hint="default"/>
      </w:rPr>
    </w:lvl>
    <w:lvl w:ilvl="2" w:tplc="5BB4A0EA">
      <w:start w:val="1"/>
      <w:numFmt w:val="bullet"/>
      <w:lvlText w:val=""/>
      <w:lvlJc w:val="left"/>
      <w:pPr>
        <w:ind w:left="2640" w:hanging="360"/>
      </w:pPr>
      <w:rPr>
        <w:rFonts w:ascii="Wingdings" w:hAnsi="Wingdings" w:hint="default"/>
      </w:rPr>
    </w:lvl>
    <w:lvl w:ilvl="3" w:tplc="E3DC026C">
      <w:start w:val="1"/>
      <w:numFmt w:val="bullet"/>
      <w:lvlText w:val=""/>
      <w:lvlJc w:val="left"/>
      <w:pPr>
        <w:ind w:left="3360" w:hanging="360"/>
      </w:pPr>
      <w:rPr>
        <w:rFonts w:ascii="Symbol" w:hAnsi="Symbol" w:hint="default"/>
      </w:rPr>
    </w:lvl>
    <w:lvl w:ilvl="4" w:tplc="67B87DA6">
      <w:start w:val="1"/>
      <w:numFmt w:val="bullet"/>
      <w:lvlText w:val="o"/>
      <w:lvlJc w:val="left"/>
      <w:pPr>
        <w:ind w:left="4080" w:hanging="360"/>
      </w:pPr>
      <w:rPr>
        <w:rFonts w:ascii="Courier New" w:hAnsi="Courier New" w:hint="default"/>
      </w:rPr>
    </w:lvl>
    <w:lvl w:ilvl="5" w:tplc="E79866D6">
      <w:start w:val="1"/>
      <w:numFmt w:val="bullet"/>
      <w:lvlText w:val=""/>
      <w:lvlJc w:val="left"/>
      <w:pPr>
        <w:ind w:left="4800" w:hanging="360"/>
      </w:pPr>
      <w:rPr>
        <w:rFonts w:ascii="Wingdings" w:hAnsi="Wingdings" w:hint="default"/>
      </w:rPr>
    </w:lvl>
    <w:lvl w:ilvl="6" w:tplc="8BFE256E">
      <w:start w:val="1"/>
      <w:numFmt w:val="bullet"/>
      <w:lvlText w:val=""/>
      <w:lvlJc w:val="left"/>
      <w:pPr>
        <w:ind w:left="5520" w:hanging="360"/>
      </w:pPr>
      <w:rPr>
        <w:rFonts w:ascii="Symbol" w:hAnsi="Symbol" w:hint="default"/>
      </w:rPr>
    </w:lvl>
    <w:lvl w:ilvl="7" w:tplc="75CC83D6">
      <w:start w:val="1"/>
      <w:numFmt w:val="bullet"/>
      <w:lvlText w:val="o"/>
      <w:lvlJc w:val="left"/>
      <w:pPr>
        <w:ind w:left="6240" w:hanging="360"/>
      </w:pPr>
      <w:rPr>
        <w:rFonts w:ascii="Courier New" w:hAnsi="Courier New" w:hint="default"/>
      </w:rPr>
    </w:lvl>
    <w:lvl w:ilvl="8" w:tplc="3F04D57E">
      <w:start w:val="1"/>
      <w:numFmt w:val="bullet"/>
      <w:lvlText w:val=""/>
      <w:lvlJc w:val="left"/>
      <w:pPr>
        <w:ind w:left="6960" w:hanging="360"/>
      </w:pPr>
      <w:rPr>
        <w:rFonts w:ascii="Wingdings" w:hAnsi="Wingdings" w:hint="default"/>
      </w:rPr>
    </w:lvl>
  </w:abstractNum>
  <w:abstractNum w:abstractNumId="58" w15:restartNumberingAfterBreak="0">
    <w:nsid w:val="2ECB60E5"/>
    <w:multiLevelType w:val="hybridMultilevel"/>
    <w:tmpl w:val="CCCE8B74"/>
    <w:lvl w:ilvl="0" w:tplc="04100011">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9" w15:restartNumberingAfterBreak="0">
    <w:nsid w:val="31FA11EB"/>
    <w:multiLevelType w:val="singleLevel"/>
    <w:tmpl w:val="3E140CA2"/>
    <w:styleLink w:val="Stileimportato9"/>
    <w:lvl w:ilvl="0">
      <w:start w:val="1"/>
      <w:numFmt w:val="decimal"/>
      <w:lvlText w:val="%1."/>
      <w:lvlJc w:val="left"/>
      <w:pPr>
        <w:tabs>
          <w:tab w:val="num" w:pos="1209"/>
        </w:tabs>
        <w:ind w:left="1209" w:hanging="360"/>
      </w:pPr>
    </w:lvl>
  </w:abstractNum>
  <w:abstractNum w:abstractNumId="60" w15:restartNumberingAfterBreak="0">
    <w:nsid w:val="3362703C"/>
    <w:multiLevelType w:val="multilevel"/>
    <w:tmpl w:val="01C407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15:restartNumberingAfterBreak="0">
    <w:nsid w:val="34B4179E"/>
    <w:multiLevelType w:val="hybridMultilevel"/>
    <w:tmpl w:val="B08A5420"/>
    <w:lvl w:ilvl="0" w:tplc="A60A65BC">
      <w:numFmt w:val="bullet"/>
      <w:lvlText w:val="-"/>
      <w:lvlJc w:val="left"/>
      <w:pPr>
        <w:ind w:left="720" w:hanging="360"/>
      </w:pPr>
      <w:rPr>
        <w:rFonts w:ascii="Times New Roman" w:hAnsi="Times New Roman" w:hint="default"/>
      </w:rPr>
    </w:lvl>
    <w:lvl w:ilvl="1" w:tplc="7908930A">
      <w:start w:val="1"/>
      <w:numFmt w:val="bullet"/>
      <w:lvlText w:val="o"/>
      <w:lvlJc w:val="left"/>
      <w:pPr>
        <w:ind w:left="1440" w:hanging="360"/>
      </w:pPr>
      <w:rPr>
        <w:rFonts w:ascii="Courier New" w:hAnsi="Courier New" w:hint="default"/>
      </w:rPr>
    </w:lvl>
    <w:lvl w:ilvl="2" w:tplc="5BC6485E">
      <w:start w:val="1"/>
      <w:numFmt w:val="bullet"/>
      <w:lvlText w:val=""/>
      <w:lvlJc w:val="left"/>
      <w:pPr>
        <w:ind w:left="2160" w:hanging="360"/>
      </w:pPr>
      <w:rPr>
        <w:rFonts w:ascii="Wingdings" w:hAnsi="Wingdings" w:hint="default"/>
      </w:rPr>
    </w:lvl>
    <w:lvl w:ilvl="3" w:tplc="D19A9F78">
      <w:start w:val="1"/>
      <w:numFmt w:val="bullet"/>
      <w:lvlText w:val=""/>
      <w:lvlJc w:val="left"/>
      <w:pPr>
        <w:ind w:left="720" w:hanging="360"/>
      </w:pPr>
      <w:rPr>
        <w:rFonts w:ascii="Symbol" w:hAnsi="Symbol" w:hint="default"/>
      </w:rPr>
    </w:lvl>
    <w:lvl w:ilvl="4" w:tplc="2BFEF5E6">
      <w:start w:val="1"/>
      <w:numFmt w:val="bullet"/>
      <w:lvlText w:val="o"/>
      <w:lvlJc w:val="left"/>
      <w:pPr>
        <w:ind w:left="3600" w:hanging="360"/>
      </w:pPr>
      <w:rPr>
        <w:rFonts w:ascii="Courier New" w:hAnsi="Courier New" w:hint="default"/>
      </w:rPr>
    </w:lvl>
    <w:lvl w:ilvl="5" w:tplc="368A9B3E">
      <w:start w:val="1"/>
      <w:numFmt w:val="bullet"/>
      <w:lvlText w:val=""/>
      <w:lvlJc w:val="left"/>
      <w:pPr>
        <w:ind w:left="4320" w:hanging="360"/>
      </w:pPr>
      <w:rPr>
        <w:rFonts w:ascii="Wingdings" w:hAnsi="Wingdings" w:hint="default"/>
      </w:rPr>
    </w:lvl>
    <w:lvl w:ilvl="6" w:tplc="04768056">
      <w:start w:val="1"/>
      <w:numFmt w:val="bullet"/>
      <w:lvlText w:val=""/>
      <w:lvlJc w:val="left"/>
      <w:pPr>
        <w:ind w:left="5040" w:hanging="360"/>
      </w:pPr>
      <w:rPr>
        <w:rFonts w:ascii="Symbol" w:hAnsi="Symbol" w:hint="default"/>
      </w:rPr>
    </w:lvl>
    <w:lvl w:ilvl="7" w:tplc="08447B14">
      <w:start w:val="1"/>
      <w:numFmt w:val="bullet"/>
      <w:lvlText w:val="o"/>
      <w:lvlJc w:val="left"/>
      <w:pPr>
        <w:ind w:left="5760" w:hanging="360"/>
      </w:pPr>
      <w:rPr>
        <w:rFonts w:ascii="Courier New" w:hAnsi="Courier New" w:hint="default"/>
      </w:rPr>
    </w:lvl>
    <w:lvl w:ilvl="8" w:tplc="4FC8369C">
      <w:start w:val="1"/>
      <w:numFmt w:val="bullet"/>
      <w:lvlText w:val=""/>
      <w:lvlJc w:val="left"/>
      <w:pPr>
        <w:ind w:left="6480" w:hanging="360"/>
      </w:pPr>
      <w:rPr>
        <w:rFonts w:ascii="Wingdings" w:hAnsi="Wingdings" w:hint="default"/>
      </w:rPr>
    </w:lvl>
  </w:abstractNum>
  <w:abstractNum w:abstractNumId="62" w15:restartNumberingAfterBreak="0">
    <w:nsid w:val="356518DC"/>
    <w:multiLevelType w:val="multilevel"/>
    <w:tmpl w:val="C5A040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5F535D1"/>
    <w:multiLevelType w:val="multilevel"/>
    <w:tmpl w:val="C11E24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372537F3"/>
    <w:multiLevelType w:val="hybridMultilevel"/>
    <w:tmpl w:val="3E14E07E"/>
    <w:lvl w:ilvl="0" w:tplc="8EBEB170">
      <w:start w:val="1"/>
      <w:numFmt w:val="decimal"/>
      <w:lvlText w:val="%1."/>
      <w:lvlJc w:val="left"/>
      <w:pPr>
        <w:ind w:left="720" w:hanging="360"/>
      </w:pPr>
    </w:lvl>
    <w:lvl w:ilvl="1" w:tplc="18090019">
      <w:start w:val="1"/>
      <w:numFmt w:val="lowerLetter"/>
      <w:lvlText w:val="%2."/>
      <w:lvlJc w:val="left"/>
      <w:pPr>
        <w:ind w:left="-720" w:hanging="360"/>
      </w:pPr>
    </w:lvl>
    <w:lvl w:ilvl="2" w:tplc="1809001B">
      <w:start w:val="1"/>
      <w:numFmt w:val="lowerRoman"/>
      <w:lvlText w:val="%3."/>
      <w:lvlJc w:val="right"/>
      <w:pPr>
        <w:ind w:left="0" w:hanging="180"/>
      </w:pPr>
    </w:lvl>
    <w:lvl w:ilvl="3" w:tplc="1809000F">
      <w:start w:val="1"/>
      <w:numFmt w:val="decimal"/>
      <w:lvlText w:val="%4."/>
      <w:lvlJc w:val="left"/>
      <w:pPr>
        <w:ind w:left="720" w:hanging="360"/>
      </w:pPr>
    </w:lvl>
    <w:lvl w:ilvl="4" w:tplc="18090019">
      <w:start w:val="1"/>
      <w:numFmt w:val="lowerLetter"/>
      <w:lvlText w:val="%5."/>
      <w:lvlJc w:val="left"/>
      <w:pPr>
        <w:ind w:left="1440" w:hanging="360"/>
      </w:pPr>
    </w:lvl>
    <w:lvl w:ilvl="5" w:tplc="1809001B">
      <w:start w:val="1"/>
      <w:numFmt w:val="lowerRoman"/>
      <w:lvlText w:val="%6."/>
      <w:lvlJc w:val="right"/>
      <w:pPr>
        <w:ind w:left="2160" w:hanging="180"/>
      </w:pPr>
    </w:lvl>
    <w:lvl w:ilvl="6" w:tplc="1809000F">
      <w:start w:val="1"/>
      <w:numFmt w:val="decimal"/>
      <w:lvlText w:val="%7."/>
      <w:lvlJc w:val="left"/>
      <w:pPr>
        <w:ind w:left="2880" w:hanging="360"/>
      </w:pPr>
    </w:lvl>
    <w:lvl w:ilvl="7" w:tplc="18090019">
      <w:start w:val="1"/>
      <w:numFmt w:val="lowerLetter"/>
      <w:lvlText w:val="%8."/>
      <w:lvlJc w:val="left"/>
      <w:pPr>
        <w:ind w:left="3600" w:hanging="360"/>
      </w:pPr>
    </w:lvl>
    <w:lvl w:ilvl="8" w:tplc="1809001B">
      <w:start w:val="1"/>
      <w:numFmt w:val="lowerRoman"/>
      <w:lvlText w:val="%9."/>
      <w:lvlJc w:val="right"/>
      <w:pPr>
        <w:ind w:left="4320" w:hanging="180"/>
      </w:pPr>
    </w:lvl>
  </w:abstractNum>
  <w:abstractNum w:abstractNumId="65"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66" w15:restartNumberingAfterBreak="0">
    <w:nsid w:val="388A35A8"/>
    <w:multiLevelType w:val="multilevel"/>
    <w:tmpl w:val="367477D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7" w15:restartNumberingAfterBreak="0">
    <w:nsid w:val="38A54FCB"/>
    <w:multiLevelType w:val="hybridMultilevel"/>
    <w:tmpl w:val="1A70829C"/>
    <w:lvl w:ilvl="0" w:tplc="746015F8">
      <w:start w:val="2"/>
      <w:numFmt w:val="decimal"/>
      <w:lvlText w:val="%1."/>
      <w:lvlJc w:val="left"/>
      <w:pPr>
        <w:ind w:left="720" w:hanging="360"/>
      </w:pPr>
      <w:rPr>
        <w:rFonts w:eastAsia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39E2DF70"/>
    <w:multiLevelType w:val="hybridMultilevel"/>
    <w:tmpl w:val="15AEF180"/>
    <w:lvl w:ilvl="0" w:tplc="4BEC2C3C">
      <w:start w:val="1"/>
      <w:numFmt w:val="bullet"/>
      <w:lvlText w:val="-"/>
      <w:lvlJc w:val="left"/>
      <w:pPr>
        <w:ind w:left="720" w:hanging="360"/>
      </w:pPr>
      <w:rPr>
        <w:rFonts w:ascii="Aptos" w:hAnsi="Aptos" w:hint="default"/>
      </w:rPr>
    </w:lvl>
    <w:lvl w:ilvl="1" w:tplc="55E836EE">
      <w:start w:val="1"/>
      <w:numFmt w:val="bullet"/>
      <w:lvlText w:val="o"/>
      <w:lvlJc w:val="left"/>
      <w:pPr>
        <w:ind w:left="1440" w:hanging="360"/>
      </w:pPr>
      <w:rPr>
        <w:rFonts w:ascii="Courier New" w:hAnsi="Courier New" w:hint="default"/>
      </w:rPr>
    </w:lvl>
    <w:lvl w:ilvl="2" w:tplc="DB7A5EB4">
      <w:start w:val="1"/>
      <w:numFmt w:val="bullet"/>
      <w:lvlText w:val=""/>
      <w:lvlJc w:val="left"/>
      <w:pPr>
        <w:ind w:left="2160" w:hanging="360"/>
      </w:pPr>
      <w:rPr>
        <w:rFonts w:ascii="Wingdings" w:hAnsi="Wingdings" w:hint="default"/>
      </w:rPr>
    </w:lvl>
    <w:lvl w:ilvl="3" w:tplc="9A4E3CEC">
      <w:start w:val="1"/>
      <w:numFmt w:val="bullet"/>
      <w:lvlText w:val=""/>
      <w:lvlJc w:val="left"/>
      <w:pPr>
        <w:ind w:left="2880" w:hanging="360"/>
      </w:pPr>
      <w:rPr>
        <w:rFonts w:ascii="Symbol" w:hAnsi="Symbol" w:hint="default"/>
      </w:rPr>
    </w:lvl>
    <w:lvl w:ilvl="4" w:tplc="9C1A1E42">
      <w:start w:val="1"/>
      <w:numFmt w:val="bullet"/>
      <w:lvlText w:val="o"/>
      <w:lvlJc w:val="left"/>
      <w:pPr>
        <w:ind w:left="3600" w:hanging="360"/>
      </w:pPr>
      <w:rPr>
        <w:rFonts w:ascii="Courier New" w:hAnsi="Courier New" w:hint="default"/>
      </w:rPr>
    </w:lvl>
    <w:lvl w:ilvl="5" w:tplc="5342A464">
      <w:start w:val="1"/>
      <w:numFmt w:val="bullet"/>
      <w:lvlText w:val=""/>
      <w:lvlJc w:val="left"/>
      <w:pPr>
        <w:ind w:left="4320" w:hanging="360"/>
      </w:pPr>
      <w:rPr>
        <w:rFonts w:ascii="Wingdings" w:hAnsi="Wingdings" w:hint="default"/>
      </w:rPr>
    </w:lvl>
    <w:lvl w:ilvl="6" w:tplc="22FEDDFC">
      <w:start w:val="1"/>
      <w:numFmt w:val="bullet"/>
      <w:lvlText w:val=""/>
      <w:lvlJc w:val="left"/>
      <w:pPr>
        <w:ind w:left="5040" w:hanging="360"/>
      </w:pPr>
      <w:rPr>
        <w:rFonts w:ascii="Symbol" w:hAnsi="Symbol" w:hint="default"/>
      </w:rPr>
    </w:lvl>
    <w:lvl w:ilvl="7" w:tplc="867E0060">
      <w:start w:val="1"/>
      <w:numFmt w:val="bullet"/>
      <w:lvlText w:val="o"/>
      <w:lvlJc w:val="left"/>
      <w:pPr>
        <w:ind w:left="5760" w:hanging="360"/>
      </w:pPr>
      <w:rPr>
        <w:rFonts w:ascii="Courier New" w:hAnsi="Courier New" w:hint="default"/>
      </w:rPr>
    </w:lvl>
    <w:lvl w:ilvl="8" w:tplc="D2CC89D2">
      <w:start w:val="1"/>
      <w:numFmt w:val="bullet"/>
      <w:lvlText w:val=""/>
      <w:lvlJc w:val="left"/>
      <w:pPr>
        <w:ind w:left="6480" w:hanging="360"/>
      </w:pPr>
      <w:rPr>
        <w:rFonts w:ascii="Wingdings" w:hAnsi="Wingdings" w:hint="default"/>
      </w:rPr>
    </w:lvl>
  </w:abstractNum>
  <w:abstractNum w:abstractNumId="69" w15:restartNumberingAfterBreak="0">
    <w:nsid w:val="3B0034E6"/>
    <w:multiLevelType w:val="hybridMultilevel"/>
    <w:tmpl w:val="27508D3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0" w15:restartNumberingAfterBreak="0">
    <w:nsid w:val="3BE0150E"/>
    <w:multiLevelType w:val="hybridMultilevel"/>
    <w:tmpl w:val="FFFFFFFF"/>
    <w:lvl w:ilvl="0" w:tplc="80687894">
      <w:start w:val="1"/>
      <w:numFmt w:val="bullet"/>
      <w:lvlText w:val="-"/>
      <w:lvlJc w:val="left"/>
      <w:pPr>
        <w:ind w:left="720" w:hanging="360"/>
      </w:pPr>
      <w:rPr>
        <w:rFonts w:ascii="Segoe UI" w:hAnsi="Segoe UI" w:hint="default"/>
      </w:rPr>
    </w:lvl>
    <w:lvl w:ilvl="1" w:tplc="67C457DE">
      <w:start w:val="1"/>
      <w:numFmt w:val="bullet"/>
      <w:lvlText w:val="o"/>
      <w:lvlJc w:val="left"/>
      <w:pPr>
        <w:ind w:left="1440" w:hanging="360"/>
      </w:pPr>
      <w:rPr>
        <w:rFonts w:ascii="Courier New" w:hAnsi="Courier New" w:hint="default"/>
      </w:rPr>
    </w:lvl>
    <w:lvl w:ilvl="2" w:tplc="361A0A72">
      <w:start w:val="1"/>
      <w:numFmt w:val="bullet"/>
      <w:lvlText w:val=""/>
      <w:lvlJc w:val="left"/>
      <w:pPr>
        <w:ind w:left="2160" w:hanging="360"/>
      </w:pPr>
      <w:rPr>
        <w:rFonts w:ascii="Wingdings" w:hAnsi="Wingdings" w:hint="default"/>
      </w:rPr>
    </w:lvl>
    <w:lvl w:ilvl="3" w:tplc="22F0B5AA">
      <w:start w:val="1"/>
      <w:numFmt w:val="bullet"/>
      <w:lvlText w:val=""/>
      <w:lvlJc w:val="left"/>
      <w:pPr>
        <w:ind w:left="2880" w:hanging="360"/>
      </w:pPr>
      <w:rPr>
        <w:rFonts w:ascii="Symbol" w:hAnsi="Symbol" w:hint="default"/>
      </w:rPr>
    </w:lvl>
    <w:lvl w:ilvl="4" w:tplc="CDF4BD32">
      <w:start w:val="1"/>
      <w:numFmt w:val="bullet"/>
      <w:lvlText w:val="o"/>
      <w:lvlJc w:val="left"/>
      <w:pPr>
        <w:ind w:left="3600" w:hanging="360"/>
      </w:pPr>
      <w:rPr>
        <w:rFonts w:ascii="Courier New" w:hAnsi="Courier New" w:hint="default"/>
      </w:rPr>
    </w:lvl>
    <w:lvl w:ilvl="5" w:tplc="D682CD80">
      <w:start w:val="1"/>
      <w:numFmt w:val="bullet"/>
      <w:lvlText w:val=""/>
      <w:lvlJc w:val="left"/>
      <w:pPr>
        <w:ind w:left="4320" w:hanging="360"/>
      </w:pPr>
      <w:rPr>
        <w:rFonts w:ascii="Wingdings" w:hAnsi="Wingdings" w:hint="default"/>
      </w:rPr>
    </w:lvl>
    <w:lvl w:ilvl="6" w:tplc="3F446804">
      <w:start w:val="1"/>
      <w:numFmt w:val="bullet"/>
      <w:lvlText w:val=""/>
      <w:lvlJc w:val="left"/>
      <w:pPr>
        <w:ind w:left="5040" w:hanging="360"/>
      </w:pPr>
      <w:rPr>
        <w:rFonts w:ascii="Symbol" w:hAnsi="Symbol" w:hint="default"/>
      </w:rPr>
    </w:lvl>
    <w:lvl w:ilvl="7" w:tplc="F8A6AB6E">
      <w:start w:val="1"/>
      <w:numFmt w:val="bullet"/>
      <w:lvlText w:val="o"/>
      <w:lvlJc w:val="left"/>
      <w:pPr>
        <w:ind w:left="5760" w:hanging="360"/>
      </w:pPr>
      <w:rPr>
        <w:rFonts w:ascii="Courier New" w:hAnsi="Courier New" w:hint="default"/>
      </w:rPr>
    </w:lvl>
    <w:lvl w:ilvl="8" w:tplc="149E4382">
      <w:start w:val="1"/>
      <w:numFmt w:val="bullet"/>
      <w:lvlText w:val=""/>
      <w:lvlJc w:val="left"/>
      <w:pPr>
        <w:ind w:left="6480" w:hanging="360"/>
      </w:pPr>
      <w:rPr>
        <w:rFonts w:ascii="Wingdings" w:hAnsi="Wingdings" w:hint="default"/>
      </w:rPr>
    </w:lvl>
  </w:abstractNum>
  <w:abstractNum w:abstractNumId="71" w15:restartNumberingAfterBreak="0">
    <w:nsid w:val="3CDC02B7"/>
    <w:multiLevelType w:val="multilevel"/>
    <w:tmpl w:val="A41AE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CEA2929"/>
    <w:multiLevelType w:val="multilevel"/>
    <w:tmpl w:val="ACAEFF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DF2400B"/>
    <w:multiLevelType w:val="hybridMultilevel"/>
    <w:tmpl w:val="6AE078CE"/>
    <w:lvl w:ilvl="0" w:tplc="EFFAF4EA">
      <w:start w:val="1"/>
      <w:numFmt w:val="decimal"/>
      <w:lvlText w:val="%1."/>
      <w:lvlJc w:val="left"/>
      <w:pPr>
        <w:ind w:left="720" w:hanging="360"/>
      </w:pPr>
    </w:lvl>
    <w:lvl w:ilvl="1" w:tplc="51EC3BF0">
      <w:start w:val="1"/>
      <w:numFmt w:val="lowerLetter"/>
      <w:lvlText w:val="%2."/>
      <w:lvlJc w:val="left"/>
      <w:pPr>
        <w:ind w:left="1440" w:hanging="360"/>
      </w:pPr>
    </w:lvl>
    <w:lvl w:ilvl="2" w:tplc="E40890F6">
      <w:start w:val="1"/>
      <w:numFmt w:val="lowerRoman"/>
      <w:lvlText w:val="%3."/>
      <w:lvlJc w:val="right"/>
      <w:pPr>
        <w:ind w:left="2160" w:hanging="180"/>
      </w:pPr>
    </w:lvl>
    <w:lvl w:ilvl="3" w:tplc="9FA276BA">
      <w:start w:val="1"/>
      <w:numFmt w:val="decimal"/>
      <w:lvlText w:val="%4."/>
      <w:lvlJc w:val="left"/>
      <w:pPr>
        <w:ind w:left="2880" w:hanging="360"/>
      </w:pPr>
    </w:lvl>
    <w:lvl w:ilvl="4" w:tplc="3FAC320E">
      <w:start w:val="1"/>
      <w:numFmt w:val="lowerLetter"/>
      <w:lvlText w:val="%5."/>
      <w:lvlJc w:val="left"/>
      <w:pPr>
        <w:ind w:left="3600" w:hanging="360"/>
      </w:pPr>
    </w:lvl>
    <w:lvl w:ilvl="5" w:tplc="A17A4636">
      <w:start w:val="1"/>
      <w:numFmt w:val="lowerRoman"/>
      <w:lvlText w:val="%6."/>
      <w:lvlJc w:val="right"/>
      <w:pPr>
        <w:ind w:left="4320" w:hanging="180"/>
      </w:pPr>
    </w:lvl>
    <w:lvl w:ilvl="6" w:tplc="06542920">
      <w:start w:val="1"/>
      <w:numFmt w:val="decimal"/>
      <w:lvlText w:val="%7."/>
      <w:lvlJc w:val="left"/>
      <w:pPr>
        <w:ind w:left="5040" w:hanging="360"/>
      </w:pPr>
    </w:lvl>
    <w:lvl w:ilvl="7" w:tplc="38265764">
      <w:start w:val="1"/>
      <w:numFmt w:val="lowerLetter"/>
      <w:lvlText w:val="%8."/>
      <w:lvlJc w:val="left"/>
      <w:pPr>
        <w:ind w:left="5760" w:hanging="360"/>
      </w:pPr>
    </w:lvl>
    <w:lvl w:ilvl="8" w:tplc="E85E00CC">
      <w:start w:val="1"/>
      <w:numFmt w:val="lowerRoman"/>
      <w:lvlText w:val="%9."/>
      <w:lvlJc w:val="right"/>
      <w:pPr>
        <w:ind w:left="6480" w:hanging="180"/>
      </w:pPr>
    </w:lvl>
  </w:abstractNum>
  <w:abstractNum w:abstractNumId="74" w15:restartNumberingAfterBreak="0">
    <w:nsid w:val="3F974E87"/>
    <w:multiLevelType w:val="hybridMultilevel"/>
    <w:tmpl w:val="C9B23A4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3FF67517"/>
    <w:multiLevelType w:val="multilevel"/>
    <w:tmpl w:val="636A55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6" w15:restartNumberingAfterBreak="0">
    <w:nsid w:val="41227CF3"/>
    <w:multiLevelType w:val="hybridMultilevel"/>
    <w:tmpl w:val="399A2470"/>
    <w:lvl w:ilvl="0" w:tplc="8250AAD8">
      <w:numFmt w:val="bullet"/>
      <w:lvlText w:val="-"/>
      <w:lvlJc w:val="left"/>
      <w:pPr>
        <w:ind w:left="1069" w:hanging="360"/>
      </w:pPr>
      <w:rPr>
        <w:rFonts w:ascii="Times New Roman" w:hAnsi="Times New Roman" w:hint="default"/>
      </w:rPr>
    </w:lvl>
    <w:lvl w:ilvl="1" w:tplc="94248EB8">
      <w:start w:val="1"/>
      <w:numFmt w:val="bullet"/>
      <w:lvlText w:val="o"/>
      <w:lvlJc w:val="left"/>
      <w:pPr>
        <w:ind w:left="1789" w:hanging="360"/>
      </w:pPr>
      <w:rPr>
        <w:rFonts w:ascii="Courier New" w:hAnsi="Courier New" w:hint="default"/>
      </w:rPr>
    </w:lvl>
    <w:lvl w:ilvl="2" w:tplc="BCDCFBF2">
      <w:start w:val="1"/>
      <w:numFmt w:val="bullet"/>
      <w:lvlText w:val=""/>
      <w:lvlJc w:val="left"/>
      <w:pPr>
        <w:ind w:left="2509" w:hanging="360"/>
      </w:pPr>
      <w:rPr>
        <w:rFonts w:ascii="Wingdings" w:hAnsi="Wingdings" w:hint="default"/>
      </w:rPr>
    </w:lvl>
    <w:lvl w:ilvl="3" w:tplc="1C20484A">
      <w:start w:val="1"/>
      <w:numFmt w:val="bullet"/>
      <w:lvlText w:val=""/>
      <w:lvlJc w:val="left"/>
      <w:pPr>
        <w:ind w:left="3229" w:hanging="360"/>
      </w:pPr>
      <w:rPr>
        <w:rFonts w:ascii="Symbol" w:hAnsi="Symbol" w:hint="default"/>
      </w:rPr>
    </w:lvl>
    <w:lvl w:ilvl="4" w:tplc="BDE8E3B0">
      <w:start w:val="1"/>
      <w:numFmt w:val="bullet"/>
      <w:lvlText w:val="o"/>
      <w:lvlJc w:val="left"/>
      <w:pPr>
        <w:ind w:left="3949" w:hanging="360"/>
      </w:pPr>
      <w:rPr>
        <w:rFonts w:ascii="Courier New" w:hAnsi="Courier New" w:hint="default"/>
      </w:rPr>
    </w:lvl>
    <w:lvl w:ilvl="5" w:tplc="87DA4706">
      <w:start w:val="1"/>
      <w:numFmt w:val="bullet"/>
      <w:lvlText w:val=""/>
      <w:lvlJc w:val="left"/>
      <w:pPr>
        <w:ind w:left="4669" w:hanging="360"/>
      </w:pPr>
      <w:rPr>
        <w:rFonts w:ascii="Wingdings" w:hAnsi="Wingdings" w:hint="default"/>
      </w:rPr>
    </w:lvl>
    <w:lvl w:ilvl="6" w:tplc="11900514">
      <w:start w:val="1"/>
      <w:numFmt w:val="bullet"/>
      <w:lvlText w:val=""/>
      <w:lvlJc w:val="left"/>
      <w:pPr>
        <w:ind w:left="5389" w:hanging="360"/>
      </w:pPr>
      <w:rPr>
        <w:rFonts w:ascii="Symbol" w:hAnsi="Symbol" w:hint="default"/>
      </w:rPr>
    </w:lvl>
    <w:lvl w:ilvl="7" w:tplc="20BE75C4">
      <w:start w:val="1"/>
      <w:numFmt w:val="bullet"/>
      <w:lvlText w:val="o"/>
      <w:lvlJc w:val="left"/>
      <w:pPr>
        <w:ind w:left="6109" w:hanging="360"/>
      </w:pPr>
      <w:rPr>
        <w:rFonts w:ascii="Courier New" w:hAnsi="Courier New" w:hint="default"/>
      </w:rPr>
    </w:lvl>
    <w:lvl w:ilvl="8" w:tplc="48D0C68C">
      <w:start w:val="1"/>
      <w:numFmt w:val="bullet"/>
      <w:lvlText w:val=""/>
      <w:lvlJc w:val="left"/>
      <w:pPr>
        <w:ind w:left="6829" w:hanging="360"/>
      </w:pPr>
      <w:rPr>
        <w:rFonts w:ascii="Wingdings" w:hAnsi="Wingdings" w:hint="default"/>
      </w:rPr>
    </w:lvl>
  </w:abstractNum>
  <w:abstractNum w:abstractNumId="77" w15:restartNumberingAfterBreak="0">
    <w:nsid w:val="414F4186"/>
    <w:multiLevelType w:val="hybridMultilevel"/>
    <w:tmpl w:val="CE1E0CBC"/>
    <w:name w:val="Heading222"/>
    <w:lvl w:ilvl="0" w:tplc="9660774E">
      <w:start w:val="1"/>
      <w:numFmt w:val="bullet"/>
      <w:lvlText w:val=""/>
      <w:lvlJc w:val="left"/>
      <w:pPr>
        <w:ind w:left="360" w:hanging="360"/>
      </w:pPr>
      <w:rPr>
        <w:rFonts w:ascii="Symbol" w:hAnsi="Symbol" w:hint="default"/>
      </w:rPr>
    </w:lvl>
    <w:lvl w:ilvl="1" w:tplc="8D928C36">
      <w:start w:val="1"/>
      <w:numFmt w:val="bullet"/>
      <w:lvlText w:val="o"/>
      <w:lvlJc w:val="left"/>
      <w:pPr>
        <w:ind w:left="1080" w:hanging="360"/>
      </w:pPr>
      <w:rPr>
        <w:rFonts w:ascii="Courier New" w:hAnsi="Courier New" w:hint="default"/>
      </w:rPr>
    </w:lvl>
    <w:lvl w:ilvl="2" w:tplc="773A4D9C">
      <w:start w:val="1"/>
      <w:numFmt w:val="bullet"/>
      <w:lvlText w:val=""/>
      <w:lvlJc w:val="left"/>
      <w:pPr>
        <w:ind w:left="1800" w:hanging="360"/>
      </w:pPr>
      <w:rPr>
        <w:rFonts w:ascii="Wingdings" w:hAnsi="Wingdings" w:hint="default"/>
      </w:rPr>
    </w:lvl>
    <w:lvl w:ilvl="3" w:tplc="DF426356">
      <w:start w:val="1"/>
      <w:numFmt w:val="bullet"/>
      <w:lvlText w:val=""/>
      <w:lvlJc w:val="left"/>
      <w:pPr>
        <w:ind w:left="2520" w:hanging="360"/>
      </w:pPr>
      <w:rPr>
        <w:rFonts w:ascii="Symbol" w:hAnsi="Symbol" w:hint="default"/>
      </w:rPr>
    </w:lvl>
    <w:lvl w:ilvl="4" w:tplc="372A8EAA">
      <w:start w:val="1"/>
      <w:numFmt w:val="bullet"/>
      <w:lvlText w:val="o"/>
      <w:lvlJc w:val="left"/>
      <w:pPr>
        <w:ind w:left="3240" w:hanging="360"/>
      </w:pPr>
      <w:rPr>
        <w:rFonts w:ascii="Courier New" w:hAnsi="Courier New" w:hint="default"/>
      </w:rPr>
    </w:lvl>
    <w:lvl w:ilvl="5" w:tplc="A43C433C">
      <w:start w:val="1"/>
      <w:numFmt w:val="bullet"/>
      <w:lvlText w:val=""/>
      <w:lvlJc w:val="left"/>
      <w:pPr>
        <w:ind w:left="3960" w:hanging="360"/>
      </w:pPr>
      <w:rPr>
        <w:rFonts w:ascii="Wingdings" w:hAnsi="Wingdings" w:hint="default"/>
      </w:rPr>
    </w:lvl>
    <w:lvl w:ilvl="6" w:tplc="DC960518">
      <w:start w:val="1"/>
      <w:numFmt w:val="bullet"/>
      <w:lvlText w:val=""/>
      <w:lvlJc w:val="left"/>
      <w:pPr>
        <w:ind w:left="4680" w:hanging="360"/>
      </w:pPr>
      <w:rPr>
        <w:rFonts w:ascii="Symbol" w:hAnsi="Symbol" w:hint="default"/>
      </w:rPr>
    </w:lvl>
    <w:lvl w:ilvl="7" w:tplc="B3623098">
      <w:start w:val="1"/>
      <w:numFmt w:val="bullet"/>
      <w:lvlText w:val="o"/>
      <w:lvlJc w:val="left"/>
      <w:pPr>
        <w:ind w:left="5400" w:hanging="360"/>
      </w:pPr>
      <w:rPr>
        <w:rFonts w:ascii="Courier New" w:hAnsi="Courier New" w:hint="default"/>
      </w:rPr>
    </w:lvl>
    <w:lvl w:ilvl="8" w:tplc="A282C378">
      <w:start w:val="1"/>
      <w:numFmt w:val="bullet"/>
      <w:lvlText w:val=""/>
      <w:lvlJc w:val="left"/>
      <w:pPr>
        <w:ind w:left="6120" w:hanging="360"/>
      </w:pPr>
      <w:rPr>
        <w:rFonts w:ascii="Wingdings" w:hAnsi="Wingdings" w:hint="default"/>
      </w:rPr>
    </w:lvl>
  </w:abstractNum>
  <w:abstractNum w:abstractNumId="78" w15:restartNumberingAfterBreak="0">
    <w:nsid w:val="41A17B31"/>
    <w:multiLevelType w:val="hybridMultilevel"/>
    <w:tmpl w:val="9816FA8C"/>
    <w:lvl w:ilvl="0" w:tplc="1809000F">
      <w:start w:val="1"/>
      <w:numFmt w:val="decimal"/>
      <w:lvlText w:val="%1."/>
      <w:lvlJc w:val="left"/>
      <w:pPr>
        <w:ind w:left="1080" w:hanging="360"/>
      </w:pPr>
    </w:lvl>
    <w:lvl w:ilvl="1" w:tplc="FFFFFFFF">
      <w:start w:val="1"/>
      <w:numFmt w:val="decimal"/>
      <w:lvlText w:val="%2."/>
      <w:lvlJc w:val="left"/>
      <w:pPr>
        <w:ind w:left="1800" w:hanging="360"/>
      </w:p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7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0" w15:restartNumberingAfterBreak="0">
    <w:nsid w:val="42737F5F"/>
    <w:multiLevelType w:val="hybridMultilevel"/>
    <w:tmpl w:val="30D47F12"/>
    <w:lvl w:ilvl="0" w:tplc="18090011">
      <w:start w:val="1"/>
      <w:numFmt w:val="decimal"/>
      <w:lvlText w:val="%1)"/>
      <w:lvlJc w:val="left"/>
      <w:pPr>
        <w:ind w:left="1211" w:hanging="360"/>
      </w:pPr>
    </w:lvl>
    <w:lvl w:ilvl="1" w:tplc="7AACA2A8">
      <w:start w:val="1"/>
      <w:numFmt w:val="lowerRoman"/>
      <w:lvlText w:val="%2)"/>
      <w:lvlJc w:val="left"/>
      <w:pPr>
        <w:ind w:left="1931" w:hanging="360"/>
      </w:pPr>
    </w:lvl>
    <w:lvl w:ilvl="2" w:tplc="135C1798">
      <w:start w:val="1"/>
      <w:numFmt w:val="lowerRoman"/>
      <w:lvlText w:val="%3."/>
      <w:lvlJc w:val="right"/>
      <w:pPr>
        <w:ind w:left="2651" w:hanging="180"/>
      </w:pPr>
    </w:lvl>
    <w:lvl w:ilvl="3" w:tplc="8EBEB170">
      <w:start w:val="1"/>
      <w:numFmt w:val="decimal"/>
      <w:lvlText w:val="%4."/>
      <w:lvlJc w:val="left"/>
      <w:pPr>
        <w:ind w:left="3371" w:hanging="360"/>
      </w:pPr>
    </w:lvl>
    <w:lvl w:ilvl="4" w:tplc="C03A1DA6">
      <w:start w:val="1"/>
      <w:numFmt w:val="lowerLetter"/>
      <w:lvlText w:val="%5."/>
      <w:lvlJc w:val="left"/>
      <w:pPr>
        <w:ind w:left="4091" w:hanging="360"/>
      </w:pPr>
    </w:lvl>
    <w:lvl w:ilvl="5" w:tplc="F2E60BEE">
      <w:start w:val="1"/>
      <w:numFmt w:val="lowerRoman"/>
      <w:lvlText w:val="%6."/>
      <w:lvlJc w:val="right"/>
      <w:pPr>
        <w:ind w:left="4811" w:hanging="180"/>
      </w:pPr>
    </w:lvl>
    <w:lvl w:ilvl="6" w:tplc="FF086586">
      <w:start w:val="1"/>
      <w:numFmt w:val="decimal"/>
      <w:lvlText w:val="%7."/>
      <w:lvlJc w:val="left"/>
      <w:pPr>
        <w:ind w:left="5531" w:hanging="360"/>
      </w:pPr>
    </w:lvl>
    <w:lvl w:ilvl="7" w:tplc="4B904216">
      <w:start w:val="1"/>
      <w:numFmt w:val="lowerLetter"/>
      <w:lvlText w:val="%8."/>
      <w:lvlJc w:val="left"/>
      <w:pPr>
        <w:ind w:left="6251" w:hanging="360"/>
      </w:pPr>
    </w:lvl>
    <w:lvl w:ilvl="8" w:tplc="C6CAEAEE">
      <w:start w:val="1"/>
      <w:numFmt w:val="lowerRoman"/>
      <w:lvlText w:val="%9."/>
      <w:lvlJc w:val="right"/>
      <w:pPr>
        <w:ind w:left="6971" w:hanging="180"/>
      </w:pPr>
    </w:lvl>
  </w:abstractNum>
  <w:abstractNum w:abstractNumId="81"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2" w15:restartNumberingAfterBreak="0">
    <w:nsid w:val="4380438C"/>
    <w:multiLevelType w:val="hybridMultilevel"/>
    <w:tmpl w:val="37540650"/>
    <w:lvl w:ilvl="0" w:tplc="10C6D14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15:restartNumberingAfterBreak="0">
    <w:nsid w:val="43A65C1D"/>
    <w:multiLevelType w:val="hybridMultilevel"/>
    <w:tmpl w:val="F26CD4DA"/>
    <w:lvl w:ilvl="0" w:tplc="42368BDC">
      <w:start w:val="1"/>
      <w:numFmt w:val="decimal"/>
      <w:lvlText w:val="%1."/>
      <w:lvlJc w:val="left"/>
      <w:pPr>
        <w:ind w:left="720" w:hanging="360"/>
      </w:pPr>
    </w:lvl>
    <w:lvl w:ilvl="1" w:tplc="121C0BCC">
      <w:start w:val="1"/>
      <w:numFmt w:val="lowerLetter"/>
      <w:lvlText w:val="%2."/>
      <w:lvlJc w:val="left"/>
      <w:pPr>
        <w:ind w:left="1440" w:hanging="360"/>
      </w:pPr>
    </w:lvl>
    <w:lvl w:ilvl="2" w:tplc="F7F06058">
      <w:start w:val="1"/>
      <w:numFmt w:val="lowerRoman"/>
      <w:lvlText w:val="%3."/>
      <w:lvlJc w:val="right"/>
      <w:pPr>
        <w:ind w:left="2160" w:hanging="180"/>
      </w:pPr>
    </w:lvl>
    <w:lvl w:ilvl="3" w:tplc="8986776C">
      <w:start w:val="1"/>
      <w:numFmt w:val="decimal"/>
      <w:lvlText w:val="%4."/>
      <w:lvlJc w:val="left"/>
      <w:pPr>
        <w:ind w:left="2880" w:hanging="360"/>
      </w:pPr>
    </w:lvl>
    <w:lvl w:ilvl="4" w:tplc="C9963C4E">
      <w:start w:val="1"/>
      <w:numFmt w:val="lowerLetter"/>
      <w:lvlText w:val="%5."/>
      <w:lvlJc w:val="left"/>
      <w:pPr>
        <w:ind w:left="3600" w:hanging="360"/>
      </w:pPr>
    </w:lvl>
    <w:lvl w:ilvl="5" w:tplc="DEB67ACA">
      <w:start w:val="1"/>
      <w:numFmt w:val="lowerRoman"/>
      <w:lvlText w:val="%6."/>
      <w:lvlJc w:val="right"/>
      <w:pPr>
        <w:ind w:left="4320" w:hanging="180"/>
      </w:pPr>
    </w:lvl>
    <w:lvl w:ilvl="6" w:tplc="39422B86">
      <w:start w:val="1"/>
      <w:numFmt w:val="decimal"/>
      <w:lvlText w:val="%7."/>
      <w:lvlJc w:val="left"/>
      <w:pPr>
        <w:ind w:left="5040" w:hanging="360"/>
      </w:pPr>
    </w:lvl>
    <w:lvl w:ilvl="7" w:tplc="30F6A4C2">
      <w:start w:val="1"/>
      <w:numFmt w:val="lowerLetter"/>
      <w:lvlText w:val="%8."/>
      <w:lvlJc w:val="left"/>
      <w:pPr>
        <w:ind w:left="5760" w:hanging="360"/>
      </w:pPr>
    </w:lvl>
    <w:lvl w:ilvl="8" w:tplc="5510E184">
      <w:start w:val="1"/>
      <w:numFmt w:val="lowerRoman"/>
      <w:lvlText w:val="%9."/>
      <w:lvlJc w:val="right"/>
      <w:pPr>
        <w:ind w:left="6480" w:hanging="180"/>
      </w:pPr>
    </w:lvl>
  </w:abstractNum>
  <w:abstractNum w:abstractNumId="84" w15:restartNumberingAfterBreak="0">
    <w:nsid w:val="44953B9D"/>
    <w:multiLevelType w:val="multilevel"/>
    <w:tmpl w:val="739498A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44A52E3A"/>
    <w:multiLevelType w:val="hybridMultilevel"/>
    <w:tmpl w:val="A5FAE91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6"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87" w15:restartNumberingAfterBreak="0">
    <w:nsid w:val="455631AC"/>
    <w:multiLevelType w:val="hybridMultilevel"/>
    <w:tmpl w:val="84FA0DAE"/>
    <w:lvl w:ilvl="0" w:tplc="218C80C4">
      <w:start w:val="1"/>
      <w:numFmt w:val="bullet"/>
      <w:lvlText w:val="-"/>
      <w:lvlJc w:val="left"/>
      <w:pPr>
        <w:ind w:left="720" w:hanging="360"/>
      </w:pPr>
      <w:rPr>
        <w:rFonts w:ascii="Calibri" w:hAnsi="Calibri" w:cs="Times New Roman" w:hint="default"/>
      </w:rPr>
    </w:lvl>
    <w:lvl w:ilvl="1" w:tplc="43023A84">
      <w:start w:val="1"/>
      <w:numFmt w:val="bullet"/>
      <w:lvlText w:val="o"/>
      <w:lvlJc w:val="left"/>
      <w:pPr>
        <w:ind w:left="1440" w:hanging="360"/>
      </w:pPr>
      <w:rPr>
        <w:rFonts w:ascii="Courier New" w:hAnsi="Courier New" w:cs="Times New Roman" w:hint="default"/>
      </w:rPr>
    </w:lvl>
    <w:lvl w:ilvl="2" w:tplc="35A8F86E">
      <w:start w:val="1"/>
      <w:numFmt w:val="bullet"/>
      <w:lvlText w:val=""/>
      <w:lvlJc w:val="left"/>
      <w:pPr>
        <w:ind w:left="2160" w:hanging="360"/>
      </w:pPr>
      <w:rPr>
        <w:rFonts w:ascii="Wingdings" w:hAnsi="Wingdings" w:hint="default"/>
      </w:rPr>
    </w:lvl>
    <w:lvl w:ilvl="3" w:tplc="33A0F0A8">
      <w:start w:val="1"/>
      <w:numFmt w:val="bullet"/>
      <w:lvlText w:val=""/>
      <w:lvlJc w:val="left"/>
      <w:pPr>
        <w:ind w:left="2880" w:hanging="360"/>
      </w:pPr>
      <w:rPr>
        <w:rFonts w:ascii="Symbol" w:hAnsi="Symbol" w:hint="default"/>
      </w:rPr>
    </w:lvl>
    <w:lvl w:ilvl="4" w:tplc="F6B04706">
      <w:start w:val="1"/>
      <w:numFmt w:val="bullet"/>
      <w:lvlText w:val="o"/>
      <w:lvlJc w:val="left"/>
      <w:pPr>
        <w:ind w:left="3600" w:hanging="360"/>
      </w:pPr>
      <w:rPr>
        <w:rFonts w:ascii="Courier New" w:hAnsi="Courier New" w:cs="Times New Roman" w:hint="default"/>
      </w:rPr>
    </w:lvl>
    <w:lvl w:ilvl="5" w:tplc="0EAAD594">
      <w:start w:val="1"/>
      <w:numFmt w:val="bullet"/>
      <w:lvlText w:val=""/>
      <w:lvlJc w:val="left"/>
      <w:pPr>
        <w:ind w:left="4320" w:hanging="360"/>
      </w:pPr>
      <w:rPr>
        <w:rFonts w:ascii="Wingdings" w:hAnsi="Wingdings" w:hint="default"/>
      </w:rPr>
    </w:lvl>
    <w:lvl w:ilvl="6" w:tplc="12E066FC">
      <w:start w:val="1"/>
      <w:numFmt w:val="bullet"/>
      <w:lvlText w:val=""/>
      <w:lvlJc w:val="left"/>
      <w:pPr>
        <w:ind w:left="5040" w:hanging="360"/>
      </w:pPr>
      <w:rPr>
        <w:rFonts w:ascii="Symbol" w:hAnsi="Symbol" w:hint="default"/>
      </w:rPr>
    </w:lvl>
    <w:lvl w:ilvl="7" w:tplc="6C9CF37E">
      <w:start w:val="1"/>
      <w:numFmt w:val="bullet"/>
      <w:lvlText w:val="o"/>
      <w:lvlJc w:val="left"/>
      <w:pPr>
        <w:ind w:left="5760" w:hanging="360"/>
      </w:pPr>
      <w:rPr>
        <w:rFonts w:ascii="Courier New" w:hAnsi="Courier New" w:cs="Times New Roman" w:hint="default"/>
      </w:rPr>
    </w:lvl>
    <w:lvl w:ilvl="8" w:tplc="BC06DF1C">
      <w:start w:val="1"/>
      <w:numFmt w:val="bullet"/>
      <w:lvlText w:val=""/>
      <w:lvlJc w:val="left"/>
      <w:pPr>
        <w:ind w:left="6480" w:hanging="360"/>
      </w:pPr>
      <w:rPr>
        <w:rFonts w:ascii="Wingdings" w:hAnsi="Wingdings" w:hint="default"/>
      </w:rPr>
    </w:lvl>
  </w:abstractNum>
  <w:abstractNum w:abstractNumId="88" w15:restartNumberingAfterBreak="0">
    <w:nsid w:val="456F6F11"/>
    <w:multiLevelType w:val="hybridMultilevel"/>
    <w:tmpl w:val="3C90E3F6"/>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460568B1"/>
    <w:multiLevelType w:val="hybridMultilevel"/>
    <w:tmpl w:val="54887C0C"/>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0" w15:restartNumberingAfterBreak="0">
    <w:nsid w:val="467A0105"/>
    <w:multiLevelType w:val="hybridMultilevel"/>
    <w:tmpl w:val="F94A11DC"/>
    <w:lvl w:ilvl="0" w:tplc="FFFFFFFF">
      <w:start w:val="1"/>
      <w:numFmt w:val="upp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91"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2" w15:restartNumberingAfterBreak="0">
    <w:nsid w:val="472E682F"/>
    <w:multiLevelType w:val="hybridMultilevel"/>
    <w:tmpl w:val="F46A2E5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47542ACE"/>
    <w:multiLevelType w:val="hybridMultilevel"/>
    <w:tmpl w:val="DCE6E23E"/>
    <w:lvl w:ilvl="0" w:tplc="73C0F010">
      <w:start w:val="1"/>
      <w:numFmt w:val="lowerRoman"/>
      <w:lvlText w:val="(%1)"/>
      <w:lvlJc w:val="left"/>
      <w:pPr>
        <w:ind w:left="1429" w:hanging="360"/>
      </w:p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94" w15:restartNumberingAfterBreak="0">
    <w:nsid w:val="49D773DC"/>
    <w:multiLevelType w:val="hybridMultilevel"/>
    <w:tmpl w:val="E1EE12C2"/>
    <w:lvl w:ilvl="0" w:tplc="4E8818C8">
      <w:numFmt w:val="bullet"/>
      <w:lvlText w:val="-"/>
      <w:lvlJc w:val="left"/>
      <w:pPr>
        <w:ind w:left="720" w:hanging="360"/>
      </w:pPr>
      <w:rPr>
        <w:rFonts w:ascii="Times New Roman" w:hAnsi="Times New Roman" w:hint="default"/>
      </w:rPr>
    </w:lvl>
    <w:lvl w:ilvl="1" w:tplc="2320E61E">
      <w:start w:val="1"/>
      <w:numFmt w:val="bullet"/>
      <w:lvlText w:val="o"/>
      <w:lvlJc w:val="left"/>
      <w:pPr>
        <w:ind w:left="1440" w:hanging="360"/>
      </w:pPr>
      <w:rPr>
        <w:rFonts w:ascii="Courier New" w:hAnsi="Courier New" w:hint="default"/>
      </w:rPr>
    </w:lvl>
    <w:lvl w:ilvl="2" w:tplc="BBE4AEB6">
      <w:start w:val="1"/>
      <w:numFmt w:val="bullet"/>
      <w:lvlText w:val=""/>
      <w:lvlJc w:val="left"/>
      <w:pPr>
        <w:ind w:left="2160" w:hanging="360"/>
      </w:pPr>
      <w:rPr>
        <w:rFonts w:ascii="Wingdings" w:hAnsi="Wingdings" w:hint="default"/>
      </w:rPr>
    </w:lvl>
    <w:lvl w:ilvl="3" w:tplc="F984D1B2">
      <w:start w:val="1"/>
      <w:numFmt w:val="bullet"/>
      <w:lvlText w:val=""/>
      <w:lvlJc w:val="left"/>
      <w:pPr>
        <w:ind w:left="2880" w:hanging="360"/>
      </w:pPr>
      <w:rPr>
        <w:rFonts w:ascii="Symbol" w:hAnsi="Symbol" w:hint="default"/>
      </w:rPr>
    </w:lvl>
    <w:lvl w:ilvl="4" w:tplc="504E3112">
      <w:start w:val="1"/>
      <w:numFmt w:val="bullet"/>
      <w:lvlText w:val="o"/>
      <w:lvlJc w:val="left"/>
      <w:pPr>
        <w:ind w:left="3600" w:hanging="360"/>
      </w:pPr>
      <w:rPr>
        <w:rFonts w:ascii="Courier New" w:hAnsi="Courier New" w:hint="default"/>
      </w:rPr>
    </w:lvl>
    <w:lvl w:ilvl="5" w:tplc="EEA021D2">
      <w:start w:val="1"/>
      <w:numFmt w:val="bullet"/>
      <w:lvlText w:val=""/>
      <w:lvlJc w:val="left"/>
      <w:pPr>
        <w:ind w:left="4320" w:hanging="360"/>
      </w:pPr>
      <w:rPr>
        <w:rFonts w:ascii="Wingdings" w:hAnsi="Wingdings" w:hint="default"/>
      </w:rPr>
    </w:lvl>
    <w:lvl w:ilvl="6" w:tplc="CBD08190">
      <w:start w:val="1"/>
      <w:numFmt w:val="bullet"/>
      <w:lvlText w:val=""/>
      <w:lvlJc w:val="left"/>
      <w:pPr>
        <w:ind w:left="5040" w:hanging="360"/>
      </w:pPr>
      <w:rPr>
        <w:rFonts w:ascii="Symbol" w:hAnsi="Symbol" w:hint="default"/>
      </w:rPr>
    </w:lvl>
    <w:lvl w:ilvl="7" w:tplc="F8266B70">
      <w:start w:val="1"/>
      <w:numFmt w:val="bullet"/>
      <w:lvlText w:val="o"/>
      <w:lvlJc w:val="left"/>
      <w:pPr>
        <w:ind w:left="5760" w:hanging="360"/>
      </w:pPr>
      <w:rPr>
        <w:rFonts w:ascii="Courier New" w:hAnsi="Courier New" w:hint="default"/>
      </w:rPr>
    </w:lvl>
    <w:lvl w:ilvl="8" w:tplc="2B22458E">
      <w:start w:val="1"/>
      <w:numFmt w:val="bullet"/>
      <w:lvlText w:val=""/>
      <w:lvlJc w:val="left"/>
      <w:pPr>
        <w:ind w:left="6480" w:hanging="360"/>
      </w:pPr>
      <w:rPr>
        <w:rFonts w:ascii="Wingdings" w:hAnsi="Wingdings" w:hint="default"/>
      </w:rPr>
    </w:lvl>
  </w:abstractNum>
  <w:abstractNum w:abstractNumId="95" w15:restartNumberingAfterBreak="0">
    <w:nsid w:val="4B8D2975"/>
    <w:multiLevelType w:val="hybridMultilevel"/>
    <w:tmpl w:val="424EF87C"/>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6" w15:restartNumberingAfterBreak="0">
    <w:nsid w:val="4BE97960"/>
    <w:multiLevelType w:val="hybridMultilevel"/>
    <w:tmpl w:val="6D724774"/>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7" w15:restartNumberingAfterBreak="0">
    <w:nsid w:val="4D8F1A52"/>
    <w:multiLevelType w:val="hybridMultilevel"/>
    <w:tmpl w:val="BAA2915A"/>
    <w:lvl w:ilvl="0" w:tplc="0410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98" w15:restartNumberingAfterBreak="0">
    <w:nsid w:val="4DD650F9"/>
    <w:multiLevelType w:val="multilevel"/>
    <w:tmpl w:val="31864E6E"/>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4E7234F7"/>
    <w:multiLevelType w:val="multilevel"/>
    <w:tmpl w:val="F208DA64"/>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503604BF"/>
    <w:multiLevelType w:val="hybridMultilevel"/>
    <w:tmpl w:val="CA3E3C90"/>
    <w:lvl w:ilvl="0" w:tplc="E036F444">
      <w:start w:val="1"/>
      <w:numFmt w:val="bullet"/>
      <w:lvlText w:val="·"/>
      <w:lvlJc w:val="left"/>
      <w:pPr>
        <w:ind w:left="720" w:hanging="360"/>
      </w:pPr>
      <w:rPr>
        <w:rFonts w:ascii="Symbol" w:hAnsi="Symbol" w:hint="default"/>
      </w:rPr>
    </w:lvl>
    <w:lvl w:ilvl="1" w:tplc="595EC648">
      <w:start w:val="1"/>
      <w:numFmt w:val="bullet"/>
      <w:lvlText w:val="o"/>
      <w:lvlJc w:val="left"/>
      <w:pPr>
        <w:ind w:left="1440" w:hanging="360"/>
      </w:pPr>
      <w:rPr>
        <w:rFonts w:ascii="Courier New" w:hAnsi="Courier New" w:hint="default"/>
      </w:rPr>
    </w:lvl>
    <w:lvl w:ilvl="2" w:tplc="6E76022C">
      <w:start w:val="1"/>
      <w:numFmt w:val="bullet"/>
      <w:lvlText w:val=""/>
      <w:lvlJc w:val="left"/>
      <w:pPr>
        <w:ind w:left="2160" w:hanging="360"/>
      </w:pPr>
      <w:rPr>
        <w:rFonts w:ascii="Wingdings" w:hAnsi="Wingdings" w:hint="default"/>
      </w:rPr>
    </w:lvl>
    <w:lvl w:ilvl="3" w:tplc="C35E6ECC">
      <w:start w:val="1"/>
      <w:numFmt w:val="bullet"/>
      <w:lvlText w:val=""/>
      <w:lvlJc w:val="left"/>
      <w:pPr>
        <w:ind w:left="2880" w:hanging="360"/>
      </w:pPr>
      <w:rPr>
        <w:rFonts w:ascii="Symbol" w:hAnsi="Symbol" w:hint="default"/>
      </w:rPr>
    </w:lvl>
    <w:lvl w:ilvl="4" w:tplc="DFA6687A">
      <w:start w:val="1"/>
      <w:numFmt w:val="bullet"/>
      <w:lvlText w:val="o"/>
      <w:lvlJc w:val="left"/>
      <w:pPr>
        <w:ind w:left="3600" w:hanging="360"/>
      </w:pPr>
      <w:rPr>
        <w:rFonts w:ascii="Courier New" w:hAnsi="Courier New" w:hint="default"/>
      </w:rPr>
    </w:lvl>
    <w:lvl w:ilvl="5" w:tplc="7278BE22">
      <w:start w:val="1"/>
      <w:numFmt w:val="bullet"/>
      <w:lvlText w:val=""/>
      <w:lvlJc w:val="left"/>
      <w:pPr>
        <w:ind w:left="4320" w:hanging="360"/>
      </w:pPr>
      <w:rPr>
        <w:rFonts w:ascii="Wingdings" w:hAnsi="Wingdings" w:hint="default"/>
      </w:rPr>
    </w:lvl>
    <w:lvl w:ilvl="6" w:tplc="AEB4DA1C">
      <w:start w:val="1"/>
      <w:numFmt w:val="bullet"/>
      <w:lvlText w:val=""/>
      <w:lvlJc w:val="left"/>
      <w:pPr>
        <w:ind w:left="5040" w:hanging="360"/>
      </w:pPr>
      <w:rPr>
        <w:rFonts w:ascii="Symbol" w:hAnsi="Symbol" w:hint="default"/>
      </w:rPr>
    </w:lvl>
    <w:lvl w:ilvl="7" w:tplc="1088AC34">
      <w:start w:val="1"/>
      <w:numFmt w:val="bullet"/>
      <w:lvlText w:val="o"/>
      <w:lvlJc w:val="left"/>
      <w:pPr>
        <w:ind w:left="5760" w:hanging="360"/>
      </w:pPr>
      <w:rPr>
        <w:rFonts w:ascii="Courier New" w:hAnsi="Courier New" w:hint="default"/>
      </w:rPr>
    </w:lvl>
    <w:lvl w:ilvl="8" w:tplc="B0E6FEF4">
      <w:start w:val="1"/>
      <w:numFmt w:val="bullet"/>
      <w:lvlText w:val=""/>
      <w:lvlJc w:val="left"/>
      <w:pPr>
        <w:ind w:left="6480" w:hanging="360"/>
      </w:pPr>
      <w:rPr>
        <w:rFonts w:ascii="Wingdings" w:hAnsi="Wingdings" w:hint="default"/>
      </w:rPr>
    </w:lvl>
  </w:abstractNum>
  <w:abstractNum w:abstractNumId="101" w15:restartNumberingAfterBreak="0">
    <w:nsid w:val="52BE7D93"/>
    <w:multiLevelType w:val="hybridMultilevel"/>
    <w:tmpl w:val="FCFA9FEC"/>
    <w:lvl w:ilvl="0" w:tplc="0BE6DFE6">
      <w:start w:val="1"/>
      <w:numFmt w:val="lowerRoman"/>
      <w:lvlText w:val="%1)"/>
      <w:lvlJc w:val="left"/>
      <w:pPr>
        <w:ind w:left="720" w:hanging="720"/>
      </w:pPr>
      <w:rPr>
        <w:rFonts w:eastAsiaTheme="minorHAnsi"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2" w15:restartNumberingAfterBreak="0">
    <w:nsid w:val="52EC6ECC"/>
    <w:multiLevelType w:val="hybridMultilevel"/>
    <w:tmpl w:val="A5067268"/>
    <w:lvl w:ilvl="0" w:tplc="D4A2D3F0">
      <w:start w:val="1"/>
      <w:numFmt w:val="bullet"/>
      <w:lvlText w:val=""/>
      <w:lvlJc w:val="left"/>
      <w:pPr>
        <w:ind w:left="720" w:hanging="360"/>
      </w:pPr>
      <w:rPr>
        <w:rFonts w:ascii="Symbol" w:hAnsi="Symbol" w:hint="default"/>
      </w:rPr>
    </w:lvl>
    <w:lvl w:ilvl="1" w:tplc="3B6C190A">
      <w:start w:val="1"/>
      <w:numFmt w:val="bullet"/>
      <w:lvlText w:val="o"/>
      <w:lvlJc w:val="left"/>
      <w:pPr>
        <w:ind w:left="1440" w:hanging="360"/>
      </w:pPr>
      <w:rPr>
        <w:rFonts w:ascii="Courier New" w:hAnsi="Courier New" w:hint="default"/>
      </w:rPr>
    </w:lvl>
    <w:lvl w:ilvl="2" w:tplc="ED7E94D6">
      <w:start w:val="1"/>
      <w:numFmt w:val="bullet"/>
      <w:lvlText w:val=""/>
      <w:lvlJc w:val="left"/>
      <w:pPr>
        <w:ind w:left="2160" w:hanging="360"/>
      </w:pPr>
      <w:rPr>
        <w:rFonts w:ascii="Wingdings" w:hAnsi="Wingdings" w:hint="default"/>
      </w:rPr>
    </w:lvl>
    <w:lvl w:ilvl="3" w:tplc="78164F48">
      <w:start w:val="1"/>
      <w:numFmt w:val="bullet"/>
      <w:lvlText w:val=""/>
      <w:lvlJc w:val="left"/>
      <w:pPr>
        <w:ind w:left="2880" w:hanging="360"/>
      </w:pPr>
      <w:rPr>
        <w:rFonts w:ascii="Symbol" w:hAnsi="Symbol" w:hint="default"/>
      </w:rPr>
    </w:lvl>
    <w:lvl w:ilvl="4" w:tplc="133EB486">
      <w:start w:val="1"/>
      <w:numFmt w:val="bullet"/>
      <w:lvlText w:val="o"/>
      <w:lvlJc w:val="left"/>
      <w:pPr>
        <w:ind w:left="3600" w:hanging="360"/>
      </w:pPr>
      <w:rPr>
        <w:rFonts w:ascii="Courier New" w:hAnsi="Courier New" w:hint="default"/>
      </w:rPr>
    </w:lvl>
    <w:lvl w:ilvl="5" w:tplc="260876F0">
      <w:start w:val="1"/>
      <w:numFmt w:val="bullet"/>
      <w:lvlText w:val=""/>
      <w:lvlJc w:val="left"/>
      <w:pPr>
        <w:ind w:left="4320" w:hanging="360"/>
      </w:pPr>
      <w:rPr>
        <w:rFonts w:ascii="Wingdings" w:hAnsi="Wingdings" w:hint="default"/>
      </w:rPr>
    </w:lvl>
    <w:lvl w:ilvl="6" w:tplc="37F4E174">
      <w:start w:val="1"/>
      <w:numFmt w:val="bullet"/>
      <w:lvlText w:val=""/>
      <w:lvlJc w:val="left"/>
      <w:pPr>
        <w:ind w:left="5040" w:hanging="360"/>
      </w:pPr>
      <w:rPr>
        <w:rFonts w:ascii="Symbol" w:hAnsi="Symbol" w:hint="default"/>
      </w:rPr>
    </w:lvl>
    <w:lvl w:ilvl="7" w:tplc="AC40A698">
      <w:start w:val="1"/>
      <w:numFmt w:val="bullet"/>
      <w:lvlText w:val="o"/>
      <w:lvlJc w:val="left"/>
      <w:pPr>
        <w:ind w:left="5760" w:hanging="360"/>
      </w:pPr>
      <w:rPr>
        <w:rFonts w:ascii="Courier New" w:hAnsi="Courier New" w:hint="default"/>
      </w:rPr>
    </w:lvl>
    <w:lvl w:ilvl="8" w:tplc="C680A60A">
      <w:start w:val="1"/>
      <w:numFmt w:val="bullet"/>
      <w:lvlText w:val=""/>
      <w:lvlJc w:val="left"/>
      <w:pPr>
        <w:ind w:left="6480" w:hanging="360"/>
      </w:pPr>
      <w:rPr>
        <w:rFonts w:ascii="Wingdings" w:hAnsi="Wingdings" w:hint="default"/>
      </w:rPr>
    </w:lvl>
  </w:abstractNum>
  <w:abstractNum w:abstractNumId="103" w15:restartNumberingAfterBreak="0">
    <w:nsid w:val="5320465F"/>
    <w:multiLevelType w:val="hybridMultilevel"/>
    <w:tmpl w:val="CDAE407A"/>
    <w:lvl w:ilvl="0" w:tplc="ACEA3794">
      <w:start w:val="1"/>
      <w:numFmt w:val="bullet"/>
      <w:lvlText w:val=""/>
      <w:lvlJc w:val="left"/>
      <w:pPr>
        <w:ind w:left="720" w:hanging="360"/>
      </w:pPr>
      <w:rPr>
        <w:rFonts w:ascii="Symbol" w:hAnsi="Symbol" w:hint="default"/>
      </w:rPr>
    </w:lvl>
    <w:lvl w:ilvl="1" w:tplc="86B0B392" w:tentative="1">
      <w:start w:val="1"/>
      <w:numFmt w:val="bullet"/>
      <w:lvlText w:val="o"/>
      <w:lvlJc w:val="left"/>
      <w:pPr>
        <w:ind w:left="1440" w:hanging="360"/>
      </w:pPr>
      <w:rPr>
        <w:rFonts w:ascii="Courier New" w:hAnsi="Courier New" w:hint="default"/>
      </w:rPr>
    </w:lvl>
    <w:lvl w:ilvl="2" w:tplc="5448BAC8" w:tentative="1">
      <w:start w:val="1"/>
      <w:numFmt w:val="bullet"/>
      <w:lvlText w:val=""/>
      <w:lvlJc w:val="left"/>
      <w:pPr>
        <w:ind w:left="2160" w:hanging="360"/>
      </w:pPr>
      <w:rPr>
        <w:rFonts w:ascii="Wingdings" w:hAnsi="Wingdings" w:hint="default"/>
      </w:rPr>
    </w:lvl>
    <w:lvl w:ilvl="3" w:tplc="0C9C1DC0" w:tentative="1">
      <w:start w:val="1"/>
      <w:numFmt w:val="bullet"/>
      <w:lvlText w:val=""/>
      <w:lvlJc w:val="left"/>
      <w:pPr>
        <w:ind w:left="2880" w:hanging="360"/>
      </w:pPr>
      <w:rPr>
        <w:rFonts w:ascii="Symbol" w:hAnsi="Symbol" w:hint="default"/>
      </w:rPr>
    </w:lvl>
    <w:lvl w:ilvl="4" w:tplc="A7F284C4" w:tentative="1">
      <w:start w:val="1"/>
      <w:numFmt w:val="bullet"/>
      <w:lvlText w:val="o"/>
      <w:lvlJc w:val="left"/>
      <w:pPr>
        <w:ind w:left="3600" w:hanging="360"/>
      </w:pPr>
      <w:rPr>
        <w:rFonts w:ascii="Courier New" w:hAnsi="Courier New" w:hint="default"/>
      </w:rPr>
    </w:lvl>
    <w:lvl w:ilvl="5" w:tplc="B292FB82" w:tentative="1">
      <w:start w:val="1"/>
      <w:numFmt w:val="bullet"/>
      <w:lvlText w:val=""/>
      <w:lvlJc w:val="left"/>
      <w:pPr>
        <w:ind w:left="4320" w:hanging="360"/>
      </w:pPr>
      <w:rPr>
        <w:rFonts w:ascii="Wingdings" w:hAnsi="Wingdings" w:hint="default"/>
      </w:rPr>
    </w:lvl>
    <w:lvl w:ilvl="6" w:tplc="5A8042FA" w:tentative="1">
      <w:start w:val="1"/>
      <w:numFmt w:val="bullet"/>
      <w:lvlText w:val=""/>
      <w:lvlJc w:val="left"/>
      <w:pPr>
        <w:ind w:left="5040" w:hanging="360"/>
      </w:pPr>
      <w:rPr>
        <w:rFonts w:ascii="Symbol" w:hAnsi="Symbol" w:hint="default"/>
      </w:rPr>
    </w:lvl>
    <w:lvl w:ilvl="7" w:tplc="06D42D1A" w:tentative="1">
      <w:start w:val="1"/>
      <w:numFmt w:val="bullet"/>
      <w:lvlText w:val="o"/>
      <w:lvlJc w:val="left"/>
      <w:pPr>
        <w:ind w:left="5760" w:hanging="360"/>
      </w:pPr>
      <w:rPr>
        <w:rFonts w:ascii="Courier New" w:hAnsi="Courier New" w:hint="default"/>
      </w:rPr>
    </w:lvl>
    <w:lvl w:ilvl="8" w:tplc="C75E09B8" w:tentative="1">
      <w:start w:val="1"/>
      <w:numFmt w:val="bullet"/>
      <w:lvlText w:val=""/>
      <w:lvlJc w:val="left"/>
      <w:pPr>
        <w:ind w:left="6480" w:hanging="360"/>
      </w:pPr>
      <w:rPr>
        <w:rFonts w:ascii="Wingdings" w:hAnsi="Wingdings" w:hint="default"/>
      </w:rPr>
    </w:lvl>
  </w:abstractNum>
  <w:abstractNum w:abstractNumId="104" w15:restartNumberingAfterBreak="0">
    <w:nsid w:val="536F1E81"/>
    <w:multiLevelType w:val="multilevel"/>
    <w:tmpl w:val="C45EFDBA"/>
    <w:lvl w:ilvl="0">
      <w:start w:val="6"/>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5" w15:restartNumberingAfterBreak="0">
    <w:nsid w:val="540174FD"/>
    <w:multiLevelType w:val="hybridMultilevel"/>
    <w:tmpl w:val="3836CA74"/>
    <w:lvl w:ilvl="0" w:tplc="43EAD3D8">
      <w:start w:val="1"/>
      <w:numFmt w:val="bullet"/>
      <w:lvlText w:val="-"/>
      <w:lvlJc w:val="left"/>
      <w:pPr>
        <w:ind w:left="720" w:hanging="360"/>
      </w:pPr>
      <w:rPr>
        <w:rFonts w:ascii="Symbol" w:hAnsi="Symbol" w:hint="default"/>
      </w:rPr>
    </w:lvl>
    <w:lvl w:ilvl="1" w:tplc="C33687BC">
      <w:start w:val="1"/>
      <w:numFmt w:val="bullet"/>
      <w:lvlText w:val="o"/>
      <w:lvlJc w:val="left"/>
      <w:pPr>
        <w:ind w:left="1440" w:hanging="360"/>
      </w:pPr>
      <w:rPr>
        <w:rFonts w:ascii="Courier New" w:hAnsi="Courier New" w:cs="Times New Roman" w:hint="default"/>
      </w:rPr>
    </w:lvl>
    <w:lvl w:ilvl="2" w:tplc="B2CCF1B4">
      <w:start w:val="1"/>
      <w:numFmt w:val="bullet"/>
      <w:lvlText w:val=""/>
      <w:lvlJc w:val="left"/>
      <w:pPr>
        <w:ind w:left="2160" w:hanging="360"/>
      </w:pPr>
      <w:rPr>
        <w:rFonts w:ascii="Wingdings" w:hAnsi="Wingdings" w:hint="default"/>
      </w:rPr>
    </w:lvl>
    <w:lvl w:ilvl="3" w:tplc="411657AC">
      <w:start w:val="1"/>
      <w:numFmt w:val="bullet"/>
      <w:lvlText w:val=""/>
      <w:lvlJc w:val="left"/>
      <w:pPr>
        <w:ind w:left="2880" w:hanging="360"/>
      </w:pPr>
      <w:rPr>
        <w:rFonts w:ascii="Symbol" w:hAnsi="Symbol" w:hint="default"/>
      </w:rPr>
    </w:lvl>
    <w:lvl w:ilvl="4" w:tplc="BDC6F242">
      <w:start w:val="1"/>
      <w:numFmt w:val="bullet"/>
      <w:lvlText w:val="o"/>
      <w:lvlJc w:val="left"/>
      <w:pPr>
        <w:ind w:left="3600" w:hanging="360"/>
      </w:pPr>
      <w:rPr>
        <w:rFonts w:ascii="Courier New" w:hAnsi="Courier New" w:cs="Times New Roman" w:hint="default"/>
      </w:rPr>
    </w:lvl>
    <w:lvl w:ilvl="5" w:tplc="77301190">
      <w:start w:val="1"/>
      <w:numFmt w:val="bullet"/>
      <w:lvlText w:val=""/>
      <w:lvlJc w:val="left"/>
      <w:pPr>
        <w:ind w:left="4320" w:hanging="360"/>
      </w:pPr>
      <w:rPr>
        <w:rFonts w:ascii="Wingdings" w:hAnsi="Wingdings" w:hint="default"/>
      </w:rPr>
    </w:lvl>
    <w:lvl w:ilvl="6" w:tplc="3E72EFDA">
      <w:start w:val="1"/>
      <w:numFmt w:val="bullet"/>
      <w:lvlText w:val=""/>
      <w:lvlJc w:val="left"/>
      <w:pPr>
        <w:ind w:left="5040" w:hanging="360"/>
      </w:pPr>
      <w:rPr>
        <w:rFonts w:ascii="Symbol" w:hAnsi="Symbol" w:hint="default"/>
      </w:rPr>
    </w:lvl>
    <w:lvl w:ilvl="7" w:tplc="187CAED0">
      <w:start w:val="1"/>
      <w:numFmt w:val="bullet"/>
      <w:lvlText w:val="o"/>
      <w:lvlJc w:val="left"/>
      <w:pPr>
        <w:ind w:left="5760" w:hanging="360"/>
      </w:pPr>
      <w:rPr>
        <w:rFonts w:ascii="Courier New" w:hAnsi="Courier New" w:cs="Times New Roman" w:hint="default"/>
      </w:rPr>
    </w:lvl>
    <w:lvl w:ilvl="8" w:tplc="FE942D0A">
      <w:start w:val="1"/>
      <w:numFmt w:val="bullet"/>
      <w:lvlText w:val=""/>
      <w:lvlJc w:val="left"/>
      <w:pPr>
        <w:ind w:left="6480" w:hanging="360"/>
      </w:pPr>
      <w:rPr>
        <w:rFonts w:ascii="Wingdings" w:hAnsi="Wingdings" w:hint="default"/>
      </w:rPr>
    </w:lvl>
  </w:abstractNum>
  <w:abstractNum w:abstractNumId="106" w15:restartNumberingAfterBreak="0">
    <w:nsid w:val="546190BD"/>
    <w:multiLevelType w:val="hybridMultilevel"/>
    <w:tmpl w:val="A1E075CA"/>
    <w:lvl w:ilvl="0" w:tplc="2D546194">
      <w:start w:val="1"/>
      <w:numFmt w:val="decimal"/>
      <w:lvlText w:val="%1."/>
      <w:lvlJc w:val="left"/>
      <w:pPr>
        <w:ind w:left="720" w:hanging="360"/>
      </w:pPr>
    </w:lvl>
    <w:lvl w:ilvl="1" w:tplc="D7D0BED8">
      <w:start w:val="1"/>
      <w:numFmt w:val="lowerLetter"/>
      <w:lvlText w:val="%2."/>
      <w:lvlJc w:val="left"/>
      <w:pPr>
        <w:ind w:left="1440" w:hanging="360"/>
      </w:pPr>
    </w:lvl>
    <w:lvl w:ilvl="2" w:tplc="0024CEB8">
      <w:start w:val="1"/>
      <w:numFmt w:val="lowerRoman"/>
      <w:lvlText w:val="%3."/>
      <w:lvlJc w:val="right"/>
      <w:pPr>
        <w:ind w:left="2160" w:hanging="180"/>
      </w:pPr>
    </w:lvl>
    <w:lvl w:ilvl="3" w:tplc="14F45304">
      <w:start w:val="1"/>
      <w:numFmt w:val="decimal"/>
      <w:lvlText w:val="%4."/>
      <w:lvlJc w:val="left"/>
      <w:pPr>
        <w:ind w:left="2880" w:hanging="360"/>
      </w:pPr>
    </w:lvl>
    <w:lvl w:ilvl="4" w:tplc="13CA6DCC">
      <w:start w:val="1"/>
      <w:numFmt w:val="lowerLetter"/>
      <w:lvlText w:val="%5."/>
      <w:lvlJc w:val="left"/>
      <w:pPr>
        <w:ind w:left="3600" w:hanging="360"/>
      </w:pPr>
    </w:lvl>
    <w:lvl w:ilvl="5" w:tplc="BC06D7CC">
      <w:start w:val="1"/>
      <w:numFmt w:val="lowerRoman"/>
      <w:lvlText w:val="%6."/>
      <w:lvlJc w:val="right"/>
      <w:pPr>
        <w:ind w:left="4320" w:hanging="180"/>
      </w:pPr>
    </w:lvl>
    <w:lvl w:ilvl="6" w:tplc="4D6E0A48">
      <w:start w:val="1"/>
      <w:numFmt w:val="decimal"/>
      <w:lvlText w:val="%7."/>
      <w:lvlJc w:val="left"/>
      <w:pPr>
        <w:ind w:left="5040" w:hanging="360"/>
      </w:pPr>
    </w:lvl>
    <w:lvl w:ilvl="7" w:tplc="E29AC2BE">
      <w:start w:val="1"/>
      <w:numFmt w:val="lowerLetter"/>
      <w:lvlText w:val="%8."/>
      <w:lvlJc w:val="left"/>
      <w:pPr>
        <w:ind w:left="5760" w:hanging="360"/>
      </w:pPr>
    </w:lvl>
    <w:lvl w:ilvl="8" w:tplc="8DA2F450">
      <w:start w:val="1"/>
      <w:numFmt w:val="lowerRoman"/>
      <w:lvlText w:val="%9."/>
      <w:lvlJc w:val="right"/>
      <w:pPr>
        <w:ind w:left="6480" w:hanging="180"/>
      </w:pPr>
    </w:lvl>
  </w:abstractNum>
  <w:abstractNum w:abstractNumId="107" w15:restartNumberingAfterBreak="0">
    <w:nsid w:val="5517B409"/>
    <w:multiLevelType w:val="hybridMultilevel"/>
    <w:tmpl w:val="0BD07EFE"/>
    <w:lvl w:ilvl="0" w:tplc="79A05C2E">
      <w:start w:val="1"/>
      <w:numFmt w:val="decimal"/>
      <w:lvlText w:val="%1."/>
      <w:lvlJc w:val="left"/>
      <w:pPr>
        <w:ind w:left="720" w:hanging="360"/>
      </w:pPr>
    </w:lvl>
    <w:lvl w:ilvl="1" w:tplc="D7FA4F02">
      <w:start w:val="1"/>
      <w:numFmt w:val="lowerLetter"/>
      <w:lvlText w:val="%2."/>
      <w:lvlJc w:val="left"/>
      <w:pPr>
        <w:ind w:left="1440" w:hanging="360"/>
      </w:pPr>
    </w:lvl>
    <w:lvl w:ilvl="2" w:tplc="7F5EC75A">
      <w:start w:val="1"/>
      <w:numFmt w:val="lowerRoman"/>
      <w:lvlText w:val="%3."/>
      <w:lvlJc w:val="right"/>
      <w:pPr>
        <w:ind w:left="2160" w:hanging="180"/>
      </w:pPr>
    </w:lvl>
    <w:lvl w:ilvl="3" w:tplc="645CBD7E">
      <w:start w:val="1"/>
      <w:numFmt w:val="decimal"/>
      <w:lvlText w:val="%4."/>
      <w:lvlJc w:val="left"/>
      <w:pPr>
        <w:ind w:left="2880" w:hanging="360"/>
      </w:pPr>
    </w:lvl>
    <w:lvl w:ilvl="4" w:tplc="3C94473C">
      <w:start w:val="1"/>
      <w:numFmt w:val="lowerLetter"/>
      <w:lvlText w:val="%5."/>
      <w:lvlJc w:val="left"/>
      <w:pPr>
        <w:ind w:left="3600" w:hanging="360"/>
      </w:pPr>
    </w:lvl>
    <w:lvl w:ilvl="5" w:tplc="32DC875A">
      <w:start w:val="1"/>
      <w:numFmt w:val="lowerRoman"/>
      <w:lvlText w:val="%6."/>
      <w:lvlJc w:val="right"/>
      <w:pPr>
        <w:ind w:left="4320" w:hanging="180"/>
      </w:pPr>
    </w:lvl>
    <w:lvl w:ilvl="6" w:tplc="F3BE7820">
      <w:start w:val="1"/>
      <w:numFmt w:val="decimal"/>
      <w:lvlText w:val="%7."/>
      <w:lvlJc w:val="left"/>
      <w:pPr>
        <w:ind w:left="5040" w:hanging="360"/>
      </w:pPr>
    </w:lvl>
    <w:lvl w:ilvl="7" w:tplc="F5123FAE">
      <w:start w:val="1"/>
      <w:numFmt w:val="lowerLetter"/>
      <w:lvlText w:val="%8."/>
      <w:lvlJc w:val="left"/>
      <w:pPr>
        <w:ind w:left="5760" w:hanging="360"/>
      </w:pPr>
    </w:lvl>
    <w:lvl w:ilvl="8" w:tplc="46664E36">
      <w:start w:val="1"/>
      <w:numFmt w:val="lowerRoman"/>
      <w:lvlText w:val="%9."/>
      <w:lvlJc w:val="right"/>
      <w:pPr>
        <w:ind w:left="6480" w:hanging="180"/>
      </w:pPr>
    </w:lvl>
  </w:abstractNum>
  <w:abstractNum w:abstractNumId="10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09" w15:restartNumberingAfterBreak="0">
    <w:nsid w:val="55C10E65"/>
    <w:multiLevelType w:val="multilevel"/>
    <w:tmpl w:val="50B46B68"/>
    <w:lvl w:ilvl="0">
      <w:start w:val="1"/>
      <w:numFmt w:val="decimal"/>
      <w:pStyle w:val="LegalNumPar"/>
      <w:lvlText w:val="%1."/>
      <w:lvlJc w:val="left"/>
      <w:pPr>
        <w:ind w:left="901" w:hanging="476"/>
      </w:pPr>
      <w:rPr>
        <w:rFonts w:hint="default"/>
        <w:b w:val="0"/>
        <w:bCs w:val="0"/>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0" w15:restartNumberingAfterBreak="0">
    <w:nsid w:val="56A3B146"/>
    <w:multiLevelType w:val="hybridMultilevel"/>
    <w:tmpl w:val="47A27D4A"/>
    <w:lvl w:ilvl="0" w:tplc="F7869708">
      <w:start w:val="1"/>
      <w:numFmt w:val="bullet"/>
      <w:lvlText w:val=""/>
      <w:lvlJc w:val="left"/>
      <w:pPr>
        <w:ind w:left="720" w:hanging="360"/>
      </w:pPr>
      <w:rPr>
        <w:rFonts w:ascii="Symbol" w:hAnsi="Symbol" w:hint="default"/>
        <w:color w:val="006600"/>
      </w:rPr>
    </w:lvl>
    <w:lvl w:ilvl="1" w:tplc="AEB619B0">
      <w:start w:val="1"/>
      <w:numFmt w:val="bullet"/>
      <w:lvlText w:val="o"/>
      <w:lvlJc w:val="left"/>
      <w:pPr>
        <w:ind w:left="1440" w:hanging="360"/>
      </w:pPr>
      <w:rPr>
        <w:rFonts w:ascii="Courier New" w:hAnsi="Courier New" w:cs="Times New Roman" w:hint="default"/>
      </w:rPr>
    </w:lvl>
    <w:lvl w:ilvl="2" w:tplc="FCB2E71E">
      <w:start w:val="1"/>
      <w:numFmt w:val="bullet"/>
      <w:lvlText w:val=""/>
      <w:lvlJc w:val="left"/>
      <w:pPr>
        <w:ind w:left="2160" w:hanging="360"/>
      </w:pPr>
      <w:rPr>
        <w:rFonts w:ascii="Wingdings" w:hAnsi="Wingdings" w:hint="default"/>
      </w:rPr>
    </w:lvl>
    <w:lvl w:ilvl="3" w:tplc="2A460294">
      <w:start w:val="1"/>
      <w:numFmt w:val="bullet"/>
      <w:lvlText w:val=""/>
      <w:lvlJc w:val="left"/>
      <w:pPr>
        <w:ind w:left="2880" w:hanging="360"/>
      </w:pPr>
      <w:rPr>
        <w:rFonts w:ascii="Symbol" w:hAnsi="Symbol" w:hint="default"/>
      </w:rPr>
    </w:lvl>
    <w:lvl w:ilvl="4" w:tplc="3EBE5880">
      <w:start w:val="1"/>
      <w:numFmt w:val="bullet"/>
      <w:lvlText w:val="o"/>
      <w:lvlJc w:val="left"/>
      <w:pPr>
        <w:ind w:left="3600" w:hanging="360"/>
      </w:pPr>
      <w:rPr>
        <w:rFonts w:ascii="Courier New" w:hAnsi="Courier New" w:cs="Times New Roman" w:hint="default"/>
      </w:rPr>
    </w:lvl>
    <w:lvl w:ilvl="5" w:tplc="7F6853FE">
      <w:start w:val="1"/>
      <w:numFmt w:val="bullet"/>
      <w:lvlText w:val=""/>
      <w:lvlJc w:val="left"/>
      <w:pPr>
        <w:ind w:left="4320" w:hanging="360"/>
      </w:pPr>
      <w:rPr>
        <w:rFonts w:ascii="Wingdings" w:hAnsi="Wingdings" w:hint="default"/>
      </w:rPr>
    </w:lvl>
    <w:lvl w:ilvl="6" w:tplc="A45A9BBE">
      <w:start w:val="1"/>
      <w:numFmt w:val="bullet"/>
      <w:lvlText w:val=""/>
      <w:lvlJc w:val="left"/>
      <w:pPr>
        <w:ind w:left="5040" w:hanging="360"/>
      </w:pPr>
      <w:rPr>
        <w:rFonts w:ascii="Symbol" w:hAnsi="Symbol" w:hint="default"/>
      </w:rPr>
    </w:lvl>
    <w:lvl w:ilvl="7" w:tplc="5DDA074C">
      <w:start w:val="1"/>
      <w:numFmt w:val="bullet"/>
      <w:lvlText w:val="o"/>
      <w:lvlJc w:val="left"/>
      <w:pPr>
        <w:ind w:left="5760" w:hanging="360"/>
      </w:pPr>
      <w:rPr>
        <w:rFonts w:ascii="Courier New" w:hAnsi="Courier New" w:cs="Times New Roman" w:hint="default"/>
      </w:rPr>
    </w:lvl>
    <w:lvl w:ilvl="8" w:tplc="735ABAA8">
      <w:start w:val="1"/>
      <w:numFmt w:val="bullet"/>
      <w:lvlText w:val=""/>
      <w:lvlJc w:val="left"/>
      <w:pPr>
        <w:ind w:left="6480" w:hanging="360"/>
      </w:pPr>
      <w:rPr>
        <w:rFonts w:ascii="Wingdings" w:hAnsi="Wingdings" w:hint="default"/>
      </w:rPr>
    </w:lvl>
  </w:abstractNum>
  <w:abstractNum w:abstractNumId="111" w15:restartNumberingAfterBreak="0">
    <w:nsid w:val="572FD515"/>
    <w:multiLevelType w:val="hybridMultilevel"/>
    <w:tmpl w:val="ECD429AE"/>
    <w:lvl w:ilvl="0" w:tplc="4C9087F6">
      <w:start w:val="1"/>
      <w:numFmt w:val="decimal"/>
      <w:lvlText w:val="%1."/>
      <w:lvlJc w:val="left"/>
      <w:pPr>
        <w:ind w:left="720" w:hanging="360"/>
      </w:pPr>
    </w:lvl>
    <w:lvl w:ilvl="1" w:tplc="5C2C5AC2">
      <w:start w:val="1"/>
      <w:numFmt w:val="lowerLetter"/>
      <w:lvlText w:val="%2."/>
      <w:lvlJc w:val="left"/>
      <w:pPr>
        <w:ind w:left="1440" w:hanging="360"/>
      </w:pPr>
    </w:lvl>
    <w:lvl w:ilvl="2" w:tplc="3192151C">
      <w:start w:val="1"/>
      <w:numFmt w:val="lowerRoman"/>
      <w:lvlText w:val="%3."/>
      <w:lvlJc w:val="right"/>
      <w:pPr>
        <w:ind w:left="2160" w:hanging="180"/>
      </w:pPr>
    </w:lvl>
    <w:lvl w:ilvl="3" w:tplc="414A3206">
      <w:start w:val="1"/>
      <w:numFmt w:val="decimal"/>
      <w:lvlText w:val="%4."/>
      <w:lvlJc w:val="left"/>
      <w:pPr>
        <w:ind w:left="2880" w:hanging="360"/>
      </w:pPr>
    </w:lvl>
    <w:lvl w:ilvl="4" w:tplc="87F066EE">
      <w:start w:val="1"/>
      <w:numFmt w:val="lowerLetter"/>
      <w:lvlText w:val="%5."/>
      <w:lvlJc w:val="left"/>
      <w:pPr>
        <w:ind w:left="3600" w:hanging="360"/>
      </w:pPr>
    </w:lvl>
    <w:lvl w:ilvl="5" w:tplc="52365568">
      <w:start w:val="1"/>
      <w:numFmt w:val="lowerRoman"/>
      <w:lvlText w:val="%6."/>
      <w:lvlJc w:val="right"/>
      <w:pPr>
        <w:ind w:left="4320" w:hanging="180"/>
      </w:pPr>
    </w:lvl>
    <w:lvl w:ilvl="6" w:tplc="F24CCDEA">
      <w:start w:val="1"/>
      <w:numFmt w:val="decimal"/>
      <w:lvlText w:val="%7."/>
      <w:lvlJc w:val="left"/>
      <w:pPr>
        <w:ind w:left="5040" w:hanging="360"/>
      </w:pPr>
    </w:lvl>
    <w:lvl w:ilvl="7" w:tplc="0AEC602E">
      <w:start w:val="1"/>
      <w:numFmt w:val="lowerLetter"/>
      <w:lvlText w:val="%8."/>
      <w:lvlJc w:val="left"/>
      <w:pPr>
        <w:ind w:left="5760" w:hanging="360"/>
      </w:pPr>
    </w:lvl>
    <w:lvl w:ilvl="8" w:tplc="2368A3DE">
      <w:start w:val="1"/>
      <w:numFmt w:val="lowerRoman"/>
      <w:lvlText w:val="%9."/>
      <w:lvlJc w:val="right"/>
      <w:pPr>
        <w:ind w:left="6480" w:hanging="180"/>
      </w:pPr>
    </w:lvl>
  </w:abstractNum>
  <w:abstractNum w:abstractNumId="112" w15:restartNumberingAfterBreak="0">
    <w:nsid w:val="57BD2A10"/>
    <w:multiLevelType w:val="multilevel"/>
    <w:tmpl w:val="DAEAED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5AEB417B"/>
    <w:multiLevelType w:val="hybridMultilevel"/>
    <w:tmpl w:val="798429D8"/>
    <w:lvl w:ilvl="0" w:tplc="1809001B">
      <w:start w:val="1"/>
      <w:numFmt w:val="lowerRoman"/>
      <w:lvlText w:val="%1."/>
      <w:lvlJc w:val="righ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15" w15:restartNumberingAfterBreak="0">
    <w:nsid w:val="5BCE277F"/>
    <w:multiLevelType w:val="multilevel"/>
    <w:tmpl w:val="87FEB42C"/>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1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18" w15:restartNumberingAfterBreak="0">
    <w:nsid w:val="5E2E53FD"/>
    <w:multiLevelType w:val="hybridMultilevel"/>
    <w:tmpl w:val="CCCE8B74"/>
    <w:lvl w:ilvl="0" w:tplc="04100011">
      <w:start w:val="1"/>
      <w:numFmt w:val="decimal"/>
      <w:lvlText w:val="%1)"/>
      <w:lvlJc w:val="left"/>
      <w:pPr>
        <w:ind w:left="720" w:hanging="360"/>
      </w:pPr>
      <w:rPr>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9" w15:restartNumberingAfterBreak="0">
    <w:nsid w:val="5F0D4639"/>
    <w:multiLevelType w:val="hybridMultilevel"/>
    <w:tmpl w:val="7A1CF0CE"/>
    <w:lvl w:ilvl="0" w:tplc="BAE2ED72">
      <w:start w:val="1"/>
      <w:numFmt w:val="decimal"/>
      <w:lvlText w:val="%1."/>
      <w:lvlJc w:val="left"/>
      <w:pPr>
        <w:ind w:left="2880" w:hanging="360"/>
      </w:pPr>
    </w:lvl>
    <w:lvl w:ilvl="1" w:tplc="D360BDFE">
      <w:start w:val="1"/>
      <w:numFmt w:val="lowerLetter"/>
      <w:lvlText w:val="%2."/>
      <w:lvlJc w:val="left"/>
      <w:pPr>
        <w:ind w:left="1440" w:hanging="360"/>
      </w:pPr>
    </w:lvl>
    <w:lvl w:ilvl="2" w:tplc="34CA726C">
      <w:start w:val="1"/>
      <w:numFmt w:val="lowerRoman"/>
      <w:lvlText w:val="%3."/>
      <w:lvlJc w:val="right"/>
      <w:pPr>
        <w:ind w:left="2160" w:hanging="180"/>
      </w:pPr>
    </w:lvl>
    <w:lvl w:ilvl="3" w:tplc="100AB35A">
      <w:start w:val="1"/>
      <w:numFmt w:val="decimal"/>
      <w:lvlText w:val="%4."/>
      <w:lvlJc w:val="left"/>
      <w:pPr>
        <w:ind w:left="2880" w:hanging="360"/>
      </w:pPr>
    </w:lvl>
    <w:lvl w:ilvl="4" w:tplc="F4BEAF30">
      <w:start w:val="1"/>
      <w:numFmt w:val="lowerLetter"/>
      <w:lvlText w:val="%5."/>
      <w:lvlJc w:val="left"/>
      <w:pPr>
        <w:ind w:left="3600" w:hanging="360"/>
      </w:pPr>
    </w:lvl>
    <w:lvl w:ilvl="5" w:tplc="701412A6">
      <w:start w:val="1"/>
      <w:numFmt w:val="lowerRoman"/>
      <w:lvlText w:val="%6."/>
      <w:lvlJc w:val="right"/>
      <w:pPr>
        <w:ind w:left="4320" w:hanging="180"/>
      </w:pPr>
    </w:lvl>
    <w:lvl w:ilvl="6" w:tplc="B32C30E6">
      <w:start w:val="1"/>
      <w:numFmt w:val="decimal"/>
      <w:lvlText w:val="%7."/>
      <w:lvlJc w:val="left"/>
      <w:pPr>
        <w:ind w:left="5040" w:hanging="360"/>
      </w:pPr>
    </w:lvl>
    <w:lvl w:ilvl="7" w:tplc="53DEF7C4">
      <w:start w:val="1"/>
      <w:numFmt w:val="lowerLetter"/>
      <w:lvlText w:val="%8."/>
      <w:lvlJc w:val="left"/>
      <w:pPr>
        <w:ind w:left="5760" w:hanging="360"/>
      </w:pPr>
    </w:lvl>
    <w:lvl w:ilvl="8" w:tplc="D644AC44">
      <w:start w:val="1"/>
      <w:numFmt w:val="lowerRoman"/>
      <w:lvlText w:val="%9."/>
      <w:lvlJc w:val="right"/>
      <w:pPr>
        <w:ind w:left="6480" w:hanging="180"/>
      </w:pPr>
    </w:lvl>
  </w:abstractNum>
  <w:abstractNum w:abstractNumId="120" w15:restartNumberingAfterBreak="0">
    <w:nsid w:val="5F91117A"/>
    <w:multiLevelType w:val="multilevel"/>
    <w:tmpl w:val="399ED488"/>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5FB56B1D"/>
    <w:multiLevelType w:val="multilevel"/>
    <w:tmpl w:val="F65E3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5FD00279"/>
    <w:multiLevelType w:val="multilevel"/>
    <w:tmpl w:val="034247E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5FF63949"/>
    <w:multiLevelType w:val="hybridMultilevel"/>
    <w:tmpl w:val="C94E34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4" w15:restartNumberingAfterBreak="0">
    <w:nsid w:val="63A15AD3"/>
    <w:multiLevelType w:val="hybridMultilevel"/>
    <w:tmpl w:val="13087CA4"/>
    <w:lvl w:ilvl="0" w:tplc="BDD06172">
      <w:start w:val="1"/>
      <w:numFmt w:val="bullet"/>
      <w:pStyle w:val="TOC1"/>
      <w:lvlText w:val=""/>
      <w:lvlJc w:val="left"/>
      <w:pPr>
        <w:ind w:left="1440" w:hanging="360"/>
      </w:pPr>
      <w:rPr>
        <w:rFonts w:ascii="Symbol" w:hAnsi="Symbol" w:hint="default"/>
      </w:rPr>
    </w:lvl>
    <w:lvl w:ilvl="1" w:tplc="A8CC45A2">
      <w:start w:val="1"/>
      <w:numFmt w:val="bullet"/>
      <w:lvlText w:val="o"/>
      <w:lvlJc w:val="left"/>
      <w:pPr>
        <w:ind w:left="2160" w:hanging="360"/>
      </w:pPr>
      <w:rPr>
        <w:rFonts w:ascii="Courier New" w:hAnsi="Courier New" w:hint="default"/>
      </w:rPr>
    </w:lvl>
    <w:lvl w:ilvl="2" w:tplc="CA12AE6E">
      <w:start w:val="1"/>
      <w:numFmt w:val="bullet"/>
      <w:lvlText w:val=""/>
      <w:lvlJc w:val="left"/>
      <w:pPr>
        <w:ind w:left="2880" w:hanging="360"/>
      </w:pPr>
      <w:rPr>
        <w:rFonts w:ascii="Wingdings" w:hAnsi="Wingdings" w:hint="default"/>
      </w:rPr>
    </w:lvl>
    <w:lvl w:ilvl="3" w:tplc="44D059CC">
      <w:start w:val="1"/>
      <w:numFmt w:val="bullet"/>
      <w:lvlText w:val=""/>
      <w:lvlJc w:val="left"/>
      <w:pPr>
        <w:ind w:left="3600" w:hanging="360"/>
      </w:pPr>
      <w:rPr>
        <w:rFonts w:ascii="Symbol" w:hAnsi="Symbol" w:hint="default"/>
      </w:rPr>
    </w:lvl>
    <w:lvl w:ilvl="4" w:tplc="7866830A">
      <w:start w:val="1"/>
      <w:numFmt w:val="bullet"/>
      <w:lvlText w:val="o"/>
      <w:lvlJc w:val="left"/>
      <w:pPr>
        <w:ind w:left="4320" w:hanging="360"/>
      </w:pPr>
      <w:rPr>
        <w:rFonts w:ascii="Courier New" w:hAnsi="Courier New" w:hint="default"/>
      </w:rPr>
    </w:lvl>
    <w:lvl w:ilvl="5" w:tplc="AC222650">
      <w:start w:val="1"/>
      <w:numFmt w:val="bullet"/>
      <w:lvlText w:val=""/>
      <w:lvlJc w:val="left"/>
      <w:pPr>
        <w:ind w:left="5040" w:hanging="360"/>
      </w:pPr>
      <w:rPr>
        <w:rFonts w:ascii="Wingdings" w:hAnsi="Wingdings" w:hint="default"/>
      </w:rPr>
    </w:lvl>
    <w:lvl w:ilvl="6" w:tplc="51246CBC">
      <w:start w:val="1"/>
      <w:numFmt w:val="bullet"/>
      <w:lvlText w:val=""/>
      <w:lvlJc w:val="left"/>
      <w:pPr>
        <w:ind w:left="5760" w:hanging="360"/>
      </w:pPr>
      <w:rPr>
        <w:rFonts w:ascii="Symbol" w:hAnsi="Symbol" w:hint="default"/>
      </w:rPr>
    </w:lvl>
    <w:lvl w:ilvl="7" w:tplc="D4FEC508">
      <w:start w:val="1"/>
      <w:numFmt w:val="bullet"/>
      <w:lvlText w:val="o"/>
      <w:lvlJc w:val="left"/>
      <w:pPr>
        <w:ind w:left="6480" w:hanging="360"/>
      </w:pPr>
      <w:rPr>
        <w:rFonts w:ascii="Courier New" w:hAnsi="Courier New" w:hint="default"/>
      </w:rPr>
    </w:lvl>
    <w:lvl w:ilvl="8" w:tplc="7E364E34">
      <w:start w:val="1"/>
      <w:numFmt w:val="bullet"/>
      <w:lvlText w:val=""/>
      <w:lvlJc w:val="left"/>
      <w:pPr>
        <w:ind w:left="7200" w:hanging="360"/>
      </w:pPr>
      <w:rPr>
        <w:rFonts w:ascii="Wingdings" w:hAnsi="Wingdings" w:hint="default"/>
      </w:rPr>
    </w:lvl>
  </w:abstractNum>
  <w:abstractNum w:abstractNumId="125" w15:restartNumberingAfterBreak="0">
    <w:nsid w:val="64166D02"/>
    <w:multiLevelType w:val="multilevel"/>
    <w:tmpl w:val="C99AB46E"/>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6" w15:restartNumberingAfterBreak="0">
    <w:nsid w:val="64E73F92"/>
    <w:multiLevelType w:val="multilevel"/>
    <w:tmpl w:val="1D968A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64EC091A"/>
    <w:multiLevelType w:val="hybridMultilevel"/>
    <w:tmpl w:val="A5402258"/>
    <w:lvl w:ilvl="0" w:tplc="4EC0B3BA">
      <w:numFmt w:val="bullet"/>
      <w:lvlText w:val="-"/>
      <w:lvlJc w:val="left"/>
      <w:pPr>
        <w:ind w:left="360" w:hanging="360"/>
      </w:pPr>
      <w:rPr>
        <w:rFonts w:ascii="Calibri" w:hAnsi="Calibri" w:hint="default"/>
      </w:rPr>
    </w:lvl>
    <w:lvl w:ilvl="1" w:tplc="6FBE6014">
      <w:start w:val="1"/>
      <w:numFmt w:val="bullet"/>
      <w:lvlText w:val="o"/>
      <w:lvlJc w:val="left"/>
      <w:pPr>
        <w:ind w:left="1080" w:hanging="360"/>
      </w:pPr>
      <w:rPr>
        <w:rFonts w:ascii="Courier New" w:hAnsi="Courier New" w:hint="default"/>
      </w:rPr>
    </w:lvl>
    <w:lvl w:ilvl="2" w:tplc="7E2A8F24">
      <w:start w:val="1"/>
      <w:numFmt w:val="bullet"/>
      <w:lvlText w:val=""/>
      <w:lvlJc w:val="left"/>
      <w:pPr>
        <w:ind w:left="1800" w:hanging="360"/>
      </w:pPr>
      <w:rPr>
        <w:rFonts w:ascii="Wingdings" w:hAnsi="Wingdings" w:hint="default"/>
      </w:rPr>
    </w:lvl>
    <w:lvl w:ilvl="3" w:tplc="BDE2245E">
      <w:start w:val="1"/>
      <w:numFmt w:val="bullet"/>
      <w:lvlText w:val=""/>
      <w:lvlJc w:val="left"/>
      <w:pPr>
        <w:ind w:left="2520" w:hanging="360"/>
      </w:pPr>
      <w:rPr>
        <w:rFonts w:ascii="Symbol" w:hAnsi="Symbol" w:hint="default"/>
      </w:rPr>
    </w:lvl>
    <w:lvl w:ilvl="4" w:tplc="72A254BE">
      <w:start w:val="1"/>
      <w:numFmt w:val="bullet"/>
      <w:lvlText w:val="o"/>
      <w:lvlJc w:val="left"/>
      <w:pPr>
        <w:ind w:left="3240" w:hanging="360"/>
      </w:pPr>
      <w:rPr>
        <w:rFonts w:ascii="Courier New" w:hAnsi="Courier New" w:hint="default"/>
      </w:rPr>
    </w:lvl>
    <w:lvl w:ilvl="5" w:tplc="599072B8">
      <w:start w:val="1"/>
      <w:numFmt w:val="bullet"/>
      <w:lvlText w:val=""/>
      <w:lvlJc w:val="left"/>
      <w:pPr>
        <w:ind w:left="3960" w:hanging="360"/>
      </w:pPr>
      <w:rPr>
        <w:rFonts w:ascii="Wingdings" w:hAnsi="Wingdings" w:hint="default"/>
      </w:rPr>
    </w:lvl>
    <w:lvl w:ilvl="6" w:tplc="904C2150">
      <w:start w:val="1"/>
      <w:numFmt w:val="bullet"/>
      <w:lvlText w:val=""/>
      <w:lvlJc w:val="left"/>
      <w:pPr>
        <w:ind w:left="4680" w:hanging="360"/>
      </w:pPr>
      <w:rPr>
        <w:rFonts w:ascii="Symbol" w:hAnsi="Symbol" w:hint="default"/>
      </w:rPr>
    </w:lvl>
    <w:lvl w:ilvl="7" w:tplc="5BD0BB3E">
      <w:start w:val="1"/>
      <w:numFmt w:val="bullet"/>
      <w:lvlText w:val="o"/>
      <w:lvlJc w:val="left"/>
      <w:pPr>
        <w:ind w:left="5400" w:hanging="360"/>
      </w:pPr>
      <w:rPr>
        <w:rFonts w:ascii="Courier New" w:hAnsi="Courier New" w:hint="default"/>
      </w:rPr>
    </w:lvl>
    <w:lvl w:ilvl="8" w:tplc="F0103530">
      <w:start w:val="1"/>
      <w:numFmt w:val="bullet"/>
      <w:lvlText w:val=""/>
      <w:lvlJc w:val="left"/>
      <w:pPr>
        <w:ind w:left="6120" w:hanging="360"/>
      </w:pPr>
      <w:rPr>
        <w:rFonts w:ascii="Wingdings" w:hAnsi="Wingdings" w:hint="default"/>
      </w:rPr>
    </w:lvl>
  </w:abstractNum>
  <w:abstractNum w:abstractNumId="128" w15:restartNumberingAfterBreak="0">
    <w:nsid w:val="65344C90"/>
    <w:multiLevelType w:val="hybridMultilevel"/>
    <w:tmpl w:val="475E3F6E"/>
    <w:lvl w:ilvl="0" w:tplc="1809000F">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29" w15:restartNumberingAfterBreak="0">
    <w:nsid w:val="65DD4D63"/>
    <w:multiLevelType w:val="hybridMultilevel"/>
    <w:tmpl w:val="FFFFFFFF"/>
    <w:lvl w:ilvl="0" w:tplc="BAAAB13E">
      <w:start w:val="1"/>
      <w:numFmt w:val="bullet"/>
      <w:lvlText w:val="-"/>
      <w:lvlJc w:val="left"/>
      <w:pPr>
        <w:ind w:left="720" w:hanging="360"/>
      </w:pPr>
      <w:rPr>
        <w:rFonts w:ascii="Aptos" w:hAnsi="Aptos" w:hint="default"/>
      </w:rPr>
    </w:lvl>
    <w:lvl w:ilvl="1" w:tplc="2284A998">
      <w:start w:val="1"/>
      <w:numFmt w:val="bullet"/>
      <w:lvlText w:val="o"/>
      <w:lvlJc w:val="left"/>
      <w:pPr>
        <w:ind w:left="1440" w:hanging="360"/>
      </w:pPr>
      <w:rPr>
        <w:rFonts w:ascii="Courier New" w:hAnsi="Courier New" w:hint="default"/>
      </w:rPr>
    </w:lvl>
    <w:lvl w:ilvl="2" w:tplc="B7BC3208">
      <w:start w:val="1"/>
      <w:numFmt w:val="bullet"/>
      <w:lvlText w:val=""/>
      <w:lvlJc w:val="left"/>
      <w:pPr>
        <w:ind w:left="2160" w:hanging="360"/>
      </w:pPr>
      <w:rPr>
        <w:rFonts w:ascii="Wingdings" w:hAnsi="Wingdings" w:hint="default"/>
      </w:rPr>
    </w:lvl>
    <w:lvl w:ilvl="3" w:tplc="EB64F490">
      <w:start w:val="1"/>
      <w:numFmt w:val="bullet"/>
      <w:lvlText w:val=""/>
      <w:lvlJc w:val="left"/>
      <w:pPr>
        <w:ind w:left="2880" w:hanging="360"/>
      </w:pPr>
      <w:rPr>
        <w:rFonts w:ascii="Symbol" w:hAnsi="Symbol" w:hint="default"/>
      </w:rPr>
    </w:lvl>
    <w:lvl w:ilvl="4" w:tplc="F0A6C54C">
      <w:start w:val="1"/>
      <w:numFmt w:val="bullet"/>
      <w:lvlText w:val="o"/>
      <w:lvlJc w:val="left"/>
      <w:pPr>
        <w:ind w:left="3600" w:hanging="360"/>
      </w:pPr>
      <w:rPr>
        <w:rFonts w:ascii="Courier New" w:hAnsi="Courier New" w:hint="default"/>
      </w:rPr>
    </w:lvl>
    <w:lvl w:ilvl="5" w:tplc="97645E2A">
      <w:start w:val="1"/>
      <w:numFmt w:val="bullet"/>
      <w:lvlText w:val=""/>
      <w:lvlJc w:val="left"/>
      <w:pPr>
        <w:ind w:left="4320" w:hanging="360"/>
      </w:pPr>
      <w:rPr>
        <w:rFonts w:ascii="Wingdings" w:hAnsi="Wingdings" w:hint="default"/>
      </w:rPr>
    </w:lvl>
    <w:lvl w:ilvl="6" w:tplc="CBDC384A">
      <w:start w:val="1"/>
      <w:numFmt w:val="bullet"/>
      <w:lvlText w:val=""/>
      <w:lvlJc w:val="left"/>
      <w:pPr>
        <w:ind w:left="5040" w:hanging="360"/>
      </w:pPr>
      <w:rPr>
        <w:rFonts w:ascii="Symbol" w:hAnsi="Symbol" w:hint="default"/>
      </w:rPr>
    </w:lvl>
    <w:lvl w:ilvl="7" w:tplc="E3DABEAE">
      <w:start w:val="1"/>
      <w:numFmt w:val="bullet"/>
      <w:lvlText w:val="o"/>
      <w:lvlJc w:val="left"/>
      <w:pPr>
        <w:ind w:left="5760" w:hanging="360"/>
      </w:pPr>
      <w:rPr>
        <w:rFonts w:ascii="Courier New" w:hAnsi="Courier New" w:hint="default"/>
      </w:rPr>
    </w:lvl>
    <w:lvl w:ilvl="8" w:tplc="D3AAD104">
      <w:start w:val="1"/>
      <w:numFmt w:val="bullet"/>
      <w:lvlText w:val=""/>
      <w:lvlJc w:val="left"/>
      <w:pPr>
        <w:ind w:left="6480" w:hanging="360"/>
      </w:pPr>
      <w:rPr>
        <w:rFonts w:ascii="Wingdings" w:hAnsi="Wingdings" w:hint="default"/>
      </w:rPr>
    </w:lvl>
  </w:abstractNum>
  <w:abstractNum w:abstractNumId="130" w15:restartNumberingAfterBreak="0">
    <w:nsid w:val="670D2CB2"/>
    <w:multiLevelType w:val="multilevel"/>
    <w:tmpl w:val="D010AB18"/>
    <w:lvl w:ilvl="0">
      <w:start w:val="8"/>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1"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32" w15:restartNumberingAfterBreak="0">
    <w:nsid w:val="68B5403C"/>
    <w:multiLevelType w:val="hybridMultilevel"/>
    <w:tmpl w:val="029C7FA2"/>
    <w:lvl w:ilvl="0" w:tplc="B14C2816">
      <w:start w:val="2"/>
      <w:numFmt w:val="lowerRoman"/>
      <w:lvlText w:val="%1."/>
      <w:lvlJc w:val="left"/>
      <w:pPr>
        <w:ind w:left="720" w:hanging="720"/>
      </w:pPr>
    </w:lvl>
    <w:lvl w:ilvl="1" w:tplc="5E1E3880" w:tentative="1">
      <w:start w:val="1"/>
      <w:numFmt w:val="lowerLetter"/>
      <w:lvlText w:val="%2."/>
      <w:lvlJc w:val="left"/>
      <w:pPr>
        <w:ind w:left="1080" w:hanging="360"/>
      </w:pPr>
    </w:lvl>
    <w:lvl w:ilvl="2" w:tplc="171E2264" w:tentative="1">
      <w:start w:val="1"/>
      <w:numFmt w:val="lowerRoman"/>
      <w:lvlText w:val="%3."/>
      <w:lvlJc w:val="right"/>
      <w:pPr>
        <w:ind w:left="1800" w:hanging="180"/>
      </w:pPr>
    </w:lvl>
    <w:lvl w:ilvl="3" w:tplc="A4C6D1DE" w:tentative="1">
      <w:start w:val="1"/>
      <w:numFmt w:val="decimal"/>
      <w:lvlText w:val="%4."/>
      <w:lvlJc w:val="left"/>
      <w:pPr>
        <w:ind w:left="2520" w:hanging="360"/>
      </w:pPr>
    </w:lvl>
    <w:lvl w:ilvl="4" w:tplc="E2243480" w:tentative="1">
      <w:start w:val="1"/>
      <w:numFmt w:val="lowerLetter"/>
      <w:lvlText w:val="%5."/>
      <w:lvlJc w:val="left"/>
      <w:pPr>
        <w:ind w:left="3240" w:hanging="360"/>
      </w:pPr>
    </w:lvl>
    <w:lvl w:ilvl="5" w:tplc="60146EB6" w:tentative="1">
      <w:start w:val="1"/>
      <w:numFmt w:val="lowerRoman"/>
      <w:lvlText w:val="%6."/>
      <w:lvlJc w:val="right"/>
      <w:pPr>
        <w:ind w:left="3960" w:hanging="180"/>
      </w:pPr>
    </w:lvl>
    <w:lvl w:ilvl="6" w:tplc="9794AB6A" w:tentative="1">
      <w:start w:val="1"/>
      <w:numFmt w:val="decimal"/>
      <w:lvlText w:val="%7."/>
      <w:lvlJc w:val="left"/>
      <w:pPr>
        <w:ind w:left="4680" w:hanging="360"/>
      </w:pPr>
    </w:lvl>
    <w:lvl w:ilvl="7" w:tplc="6E2E731A" w:tentative="1">
      <w:start w:val="1"/>
      <w:numFmt w:val="lowerLetter"/>
      <w:lvlText w:val="%8."/>
      <w:lvlJc w:val="left"/>
      <w:pPr>
        <w:ind w:left="5400" w:hanging="360"/>
      </w:pPr>
    </w:lvl>
    <w:lvl w:ilvl="8" w:tplc="48266C5C" w:tentative="1">
      <w:start w:val="1"/>
      <w:numFmt w:val="lowerRoman"/>
      <w:lvlText w:val="%9."/>
      <w:lvlJc w:val="right"/>
      <w:pPr>
        <w:ind w:left="6120" w:hanging="180"/>
      </w:pPr>
    </w:lvl>
  </w:abstractNum>
  <w:abstractNum w:abstractNumId="133" w15:restartNumberingAfterBreak="0">
    <w:nsid w:val="68C2699C"/>
    <w:multiLevelType w:val="hybridMultilevel"/>
    <w:tmpl w:val="816A23D4"/>
    <w:lvl w:ilvl="0" w:tplc="EDC67098">
      <w:start w:val="1"/>
      <w:numFmt w:val="lowerLetter"/>
      <w:lvlText w:val="%1)"/>
      <w:lvlJc w:val="left"/>
      <w:pPr>
        <w:ind w:left="720" w:hanging="360"/>
      </w:pPr>
    </w:lvl>
    <w:lvl w:ilvl="1" w:tplc="05004952">
      <w:start w:val="1"/>
      <w:numFmt w:val="lowerLetter"/>
      <w:lvlText w:val="%2."/>
      <w:lvlJc w:val="left"/>
      <w:pPr>
        <w:ind w:left="1440" w:hanging="360"/>
      </w:pPr>
    </w:lvl>
    <w:lvl w:ilvl="2" w:tplc="408EFF9C">
      <w:start w:val="1"/>
      <w:numFmt w:val="lowerRoman"/>
      <w:lvlText w:val="%3."/>
      <w:lvlJc w:val="right"/>
      <w:pPr>
        <w:ind w:left="2160" w:hanging="180"/>
      </w:pPr>
    </w:lvl>
    <w:lvl w:ilvl="3" w:tplc="89D2DBFE">
      <w:start w:val="1"/>
      <w:numFmt w:val="decimal"/>
      <w:lvlText w:val="%4."/>
      <w:lvlJc w:val="left"/>
      <w:pPr>
        <w:ind w:left="2880" w:hanging="360"/>
      </w:pPr>
    </w:lvl>
    <w:lvl w:ilvl="4" w:tplc="62526D94">
      <w:start w:val="1"/>
      <w:numFmt w:val="lowerLetter"/>
      <w:lvlText w:val="%5."/>
      <w:lvlJc w:val="left"/>
      <w:pPr>
        <w:ind w:left="3600" w:hanging="360"/>
      </w:pPr>
    </w:lvl>
    <w:lvl w:ilvl="5" w:tplc="3098C0BC">
      <w:start w:val="1"/>
      <w:numFmt w:val="lowerRoman"/>
      <w:lvlText w:val="%6."/>
      <w:lvlJc w:val="right"/>
      <w:pPr>
        <w:ind w:left="4320" w:hanging="180"/>
      </w:pPr>
    </w:lvl>
    <w:lvl w:ilvl="6" w:tplc="72AC9500">
      <w:start w:val="1"/>
      <w:numFmt w:val="decimal"/>
      <w:lvlText w:val="%7."/>
      <w:lvlJc w:val="left"/>
      <w:pPr>
        <w:ind w:left="5040" w:hanging="360"/>
      </w:pPr>
    </w:lvl>
    <w:lvl w:ilvl="7" w:tplc="97AE72B4">
      <w:start w:val="1"/>
      <w:numFmt w:val="lowerLetter"/>
      <w:lvlText w:val="%8."/>
      <w:lvlJc w:val="left"/>
      <w:pPr>
        <w:ind w:left="5760" w:hanging="360"/>
      </w:pPr>
    </w:lvl>
    <w:lvl w:ilvl="8" w:tplc="04AC88BA">
      <w:start w:val="1"/>
      <w:numFmt w:val="lowerRoman"/>
      <w:lvlText w:val="%9."/>
      <w:lvlJc w:val="right"/>
      <w:pPr>
        <w:ind w:left="6480" w:hanging="180"/>
      </w:pPr>
    </w:lvl>
  </w:abstractNum>
  <w:abstractNum w:abstractNumId="134" w15:restartNumberingAfterBreak="0">
    <w:nsid w:val="69936A2E"/>
    <w:multiLevelType w:val="hybridMultilevel"/>
    <w:tmpl w:val="7DFCC346"/>
    <w:lvl w:ilvl="0" w:tplc="01C2E158">
      <w:start w:val="1"/>
      <w:numFmt w:val="lowerRoman"/>
      <w:lvlText w:val="%1)"/>
      <w:lvlJc w:val="right"/>
      <w:pPr>
        <w:ind w:left="720" w:hanging="360"/>
      </w:pPr>
    </w:lvl>
    <w:lvl w:ilvl="1" w:tplc="78DE817E">
      <w:start w:val="1"/>
      <w:numFmt w:val="lowerLetter"/>
      <w:lvlText w:val="%2."/>
      <w:lvlJc w:val="left"/>
      <w:pPr>
        <w:ind w:left="1440" w:hanging="360"/>
      </w:pPr>
    </w:lvl>
    <w:lvl w:ilvl="2" w:tplc="4462DA30">
      <w:start w:val="1"/>
      <w:numFmt w:val="lowerRoman"/>
      <w:lvlText w:val="%3."/>
      <w:lvlJc w:val="right"/>
      <w:pPr>
        <w:ind w:left="2160" w:hanging="180"/>
      </w:pPr>
    </w:lvl>
    <w:lvl w:ilvl="3" w:tplc="FFC853FA">
      <w:start w:val="1"/>
      <w:numFmt w:val="decimal"/>
      <w:lvlText w:val="%4."/>
      <w:lvlJc w:val="left"/>
      <w:pPr>
        <w:ind w:left="2880" w:hanging="360"/>
      </w:pPr>
    </w:lvl>
    <w:lvl w:ilvl="4" w:tplc="1D6633E8">
      <w:start w:val="1"/>
      <w:numFmt w:val="lowerLetter"/>
      <w:lvlText w:val="%5."/>
      <w:lvlJc w:val="left"/>
      <w:pPr>
        <w:ind w:left="3600" w:hanging="360"/>
      </w:pPr>
    </w:lvl>
    <w:lvl w:ilvl="5" w:tplc="B2AE6A9C">
      <w:start w:val="1"/>
      <w:numFmt w:val="lowerRoman"/>
      <w:lvlText w:val="%6."/>
      <w:lvlJc w:val="right"/>
      <w:pPr>
        <w:ind w:left="4320" w:hanging="180"/>
      </w:pPr>
    </w:lvl>
    <w:lvl w:ilvl="6" w:tplc="4A8A0CCC">
      <w:start w:val="1"/>
      <w:numFmt w:val="decimal"/>
      <w:lvlText w:val="%7."/>
      <w:lvlJc w:val="left"/>
      <w:pPr>
        <w:ind w:left="5040" w:hanging="360"/>
      </w:pPr>
    </w:lvl>
    <w:lvl w:ilvl="7" w:tplc="6BF63A20">
      <w:start w:val="1"/>
      <w:numFmt w:val="lowerLetter"/>
      <w:lvlText w:val="%8."/>
      <w:lvlJc w:val="left"/>
      <w:pPr>
        <w:ind w:left="5760" w:hanging="360"/>
      </w:pPr>
    </w:lvl>
    <w:lvl w:ilvl="8" w:tplc="4A306ACE">
      <w:start w:val="1"/>
      <w:numFmt w:val="lowerRoman"/>
      <w:lvlText w:val="%9."/>
      <w:lvlJc w:val="right"/>
      <w:pPr>
        <w:ind w:left="6480" w:hanging="180"/>
      </w:pPr>
    </w:lvl>
  </w:abstractNum>
  <w:abstractNum w:abstractNumId="135" w15:restartNumberingAfterBreak="0">
    <w:nsid w:val="69C5E854"/>
    <w:multiLevelType w:val="hybridMultilevel"/>
    <w:tmpl w:val="49BCFDFA"/>
    <w:lvl w:ilvl="0" w:tplc="23A27ACC">
      <w:start w:val="1"/>
      <w:numFmt w:val="upperRoman"/>
      <w:lvlText w:val="%1)"/>
      <w:lvlJc w:val="left"/>
      <w:pPr>
        <w:ind w:left="720" w:hanging="360"/>
      </w:pPr>
      <w:rPr>
        <w:sz w:val="20"/>
        <w:szCs w:val="20"/>
      </w:rPr>
    </w:lvl>
    <w:lvl w:ilvl="1" w:tplc="7020F702">
      <w:start w:val="1"/>
      <w:numFmt w:val="lowerLetter"/>
      <w:lvlText w:val="%2."/>
      <w:lvlJc w:val="left"/>
      <w:pPr>
        <w:ind w:left="1440" w:hanging="360"/>
      </w:pPr>
    </w:lvl>
    <w:lvl w:ilvl="2" w:tplc="8D72E9CC">
      <w:start w:val="1"/>
      <w:numFmt w:val="lowerRoman"/>
      <w:lvlText w:val="%3."/>
      <w:lvlJc w:val="right"/>
      <w:pPr>
        <w:ind w:left="2160" w:hanging="180"/>
      </w:pPr>
    </w:lvl>
    <w:lvl w:ilvl="3" w:tplc="DDB4EDC8">
      <w:start w:val="1"/>
      <w:numFmt w:val="decimal"/>
      <w:lvlText w:val="%4."/>
      <w:lvlJc w:val="left"/>
      <w:pPr>
        <w:ind w:left="2880" w:hanging="360"/>
      </w:pPr>
    </w:lvl>
    <w:lvl w:ilvl="4" w:tplc="A718CE44">
      <w:start w:val="1"/>
      <w:numFmt w:val="lowerLetter"/>
      <w:lvlText w:val="%5."/>
      <w:lvlJc w:val="left"/>
      <w:pPr>
        <w:ind w:left="3600" w:hanging="360"/>
      </w:pPr>
    </w:lvl>
    <w:lvl w:ilvl="5" w:tplc="814819CA">
      <w:start w:val="1"/>
      <w:numFmt w:val="lowerRoman"/>
      <w:lvlText w:val="%6."/>
      <w:lvlJc w:val="right"/>
      <w:pPr>
        <w:ind w:left="4320" w:hanging="180"/>
      </w:pPr>
    </w:lvl>
    <w:lvl w:ilvl="6" w:tplc="B8ECDA68">
      <w:start w:val="1"/>
      <w:numFmt w:val="decimal"/>
      <w:lvlText w:val="%7."/>
      <w:lvlJc w:val="left"/>
      <w:pPr>
        <w:ind w:left="5040" w:hanging="360"/>
      </w:pPr>
    </w:lvl>
    <w:lvl w:ilvl="7" w:tplc="8408B01E">
      <w:start w:val="1"/>
      <w:numFmt w:val="lowerLetter"/>
      <w:lvlText w:val="%8."/>
      <w:lvlJc w:val="left"/>
      <w:pPr>
        <w:ind w:left="5760" w:hanging="360"/>
      </w:pPr>
    </w:lvl>
    <w:lvl w:ilvl="8" w:tplc="E29E5102">
      <w:start w:val="1"/>
      <w:numFmt w:val="lowerRoman"/>
      <w:lvlText w:val="%9."/>
      <w:lvlJc w:val="right"/>
      <w:pPr>
        <w:ind w:left="6480" w:hanging="180"/>
      </w:pPr>
    </w:lvl>
  </w:abstractNum>
  <w:abstractNum w:abstractNumId="136" w15:restartNumberingAfterBreak="0">
    <w:nsid w:val="6A5F1BA5"/>
    <w:multiLevelType w:val="multilevel"/>
    <w:tmpl w:val="5EE02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6AFE6E83"/>
    <w:multiLevelType w:val="multilevel"/>
    <w:tmpl w:val="3FDA0544"/>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6B0E38AD"/>
    <w:multiLevelType w:val="hybridMultilevel"/>
    <w:tmpl w:val="046E43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9" w15:restartNumberingAfterBreak="0">
    <w:nsid w:val="6C37385B"/>
    <w:multiLevelType w:val="hybridMultilevel"/>
    <w:tmpl w:val="57805CB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0" w15:restartNumberingAfterBreak="0">
    <w:nsid w:val="6C3B6935"/>
    <w:multiLevelType w:val="hybridMultilevel"/>
    <w:tmpl w:val="BB86849A"/>
    <w:lvl w:ilvl="0" w:tplc="18090017">
      <w:start w:val="1"/>
      <w:numFmt w:val="lowerLetter"/>
      <w:lvlText w:val="%1)"/>
      <w:lvlJc w:val="left"/>
      <w:pPr>
        <w:ind w:left="1196" w:hanging="360"/>
      </w:p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141" w15:restartNumberingAfterBreak="0">
    <w:nsid w:val="6CED03CC"/>
    <w:multiLevelType w:val="multilevel"/>
    <w:tmpl w:val="B2505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2" w15:restartNumberingAfterBreak="0">
    <w:nsid w:val="6DEA7483"/>
    <w:multiLevelType w:val="hybridMultilevel"/>
    <w:tmpl w:val="189A45C8"/>
    <w:lvl w:ilvl="0" w:tplc="DBB8B8C6">
      <w:start w:val="1"/>
      <w:numFmt w:val="bullet"/>
      <w:lvlText w:val=""/>
      <w:lvlJc w:val="left"/>
      <w:pPr>
        <w:ind w:left="720" w:hanging="360"/>
      </w:pPr>
      <w:rPr>
        <w:rFonts w:ascii="Symbol" w:hAnsi="Symbol" w:hint="default"/>
      </w:rPr>
    </w:lvl>
    <w:lvl w:ilvl="1" w:tplc="109EFACA">
      <w:start w:val="1"/>
      <w:numFmt w:val="bullet"/>
      <w:lvlText w:val="o"/>
      <w:lvlJc w:val="left"/>
      <w:pPr>
        <w:ind w:left="1440" w:hanging="360"/>
      </w:pPr>
      <w:rPr>
        <w:rFonts w:ascii="Courier New" w:hAnsi="Courier New" w:hint="default"/>
      </w:rPr>
    </w:lvl>
    <w:lvl w:ilvl="2" w:tplc="C49E924A">
      <w:start w:val="1"/>
      <w:numFmt w:val="bullet"/>
      <w:lvlText w:val=""/>
      <w:lvlJc w:val="left"/>
      <w:pPr>
        <w:ind w:left="2160" w:hanging="360"/>
      </w:pPr>
      <w:rPr>
        <w:rFonts w:ascii="Wingdings" w:hAnsi="Wingdings" w:hint="default"/>
      </w:rPr>
    </w:lvl>
    <w:lvl w:ilvl="3" w:tplc="88B87FA0">
      <w:start w:val="1"/>
      <w:numFmt w:val="bullet"/>
      <w:lvlText w:val=""/>
      <w:lvlJc w:val="left"/>
      <w:pPr>
        <w:ind w:left="2880" w:hanging="360"/>
      </w:pPr>
      <w:rPr>
        <w:rFonts w:ascii="Symbol" w:hAnsi="Symbol" w:hint="default"/>
      </w:rPr>
    </w:lvl>
    <w:lvl w:ilvl="4" w:tplc="8F30CEC4">
      <w:start w:val="1"/>
      <w:numFmt w:val="bullet"/>
      <w:lvlText w:val="o"/>
      <w:lvlJc w:val="left"/>
      <w:pPr>
        <w:ind w:left="3600" w:hanging="360"/>
      </w:pPr>
      <w:rPr>
        <w:rFonts w:ascii="Courier New" w:hAnsi="Courier New" w:hint="default"/>
      </w:rPr>
    </w:lvl>
    <w:lvl w:ilvl="5" w:tplc="D3921536">
      <w:start w:val="1"/>
      <w:numFmt w:val="bullet"/>
      <w:lvlText w:val=""/>
      <w:lvlJc w:val="left"/>
      <w:pPr>
        <w:ind w:left="4320" w:hanging="360"/>
      </w:pPr>
      <w:rPr>
        <w:rFonts w:ascii="Wingdings" w:hAnsi="Wingdings" w:hint="default"/>
      </w:rPr>
    </w:lvl>
    <w:lvl w:ilvl="6" w:tplc="20409612">
      <w:start w:val="1"/>
      <w:numFmt w:val="bullet"/>
      <w:lvlText w:val=""/>
      <w:lvlJc w:val="left"/>
      <w:pPr>
        <w:ind w:left="5040" w:hanging="360"/>
      </w:pPr>
      <w:rPr>
        <w:rFonts w:ascii="Symbol" w:hAnsi="Symbol" w:hint="default"/>
      </w:rPr>
    </w:lvl>
    <w:lvl w:ilvl="7" w:tplc="A10E3872">
      <w:start w:val="1"/>
      <w:numFmt w:val="bullet"/>
      <w:lvlText w:val="o"/>
      <w:lvlJc w:val="left"/>
      <w:pPr>
        <w:ind w:left="5760" w:hanging="360"/>
      </w:pPr>
      <w:rPr>
        <w:rFonts w:ascii="Courier New" w:hAnsi="Courier New" w:hint="default"/>
      </w:rPr>
    </w:lvl>
    <w:lvl w:ilvl="8" w:tplc="CC987EB4">
      <w:start w:val="1"/>
      <w:numFmt w:val="bullet"/>
      <w:lvlText w:val=""/>
      <w:lvlJc w:val="left"/>
      <w:pPr>
        <w:ind w:left="6480" w:hanging="360"/>
      </w:pPr>
      <w:rPr>
        <w:rFonts w:ascii="Wingdings" w:hAnsi="Wingdings" w:hint="default"/>
      </w:rPr>
    </w:lvl>
  </w:abstractNum>
  <w:abstractNum w:abstractNumId="143" w15:restartNumberingAfterBreak="0">
    <w:nsid w:val="6DED619B"/>
    <w:multiLevelType w:val="hybridMultilevel"/>
    <w:tmpl w:val="FD30E5B0"/>
    <w:lvl w:ilvl="0" w:tplc="80CA361C">
      <w:start w:val="1"/>
      <w:numFmt w:val="lowerRoman"/>
      <w:lvlText w:val="%1)"/>
      <w:lvlJc w:val="left"/>
      <w:pPr>
        <w:ind w:left="1080" w:hanging="720"/>
      </w:pPr>
    </w:lvl>
    <w:lvl w:ilvl="1" w:tplc="3948F632">
      <w:start w:val="1"/>
      <w:numFmt w:val="lowerLetter"/>
      <w:lvlText w:val="%2."/>
      <w:lvlJc w:val="left"/>
      <w:pPr>
        <w:ind w:left="1440" w:hanging="360"/>
      </w:pPr>
    </w:lvl>
    <w:lvl w:ilvl="2" w:tplc="5F42BC5C">
      <w:start w:val="1"/>
      <w:numFmt w:val="lowerRoman"/>
      <w:lvlText w:val="%3."/>
      <w:lvlJc w:val="right"/>
      <w:pPr>
        <w:ind w:left="2160" w:hanging="180"/>
      </w:pPr>
    </w:lvl>
    <w:lvl w:ilvl="3" w:tplc="8CCCDE72">
      <w:start w:val="1"/>
      <w:numFmt w:val="decimal"/>
      <w:lvlText w:val="%4."/>
      <w:lvlJc w:val="left"/>
      <w:pPr>
        <w:ind w:left="2880" w:hanging="360"/>
      </w:pPr>
    </w:lvl>
    <w:lvl w:ilvl="4" w:tplc="76C28A06">
      <w:start w:val="1"/>
      <w:numFmt w:val="lowerLetter"/>
      <w:lvlText w:val="%5."/>
      <w:lvlJc w:val="left"/>
      <w:pPr>
        <w:ind w:left="3600" w:hanging="360"/>
      </w:pPr>
    </w:lvl>
    <w:lvl w:ilvl="5" w:tplc="A9BAC77E">
      <w:start w:val="1"/>
      <w:numFmt w:val="lowerRoman"/>
      <w:lvlText w:val="%6."/>
      <w:lvlJc w:val="right"/>
      <w:pPr>
        <w:ind w:left="4320" w:hanging="180"/>
      </w:pPr>
    </w:lvl>
    <w:lvl w:ilvl="6" w:tplc="A79EE33A">
      <w:start w:val="1"/>
      <w:numFmt w:val="decimal"/>
      <w:lvlText w:val="%7."/>
      <w:lvlJc w:val="left"/>
      <w:pPr>
        <w:ind w:left="5040" w:hanging="360"/>
      </w:pPr>
    </w:lvl>
    <w:lvl w:ilvl="7" w:tplc="AEA6902A">
      <w:start w:val="1"/>
      <w:numFmt w:val="lowerLetter"/>
      <w:lvlText w:val="%8."/>
      <w:lvlJc w:val="left"/>
      <w:pPr>
        <w:ind w:left="5760" w:hanging="360"/>
      </w:pPr>
    </w:lvl>
    <w:lvl w:ilvl="8" w:tplc="09DA627C">
      <w:start w:val="1"/>
      <w:numFmt w:val="lowerRoman"/>
      <w:lvlText w:val="%9."/>
      <w:lvlJc w:val="right"/>
      <w:pPr>
        <w:ind w:left="6480" w:hanging="180"/>
      </w:pPr>
    </w:lvl>
  </w:abstractNum>
  <w:abstractNum w:abstractNumId="144" w15:restartNumberingAfterBreak="0">
    <w:nsid w:val="6DFD0CDA"/>
    <w:multiLevelType w:val="hybridMultilevel"/>
    <w:tmpl w:val="0908C216"/>
    <w:lvl w:ilvl="0" w:tplc="38F0E048">
      <w:start w:val="1"/>
      <w:numFmt w:val="decimal"/>
      <w:lvlText w:val="%1."/>
      <w:lvlJc w:val="left"/>
      <w:pPr>
        <w:ind w:left="720" w:hanging="360"/>
      </w:pPr>
    </w:lvl>
    <w:lvl w:ilvl="1" w:tplc="A47CA500">
      <w:start w:val="1"/>
      <w:numFmt w:val="lowerLetter"/>
      <w:lvlText w:val="%2."/>
      <w:lvlJc w:val="left"/>
      <w:pPr>
        <w:ind w:left="1440" w:hanging="360"/>
      </w:pPr>
    </w:lvl>
    <w:lvl w:ilvl="2" w:tplc="77A68552">
      <w:start w:val="1"/>
      <w:numFmt w:val="lowerRoman"/>
      <w:lvlText w:val="%3."/>
      <w:lvlJc w:val="right"/>
      <w:pPr>
        <w:ind w:left="2160" w:hanging="180"/>
      </w:pPr>
    </w:lvl>
    <w:lvl w:ilvl="3" w:tplc="2214A632">
      <w:start w:val="1"/>
      <w:numFmt w:val="decimal"/>
      <w:lvlText w:val="%4."/>
      <w:lvlJc w:val="left"/>
      <w:pPr>
        <w:ind w:left="2880" w:hanging="360"/>
      </w:pPr>
    </w:lvl>
    <w:lvl w:ilvl="4" w:tplc="49AE2662">
      <w:start w:val="1"/>
      <w:numFmt w:val="lowerLetter"/>
      <w:lvlText w:val="%5."/>
      <w:lvlJc w:val="left"/>
      <w:pPr>
        <w:ind w:left="3600" w:hanging="360"/>
      </w:pPr>
    </w:lvl>
    <w:lvl w:ilvl="5" w:tplc="D4F41520">
      <w:start w:val="1"/>
      <w:numFmt w:val="lowerRoman"/>
      <w:lvlText w:val="%6."/>
      <w:lvlJc w:val="right"/>
      <w:pPr>
        <w:ind w:left="4320" w:hanging="180"/>
      </w:pPr>
    </w:lvl>
    <w:lvl w:ilvl="6" w:tplc="EDC8CBEE">
      <w:start w:val="1"/>
      <w:numFmt w:val="decimal"/>
      <w:lvlText w:val="%7."/>
      <w:lvlJc w:val="left"/>
      <w:pPr>
        <w:ind w:left="5040" w:hanging="360"/>
      </w:pPr>
    </w:lvl>
    <w:lvl w:ilvl="7" w:tplc="1C6C9E0A">
      <w:start w:val="1"/>
      <w:numFmt w:val="lowerLetter"/>
      <w:lvlText w:val="%8."/>
      <w:lvlJc w:val="left"/>
      <w:pPr>
        <w:ind w:left="5760" w:hanging="360"/>
      </w:pPr>
    </w:lvl>
    <w:lvl w:ilvl="8" w:tplc="52F61916">
      <w:start w:val="1"/>
      <w:numFmt w:val="lowerRoman"/>
      <w:lvlText w:val="%9."/>
      <w:lvlJc w:val="right"/>
      <w:pPr>
        <w:ind w:left="6480" w:hanging="180"/>
      </w:pPr>
    </w:lvl>
  </w:abstractNum>
  <w:abstractNum w:abstractNumId="145" w15:restartNumberingAfterBreak="0">
    <w:nsid w:val="6E5DD6B0"/>
    <w:multiLevelType w:val="hybridMultilevel"/>
    <w:tmpl w:val="FFFFFFFF"/>
    <w:lvl w:ilvl="0" w:tplc="15B0542E">
      <w:start w:val="1"/>
      <w:numFmt w:val="decimal"/>
      <w:lvlText w:val="%1."/>
      <w:lvlJc w:val="left"/>
      <w:pPr>
        <w:ind w:left="720" w:hanging="360"/>
      </w:pPr>
    </w:lvl>
    <w:lvl w:ilvl="1" w:tplc="CB52A0A0">
      <w:start w:val="1"/>
      <w:numFmt w:val="lowerLetter"/>
      <w:lvlText w:val="%2."/>
      <w:lvlJc w:val="left"/>
      <w:pPr>
        <w:ind w:left="1440" w:hanging="360"/>
      </w:pPr>
    </w:lvl>
    <w:lvl w:ilvl="2" w:tplc="A9E64DAA">
      <w:start w:val="1"/>
      <w:numFmt w:val="lowerRoman"/>
      <w:lvlText w:val="%3."/>
      <w:lvlJc w:val="right"/>
      <w:pPr>
        <w:ind w:left="2160" w:hanging="180"/>
      </w:pPr>
    </w:lvl>
    <w:lvl w:ilvl="3" w:tplc="E714B1C8">
      <w:start w:val="1"/>
      <w:numFmt w:val="decimal"/>
      <w:lvlText w:val="%4."/>
      <w:lvlJc w:val="left"/>
      <w:pPr>
        <w:ind w:left="2880" w:hanging="360"/>
      </w:pPr>
    </w:lvl>
    <w:lvl w:ilvl="4" w:tplc="B6707A26">
      <w:start w:val="1"/>
      <w:numFmt w:val="lowerLetter"/>
      <w:lvlText w:val="%5."/>
      <w:lvlJc w:val="left"/>
      <w:pPr>
        <w:ind w:left="3600" w:hanging="360"/>
      </w:pPr>
    </w:lvl>
    <w:lvl w:ilvl="5" w:tplc="650263B6">
      <w:start w:val="1"/>
      <w:numFmt w:val="lowerRoman"/>
      <w:lvlText w:val="%6."/>
      <w:lvlJc w:val="right"/>
      <w:pPr>
        <w:ind w:left="4320" w:hanging="180"/>
      </w:pPr>
    </w:lvl>
    <w:lvl w:ilvl="6" w:tplc="BD96DB34">
      <w:start w:val="1"/>
      <w:numFmt w:val="decimal"/>
      <w:lvlText w:val="%7."/>
      <w:lvlJc w:val="left"/>
      <w:pPr>
        <w:ind w:left="5040" w:hanging="360"/>
      </w:pPr>
    </w:lvl>
    <w:lvl w:ilvl="7" w:tplc="FF0C3D26">
      <w:start w:val="1"/>
      <w:numFmt w:val="lowerLetter"/>
      <w:lvlText w:val="%8."/>
      <w:lvlJc w:val="left"/>
      <w:pPr>
        <w:ind w:left="5760" w:hanging="360"/>
      </w:pPr>
    </w:lvl>
    <w:lvl w:ilvl="8" w:tplc="31B2E57E">
      <w:start w:val="1"/>
      <w:numFmt w:val="lowerRoman"/>
      <w:lvlText w:val="%9."/>
      <w:lvlJc w:val="right"/>
      <w:pPr>
        <w:ind w:left="6480" w:hanging="180"/>
      </w:pPr>
    </w:lvl>
  </w:abstractNum>
  <w:abstractNum w:abstractNumId="146" w15:restartNumberingAfterBreak="0">
    <w:nsid w:val="6EAE5E87"/>
    <w:multiLevelType w:val="hybridMultilevel"/>
    <w:tmpl w:val="5B067C72"/>
    <w:lvl w:ilvl="0" w:tplc="50D44480">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6ED65A49"/>
    <w:multiLevelType w:val="hybridMultilevel"/>
    <w:tmpl w:val="0182460E"/>
    <w:lvl w:ilvl="0" w:tplc="9820B010">
      <w:start w:val="1"/>
      <w:numFmt w:val="bullet"/>
      <w:lvlText w:val="o"/>
      <w:lvlJc w:val="left"/>
      <w:pPr>
        <w:ind w:left="720" w:hanging="360"/>
      </w:pPr>
      <w:rPr>
        <w:rFonts w:ascii="Courier New" w:hAnsi="Courier New" w:hint="default"/>
      </w:rPr>
    </w:lvl>
    <w:lvl w:ilvl="1" w:tplc="FDFE7DAA">
      <w:start w:val="1"/>
      <w:numFmt w:val="lowerLetter"/>
      <w:lvlText w:val="%2."/>
      <w:lvlJc w:val="left"/>
      <w:pPr>
        <w:ind w:left="1440" w:hanging="360"/>
      </w:pPr>
    </w:lvl>
    <w:lvl w:ilvl="2" w:tplc="484612EE">
      <w:start w:val="1"/>
      <w:numFmt w:val="lowerRoman"/>
      <w:lvlText w:val="%3."/>
      <w:lvlJc w:val="right"/>
      <w:pPr>
        <w:ind w:left="2160" w:hanging="180"/>
      </w:pPr>
    </w:lvl>
    <w:lvl w:ilvl="3" w:tplc="A802F04C">
      <w:start w:val="1"/>
      <w:numFmt w:val="decimal"/>
      <w:lvlText w:val="%4."/>
      <w:lvlJc w:val="left"/>
      <w:pPr>
        <w:ind w:left="2880" w:hanging="360"/>
      </w:pPr>
    </w:lvl>
    <w:lvl w:ilvl="4" w:tplc="4688283E">
      <w:start w:val="1"/>
      <w:numFmt w:val="lowerLetter"/>
      <w:lvlText w:val="%5."/>
      <w:lvlJc w:val="left"/>
      <w:pPr>
        <w:ind w:left="3600" w:hanging="360"/>
      </w:pPr>
    </w:lvl>
    <w:lvl w:ilvl="5" w:tplc="37029466">
      <w:start w:val="1"/>
      <w:numFmt w:val="lowerRoman"/>
      <w:lvlText w:val="%6."/>
      <w:lvlJc w:val="right"/>
      <w:pPr>
        <w:ind w:left="4320" w:hanging="180"/>
      </w:pPr>
    </w:lvl>
    <w:lvl w:ilvl="6" w:tplc="8F8EA9BE">
      <w:start w:val="1"/>
      <w:numFmt w:val="decimal"/>
      <w:lvlText w:val="%7."/>
      <w:lvlJc w:val="left"/>
      <w:pPr>
        <w:ind w:left="5040" w:hanging="360"/>
      </w:pPr>
    </w:lvl>
    <w:lvl w:ilvl="7" w:tplc="49884062">
      <w:start w:val="1"/>
      <w:numFmt w:val="lowerLetter"/>
      <w:lvlText w:val="%8."/>
      <w:lvlJc w:val="left"/>
      <w:pPr>
        <w:ind w:left="5760" w:hanging="360"/>
      </w:pPr>
    </w:lvl>
    <w:lvl w:ilvl="8" w:tplc="4E1E3F68">
      <w:start w:val="1"/>
      <w:numFmt w:val="lowerRoman"/>
      <w:lvlText w:val="%9."/>
      <w:lvlJc w:val="right"/>
      <w:pPr>
        <w:ind w:left="6480" w:hanging="180"/>
      </w:pPr>
    </w:lvl>
  </w:abstractNum>
  <w:abstractNum w:abstractNumId="148" w15:restartNumberingAfterBreak="0">
    <w:nsid w:val="6FF14727"/>
    <w:multiLevelType w:val="multilevel"/>
    <w:tmpl w:val="A8F8C3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700D7AC7"/>
    <w:multiLevelType w:val="multilevel"/>
    <w:tmpl w:val="E9C600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0" w15:restartNumberingAfterBreak="0">
    <w:nsid w:val="70257864"/>
    <w:multiLevelType w:val="hybridMultilevel"/>
    <w:tmpl w:val="B2D04A18"/>
    <w:lvl w:ilvl="0" w:tplc="56E64AA8">
      <w:start w:val="1"/>
      <w:numFmt w:val="lowerRoman"/>
      <w:lvlText w:val="%1)"/>
      <w:lvlJc w:val="left"/>
      <w:pPr>
        <w:ind w:left="720" w:hanging="360"/>
      </w:pPr>
    </w:lvl>
    <w:lvl w:ilvl="1" w:tplc="84DEC14A">
      <w:start w:val="1"/>
      <w:numFmt w:val="bullet"/>
      <w:lvlText w:val="o"/>
      <w:lvlJc w:val="left"/>
      <w:pPr>
        <w:ind w:left="1440" w:hanging="360"/>
      </w:pPr>
      <w:rPr>
        <w:rFonts w:ascii="Courier New" w:hAnsi="Courier New" w:hint="default"/>
      </w:rPr>
    </w:lvl>
    <w:lvl w:ilvl="2" w:tplc="ED429472">
      <w:start w:val="1"/>
      <w:numFmt w:val="bullet"/>
      <w:lvlText w:val=""/>
      <w:lvlJc w:val="left"/>
      <w:pPr>
        <w:ind w:left="2160" w:hanging="360"/>
      </w:pPr>
      <w:rPr>
        <w:rFonts w:ascii="Wingdings" w:hAnsi="Wingdings" w:hint="default"/>
      </w:rPr>
    </w:lvl>
    <w:lvl w:ilvl="3" w:tplc="546C0E6C">
      <w:start w:val="1"/>
      <w:numFmt w:val="bullet"/>
      <w:lvlText w:val=""/>
      <w:lvlJc w:val="left"/>
      <w:pPr>
        <w:ind w:left="2880" w:hanging="360"/>
      </w:pPr>
      <w:rPr>
        <w:rFonts w:ascii="Symbol" w:hAnsi="Symbol" w:hint="default"/>
      </w:rPr>
    </w:lvl>
    <w:lvl w:ilvl="4" w:tplc="A1AE18D2">
      <w:start w:val="1"/>
      <w:numFmt w:val="bullet"/>
      <w:lvlText w:val="o"/>
      <w:lvlJc w:val="left"/>
      <w:pPr>
        <w:ind w:left="3600" w:hanging="360"/>
      </w:pPr>
      <w:rPr>
        <w:rFonts w:ascii="Courier New" w:hAnsi="Courier New" w:hint="default"/>
      </w:rPr>
    </w:lvl>
    <w:lvl w:ilvl="5" w:tplc="7F126766">
      <w:start w:val="1"/>
      <w:numFmt w:val="bullet"/>
      <w:lvlText w:val=""/>
      <w:lvlJc w:val="left"/>
      <w:pPr>
        <w:ind w:left="4320" w:hanging="360"/>
      </w:pPr>
      <w:rPr>
        <w:rFonts w:ascii="Wingdings" w:hAnsi="Wingdings" w:hint="default"/>
      </w:rPr>
    </w:lvl>
    <w:lvl w:ilvl="6" w:tplc="1A72FDB0">
      <w:start w:val="1"/>
      <w:numFmt w:val="bullet"/>
      <w:lvlText w:val=""/>
      <w:lvlJc w:val="left"/>
      <w:pPr>
        <w:ind w:left="5040" w:hanging="360"/>
      </w:pPr>
      <w:rPr>
        <w:rFonts w:ascii="Symbol" w:hAnsi="Symbol" w:hint="default"/>
      </w:rPr>
    </w:lvl>
    <w:lvl w:ilvl="7" w:tplc="CEFC3846">
      <w:start w:val="1"/>
      <w:numFmt w:val="bullet"/>
      <w:lvlText w:val="o"/>
      <w:lvlJc w:val="left"/>
      <w:pPr>
        <w:ind w:left="5760" w:hanging="360"/>
      </w:pPr>
      <w:rPr>
        <w:rFonts w:ascii="Courier New" w:hAnsi="Courier New" w:hint="default"/>
      </w:rPr>
    </w:lvl>
    <w:lvl w:ilvl="8" w:tplc="63B6A13C">
      <w:start w:val="1"/>
      <w:numFmt w:val="bullet"/>
      <w:lvlText w:val=""/>
      <w:lvlJc w:val="left"/>
      <w:pPr>
        <w:ind w:left="6480" w:hanging="360"/>
      </w:pPr>
      <w:rPr>
        <w:rFonts w:ascii="Wingdings" w:hAnsi="Wingdings" w:hint="default"/>
      </w:rPr>
    </w:lvl>
  </w:abstractNum>
  <w:abstractNum w:abstractNumId="151" w15:restartNumberingAfterBreak="0">
    <w:nsid w:val="7027604A"/>
    <w:multiLevelType w:val="hybridMultilevel"/>
    <w:tmpl w:val="6894551A"/>
    <w:lvl w:ilvl="0" w:tplc="60C4BCA6">
      <w:start w:val="1"/>
      <w:numFmt w:val="lowerRoman"/>
      <w:lvlText w:val="%1."/>
      <w:lvlJc w:val="right"/>
      <w:pPr>
        <w:ind w:left="720" w:hanging="360"/>
      </w:pPr>
    </w:lvl>
    <w:lvl w:ilvl="1" w:tplc="D0DE7B0A">
      <w:start w:val="1"/>
      <w:numFmt w:val="lowerLetter"/>
      <w:lvlText w:val="%2."/>
      <w:lvlJc w:val="left"/>
      <w:pPr>
        <w:ind w:left="1440" w:hanging="360"/>
      </w:pPr>
    </w:lvl>
    <w:lvl w:ilvl="2" w:tplc="8A403568">
      <w:start w:val="1"/>
      <w:numFmt w:val="lowerRoman"/>
      <w:lvlText w:val="%3."/>
      <w:lvlJc w:val="right"/>
      <w:pPr>
        <w:ind w:left="2160" w:hanging="180"/>
      </w:pPr>
    </w:lvl>
    <w:lvl w:ilvl="3" w:tplc="4AD2D12C">
      <w:start w:val="1"/>
      <w:numFmt w:val="decimal"/>
      <w:lvlText w:val="%4."/>
      <w:lvlJc w:val="left"/>
      <w:pPr>
        <w:ind w:left="2880" w:hanging="360"/>
      </w:pPr>
    </w:lvl>
    <w:lvl w:ilvl="4" w:tplc="184466CE">
      <w:start w:val="1"/>
      <w:numFmt w:val="lowerLetter"/>
      <w:lvlText w:val="%5."/>
      <w:lvlJc w:val="left"/>
      <w:pPr>
        <w:ind w:left="3600" w:hanging="360"/>
      </w:pPr>
    </w:lvl>
    <w:lvl w:ilvl="5" w:tplc="4CE697FC">
      <w:start w:val="1"/>
      <w:numFmt w:val="lowerRoman"/>
      <w:lvlText w:val="%6."/>
      <w:lvlJc w:val="right"/>
      <w:pPr>
        <w:ind w:left="4320" w:hanging="180"/>
      </w:pPr>
    </w:lvl>
    <w:lvl w:ilvl="6" w:tplc="107CB322">
      <w:start w:val="1"/>
      <w:numFmt w:val="decimal"/>
      <w:lvlText w:val="%7."/>
      <w:lvlJc w:val="left"/>
      <w:pPr>
        <w:ind w:left="5040" w:hanging="360"/>
      </w:pPr>
    </w:lvl>
    <w:lvl w:ilvl="7" w:tplc="D5F49DFE">
      <w:start w:val="1"/>
      <w:numFmt w:val="lowerLetter"/>
      <w:lvlText w:val="%8."/>
      <w:lvlJc w:val="left"/>
      <w:pPr>
        <w:ind w:left="5760" w:hanging="360"/>
      </w:pPr>
    </w:lvl>
    <w:lvl w:ilvl="8" w:tplc="C4E07C50">
      <w:start w:val="1"/>
      <w:numFmt w:val="lowerRoman"/>
      <w:lvlText w:val="%9."/>
      <w:lvlJc w:val="right"/>
      <w:pPr>
        <w:ind w:left="6480" w:hanging="180"/>
      </w:pPr>
    </w:lvl>
  </w:abstractNum>
  <w:abstractNum w:abstractNumId="152" w15:restartNumberingAfterBreak="0">
    <w:nsid w:val="70500DE9"/>
    <w:multiLevelType w:val="hybridMultilevel"/>
    <w:tmpl w:val="C332FCB4"/>
    <w:lvl w:ilvl="0" w:tplc="7AACA2A8">
      <w:start w:val="1"/>
      <w:numFmt w:val="lowerRoman"/>
      <w:lvlText w:val="%1)"/>
      <w:lvlJc w:val="left"/>
      <w:pPr>
        <w:ind w:left="1080" w:hanging="360"/>
      </w:pPr>
    </w:lvl>
    <w:lvl w:ilvl="1" w:tplc="FFFFFFFF">
      <w:start w:val="1"/>
      <w:numFmt w:val="lowerRoman"/>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Roman"/>
      <w:lvlText w:val="%5."/>
      <w:lvlJc w:val="righ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53" w15:restartNumberingAfterBreak="0">
    <w:nsid w:val="70EC6B5A"/>
    <w:multiLevelType w:val="multilevel"/>
    <w:tmpl w:val="74184A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4" w15:restartNumberingAfterBreak="0">
    <w:nsid w:val="7147794F"/>
    <w:multiLevelType w:val="multilevel"/>
    <w:tmpl w:val="5BFC6C4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5" w15:restartNumberingAfterBreak="0">
    <w:nsid w:val="726E3DB0"/>
    <w:multiLevelType w:val="hybridMultilevel"/>
    <w:tmpl w:val="A7B0B03C"/>
    <w:lvl w:ilvl="0" w:tplc="2772B242">
      <w:start w:val="1"/>
      <w:numFmt w:val="bullet"/>
      <w:lvlText w:val="-"/>
      <w:lvlJc w:val="left"/>
      <w:pPr>
        <w:ind w:left="720" w:hanging="360"/>
      </w:pPr>
      <w:rPr>
        <w:rFonts w:ascii="Times New Roman" w:hAnsi="Times New Roman" w:hint="default"/>
      </w:rPr>
    </w:lvl>
    <w:lvl w:ilvl="1" w:tplc="2C5C2814">
      <w:start w:val="1"/>
      <w:numFmt w:val="bullet"/>
      <w:lvlText w:val="o"/>
      <w:lvlJc w:val="left"/>
      <w:pPr>
        <w:ind w:left="1440" w:hanging="360"/>
      </w:pPr>
      <w:rPr>
        <w:rFonts w:ascii="Courier New" w:hAnsi="Courier New" w:hint="default"/>
      </w:rPr>
    </w:lvl>
    <w:lvl w:ilvl="2" w:tplc="EF3A4B28">
      <w:start w:val="1"/>
      <w:numFmt w:val="bullet"/>
      <w:lvlText w:val=""/>
      <w:lvlJc w:val="left"/>
      <w:pPr>
        <w:ind w:left="2160" w:hanging="360"/>
      </w:pPr>
      <w:rPr>
        <w:rFonts w:ascii="Wingdings" w:hAnsi="Wingdings" w:hint="default"/>
      </w:rPr>
    </w:lvl>
    <w:lvl w:ilvl="3" w:tplc="942CFA6A">
      <w:start w:val="1"/>
      <w:numFmt w:val="bullet"/>
      <w:lvlText w:val=""/>
      <w:lvlJc w:val="left"/>
      <w:pPr>
        <w:ind w:left="2880" w:hanging="360"/>
      </w:pPr>
      <w:rPr>
        <w:rFonts w:ascii="Symbol" w:hAnsi="Symbol" w:hint="default"/>
      </w:rPr>
    </w:lvl>
    <w:lvl w:ilvl="4" w:tplc="5D54CC84">
      <w:start w:val="1"/>
      <w:numFmt w:val="bullet"/>
      <w:lvlText w:val="o"/>
      <w:lvlJc w:val="left"/>
      <w:pPr>
        <w:ind w:left="3600" w:hanging="360"/>
      </w:pPr>
      <w:rPr>
        <w:rFonts w:ascii="Courier New" w:hAnsi="Courier New" w:hint="default"/>
      </w:rPr>
    </w:lvl>
    <w:lvl w:ilvl="5" w:tplc="95C8C3A0">
      <w:start w:val="1"/>
      <w:numFmt w:val="bullet"/>
      <w:lvlText w:val=""/>
      <w:lvlJc w:val="left"/>
      <w:pPr>
        <w:ind w:left="4320" w:hanging="360"/>
      </w:pPr>
      <w:rPr>
        <w:rFonts w:ascii="Wingdings" w:hAnsi="Wingdings" w:hint="default"/>
      </w:rPr>
    </w:lvl>
    <w:lvl w:ilvl="6" w:tplc="6A747202">
      <w:start w:val="1"/>
      <w:numFmt w:val="bullet"/>
      <w:lvlText w:val=""/>
      <w:lvlJc w:val="left"/>
      <w:pPr>
        <w:ind w:left="5040" w:hanging="360"/>
      </w:pPr>
      <w:rPr>
        <w:rFonts w:ascii="Symbol" w:hAnsi="Symbol" w:hint="default"/>
      </w:rPr>
    </w:lvl>
    <w:lvl w:ilvl="7" w:tplc="57FE375A">
      <w:start w:val="1"/>
      <w:numFmt w:val="bullet"/>
      <w:lvlText w:val="o"/>
      <w:lvlJc w:val="left"/>
      <w:pPr>
        <w:ind w:left="5760" w:hanging="360"/>
      </w:pPr>
      <w:rPr>
        <w:rFonts w:ascii="Courier New" w:hAnsi="Courier New" w:hint="default"/>
      </w:rPr>
    </w:lvl>
    <w:lvl w:ilvl="8" w:tplc="D9FAF818">
      <w:start w:val="1"/>
      <w:numFmt w:val="bullet"/>
      <w:lvlText w:val=""/>
      <w:lvlJc w:val="left"/>
      <w:pPr>
        <w:ind w:left="6480" w:hanging="360"/>
      </w:pPr>
      <w:rPr>
        <w:rFonts w:ascii="Wingdings" w:hAnsi="Wingdings" w:hint="default"/>
      </w:rPr>
    </w:lvl>
  </w:abstractNum>
  <w:abstractNum w:abstractNumId="156" w15:restartNumberingAfterBreak="0">
    <w:nsid w:val="73C1CF8D"/>
    <w:multiLevelType w:val="hybridMultilevel"/>
    <w:tmpl w:val="56C63FBC"/>
    <w:lvl w:ilvl="0" w:tplc="8FDEC206">
      <w:start w:val="1"/>
      <w:numFmt w:val="decimal"/>
      <w:lvlText w:val="%1."/>
      <w:lvlJc w:val="left"/>
      <w:pPr>
        <w:ind w:left="720" w:hanging="360"/>
      </w:pPr>
      <w:rPr>
        <w:rFonts w:ascii="Times New Roman" w:eastAsiaTheme="minorEastAsia" w:hAnsi="Times New Roman" w:cs="Times New Roman" w:hint="default"/>
      </w:rPr>
    </w:lvl>
    <w:lvl w:ilvl="1" w:tplc="FBEE5E8E">
      <w:start w:val="1"/>
      <w:numFmt w:val="lowerLetter"/>
      <w:lvlText w:val="%2."/>
      <w:lvlJc w:val="left"/>
      <w:pPr>
        <w:ind w:left="1440" w:hanging="360"/>
      </w:pPr>
    </w:lvl>
    <w:lvl w:ilvl="2" w:tplc="0CC07B38">
      <w:start w:val="1"/>
      <w:numFmt w:val="lowerRoman"/>
      <w:lvlText w:val="%3."/>
      <w:lvlJc w:val="right"/>
      <w:pPr>
        <w:ind w:left="2160" w:hanging="180"/>
      </w:pPr>
    </w:lvl>
    <w:lvl w:ilvl="3" w:tplc="8D1E583A">
      <w:start w:val="1"/>
      <w:numFmt w:val="decimal"/>
      <w:lvlText w:val="%4."/>
      <w:lvlJc w:val="left"/>
      <w:pPr>
        <w:ind w:left="2880" w:hanging="360"/>
      </w:pPr>
    </w:lvl>
    <w:lvl w:ilvl="4" w:tplc="112C34FC">
      <w:start w:val="1"/>
      <w:numFmt w:val="lowerLetter"/>
      <w:lvlText w:val="%5."/>
      <w:lvlJc w:val="left"/>
      <w:pPr>
        <w:ind w:left="3600" w:hanging="360"/>
      </w:pPr>
    </w:lvl>
    <w:lvl w:ilvl="5" w:tplc="129C42EC">
      <w:start w:val="1"/>
      <w:numFmt w:val="lowerRoman"/>
      <w:lvlText w:val="%6."/>
      <w:lvlJc w:val="right"/>
      <w:pPr>
        <w:ind w:left="4320" w:hanging="180"/>
      </w:pPr>
    </w:lvl>
    <w:lvl w:ilvl="6" w:tplc="CCECFC04">
      <w:start w:val="1"/>
      <w:numFmt w:val="decimal"/>
      <w:lvlText w:val="%7."/>
      <w:lvlJc w:val="left"/>
      <w:pPr>
        <w:ind w:left="5040" w:hanging="360"/>
      </w:pPr>
    </w:lvl>
    <w:lvl w:ilvl="7" w:tplc="E0CC8CB6">
      <w:start w:val="1"/>
      <w:numFmt w:val="lowerLetter"/>
      <w:lvlText w:val="%8."/>
      <w:lvlJc w:val="left"/>
      <w:pPr>
        <w:ind w:left="5760" w:hanging="360"/>
      </w:pPr>
    </w:lvl>
    <w:lvl w:ilvl="8" w:tplc="CB74BC48">
      <w:start w:val="1"/>
      <w:numFmt w:val="lowerRoman"/>
      <w:lvlText w:val="%9."/>
      <w:lvlJc w:val="right"/>
      <w:pPr>
        <w:ind w:left="6480" w:hanging="180"/>
      </w:pPr>
    </w:lvl>
  </w:abstractNum>
  <w:abstractNum w:abstractNumId="157" w15:restartNumberingAfterBreak="0">
    <w:nsid w:val="74DB51AE"/>
    <w:multiLevelType w:val="multilevel"/>
    <w:tmpl w:val="3D8EE4A0"/>
    <w:lvl w:ilvl="0">
      <w:start w:val="1"/>
      <w:numFmt w:val="bullet"/>
      <w:lvlText w:val=""/>
      <w:lvlJc w:val="left"/>
      <w:pPr>
        <w:tabs>
          <w:tab w:val="num" w:pos="720"/>
        </w:tabs>
        <w:ind w:left="720" w:hanging="360"/>
      </w:pPr>
      <w:rPr>
        <w:rFonts w:ascii="Symbol" w:hAnsi="Symbol" w:hint="default"/>
        <w:color w:val="0066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77B4096C"/>
    <w:multiLevelType w:val="multilevel"/>
    <w:tmpl w:val="3AAC5D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78035C2B"/>
    <w:multiLevelType w:val="multilevel"/>
    <w:tmpl w:val="8DD0E414"/>
    <w:lvl w:ilvl="0">
      <w:start w:val="1"/>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0" w15:restartNumberingAfterBreak="0">
    <w:nsid w:val="78F52CEA"/>
    <w:multiLevelType w:val="multilevel"/>
    <w:tmpl w:val="B0AE746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1" w15:restartNumberingAfterBreak="0">
    <w:nsid w:val="7BAF443A"/>
    <w:multiLevelType w:val="multilevel"/>
    <w:tmpl w:val="50D0A7EE"/>
    <w:lvl w:ilvl="0">
      <w:start w:val="2"/>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2" w15:restartNumberingAfterBreak="0">
    <w:nsid w:val="7CC32008"/>
    <w:multiLevelType w:val="multilevel"/>
    <w:tmpl w:val="C504C8D4"/>
    <w:lvl w:ilvl="0">
      <w:start w:val="3"/>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3" w15:restartNumberingAfterBreak="0">
    <w:nsid w:val="7D074BBF"/>
    <w:multiLevelType w:val="hybridMultilevel"/>
    <w:tmpl w:val="2D7ECAD6"/>
    <w:lvl w:ilvl="0" w:tplc="0082BFDE">
      <w:numFmt w:val="bullet"/>
      <w:lvlText w:val="-"/>
      <w:lvlJc w:val="left"/>
      <w:pPr>
        <w:ind w:left="360" w:hanging="36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4" w15:restartNumberingAfterBreak="0">
    <w:nsid w:val="7DD80C13"/>
    <w:multiLevelType w:val="multilevel"/>
    <w:tmpl w:val="ACC0AC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7E4B4F6F"/>
    <w:multiLevelType w:val="multilevel"/>
    <w:tmpl w:val="2786CA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7ED343C7"/>
    <w:multiLevelType w:val="multilevel"/>
    <w:tmpl w:val="D930C450"/>
    <w:lvl w:ilvl="0">
      <w:start w:val="7"/>
      <w:numFmt w:val="lowerRoman"/>
      <w:lvlText w:val="%1."/>
      <w:lvlJc w:val="right"/>
      <w:pPr>
        <w:tabs>
          <w:tab w:val="num" w:pos="720"/>
        </w:tabs>
        <w:ind w:left="720" w:hanging="360"/>
      </w:pPr>
      <w:rPr>
        <w:color w:val="006600"/>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7" w15:restartNumberingAfterBreak="0">
    <w:nsid w:val="7FBA5B10"/>
    <w:multiLevelType w:val="hybridMultilevel"/>
    <w:tmpl w:val="9D6EFCA6"/>
    <w:lvl w:ilvl="0" w:tplc="AF74AC66">
      <w:start w:val="1"/>
      <w:numFmt w:val="bullet"/>
      <w:lvlText w:val="-"/>
      <w:lvlJc w:val="left"/>
      <w:pPr>
        <w:ind w:left="360" w:hanging="360"/>
      </w:pPr>
      <w:rPr>
        <w:rFonts w:ascii="Times New Roman" w:hAnsi="Times New Roman" w:cs="Times New Roman"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24"/>
  </w:num>
  <w:num w:numId="2">
    <w:abstractNumId w:val="4"/>
  </w:num>
  <w:num w:numId="3">
    <w:abstractNumId w:val="3"/>
    <w:lvlOverride w:ilvl="0">
      <w:startOverride w:val="1"/>
    </w:lvlOverride>
  </w:num>
  <w:num w:numId="4">
    <w:abstractNumId w:val="2"/>
    <w:lvlOverride w:ilvl="0">
      <w:startOverride w:val="1"/>
    </w:lvlOverride>
  </w:num>
  <w:num w:numId="5">
    <w:abstractNumId w:val="1"/>
    <w:lvlOverride w:ilvl="0">
      <w:startOverride w:val="1"/>
    </w:lvlOverride>
  </w:num>
  <w:num w:numId="6">
    <w:abstractNumId w:val="0"/>
    <w:lvlOverride w:ilvl="0">
      <w:startOverride w:val="1"/>
    </w:lvlOverride>
  </w:num>
  <w:num w:numId="7">
    <w:abstractNumId w:val="117"/>
  </w:num>
  <w:num w:numId="8">
    <w:abstractNumId w:val="79"/>
  </w:num>
  <w:num w:numId="9">
    <w:abstractNumId w:val="131"/>
  </w:num>
  <w:num w:numId="10">
    <w:abstractNumId w:val="56"/>
  </w:num>
  <w:num w:numId="11">
    <w:abstractNumId w:val="81"/>
  </w:num>
  <w:num w:numId="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6"/>
  </w:num>
  <w:num w:numId="15">
    <w:abstractNumId w:val="114"/>
  </w:num>
  <w:num w:numId="16">
    <w:abstractNumId w:val="116"/>
  </w:num>
  <w:num w:numId="17">
    <w:abstractNumId w:val="108"/>
  </w:num>
  <w:num w:numId="18">
    <w:abstractNumId w:val="109"/>
  </w:num>
  <w:num w:numId="19">
    <w:abstractNumId w:val="46"/>
  </w:num>
  <w:num w:numId="20">
    <w:abstractNumId w:val="59"/>
  </w:num>
  <w:num w:numId="21">
    <w:abstractNumId w:val="11"/>
  </w:num>
  <w:num w:numId="22">
    <w:abstractNumId w:val="90"/>
  </w:num>
  <w:num w:numId="23">
    <w:abstractNumId w:val="93"/>
  </w:num>
  <w:num w:numId="24">
    <w:abstractNumId w:val="155"/>
  </w:num>
  <w:num w:numId="25">
    <w:abstractNumId w:val="13"/>
  </w:num>
  <w:num w:numId="26">
    <w:abstractNumId w:val="53"/>
  </w:num>
  <w:num w:numId="27">
    <w:abstractNumId w:val="127"/>
  </w:num>
  <w:num w:numId="28">
    <w:abstractNumId w:val="95"/>
  </w:num>
  <w:num w:numId="29">
    <w:abstractNumId w:val="163"/>
  </w:num>
  <w:num w:numId="30">
    <w:abstractNumId w:val="89"/>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7"/>
  </w:num>
  <w:num w:numId="33">
    <w:abstractNumId w:val="58"/>
  </w:num>
  <w:num w:numId="34">
    <w:abstractNumId w:val="118"/>
  </w:num>
  <w:num w:numId="35">
    <w:abstractNumId w:val="142"/>
  </w:num>
  <w:num w:numId="36">
    <w:abstractNumId w:val="68"/>
  </w:num>
  <w:num w:numId="37">
    <w:abstractNumId w:val="70"/>
  </w:num>
  <w:num w:numId="38">
    <w:abstractNumId w:val="44"/>
  </w:num>
  <w:num w:numId="39">
    <w:abstractNumId w:val="73"/>
  </w:num>
  <w:num w:numId="40">
    <w:abstractNumId w:val="35"/>
  </w:num>
  <w:num w:numId="41">
    <w:abstractNumId w:val="128"/>
  </w:num>
  <w:num w:numId="42">
    <w:abstractNumId w:val="151"/>
  </w:num>
  <w:num w:numId="43">
    <w:abstractNumId w:val="65"/>
  </w:num>
  <w:num w:numId="44">
    <w:abstractNumId w:val="85"/>
  </w:num>
  <w:num w:numId="45">
    <w:abstractNumId w:val="140"/>
  </w:num>
  <w:num w:numId="46">
    <w:abstractNumId w:val="96"/>
  </w:num>
  <w:num w:numId="47">
    <w:abstractNumId w:val="82"/>
  </w:num>
  <w:num w:numId="48">
    <w:abstractNumId w:val="129"/>
  </w:num>
  <w:num w:numId="49">
    <w:abstractNumId w:val="139"/>
  </w:num>
  <w:num w:numId="50">
    <w:abstractNumId w:val="57"/>
  </w:num>
  <w:num w:numId="51">
    <w:abstractNumId w:val="138"/>
  </w:num>
  <w:num w:numId="52">
    <w:abstractNumId w:val="26"/>
  </w:num>
  <w:num w:numId="53">
    <w:abstractNumId w:val="31"/>
  </w:num>
  <w:num w:numId="54">
    <w:abstractNumId w:val="153"/>
  </w:num>
  <w:num w:numId="55">
    <w:abstractNumId w:val="28"/>
  </w:num>
  <w:num w:numId="56">
    <w:abstractNumId w:val="21"/>
  </w:num>
  <w:num w:numId="57">
    <w:abstractNumId w:val="47"/>
  </w:num>
  <w:num w:numId="58">
    <w:abstractNumId w:val="71"/>
  </w:num>
  <w:num w:numId="59">
    <w:abstractNumId w:val="72"/>
  </w:num>
  <w:num w:numId="60">
    <w:abstractNumId w:val="141"/>
  </w:num>
  <w:num w:numId="61">
    <w:abstractNumId w:val="149"/>
  </w:num>
  <w:num w:numId="62">
    <w:abstractNumId w:val="154"/>
  </w:num>
  <w:num w:numId="63">
    <w:abstractNumId w:val="66"/>
  </w:num>
  <w:num w:numId="64">
    <w:abstractNumId w:val="158"/>
  </w:num>
  <w:num w:numId="65">
    <w:abstractNumId w:val="165"/>
  </w:num>
  <w:num w:numId="66">
    <w:abstractNumId w:val="30"/>
  </w:num>
  <w:num w:numId="67">
    <w:abstractNumId w:val="18"/>
  </w:num>
  <w:num w:numId="68">
    <w:abstractNumId w:val="160"/>
  </w:num>
  <w:num w:numId="69">
    <w:abstractNumId w:val="38"/>
  </w:num>
  <w:num w:numId="70">
    <w:abstractNumId w:val="43"/>
  </w:num>
  <w:num w:numId="71">
    <w:abstractNumId w:val="121"/>
  </w:num>
  <w:num w:numId="72">
    <w:abstractNumId w:val="126"/>
  </w:num>
  <w:num w:numId="73">
    <w:abstractNumId w:val="75"/>
  </w:num>
  <w:num w:numId="74">
    <w:abstractNumId w:val="60"/>
  </w:num>
  <w:num w:numId="75">
    <w:abstractNumId w:val="122"/>
  </w:num>
  <w:num w:numId="76">
    <w:abstractNumId w:val="84"/>
  </w:num>
  <w:num w:numId="77">
    <w:abstractNumId w:val="20"/>
  </w:num>
  <w:num w:numId="78">
    <w:abstractNumId w:val="148"/>
  </w:num>
  <w:num w:numId="79">
    <w:abstractNumId w:val="136"/>
  </w:num>
  <w:num w:numId="80">
    <w:abstractNumId w:val="112"/>
  </w:num>
  <w:num w:numId="81">
    <w:abstractNumId w:val="62"/>
  </w:num>
  <w:num w:numId="82">
    <w:abstractNumId w:val="5"/>
  </w:num>
  <w:num w:numId="83">
    <w:abstractNumId w:val="63"/>
  </w:num>
  <w:num w:numId="84">
    <w:abstractNumId w:val="159"/>
  </w:num>
  <w:num w:numId="85">
    <w:abstractNumId w:val="161"/>
  </w:num>
  <w:num w:numId="86">
    <w:abstractNumId w:val="162"/>
  </w:num>
  <w:num w:numId="87">
    <w:abstractNumId w:val="14"/>
  </w:num>
  <w:num w:numId="88">
    <w:abstractNumId w:val="33"/>
  </w:num>
  <w:num w:numId="89">
    <w:abstractNumId w:val="104"/>
  </w:num>
  <w:num w:numId="90">
    <w:abstractNumId w:val="166"/>
  </w:num>
  <w:num w:numId="91">
    <w:abstractNumId w:val="130"/>
  </w:num>
  <w:num w:numId="92">
    <w:abstractNumId w:val="115"/>
  </w:num>
  <w:num w:numId="93">
    <w:abstractNumId w:val="99"/>
  </w:num>
  <w:num w:numId="94">
    <w:abstractNumId w:val="120"/>
  </w:num>
  <w:num w:numId="95">
    <w:abstractNumId w:val="48"/>
  </w:num>
  <w:num w:numId="96">
    <w:abstractNumId w:val="157"/>
  </w:num>
  <w:num w:numId="97">
    <w:abstractNumId w:val="54"/>
  </w:num>
  <w:num w:numId="98">
    <w:abstractNumId w:val="137"/>
  </w:num>
  <w:num w:numId="99">
    <w:abstractNumId w:val="98"/>
  </w:num>
  <w:num w:numId="100">
    <w:abstractNumId w:val="76"/>
  </w:num>
  <w:num w:numId="101">
    <w:abstractNumId w:val="27"/>
  </w:num>
  <w:num w:numId="102">
    <w:abstractNumId w:val="32"/>
  </w:num>
  <w:num w:numId="10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num>
  <w:num w:numId="106">
    <w:abstractNumId w:val="107"/>
  </w:num>
  <w:num w:numId="107">
    <w:abstractNumId w:val="111"/>
  </w:num>
  <w:num w:numId="108">
    <w:abstractNumId w:val="106"/>
  </w:num>
  <w:num w:numId="109">
    <w:abstractNumId w:val="8"/>
  </w:num>
  <w:num w:numId="110">
    <w:abstractNumId w:val="156"/>
  </w:num>
  <w:num w:numId="111">
    <w:abstractNumId w:val="145"/>
  </w:num>
  <w:num w:numId="112">
    <w:abstractNumId w:val="150"/>
  </w:num>
  <w:num w:numId="113">
    <w:abstractNumId w:val="50"/>
  </w:num>
  <w:num w:numId="114">
    <w:abstractNumId w:val="80"/>
  </w:num>
  <w:num w:numId="115">
    <w:abstractNumId w:val="64"/>
  </w:num>
  <w:num w:numId="116">
    <w:abstractNumId w:val="152"/>
  </w:num>
  <w:num w:numId="117">
    <w:abstractNumId w:val="29"/>
  </w:num>
  <w:num w:numId="118">
    <w:abstractNumId w:val="52"/>
  </w:num>
  <w:num w:numId="119">
    <w:abstractNumId w:val="102"/>
  </w:num>
  <w:num w:numId="120">
    <w:abstractNumId w:val="16"/>
  </w:num>
  <w:num w:numId="121">
    <w:abstractNumId w:val="19"/>
  </w:num>
  <w:num w:numId="122">
    <w:abstractNumId w:val="49"/>
  </w:num>
  <w:num w:numId="123">
    <w:abstractNumId w:val="83"/>
  </w:num>
  <w:num w:numId="124">
    <w:abstractNumId w:val="45"/>
  </w:num>
  <w:num w:numId="125">
    <w:abstractNumId w:val="144"/>
  </w:num>
  <w:num w:numId="126">
    <w:abstractNumId w:val="9"/>
  </w:num>
  <w:num w:numId="127">
    <w:abstractNumId w:val="40"/>
  </w:num>
  <w:num w:numId="128">
    <w:abstractNumId w:val="6"/>
  </w:num>
  <w:num w:numId="129">
    <w:abstractNumId w:val="10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0"/>
  </w:num>
  <w:num w:numId="131">
    <w:abstractNumId w:val="164"/>
  </w:num>
  <w:num w:numId="132">
    <w:abstractNumId w:val="15"/>
  </w:num>
  <w:num w:numId="133">
    <w:abstractNumId w:val="7"/>
  </w:num>
  <w:num w:numId="134">
    <w:abstractNumId w:val="105"/>
  </w:num>
  <w:num w:numId="135">
    <w:abstractNumId w:val="55"/>
  </w:num>
  <w:num w:numId="136">
    <w:abstractNumId w:val="167"/>
  </w:num>
  <w:num w:numId="137">
    <w:abstractNumId w:val="88"/>
  </w:num>
  <w:num w:numId="138">
    <w:abstractNumId w:val="10"/>
  </w:num>
  <w:num w:numId="139">
    <w:abstractNumId w:val="51"/>
  </w:num>
  <w:num w:numId="140">
    <w:abstractNumId w:val="23"/>
  </w:num>
  <w:num w:numId="141">
    <w:abstractNumId w:val="17"/>
  </w:num>
  <w:num w:numId="142">
    <w:abstractNumId w:val="1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23"/>
  </w:num>
  <w:num w:numId="144">
    <w:abstractNumId w:val="92"/>
  </w:num>
  <w:num w:numId="145">
    <w:abstractNumId w:val="97"/>
  </w:num>
  <w:num w:numId="146">
    <w:abstractNumId w:val="78"/>
    <w:lvlOverride w:ilvl="0">
      <w:startOverride w:val="1"/>
    </w:lvlOverride>
    <w:lvlOverride w:ilvl="1">
      <w:startOverride w:val="1"/>
    </w:lvlOverride>
    <w:lvlOverride w:ilvl="2"/>
    <w:lvlOverride w:ilvl="3"/>
    <w:lvlOverride w:ilvl="4"/>
    <w:lvlOverride w:ilvl="5"/>
    <w:lvlOverride w:ilvl="6"/>
    <w:lvlOverride w:ilvl="7"/>
    <w:lvlOverride w:ilvl="8"/>
  </w:num>
  <w:num w:numId="147">
    <w:abstractNumId w:val="74"/>
  </w:num>
  <w:num w:numId="14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42"/>
  </w:num>
  <w:num w:numId="150">
    <w:abstractNumId w:val="101"/>
  </w:num>
  <w:num w:numId="151">
    <w:abstractNumId w:val="143"/>
  </w:num>
  <w:num w:numId="152">
    <w:abstractNumId w:val="61"/>
  </w:num>
  <w:num w:numId="153">
    <w:abstractNumId w:val="135"/>
  </w:num>
  <w:num w:numId="154">
    <w:abstractNumId w:val="134"/>
  </w:num>
  <w:num w:numId="155">
    <w:abstractNumId w:val="113"/>
  </w:num>
  <w:num w:numId="156">
    <w:abstractNumId w:val="133"/>
  </w:num>
  <w:num w:numId="157">
    <w:abstractNumId w:val="132"/>
  </w:num>
  <w:num w:numId="158">
    <w:abstractNumId w:val="12"/>
  </w:num>
  <w:num w:numId="159">
    <w:abstractNumId w:val="94"/>
  </w:num>
  <w:num w:numId="160">
    <w:abstractNumId w:val="36"/>
  </w:num>
  <w:num w:numId="161">
    <w:abstractNumId w:val="24"/>
  </w:num>
  <w:num w:numId="162">
    <w:abstractNumId w:val="103"/>
  </w:num>
  <w:num w:numId="163">
    <w:abstractNumId w:val="37"/>
  </w:num>
  <w:num w:numId="164">
    <w:abstractNumId w:val="119"/>
  </w:num>
  <w:num w:numId="165">
    <w:abstractNumId w:val="77"/>
  </w:num>
  <w:num w:numId="166">
    <w:abstractNumId w:val="125"/>
  </w:num>
  <w:num w:numId="167">
    <w:abstractNumId w:val="39"/>
  </w:num>
  <w:num w:numId="168">
    <w:abstractNumId w:val="91"/>
  </w:num>
  <w:num w:numId="169">
    <w:abstractNumId w:val="67"/>
  </w:num>
  <w:num w:numId="170">
    <w:abstractNumId w:val="146"/>
  </w:num>
  <w:num w:numId="171">
    <w:abstractNumId w:val="25"/>
  </w:num>
  <w:num w:numId="172">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1279F441-4163-4BF5-B188-7518B82B9C4B"/>
    <w:docVar w:name="LW_COVERPAGE_TYPE" w:val="1"/>
    <w:docVar w:name="LW_CROSSREFERENCE" w:val="{SWD(2026) 266 final}"/>
    <w:docVar w:name="LW_DocType" w:val="NORMAL"/>
    <w:docVar w:name="LW_EMISSION" w:val="7.8.2026"/>
    <w:docVar w:name="LW_EMISSION_ISODATE" w:val="2026-08-07"/>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Italy"/>
    <w:docVar w:name="LW_PART_NBR" w:val="1"/>
    <w:docVar w:name="LW_PART_NBR_TOTAL" w:val="1"/>
    <w:docVar w:name="LW_REF.INST.NEW" w:val="COM"/>
    <w:docVar w:name="LW_REF.INST.NEW_ADOPTED" w:val="final"/>
    <w:docVar w:name="LW_REF.INST.NEW_TEXT" w:val="(2026) 4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39681A"/>
    <w:rsid w:val="0000077A"/>
    <w:rsid w:val="0000353F"/>
    <w:rsid w:val="000167A4"/>
    <w:rsid w:val="00016814"/>
    <w:rsid w:val="0003271F"/>
    <w:rsid w:val="0006361A"/>
    <w:rsid w:val="000647DD"/>
    <w:rsid w:val="000712E8"/>
    <w:rsid w:val="0007763B"/>
    <w:rsid w:val="00077A1F"/>
    <w:rsid w:val="00086781"/>
    <w:rsid w:val="00093B99"/>
    <w:rsid w:val="000B2889"/>
    <w:rsid w:val="000C0E3E"/>
    <w:rsid w:val="000D2C60"/>
    <w:rsid w:val="000D31C4"/>
    <w:rsid w:val="000E5ACC"/>
    <w:rsid w:val="000F2603"/>
    <w:rsid w:val="00105381"/>
    <w:rsid w:val="00112875"/>
    <w:rsid w:val="001233EA"/>
    <w:rsid w:val="0014349C"/>
    <w:rsid w:val="00171EB9"/>
    <w:rsid w:val="00176EBF"/>
    <w:rsid w:val="0018115A"/>
    <w:rsid w:val="00182717"/>
    <w:rsid w:val="00191256"/>
    <w:rsid w:val="00192E1D"/>
    <w:rsid w:val="00192E77"/>
    <w:rsid w:val="00195C16"/>
    <w:rsid w:val="001A490D"/>
    <w:rsid w:val="001B4761"/>
    <w:rsid w:val="001B574D"/>
    <w:rsid w:val="001B7936"/>
    <w:rsid w:val="001C670D"/>
    <w:rsid w:val="001D0CA5"/>
    <w:rsid w:val="002039D3"/>
    <w:rsid w:val="00211545"/>
    <w:rsid w:val="0022140A"/>
    <w:rsid w:val="002231BB"/>
    <w:rsid w:val="002270BD"/>
    <w:rsid w:val="002365D5"/>
    <w:rsid w:val="00254C2B"/>
    <w:rsid w:val="00256774"/>
    <w:rsid w:val="00260F2B"/>
    <w:rsid w:val="002632C4"/>
    <w:rsid w:val="00271CC2"/>
    <w:rsid w:val="0028607F"/>
    <w:rsid w:val="002905BA"/>
    <w:rsid w:val="002A40CD"/>
    <w:rsid w:val="002A7956"/>
    <w:rsid w:val="002B37FC"/>
    <w:rsid w:val="002C13D8"/>
    <w:rsid w:val="002C400C"/>
    <w:rsid w:val="002D2C3D"/>
    <w:rsid w:val="002D3AB2"/>
    <w:rsid w:val="002D717D"/>
    <w:rsid w:val="002E1712"/>
    <w:rsid w:val="0030508A"/>
    <w:rsid w:val="0031264C"/>
    <w:rsid w:val="00323B6F"/>
    <w:rsid w:val="00324E17"/>
    <w:rsid w:val="003356E7"/>
    <w:rsid w:val="00342827"/>
    <w:rsid w:val="00342D38"/>
    <w:rsid w:val="0034796B"/>
    <w:rsid w:val="00351087"/>
    <w:rsid w:val="003524E6"/>
    <w:rsid w:val="003526A5"/>
    <w:rsid w:val="00364450"/>
    <w:rsid w:val="003672B9"/>
    <w:rsid w:val="003678D7"/>
    <w:rsid w:val="00370833"/>
    <w:rsid w:val="00375091"/>
    <w:rsid w:val="00376197"/>
    <w:rsid w:val="00381DB1"/>
    <w:rsid w:val="00384DBE"/>
    <w:rsid w:val="003869FD"/>
    <w:rsid w:val="003874AE"/>
    <w:rsid w:val="00391F75"/>
    <w:rsid w:val="00394459"/>
    <w:rsid w:val="0039681A"/>
    <w:rsid w:val="003A0728"/>
    <w:rsid w:val="003A5A0B"/>
    <w:rsid w:val="003A7318"/>
    <w:rsid w:val="003B11C5"/>
    <w:rsid w:val="003B5207"/>
    <w:rsid w:val="003D3323"/>
    <w:rsid w:val="003D50DA"/>
    <w:rsid w:val="003D52DD"/>
    <w:rsid w:val="003E08AD"/>
    <w:rsid w:val="00416EC5"/>
    <w:rsid w:val="00424458"/>
    <w:rsid w:val="00437FC8"/>
    <w:rsid w:val="00471FB7"/>
    <w:rsid w:val="00473FE9"/>
    <w:rsid w:val="00484E7F"/>
    <w:rsid w:val="0048701D"/>
    <w:rsid w:val="00490F62"/>
    <w:rsid w:val="00493768"/>
    <w:rsid w:val="004B17AC"/>
    <w:rsid w:val="004D0D0A"/>
    <w:rsid w:val="004E1C1A"/>
    <w:rsid w:val="004E5AB6"/>
    <w:rsid w:val="00500505"/>
    <w:rsid w:val="00506596"/>
    <w:rsid w:val="00511E58"/>
    <w:rsid w:val="005156BF"/>
    <w:rsid w:val="00527590"/>
    <w:rsid w:val="00567C8D"/>
    <w:rsid w:val="00571CAE"/>
    <w:rsid w:val="00574B26"/>
    <w:rsid w:val="00586458"/>
    <w:rsid w:val="005B1D20"/>
    <w:rsid w:val="005C0D96"/>
    <w:rsid w:val="005C7143"/>
    <w:rsid w:val="005C7A8D"/>
    <w:rsid w:val="005E3533"/>
    <w:rsid w:val="005F7341"/>
    <w:rsid w:val="0060048C"/>
    <w:rsid w:val="00612EED"/>
    <w:rsid w:val="00612F34"/>
    <w:rsid w:val="00624571"/>
    <w:rsid w:val="00625FD6"/>
    <w:rsid w:val="00632F2B"/>
    <w:rsid w:val="00656B0B"/>
    <w:rsid w:val="006619DD"/>
    <w:rsid w:val="00693D3D"/>
    <w:rsid w:val="006E60F1"/>
    <w:rsid w:val="006F48FA"/>
    <w:rsid w:val="0070054C"/>
    <w:rsid w:val="00700AB9"/>
    <w:rsid w:val="007319A1"/>
    <w:rsid w:val="007328BA"/>
    <w:rsid w:val="0074120F"/>
    <w:rsid w:val="0074643C"/>
    <w:rsid w:val="007473DA"/>
    <w:rsid w:val="00751E39"/>
    <w:rsid w:val="00755BAA"/>
    <w:rsid w:val="00757371"/>
    <w:rsid w:val="007639EF"/>
    <w:rsid w:val="00764BDB"/>
    <w:rsid w:val="007714AE"/>
    <w:rsid w:val="00775AC6"/>
    <w:rsid w:val="00776F83"/>
    <w:rsid w:val="00777AC2"/>
    <w:rsid w:val="00780177"/>
    <w:rsid w:val="007845DA"/>
    <w:rsid w:val="00787A60"/>
    <w:rsid w:val="0079352F"/>
    <w:rsid w:val="007A506B"/>
    <w:rsid w:val="007B767E"/>
    <w:rsid w:val="007C2ACC"/>
    <w:rsid w:val="007D76E4"/>
    <w:rsid w:val="007E15A0"/>
    <w:rsid w:val="007E627A"/>
    <w:rsid w:val="007F1AAD"/>
    <w:rsid w:val="007F3532"/>
    <w:rsid w:val="008003B9"/>
    <w:rsid w:val="00817253"/>
    <w:rsid w:val="0082772A"/>
    <w:rsid w:val="008277DC"/>
    <w:rsid w:val="00843041"/>
    <w:rsid w:val="00844659"/>
    <w:rsid w:val="00845D30"/>
    <w:rsid w:val="00845F25"/>
    <w:rsid w:val="00846E0F"/>
    <w:rsid w:val="00854B82"/>
    <w:rsid w:val="00857276"/>
    <w:rsid w:val="00867B19"/>
    <w:rsid w:val="00882121"/>
    <w:rsid w:val="008879A2"/>
    <w:rsid w:val="00893413"/>
    <w:rsid w:val="008958EC"/>
    <w:rsid w:val="0089675E"/>
    <w:rsid w:val="008A17C7"/>
    <w:rsid w:val="008A32C3"/>
    <w:rsid w:val="008A54E7"/>
    <w:rsid w:val="008B0ACA"/>
    <w:rsid w:val="008B170E"/>
    <w:rsid w:val="008B666F"/>
    <w:rsid w:val="008C3CDE"/>
    <w:rsid w:val="008E373E"/>
    <w:rsid w:val="008E3BF4"/>
    <w:rsid w:val="008E3E1F"/>
    <w:rsid w:val="009017F1"/>
    <w:rsid w:val="00904334"/>
    <w:rsid w:val="00906E44"/>
    <w:rsid w:val="00907205"/>
    <w:rsid w:val="00915949"/>
    <w:rsid w:val="00922B2F"/>
    <w:rsid w:val="00927449"/>
    <w:rsid w:val="00945A96"/>
    <w:rsid w:val="009534A5"/>
    <w:rsid w:val="00957E8F"/>
    <w:rsid w:val="009674CE"/>
    <w:rsid w:val="009814E8"/>
    <w:rsid w:val="00992CEC"/>
    <w:rsid w:val="009A245D"/>
    <w:rsid w:val="009B655A"/>
    <w:rsid w:val="009D0497"/>
    <w:rsid w:val="009D22CD"/>
    <w:rsid w:val="009E5326"/>
    <w:rsid w:val="009E5416"/>
    <w:rsid w:val="009E7CC3"/>
    <w:rsid w:val="009F7510"/>
    <w:rsid w:val="00A12871"/>
    <w:rsid w:val="00A143F0"/>
    <w:rsid w:val="00A1791B"/>
    <w:rsid w:val="00A44414"/>
    <w:rsid w:val="00A4780C"/>
    <w:rsid w:val="00A52CB9"/>
    <w:rsid w:val="00A54149"/>
    <w:rsid w:val="00AB2C7D"/>
    <w:rsid w:val="00AC2FBD"/>
    <w:rsid w:val="00AE0840"/>
    <w:rsid w:val="00AF3A9E"/>
    <w:rsid w:val="00AF5341"/>
    <w:rsid w:val="00B05A5F"/>
    <w:rsid w:val="00B31867"/>
    <w:rsid w:val="00B43FBE"/>
    <w:rsid w:val="00B712AF"/>
    <w:rsid w:val="00B80EB3"/>
    <w:rsid w:val="00B93CCC"/>
    <w:rsid w:val="00B9453F"/>
    <w:rsid w:val="00BB260C"/>
    <w:rsid w:val="00BC4C0E"/>
    <w:rsid w:val="00BD2985"/>
    <w:rsid w:val="00BD4022"/>
    <w:rsid w:val="00BE49E5"/>
    <w:rsid w:val="00C0691D"/>
    <w:rsid w:val="00C14EA0"/>
    <w:rsid w:val="00C16C6C"/>
    <w:rsid w:val="00C215B9"/>
    <w:rsid w:val="00C27AD6"/>
    <w:rsid w:val="00C42D72"/>
    <w:rsid w:val="00C64DF4"/>
    <w:rsid w:val="00C76E36"/>
    <w:rsid w:val="00C82DC3"/>
    <w:rsid w:val="00CA574C"/>
    <w:rsid w:val="00CB62DD"/>
    <w:rsid w:val="00CC43E5"/>
    <w:rsid w:val="00CE7E7F"/>
    <w:rsid w:val="00D033E7"/>
    <w:rsid w:val="00D072DA"/>
    <w:rsid w:val="00D16AB8"/>
    <w:rsid w:val="00D176F4"/>
    <w:rsid w:val="00D221E7"/>
    <w:rsid w:val="00D239DB"/>
    <w:rsid w:val="00D333BB"/>
    <w:rsid w:val="00D47F7F"/>
    <w:rsid w:val="00D53521"/>
    <w:rsid w:val="00D619C4"/>
    <w:rsid w:val="00D62C68"/>
    <w:rsid w:val="00D64890"/>
    <w:rsid w:val="00D65011"/>
    <w:rsid w:val="00D72865"/>
    <w:rsid w:val="00D73EB7"/>
    <w:rsid w:val="00D80587"/>
    <w:rsid w:val="00D815DB"/>
    <w:rsid w:val="00D85BA1"/>
    <w:rsid w:val="00D9174F"/>
    <w:rsid w:val="00D91F59"/>
    <w:rsid w:val="00D96B72"/>
    <w:rsid w:val="00DA7AD6"/>
    <w:rsid w:val="00DB28B6"/>
    <w:rsid w:val="00DB4C97"/>
    <w:rsid w:val="00DC5A8A"/>
    <w:rsid w:val="00DC61B0"/>
    <w:rsid w:val="00E00AC5"/>
    <w:rsid w:val="00E02EF5"/>
    <w:rsid w:val="00E11E3D"/>
    <w:rsid w:val="00E13675"/>
    <w:rsid w:val="00E22B0C"/>
    <w:rsid w:val="00E30F27"/>
    <w:rsid w:val="00E321E3"/>
    <w:rsid w:val="00E53588"/>
    <w:rsid w:val="00E668BD"/>
    <w:rsid w:val="00E66B74"/>
    <w:rsid w:val="00E67CCD"/>
    <w:rsid w:val="00E76105"/>
    <w:rsid w:val="00EA010C"/>
    <w:rsid w:val="00EA0D33"/>
    <w:rsid w:val="00EC42F1"/>
    <w:rsid w:val="00ED467C"/>
    <w:rsid w:val="00ED66B8"/>
    <w:rsid w:val="00EE2C7A"/>
    <w:rsid w:val="00EE3E6A"/>
    <w:rsid w:val="00EF3EAA"/>
    <w:rsid w:val="00F025C3"/>
    <w:rsid w:val="00F056C6"/>
    <w:rsid w:val="00F10A51"/>
    <w:rsid w:val="00F118A8"/>
    <w:rsid w:val="00F119A5"/>
    <w:rsid w:val="00F25E48"/>
    <w:rsid w:val="00F313F7"/>
    <w:rsid w:val="00F406B7"/>
    <w:rsid w:val="00F51817"/>
    <w:rsid w:val="00F574A3"/>
    <w:rsid w:val="00F818A4"/>
    <w:rsid w:val="00F84069"/>
    <w:rsid w:val="00F90EBD"/>
    <w:rsid w:val="00F93D45"/>
    <w:rsid w:val="00FA79F6"/>
    <w:rsid w:val="00FC1361"/>
    <w:rsid w:val="00FE22AA"/>
    <w:rsid w:val="00FE5667"/>
    <w:rsid w:val="00FE7658"/>
    <w:rsid w:val="00FF310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F4BEAB"/>
  <w15:chartTrackingRefBased/>
  <w15:docId w15:val="{BF551B1B-2ABA-4F26-A564-FAD6A8EF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96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6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96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96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96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96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96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396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396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6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96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96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96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396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39681A"/>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396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39681A"/>
    <w:rPr>
      <w:rFonts w:eastAsiaTheme="majorEastAsia" w:cstheme="majorBidi"/>
      <w:color w:val="272727" w:themeColor="text1" w:themeTint="D8"/>
    </w:rPr>
  </w:style>
  <w:style w:type="paragraph" w:styleId="Title">
    <w:name w:val="Title"/>
    <w:basedOn w:val="Normal"/>
    <w:next w:val="Normal"/>
    <w:link w:val="TitleChar"/>
    <w:uiPriority w:val="10"/>
    <w:qFormat/>
    <w:rsid w:val="00396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81A"/>
    <w:pPr>
      <w:spacing w:before="160"/>
      <w:jc w:val="center"/>
    </w:pPr>
    <w:rPr>
      <w:i/>
      <w:iCs/>
      <w:color w:val="404040" w:themeColor="text1" w:themeTint="BF"/>
    </w:rPr>
  </w:style>
  <w:style w:type="character" w:customStyle="1" w:styleId="QuoteChar">
    <w:name w:val="Quote Char"/>
    <w:basedOn w:val="DefaultParagraphFont"/>
    <w:link w:val="Quote"/>
    <w:uiPriority w:val="29"/>
    <w:rsid w:val="0039681A"/>
    <w:rPr>
      <w:i/>
      <w:iCs/>
      <w:color w:val="404040" w:themeColor="text1" w:themeTint="BF"/>
    </w:rPr>
  </w:style>
  <w:style w:type="paragraph" w:styleId="ListParagraph">
    <w:name w:val="List Paragraph"/>
    <w:aliases w:val="numbered list,2,OBC Bullet,Normal 1,Task Body,Viñetas (Inicio Parrafo),3 Txt tabla,Zerrenda-paragrafoa,Fiche List Paragraph,Dot pt,F5 List Paragraph,List Paragraph1,No Spacing1,List Paragraph Char Char Char,Indicator Text,Bullets,L,EC,b1"/>
    <w:basedOn w:val="Normal"/>
    <w:link w:val="ListParagraphChar"/>
    <w:uiPriority w:val="34"/>
    <w:qFormat/>
    <w:rsid w:val="0039681A"/>
    <w:pPr>
      <w:ind w:left="720"/>
      <w:contextualSpacing/>
    </w:pPr>
  </w:style>
  <w:style w:type="character" w:styleId="IntenseEmphasis">
    <w:name w:val="Intense Emphasis"/>
    <w:basedOn w:val="DefaultParagraphFont"/>
    <w:uiPriority w:val="21"/>
    <w:qFormat/>
    <w:rsid w:val="0039681A"/>
    <w:rPr>
      <w:i/>
      <w:iCs/>
      <w:color w:val="0F4761" w:themeColor="accent1" w:themeShade="BF"/>
    </w:rPr>
  </w:style>
  <w:style w:type="paragraph" w:styleId="IntenseQuote">
    <w:name w:val="Intense Quote"/>
    <w:basedOn w:val="Normal"/>
    <w:next w:val="Normal"/>
    <w:link w:val="IntenseQuoteChar"/>
    <w:uiPriority w:val="30"/>
    <w:qFormat/>
    <w:rsid w:val="00396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81A"/>
    <w:rPr>
      <w:i/>
      <w:iCs/>
      <w:color w:val="0F4761" w:themeColor="accent1" w:themeShade="BF"/>
    </w:rPr>
  </w:style>
  <w:style w:type="character" w:styleId="IntenseReference">
    <w:name w:val="Intense Reference"/>
    <w:basedOn w:val="DefaultParagraphFont"/>
    <w:uiPriority w:val="32"/>
    <w:qFormat/>
    <w:rsid w:val="0039681A"/>
    <w:rPr>
      <w:b/>
      <w:bCs/>
      <w:smallCaps/>
      <w:color w:val="0F4761" w:themeColor="accent1" w:themeShade="BF"/>
      <w:spacing w:val="5"/>
    </w:rPr>
  </w:style>
  <w:style w:type="numbering" w:customStyle="1" w:styleId="NoList1">
    <w:name w:val="No List1"/>
    <w:next w:val="NoList"/>
    <w:uiPriority w:val="99"/>
    <w:semiHidden/>
    <w:unhideWhenUsed/>
    <w:rsid w:val="0039681A"/>
  </w:style>
  <w:style w:type="paragraph" w:customStyle="1" w:styleId="TechnicalBlockBase">
    <w:name w:val="TechnicalBlockBase"/>
    <w:link w:val="TechnicalBlockBaseChar"/>
    <w:rsid w:val="0039681A"/>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val="en-GB" w:eastAsia="fr-BE"/>
    </w:rPr>
  </w:style>
  <w:style w:type="character" w:customStyle="1" w:styleId="TechnicalBlockBaseChar">
    <w:name w:val="TechnicalBlockBase Char"/>
    <w:basedOn w:val="EntInstitChar"/>
    <w:link w:val="TechnicalBlockBase"/>
    <w:rsid w:val="0039681A"/>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39681A"/>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39681A"/>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39681A"/>
    <w:pPr>
      <w:tabs>
        <w:tab w:val="left" w:pos="2262"/>
      </w:tabs>
    </w:pPr>
    <w:rPr>
      <w:i/>
      <w:iCs/>
      <w:szCs w:val="23"/>
    </w:rPr>
  </w:style>
  <w:style w:type="paragraph" w:customStyle="1" w:styleId="TBEntACP">
    <w:name w:val="TBEntACP"/>
    <w:basedOn w:val="TechnicalBlockBase"/>
    <w:rsid w:val="0039681A"/>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39681A"/>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39681A"/>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39681A"/>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39681A"/>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9681A"/>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39681A"/>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39681A"/>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39681A"/>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39681A"/>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39681A"/>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39681A"/>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39681A"/>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39681A"/>
    <w:pPr>
      <w:widowControl/>
      <w:spacing w:before="40" w:after="40" w:line="240" w:lineRule="auto"/>
      <w:ind w:left="0" w:right="0"/>
    </w:pPr>
    <w:rPr>
      <w:rFonts w:ascii="Arial" w:hAnsi="Arial"/>
      <w:b w:val="0"/>
      <w:i w:val="0"/>
      <w:dstrike w:val="0"/>
      <w:color w:val="auto"/>
      <w:w w:val="100"/>
      <w:sz w:val="23"/>
      <w:u w:val="none"/>
    </w:rPr>
  </w:style>
  <w:style w:type="character" w:customStyle="1" w:styleId="Hyperlink1">
    <w:name w:val="Hyperlink1"/>
    <w:basedOn w:val="DefaultParagraphFont"/>
    <w:uiPriority w:val="99"/>
    <w:unhideWhenUsed/>
    <w:rsid w:val="0039681A"/>
    <w:rPr>
      <w:color w:val="467886"/>
      <w:u w:val="single"/>
    </w:rPr>
  </w:style>
  <w:style w:type="character" w:customStyle="1" w:styleId="FollowedHyperlink1">
    <w:name w:val="FollowedHyperlink1"/>
    <w:basedOn w:val="DefaultParagraphFont"/>
    <w:uiPriority w:val="99"/>
    <w:semiHidden/>
    <w:unhideWhenUsed/>
    <w:rsid w:val="0039681A"/>
    <w:rPr>
      <w:color w:val="96607D"/>
      <w:u w:val="single"/>
    </w:rPr>
  </w:style>
  <w:style w:type="paragraph" w:customStyle="1" w:styleId="Text1">
    <w:name w:val="Text 1"/>
    <w:basedOn w:val="Normal"/>
    <w:rsid w:val="0039681A"/>
    <w:pPr>
      <w:spacing w:before="120" w:after="120" w:line="240" w:lineRule="auto"/>
      <w:ind w:left="850"/>
      <w:jc w:val="both"/>
    </w:pPr>
    <w:rPr>
      <w:rFonts w:ascii="Times New Roman" w:eastAsia="Times New Roman" w:hAnsi="Times New Roman" w:cs="Times New Roman"/>
      <w:kern w:val="0"/>
      <w:sz w:val="24"/>
      <w:szCs w:val="24"/>
      <w:lang w:val="de-DE" w:eastAsia="en-GB"/>
    </w:rPr>
  </w:style>
  <w:style w:type="paragraph" w:customStyle="1" w:styleId="msonormal0">
    <w:name w:val="msonormal"/>
    <w:basedOn w:val="Normal"/>
    <w:uiPriority w:val="99"/>
    <w:rsid w:val="0039681A"/>
    <w:pPr>
      <w:spacing w:before="100" w:beforeAutospacing="1" w:after="100" w:afterAutospacing="1" w:line="240" w:lineRule="auto"/>
    </w:pPr>
    <w:rPr>
      <w:rFonts w:ascii="Times New Roman" w:eastAsia="Times New Roman" w:hAnsi="Times New Roman" w:cs="Times New Roman"/>
      <w:kern w:val="0"/>
      <w:sz w:val="24"/>
      <w:szCs w:val="24"/>
      <w:lang w:val="de-DE" w:eastAsia="en-GB"/>
    </w:rPr>
  </w:style>
  <w:style w:type="paragraph" w:styleId="NormalWeb">
    <w:name w:val="Normal (Web)"/>
    <w:basedOn w:val="Normal"/>
    <w:uiPriority w:val="99"/>
    <w:unhideWhenUsed/>
    <w:rsid w:val="0039681A"/>
    <w:pPr>
      <w:spacing w:before="100" w:beforeAutospacing="1" w:after="100" w:afterAutospacing="1" w:line="240" w:lineRule="auto"/>
    </w:pPr>
    <w:rPr>
      <w:rFonts w:ascii="Times New Roman" w:eastAsia="Times New Roman" w:hAnsi="Times New Roman" w:cs="Times New Roman"/>
      <w:kern w:val="0"/>
      <w:sz w:val="24"/>
      <w:szCs w:val="24"/>
      <w:lang w:val="de-DE" w:eastAsia="en-GB"/>
    </w:rPr>
  </w:style>
  <w:style w:type="paragraph" w:styleId="TOC1">
    <w:name w:val="toc 1"/>
    <w:basedOn w:val="Normal"/>
    <w:next w:val="Normal"/>
    <w:autoRedefine/>
    <w:uiPriority w:val="39"/>
    <w:semiHidden/>
    <w:unhideWhenUsed/>
    <w:rsid w:val="0039681A"/>
    <w:pPr>
      <w:numPr>
        <w:numId w:val="1"/>
      </w:numPr>
      <w:tabs>
        <w:tab w:val="right" w:leader="dot" w:pos="9071"/>
      </w:tabs>
      <w:spacing w:before="60" w:after="120" w:line="240" w:lineRule="auto"/>
      <w:ind w:left="0" w:firstLine="0"/>
    </w:pPr>
    <w:rPr>
      <w:rFonts w:ascii="Times New Roman" w:eastAsia="Times New Roman" w:hAnsi="Times New Roman" w:cs="Times New Roman"/>
      <w:kern w:val="0"/>
      <w:sz w:val="24"/>
      <w:szCs w:val="24"/>
      <w:lang w:val="de-DE" w:eastAsia="en-GB"/>
    </w:rPr>
  </w:style>
  <w:style w:type="paragraph" w:styleId="TOC2">
    <w:name w:val="toc 2"/>
    <w:basedOn w:val="Normal"/>
    <w:next w:val="Normal"/>
    <w:autoRedefine/>
    <w:uiPriority w:val="39"/>
    <w:semiHidden/>
    <w:unhideWhenUsed/>
    <w:rsid w:val="0039681A"/>
    <w:pPr>
      <w:tabs>
        <w:tab w:val="right" w:leader="dot" w:pos="9071"/>
      </w:tabs>
      <w:spacing w:before="60" w:after="120" w:line="240" w:lineRule="auto"/>
      <w:ind w:left="850" w:hanging="850"/>
    </w:pPr>
    <w:rPr>
      <w:rFonts w:ascii="Times New Roman" w:eastAsia="Times New Roman" w:hAnsi="Times New Roman" w:cs="Times New Roman"/>
      <w:kern w:val="0"/>
      <w:sz w:val="24"/>
      <w:szCs w:val="24"/>
      <w:lang w:val="de-DE" w:eastAsia="en-GB"/>
    </w:rPr>
  </w:style>
  <w:style w:type="paragraph" w:styleId="TOC3">
    <w:name w:val="toc 3"/>
    <w:basedOn w:val="Normal"/>
    <w:next w:val="Normal"/>
    <w:autoRedefine/>
    <w:uiPriority w:val="39"/>
    <w:semiHidden/>
    <w:unhideWhenUsed/>
    <w:rsid w:val="0039681A"/>
    <w:pPr>
      <w:tabs>
        <w:tab w:val="right" w:leader="dot" w:pos="9071"/>
      </w:tabs>
      <w:spacing w:before="60" w:after="120" w:line="240" w:lineRule="auto"/>
      <w:ind w:left="850" w:hanging="850"/>
    </w:pPr>
    <w:rPr>
      <w:rFonts w:ascii="Times New Roman" w:eastAsia="Times New Roman" w:hAnsi="Times New Roman" w:cs="Times New Roman"/>
      <w:kern w:val="0"/>
      <w:sz w:val="24"/>
      <w:szCs w:val="24"/>
      <w:lang w:val="de-DE" w:eastAsia="en-GB"/>
    </w:rPr>
  </w:style>
  <w:style w:type="paragraph" w:styleId="TOC4">
    <w:name w:val="toc 4"/>
    <w:basedOn w:val="Normal"/>
    <w:next w:val="Normal"/>
    <w:autoRedefine/>
    <w:uiPriority w:val="39"/>
    <w:semiHidden/>
    <w:unhideWhenUsed/>
    <w:rsid w:val="0039681A"/>
    <w:pPr>
      <w:tabs>
        <w:tab w:val="right" w:leader="dot" w:pos="9071"/>
      </w:tabs>
      <w:spacing w:before="60" w:after="120" w:line="240" w:lineRule="auto"/>
      <w:ind w:left="850" w:hanging="850"/>
    </w:pPr>
    <w:rPr>
      <w:rFonts w:ascii="Times New Roman" w:eastAsia="Times New Roman" w:hAnsi="Times New Roman" w:cs="Times New Roman"/>
      <w:kern w:val="0"/>
      <w:sz w:val="24"/>
      <w:szCs w:val="24"/>
      <w:lang w:val="de-DE" w:eastAsia="en-GB"/>
    </w:rPr>
  </w:style>
  <w:style w:type="paragraph" w:styleId="TOC5">
    <w:name w:val="toc 5"/>
    <w:basedOn w:val="Normal"/>
    <w:next w:val="Normal"/>
    <w:autoRedefine/>
    <w:uiPriority w:val="39"/>
    <w:semiHidden/>
    <w:unhideWhenUsed/>
    <w:rsid w:val="0039681A"/>
    <w:pPr>
      <w:tabs>
        <w:tab w:val="right" w:leader="dot" w:pos="9071"/>
      </w:tabs>
      <w:spacing w:before="300" w:after="120" w:line="240" w:lineRule="auto"/>
    </w:pPr>
    <w:rPr>
      <w:rFonts w:ascii="Times New Roman" w:eastAsia="Times New Roman" w:hAnsi="Times New Roman" w:cs="Times New Roman"/>
      <w:kern w:val="0"/>
      <w:sz w:val="24"/>
      <w:szCs w:val="24"/>
      <w:lang w:val="de-DE" w:eastAsia="en-GB"/>
    </w:rPr>
  </w:style>
  <w:style w:type="paragraph" w:styleId="TOC6">
    <w:name w:val="toc 6"/>
    <w:basedOn w:val="Normal"/>
    <w:next w:val="Normal"/>
    <w:autoRedefine/>
    <w:uiPriority w:val="39"/>
    <w:semiHidden/>
    <w:unhideWhenUsed/>
    <w:rsid w:val="0039681A"/>
    <w:pPr>
      <w:tabs>
        <w:tab w:val="right" w:leader="dot" w:pos="9071"/>
      </w:tabs>
      <w:spacing w:before="240" w:after="120" w:line="240" w:lineRule="auto"/>
    </w:pPr>
    <w:rPr>
      <w:rFonts w:ascii="Times New Roman" w:eastAsia="Times New Roman" w:hAnsi="Times New Roman" w:cs="Times New Roman"/>
      <w:kern w:val="0"/>
      <w:sz w:val="24"/>
      <w:szCs w:val="24"/>
      <w:lang w:val="de-DE" w:eastAsia="en-GB"/>
    </w:rPr>
  </w:style>
  <w:style w:type="paragraph" w:styleId="TOC7">
    <w:name w:val="toc 7"/>
    <w:basedOn w:val="Normal"/>
    <w:next w:val="Normal"/>
    <w:autoRedefine/>
    <w:uiPriority w:val="39"/>
    <w:semiHidden/>
    <w:unhideWhenUsed/>
    <w:rsid w:val="0039681A"/>
    <w:pPr>
      <w:tabs>
        <w:tab w:val="right" w:leader="dot" w:pos="9071"/>
      </w:tabs>
      <w:spacing w:before="180" w:after="120" w:line="240" w:lineRule="auto"/>
    </w:pPr>
    <w:rPr>
      <w:rFonts w:ascii="Times New Roman" w:eastAsia="Times New Roman" w:hAnsi="Times New Roman" w:cs="Times New Roman"/>
      <w:kern w:val="0"/>
      <w:sz w:val="24"/>
      <w:szCs w:val="24"/>
      <w:lang w:val="de-DE" w:eastAsia="en-GB"/>
    </w:rPr>
  </w:style>
  <w:style w:type="paragraph" w:styleId="TOC8">
    <w:name w:val="toc 8"/>
    <w:basedOn w:val="Normal"/>
    <w:next w:val="Normal"/>
    <w:autoRedefine/>
    <w:uiPriority w:val="39"/>
    <w:semiHidden/>
    <w:unhideWhenUsed/>
    <w:rsid w:val="0039681A"/>
    <w:pPr>
      <w:tabs>
        <w:tab w:val="right" w:leader="dot" w:pos="9071"/>
      </w:tabs>
      <w:spacing w:before="120" w:after="120" w:line="240" w:lineRule="auto"/>
    </w:pPr>
    <w:rPr>
      <w:rFonts w:ascii="Times New Roman" w:eastAsia="Times New Roman" w:hAnsi="Times New Roman" w:cs="Times New Roman"/>
      <w:kern w:val="0"/>
      <w:sz w:val="24"/>
      <w:szCs w:val="24"/>
      <w:lang w:val="de-DE" w:eastAsia="en-GB"/>
    </w:rPr>
  </w:style>
  <w:style w:type="paragraph" w:styleId="TOC9">
    <w:name w:val="toc 9"/>
    <w:basedOn w:val="Normal"/>
    <w:next w:val="Normal"/>
    <w:autoRedefine/>
    <w:uiPriority w:val="39"/>
    <w:semiHidden/>
    <w:unhideWhenUsed/>
    <w:rsid w:val="0039681A"/>
    <w:pPr>
      <w:tabs>
        <w:tab w:val="right" w:leader="dot" w:pos="9071"/>
      </w:tabs>
      <w:spacing w:before="120" w:after="120" w:line="240" w:lineRule="auto"/>
      <w:jc w:val="both"/>
    </w:pPr>
    <w:rPr>
      <w:rFonts w:ascii="Times New Roman" w:eastAsia="Times New Roman" w:hAnsi="Times New Roman" w:cs="Times New Roman"/>
      <w:kern w:val="0"/>
      <w:sz w:val="24"/>
      <w:szCs w:val="24"/>
      <w:lang w:val="de-DE" w:eastAsia="en-GB"/>
    </w:rPr>
  </w:style>
  <w:style w:type="character" w:customStyle="1" w:styleId="FootnoteTextChar">
    <w:name w:val="Footnote Text Char"/>
    <w:aliases w:val="Schriftart: 9 pt Char,Schriftart: 10 pt Char,Schriftart: 8 pt Char,WB-Fußnotentext Char,FoodNote Char,ft Char,Footnote text Char,Footnote Char,Footnote Text Char Char Char,Footnote Text Char1 Char Char Char,fn Char1,f Char1,Char Char1"/>
    <w:basedOn w:val="DefaultParagraphFont"/>
    <w:link w:val="FootnoteText"/>
    <w:uiPriority w:val="99"/>
    <w:locked/>
    <w:rsid w:val="0039681A"/>
    <w:rPr>
      <w:rFonts w:ascii="Times New Roman" w:eastAsia="Times New Roman" w:hAnsi="Times New Roman" w:cs="Times New Roman"/>
      <w:sz w:val="20"/>
      <w:szCs w:val="20"/>
      <w:lang w:eastAsia="en-GB"/>
    </w:rPr>
  </w:style>
  <w:style w:type="paragraph" w:styleId="FootnoteText">
    <w:name w:val="footnote text"/>
    <w:aliases w:val="Schriftart: 9 pt,Schriftart: 10 pt,Schriftart: 8 pt,WB-Fußnotentext,FoodNote,ft,Footnote text,Footnote,Footnote Text Char Char,Footnote Text Char1 Char Char,Footnote Text Char Char Char Char,fn,f,Char,Voetnoottekst Char"/>
    <w:basedOn w:val="Normal"/>
    <w:link w:val="FootnoteTextChar"/>
    <w:uiPriority w:val="99"/>
    <w:unhideWhenUsed/>
    <w:rsid w:val="0039681A"/>
    <w:pPr>
      <w:spacing w:after="0" w:line="240" w:lineRule="auto"/>
      <w:ind w:left="720" w:hanging="720"/>
      <w:jc w:val="both"/>
    </w:pPr>
    <w:rPr>
      <w:rFonts w:ascii="Times New Roman" w:eastAsia="Times New Roman" w:hAnsi="Times New Roman" w:cs="Times New Roman"/>
      <w:sz w:val="20"/>
      <w:szCs w:val="20"/>
      <w:lang w:eastAsia="en-GB"/>
    </w:rPr>
  </w:style>
  <w:style w:type="character" w:customStyle="1" w:styleId="FootnoteTextChar1">
    <w:name w:val="Footnote Text Char1"/>
    <w:basedOn w:val="DefaultParagraphFont"/>
    <w:uiPriority w:val="99"/>
    <w:semiHidden/>
    <w:rsid w:val="0039681A"/>
    <w:rPr>
      <w:sz w:val="20"/>
      <w:szCs w:val="20"/>
    </w:rPr>
  </w:style>
  <w:style w:type="character" w:customStyle="1" w:styleId="FootnoteTextChar2">
    <w:name w:val="Footnote Text Char2"/>
    <w:aliases w:val="Schriftart: 9 pt Char1,Schriftart: 10 pt Char1,Schriftart: 8 pt Char1,WB-Fußnotentext Char1,FoodNote Char1,ft Char1,Footnote text Char1,Footnote Char1,Footnote Text Char1 Char1,Footnote Text Char Char Char1,fn Char,f Char,Char Char"/>
    <w:basedOn w:val="DefaultParagraphFont"/>
    <w:uiPriority w:val="99"/>
    <w:semiHidden/>
    <w:rsid w:val="0039681A"/>
    <w:rPr>
      <w:rFonts w:ascii="Times New Roman" w:eastAsia="Times New Roman" w:hAnsi="Times New Roman" w:cs="Times New Roman"/>
      <w:sz w:val="20"/>
      <w:szCs w:val="20"/>
      <w:lang w:eastAsia="en-GB"/>
    </w:rPr>
  </w:style>
  <w:style w:type="paragraph" w:styleId="CommentText">
    <w:name w:val="annotation text"/>
    <w:basedOn w:val="Normal"/>
    <w:link w:val="CommentTextChar"/>
    <w:uiPriority w:val="99"/>
    <w:unhideWhenUsed/>
    <w:rsid w:val="0039681A"/>
    <w:pPr>
      <w:spacing w:before="120" w:after="120" w:line="240" w:lineRule="auto"/>
      <w:jc w:val="both"/>
    </w:pPr>
    <w:rPr>
      <w:rFonts w:ascii="Times New Roman" w:eastAsia="Times New Roman" w:hAnsi="Times New Roman" w:cs="Times New Roman"/>
      <w:kern w:val="0"/>
      <w:sz w:val="20"/>
      <w:szCs w:val="20"/>
      <w:lang w:val="de-DE" w:eastAsia="en-GB"/>
    </w:rPr>
  </w:style>
  <w:style w:type="character" w:customStyle="1" w:styleId="CommentTextChar">
    <w:name w:val="Comment Text Char"/>
    <w:basedOn w:val="DefaultParagraphFont"/>
    <w:link w:val="CommentText"/>
    <w:uiPriority w:val="99"/>
    <w:rsid w:val="0039681A"/>
    <w:rPr>
      <w:rFonts w:ascii="Times New Roman" w:eastAsia="Times New Roman" w:hAnsi="Times New Roman" w:cs="Times New Roman"/>
      <w:kern w:val="0"/>
      <w:sz w:val="20"/>
      <w:szCs w:val="20"/>
      <w:lang w:val="de-DE" w:eastAsia="en-GB"/>
    </w:rPr>
  </w:style>
  <w:style w:type="paragraph" w:styleId="Header">
    <w:name w:val="header"/>
    <w:basedOn w:val="Normal"/>
    <w:link w:val="HeaderChar"/>
    <w:uiPriority w:val="99"/>
    <w:unhideWhenUsed/>
    <w:rsid w:val="0039681A"/>
    <w:pPr>
      <w:tabs>
        <w:tab w:val="center" w:pos="4535"/>
        <w:tab w:val="right" w:pos="9071"/>
      </w:tabs>
      <w:spacing w:after="120" w:line="240" w:lineRule="auto"/>
      <w:jc w:val="both"/>
    </w:pPr>
    <w:rPr>
      <w:rFonts w:ascii="Times New Roman" w:eastAsia="Times New Roman" w:hAnsi="Times New Roman" w:cs="Times New Roman"/>
      <w:kern w:val="0"/>
      <w:sz w:val="24"/>
      <w:szCs w:val="24"/>
      <w:lang w:val="de-DE" w:eastAsia="en-GB"/>
    </w:rPr>
  </w:style>
  <w:style w:type="character" w:customStyle="1" w:styleId="HeaderChar">
    <w:name w:val="Header Char"/>
    <w:basedOn w:val="DefaultParagraphFont"/>
    <w:link w:val="Header"/>
    <w:uiPriority w:val="99"/>
    <w:rsid w:val="0039681A"/>
    <w:rPr>
      <w:rFonts w:ascii="Times New Roman" w:eastAsia="Times New Roman" w:hAnsi="Times New Roman" w:cs="Times New Roman"/>
      <w:kern w:val="0"/>
      <w:sz w:val="24"/>
      <w:szCs w:val="24"/>
      <w:lang w:val="de-DE" w:eastAsia="en-GB"/>
    </w:rPr>
  </w:style>
  <w:style w:type="paragraph" w:styleId="Footer">
    <w:name w:val="footer"/>
    <w:basedOn w:val="Normal"/>
    <w:link w:val="FooterChar"/>
    <w:uiPriority w:val="99"/>
    <w:unhideWhenUsed/>
    <w:rsid w:val="0039681A"/>
    <w:pPr>
      <w:tabs>
        <w:tab w:val="center" w:pos="4535"/>
        <w:tab w:val="right" w:pos="9071"/>
        <w:tab w:val="right" w:pos="9921"/>
      </w:tabs>
      <w:spacing w:before="360" w:after="0" w:line="240" w:lineRule="auto"/>
      <w:ind w:left="-850" w:right="-850"/>
    </w:pPr>
    <w:rPr>
      <w:rFonts w:ascii="Times New Roman" w:eastAsia="Times New Roman" w:hAnsi="Times New Roman" w:cs="Times New Roman"/>
      <w:kern w:val="0"/>
      <w:sz w:val="24"/>
      <w:szCs w:val="24"/>
      <w:lang w:val="de-DE" w:eastAsia="en-GB"/>
    </w:rPr>
  </w:style>
  <w:style w:type="character" w:customStyle="1" w:styleId="FooterChar">
    <w:name w:val="Footer Char"/>
    <w:basedOn w:val="DefaultParagraphFont"/>
    <w:link w:val="Footer"/>
    <w:uiPriority w:val="99"/>
    <w:rsid w:val="0039681A"/>
    <w:rPr>
      <w:rFonts w:ascii="Times New Roman" w:eastAsia="Times New Roman" w:hAnsi="Times New Roman" w:cs="Times New Roman"/>
      <w:kern w:val="0"/>
      <w:sz w:val="24"/>
      <w:szCs w:val="24"/>
      <w:lang w:val="de-DE" w:eastAsia="en-GB"/>
    </w:rPr>
  </w:style>
  <w:style w:type="paragraph" w:customStyle="1" w:styleId="Caption1">
    <w:name w:val="Caption1"/>
    <w:basedOn w:val="Normal"/>
    <w:next w:val="Normal"/>
    <w:uiPriority w:val="35"/>
    <w:semiHidden/>
    <w:unhideWhenUsed/>
    <w:qFormat/>
    <w:rsid w:val="0039681A"/>
    <w:pPr>
      <w:spacing w:after="200" w:line="240" w:lineRule="auto"/>
      <w:jc w:val="both"/>
    </w:pPr>
    <w:rPr>
      <w:rFonts w:ascii="Times New Roman" w:hAnsi="Times New Roman" w:cs="Times New Roman"/>
      <w:i/>
      <w:iCs/>
      <w:color w:val="0E2841"/>
      <w:kern w:val="0"/>
      <w:sz w:val="18"/>
      <w:szCs w:val="18"/>
      <w:lang w:val="de-DE"/>
    </w:rPr>
  </w:style>
  <w:style w:type="paragraph" w:customStyle="1" w:styleId="TableofFigures1">
    <w:name w:val="Table of Figures1"/>
    <w:basedOn w:val="Normal"/>
    <w:next w:val="Normal"/>
    <w:uiPriority w:val="99"/>
    <w:semiHidden/>
    <w:unhideWhenUsed/>
    <w:rsid w:val="0039681A"/>
    <w:pPr>
      <w:spacing w:before="120" w:after="0" w:line="240" w:lineRule="auto"/>
      <w:jc w:val="both"/>
    </w:pPr>
    <w:rPr>
      <w:rFonts w:ascii="Times New Roman" w:hAnsi="Times New Roman" w:cs="Times New Roman"/>
      <w:kern w:val="0"/>
      <w:sz w:val="24"/>
      <w:lang w:val="de-DE"/>
    </w:rPr>
  </w:style>
  <w:style w:type="paragraph" w:styleId="ListBullet">
    <w:name w:val="List Bullet"/>
    <w:basedOn w:val="Normal"/>
    <w:uiPriority w:val="99"/>
    <w:semiHidden/>
    <w:unhideWhenUsed/>
    <w:rsid w:val="0039681A"/>
    <w:pPr>
      <w:numPr>
        <w:numId w:val="2"/>
      </w:numPr>
      <w:tabs>
        <w:tab w:val="clear" w:pos="360"/>
        <w:tab w:val="num" w:pos="850"/>
      </w:tabs>
      <w:spacing w:before="120" w:after="120" w:line="240" w:lineRule="auto"/>
      <w:ind w:left="0" w:firstLine="0"/>
      <w:contextualSpacing/>
      <w:jc w:val="both"/>
    </w:pPr>
    <w:rPr>
      <w:rFonts w:ascii="Times New Roman" w:eastAsia="Times New Roman" w:hAnsi="Times New Roman" w:cs="Times New Roman"/>
      <w:kern w:val="0"/>
      <w:sz w:val="24"/>
      <w:szCs w:val="24"/>
      <w:lang w:val="de-DE" w:eastAsia="en-GB"/>
    </w:rPr>
  </w:style>
  <w:style w:type="paragraph" w:customStyle="1" w:styleId="ListNumber1">
    <w:name w:val="List Number1"/>
    <w:basedOn w:val="Normal"/>
    <w:next w:val="ListNumber"/>
    <w:uiPriority w:val="99"/>
    <w:semiHidden/>
    <w:unhideWhenUsed/>
    <w:rsid w:val="0039681A"/>
    <w:pPr>
      <w:numPr>
        <w:numId w:val="3"/>
      </w:numPr>
      <w:tabs>
        <w:tab w:val="clear" w:pos="360"/>
      </w:tabs>
      <w:spacing w:before="120" w:after="120" w:line="240" w:lineRule="auto"/>
      <w:ind w:left="0" w:firstLine="0"/>
      <w:contextualSpacing/>
      <w:jc w:val="both"/>
    </w:pPr>
    <w:rPr>
      <w:rFonts w:ascii="Times New Roman" w:hAnsi="Times New Roman" w:cs="Times New Roman"/>
      <w:kern w:val="0"/>
      <w:sz w:val="24"/>
      <w:lang w:val="de-DE"/>
    </w:rPr>
  </w:style>
  <w:style w:type="paragraph" w:styleId="ListBullet2">
    <w:name w:val="List Bullet 2"/>
    <w:basedOn w:val="Normal"/>
    <w:uiPriority w:val="99"/>
    <w:semiHidden/>
    <w:unhideWhenUsed/>
    <w:rsid w:val="0039681A"/>
    <w:pPr>
      <w:tabs>
        <w:tab w:val="num" w:pos="643"/>
      </w:tabs>
      <w:spacing w:before="120" w:after="120" w:line="240" w:lineRule="auto"/>
      <w:ind w:left="643" w:hanging="360"/>
      <w:contextualSpacing/>
      <w:jc w:val="both"/>
    </w:pPr>
    <w:rPr>
      <w:rFonts w:ascii="Times New Roman" w:eastAsia="Times New Roman" w:hAnsi="Times New Roman" w:cs="Times New Roman"/>
      <w:kern w:val="0"/>
      <w:sz w:val="24"/>
      <w:szCs w:val="24"/>
      <w:lang w:val="de-DE" w:eastAsia="en-GB"/>
    </w:rPr>
  </w:style>
  <w:style w:type="paragraph" w:styleId="ListBullet3">
    <w:name w:val="List Bullet 3"/>
    <w:basedOn w:val="Normal"/>
    <w:uiPriority w:val="99"/>
    <w:semiHidden/>
    <w:unhideWhenUsed/>
    <w:rsid w:val="0039681A"/>
    <w:pPr>
      <w:tabs>
        <w:tab w:val="num" w:pos="926"/>
      </w:tabs>
      <w:spacing w:before="120" w:after="120" w:line="240" w:lineRule="auto"/>
      <w:ind w:left="926" w:hanging="360"/>
      <w:contextualSpacing/>
      <w:jc w:val="both"/>
    </w:pPr>
    <w:rPr>
      <w:rFonts w:ascii="Times New Roman" w:eastAsia="Times New Roman" w:hAnsi="Times New Roman" w:cs="Times New Roman"/>
      <w:kern w:val="0"/>
      <w:sz w:val="24"/>
      <w:szCs w:val="24"/>
      <w:lang w:val="de-DE" w:eastAsia="en-GB"/>
    </w:rPr>
  </w:style>
  <w:style w:type="paragraph" w:styleId="ListBullet4">
    <w:name w:val="List Bullet 4"/>
    <w:basedOn w:val="Normal"/>
    <w:uiPriority w:val="99"/>
    <w:semiHidden/>
    <w:unhideWhenUsed/>
    <w:rsid w:val="0039681A"/>
    <w:pPr>
      <w:tabs>
        <w:tab w:val="num" w:pos="3118"/>
      </w:tabs>
      <w:spacing w:before="120" w:after="120" w:line="240" w:lineRule="auto"/>
      <w:ind w:left="3118" w:hanging="567"/>
      <w:contextualSpacing/>
      <w:jc w:val="both"/>
    </w:pPr>
    <w:rPr>
      <w:rFonts w:ascii="Times New Roman" w:eastAsia="Times New Roman" w:hAnsi="Times New Roman" w:cs="Times New Roman"/>
      <w:kern w:val="0"/>
      <w:sz w:val="24"/>
      <w:szCs w:val="24"/>
      <w:lang w:val="de-DE" w:eastAsia="en-GB"/>
    </w:rPr>
  </w:style>
  <w:style w:type="paragraph" w:customStyle="1" w:styleId="ListNumber21">
    <w:name w:val="List Number 21"/>
    <w:basedOn w:val="Normal"/>
    <w:next w:val="ListNumber2"/>
    <w:uiPriority w:val="99"/>
    <w:semiHidden/>
    <w:unhideWhenUsed/>
    <w:rsid w:val="0039681A"/>
    <w:pPr>
      <w:numPr>
        <w:numId w:val="4"/>
      </w:numPr>
      <w:tabs>
        <w:tab w:val="clear" w:pos="643"/>
        <w:tab w:val="num" w:pos="360"/>
      </w:tabs>
      <w:spacing w:before="120" w:after="120" w:line="240" w:lineRule="auto"/>
      <w:ind w:left="0" w:firstLine="0"/>
      <w:contextualSpacing/>
      <w:jc w:val="both"/>
    </w:pPr>
    <w:rPr>
      <w:rFonts w:ascii="Times New Roman" w:hAnsi="Times New Roman" w:cs="Times New Roman"/>
      <w:kern w:val="0"/>
      <w:sz w:val="24"/>
      <w:lang w:val="de-DE"/>
    </w:rPr>
  </w:style>
  <w:style w:type="paragraph" w:customStyle="1" w:styleId="ListNumber31">
    <w:name w:val="List Number 31"/>
    <w:basedOn w:val="Normal"/>
    <w:next w:val="ListNumber3"/>
    <w:uiPriority w:val="99"/>
    <w:semiHidden/>
    <w:unhideWhenUsed/>
    <w:rsid w:val="0039681A"/>
    <w:pPr>
      <w:numPr>
        <w:numId w:val="5"/>
      </w:numPr>
      <w:tabs>
        <w:tab w:val="clear" w:pos="926"/>
      </w:tabs>
      <w:spacing w:before="120" w:after="120" w:line="240" w:lineRule="auto"/>
      <w:ind w:left="0" w:firstLine="0"/>
      <w:contextualSpacing/>
      <w:jc w:val="both"/>
    </w:pPr>
    <w:rPr>
      <w:rFonts w:ascii="Times New Roman" w:hAnsi="Times New Roman" w:cs="Times New Roman"/>
      <w:kern w:val="0"/>
      <w:sz w:val="24"/>
      <w:lang w:val="de-DE"/>
    </w:rPr>
  </w:style>
  <w:style w:type="paragraph" w:customStyle="1" w:styleId="ListNumber41">
    <w:name w:val="List Number 41"/>
    <w:basedOn w:val="Normal"/>
    <w:next w:val="ListNumber4"/>
    <w:uiPriority w:val="99"/>
    <w:semiHidden/>
    <w:unhideWhenUsed/>
    <w:rsid w:val="0039681A"/>
    <w:pPr>
      <w:numPr>
        <w:numId w:val="6"/>
      </w:numPr>
      <w:tabs>
        <w:tab w:val="clear" w:pos="1056"/>
        <w:tab w:val="num" w:pos="360"/>
      </w:tabs>
      <w:spacing w:before="120" w:after="120" w:line="240" w:lineRule="auto"/>
      <w:ind w:left="0" w:firstLine="0"/>
      <w:contextualSpacing/>
      <w:jc w:val="both"/>
    </w:pPr>
    <w:rPr>
      <w:rFonts w:ascii="Times New Roman" w:hAnsi="Times New Roman" w:cs="Times New Roman"/>
      <w:kern w:val="0"/>
      <w:sz w:val="24"/>
      <w:lang w:val="de-DE"/>
    </w:rPr>
  </w:style>
  <w:style w:type="paragraph" w:styleId="CommentSubject">
    <w:name w:val="annotation subject"/>
    <w:basedOn w:val="CommentText"/>
    <w:next w:val="CommentText"/>
    <w:link w:val="CommentSubjectChar"/>
    <w:uiPriority w:val="99"/>
    <w:semiHidden/>
    <w:unhideWhenUsed/>
    <w:rsid w:val="0039681A"/>
    <w:rPr>
      <w:b/>
      <w:bCs/>
    </w:rPr>
  </w:style>
  <w:style w:type="character" w:customStyle="1" w:styleId="CommentSubjectChar">
    <w:name w:val="Comment Subject Char"/>
    <w:basedOn w:val="CommentTextChar"/>
    <w:link w:val="CommentSubject"/>
    <w:uiPriority w:val="99"/>
    <w:semiHidden/>
    <w:rsid w:val="0039681A"/>
    <w:rPr>
      <w:rFonts w:ascii="Times New Roman" w:eastAsia="Times New Roman" w:hAnsi="Times New Roman" w:cs="Times New Roman"/>
      <w:b/>
      <w:bCs/>
      <w:kern w:val="0"/>
      <w:sz w:val="20"/>
      <w:szCs w:val="20"/>
      <w:lang w:val="de-DE" w:eastAsia="en-GB"/>
    </w:rPr>
  </w:style>
  <w:style w:type="paragraph" w:styleId="BalloonText">
    <w:name w:val="Balloon Text"/>
    <w:basedOn w:val="Normal"/>
    <w:link w:val="BalloonTextChar"/>
    <w:uiPriority w:val="99"/>
    <w:semiHidden/>
    <w:unhideWhenUsed/>
    <w:rsid w:val="0039681A"/>
    <w:pPr>
      <w:spacing w:after="0" w:line="240" w:lineRule="auto"/>
      <w:jc w:val="both"/>
    </w:pPr>
    <w:rPr>
      <w:rFonts w:ascii="Segoe UI" w:eastAsia="Times New Roman" w:hAnsi="Segoe UI" w:cs="Segoe UI"/>
      <w:kern w:val="0"/>
      <w:sz w:val="18"/>
      <w:szCs w:val="18"/>
      <w:lang w:val="de-DE" w:eastAsia="en-GB"/>
    </w:rPr>
  </w:style>
  <w:style w:type="character" w:customStyle="1" w:styleId="BalloonTextChar">
    <w:name w:val="Balloon Text Char"/>
    <w:basedOn w:val="DefaultParagraphFont"/>
    <w:link w:val="BalloonText"/>
    <w:uiPriority w:val="99"/>
    <w:semiHidden/>
    <w:rsid w:val="0039681A"/>
    <w:rPr>
      <w:rFonts w:ascii="Segoe UI" w:eastAsia="Times New Roman" w:hAnsi="Segoe UI" w:cs="Segoe UI"/>
      <w:kern w:val="0"/>
      <w:sz w:val="18"/>
      <w:szCs w:val="18"/>
      <w:lang w:val="de-DE" w:eastAsia="en-GB"/>
    </w:rPr>
  </w:style>
  <w:style w:type="paragraph" w:customStyle="1" w:styleId="Revision1">
    <w:name w:val="Revision1"/>
    <w:next w:val="Revision"/>
    <w:uiPriority w:val="99"/>
    <w:semiHidden/>
    <w:rsid w:val="0039681A"/>
    <w:pPr>
      <w:spacing w:after="0" w:line="240" w:lineRule="auto"/>
    </w:pPr>
    <w:rPr>
      <w:rFonts w:ascii="Times New Roman" w:hAnsi="Times New Roman" w:cs="Times New Roman"/>
      <w:kern w:val="0"/>
      <w:sz w:val="24"/>
      <w:lang w:val="de-DE"/>
    </w:rPr>
  </w:style>
  <w:style w:type="character" w:customStyle="1" w:styleId="ListParagraphChar">
    <w:name w:val="List Paragraph Char"/>
    <w:aliases w:val="numbered list Char,2 Char,OBC Bullet Char,Normal 1 Char,Task Body Char,Viñetas (Inicio Parrafo) Char,3 Txt tabla Char,Zerrenda-paragrafoa Char,Fiche List Paragraph Char,Dot pt Char,F5 List Paragraph Char,List Paragraph1 Char,L Char"/>
    <w:basedOn w:val="DefaultParagraphFont"/>
    <w:link w:val="ListParagraph"/>
    <w:uiPriority w:val="34"/>
    <w:qFormat/>
    <w:locked/>
    <w:rsid w:val="0039681A"/>
  </w:style>
  <w:style w:type="paragraph" w:styleId="TOCHeading">
    <w:name w:val="TOC Heading"/>
    <w:basedOn w:val="Normal"/>
    <w:next w:val="Normal"/>
    <w:uiPriority w:val="39"/>
    <w:semiHidden/>
    <w:unhideWhenUsed/>
    <w:qFormat/>
    <w:rsid w:val="0039681A"/>
    <w:pPr>
      <w:spacing w:before="120" w:after="240" w:line="240" w:lineRule="auto"/>
      <w:jc w:val="center"/>
    </w:pPr>
    <w:rPr>
      <w:rFonts w:ascii="Times New Roman" w:eastAsia="Times New Roman" w:hAnsi="Times New Roman" w:cs="Times New Roman"/>
      <w:b/>
      <w:kern w:val="0"/>
      <w:sz w:val="28"/>
      <w:szCs w:val="24"/>
      <w:lang w:val="de-DE" w:eastAsia="en-GB"/>
    </w:rPr>
  </w:style>
  <w:style w:type="paragraph" w:customStyle="1" w:styleId="HeaderLandscape">
    <w:name w:val="HeaderLandscape"/>
    <w:basedOn w:val="Normal"/>
    <w:rsid w:val="0039681A"/>
    <w:pPr>
      <w:tabs>
        <w:tab w:val="center" w:pos="7285"/>
        <w:tab w:val="right" w:pos="14003"/>
      </w:tabs>
      <w:spacing w:after="120" w:line="240" w:lineRule="auto"/>
      <w:jc w:val="both"/>
    </w:pPr>
    <w:rPr>
      <w:rFonts w:ascii="Times New Roman" w:eastAsia="Times New Roman" w:hAnsi="Times New Roman" w:cs="Times New Roman"/>
      <w:kern w:val="0"/>
      <w:sz w:val="24"/>
      <w:szCs w:val="24"/>
      <w:lang w:val="de-DE" w:eastAsia="en-GB"/>
    </w:rPr>
  </w:style>
  <w:style w:type="paragraph" w:customStyle="1" w:styleId="FooterLandscape">
    <w:name w:val="FooterLandscape"/>
    <w:basedOn w:val="Normal"/>
    <w:rsid w:val="0039681A"/>
    <w:pPr>
      <w:tabs>
        <w:tab w:val="center" w:pos="7285"/>
        <w:tab w:val="center" w:pos="10913"/>
        <w:tab w:val="right" w:pos="15137"/>
      </w:tabs>
      <w:spacing w:before="360" w:after="0" w:line="240" w:lineRule="auto"/>
      <w:ind w:left="-567" w:right="-567"/>
    </w:pPr>
    <w:rPr>
      <w:rFonts w:ascii="Times New Roman" w:eastAsia="Times New Roman" w:hAnsi="Times New Roman" w:cs="Times New Roman"/>
      <w:kern w:val="0"/>
      <w:sz w:val="24"/>
      <w:szCs w:val="24"/>
      <w:lang w:val="de-DE" w:eastAsia="en-GB"/>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note T"/>
    <w:basedOn w:val="DefaultParagraphFont"/>
    <w:link w:val="1"/>
    <w:uiPriority w:val="99"/>
    <w:unhideWhenUsed/>
    <w:qFormat/>
    <w:rsid w:val="0039681A"/>
    <w:rPr>
      <w:vertAlign w:val="superscript"/>
    </w:rPr>
  </w:style>
  <w:style w:type="paragraph" w:customStyle="1" w:styleId="1">
    <w:name w:val="1"/>
    <w:basedOn w:val="Normal"/>
    <w:link w:val="FootnoteReference"/>
    <w:uiPriority w:val="99"/>
    <w:rsid w:val="0039681A"/>
    <w:pPr>
      <w:spacing w:line="240" w:lineRule="exact"/>
      <w:jc w:val="both"/>
    </w:pPr>
    <w:rPr>
      <w:vertAlign w:val="superscript"/>
    </w:rPr>
  </w:style>
  <w:style w:type="paragraph" w:customStyle="1" w:styleId="HeaderSensitivity">
    <w:name w:val="Header Sensitivity"/>
    <w:basedOn w:val="Normal"/>
    <w:rsid w:val="0039681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39681A"/>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39681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2">
    <w:name w:val="Text 2"/>
    <w:basedOn w:val="Normal"/>
    <w:rsid w:val="0039681A"/>
    <w:pPr>
      <w:spacing w:before="120" w:after="120" w:line="240" w:lineRule="auto"/>
      <w:ind w:left="1417"/>
      <w:jc w:val="both"/>
    </w:pPr>
    <w:rPr>
      <w:rFonts w:ascii="Times New Roman" w:eastAsia="Times New Roman" w:hAnsi="Times New Roman" w:cs="Times New Roman"/>
      <w:kern w:val="0"/>
      <w:sz w:val="24"/>
      <w:szCs w:val="24"/>
      <w:lang w:val="de-DE" w:eastAsia="en-GB"/>
    </w:rPr>
  </w:style>
  <w:style w:type="paragraph" w:customStyle="1" w:styleId="Text3">
    <w:name w:val="Text 3"/>
    <w:basedOn w:val="Normal"/>
    <w:rsid w:val="0039681A"/>
    <w:pPr>
      <w:spacing w:before="120" w:after="120" w:line="240" w:lineRule="auto"/>
      <w:ind w:left="1984"/>
      <w:jc w:val="both"/>
    </w:pPr>
    <w:rPr>
      <w:rFonts w:ascii="Times New Roman" w:eastAsia="Times New Roman" w:hAnsi="Times New Roman" w:cs="Times New Roman"/>
      <w:kern w:val="0"/>
      <w:sz w:val="24"/>
      <w:szCs w:val="24"/>
      <w:lang w:val="de-DE" w:eastAsia="en-GB"/>
    </w:rPr>
  </w:style>
  <w:style w:type="paragraph" w:customStyle="1" w:styleId="Text4">
    <w:name w:val="Text 4"/>
    <w:basedOn w:val="Normal"/>
    <w:rsid w:val="0039681A"/>
    <w:pPr>
      <w:spacing w:before="120" w:after="120" w:line="240" w:lineRule="auto"/>
      <w:ind w:left="2551"/>
      <w:jc w:val="both"/>
    </w:pPr>
    <w:rPr>
      <w:rFonts w:ascii="Times New Roman" w:eastAsia="Times New Roman" w:hAnsi="Times New Roman" w:cs="Times New Roman"/>
      <w:kern w:val="0"/>
      <w:sz w:val="24"/>
      <w:szCs w:val="24"/>
      <w:lang w:val="de-DE" w:eastAsia="en-GB"/>
    </w:rPr>
  </w:style>
  <w:style w:type="paragraph" w:customStyle="1" w:styleId="NormalCentered">
    <w:name w:val="Normal Centered"/>
    <w:basedOn w:val="Normal"/>
    <w:rsid w:val="0039681A"/>
    <w:pPr>
      <w:spacing w:before="120" w:after="120" w:line="240" w:lineRule="auto"/>
      <w:jc w:val="center"/>
    </w:pPr>
    <w:rPr>
      <w:rFonts w:ascii="Times New Roman" w:eastAsia="Times New Roman" w:hAnsi="Times New Roman" w:cs="Times New Roman"/>
      <w:kern w:val="0"/>
      <w:sz w:val="24"/>
      <w:szCs w:val="24"/>
      <w:lang w:val="de-DE" w:eastAsia="en-GB"/>
    </w:rPr>
  </w:style>
  <w:style w:type="paragraph" w:customStyle="1" w:styleId="NormalLeft">
    <w:name w:val="Normal Left"/>
    <w:basedOn w:val="Normal"/>
    <w:rsid w:val="0039681A"/>
    <w:pPr>
      <w:spacing w:before="120" w:after="120" w:line="240" w:lineRule="auto"/>
    </w:pPr>
    <w:rPr>
      <w:rFonts w:ascii="Times New Roman" w:eastAsia="Times New Roman" w:hAnsi="Times New Roman" w:cs="Times New Roman"/>
      <w:kern w:val="0"/>
      <w:sz w:val="24"/>
      <w:szCs w:val="24"/>
      <w:lang w:val="de-DE" w:eastAsia="en-GB"/>
    </w:rPr>
  </w:style>
  <w:style w:type="paragraph" w:customStyle="1" w:styleId="NormalRight">
    <w:name w:val="Normal Right"/>
    <w:basedOn w:val="Normal"/>
    <w:rsid w:val="0039681A"/>
    <w:pPr>
      <w:spacing w:before="120" w:after="120" w:line="240" w:lineRule="auto"/>
      <w:jc w:val="right"/>
    </w:pPr>
    <w:rPr>
      <w:rFonts w:ascii="Times New Roman" w:eastAsia="Times New Roman" w:hAnsi="Times New Roman" w:cs="Times New Roman"/>
      <w:kern w:val="0"/>
      <w:sz w:val="24"/>
      <w:szCs w:val="24"/>
      <w:lang w:val="de-DE" w:eastAsia="en-GB"/>
    </w:rPr>
  </w:style>
  <w:style w:type="paragraph" w:customStyle="1" w:styleId="QuotedText">
    <w:name w:val="Quoted Text"/>
    <w:basedOn w:val="Normal"/>
    <w:rsid w:val="0039681A"/>
    <w:pPr>
      <w:spacing w:before="120" w:after="120" w:line="240" w:lineRule="auto"/>
      <w:ind w:left="1417"/>
      <w:jc w:val="both"/>
    </w:pPr>
    <w:rPr>
      <w:rFonts w:ascii="Times New Roman" w:eastAsia="Times New Roman" w:hAnsi="Times New Roman" w:cs="Times New Roman"/>
      <w:kern w:val="0"/>
      <w:sz w:val="24"/>
      <w:szCs w:val="24"/>
      <w:lang w:val="de-DE" w:eastAsia="en-GB"/>
    </w:rPr>
  </w:style>
  <w:style w:type="paragraph" w:customStyle="1" w:styleId="Point0">
    <w:name w:val="Point 0"/>
    <w:basedOn w:val="Normal"/>
    <w:rsid w:val="0039681A"/>
    <w:pPr>
      <w:spacing w:before="120" w:after="120" w:line="240" w:lineRule="auto"/>
      <w:ind w:left="850" w:hanging="850"/>
      <w:jc w:val="both"/>
    </w:pPr>
    <w:rPr>
      <w:rFonts w:ascii="Times New Roman" w:eastAsia="Times New Roman" w:hAnsi="Times New Roman" w:cs="Times New Roman"/>
      <w:kern w:val="0"/>
      <w:sz w:val="24"/>
      <w:szCs w:val="24"/>
      <w:lang w:val="de-DE" w:eastAsia="en-GB"/>
    </w:rPr>
  </w:style>
  <w:style w:type="paragraph" w:customStyle="1" w:styleId="Point1">
    <w:name w:val="Point 1"/>
    <w:basedOn w:val="Normal"/>
    <w:rsid w:val="0039681A"/>
    <w:pPr>
      <w:spacing w:before="120" w:after="120" w:line="240" w:lineRule="auto"/>
      <w:ind w:left="1417" w:hanging="567"/>
      <w:jc w:val="both"/>
    </w:pPr>
    <w:rPr>
      <w:rFonts w:ascii="Times New Roman" w:eastAsia="Times New Roman" w:hAnsi="Times New Roman" w:cs="Times New Roman"/>
      <w:kern w:val="0"/>
      <w:sz w:val="24"/>
      <w:szCs w:val="24"/>
      <w:lang w:val="de-DE" w:eastAsia="en-GB"/>
    </w:rPr>
  </w:style>
  <w:style w:type="paragraph" w:customStyle="1" w:styleId="Point2">
    <w:name w:val="Point 2"/>
    <w:basedOn w:val="Normal"/>
    <w:rsid w:val="0039681A"/>
    <w:pPr>
      <w:spacing w:before="120" w:after="120" w:line="240" w:lineRule="auto"/>
      <w:ind w:left="1984" w:hanging="567"/>
      <w:jc w:val="both"/>
    </w:pPr>
    <w:rPr>
      <w:rFonts w:ascii="Times New Roman" w:eastAsia="Times New Roman" w:hAnsi="Times New Roman" w:cs="Times New Roman"/>
      <w:kern w:val="0"/>
      <w:sz w:val="24"/>
      <w:szCs w:val="24"/>
      <w:lang w:val="de-DE" w:eastAsia="en-GB"/>
    </w:rPr>
  </w:style>
  <w:style w:type="paragraph" w:customStyle="1" w:styleId="Point3">
    <w:name w:val="Point 3"/>
    <w:basedOn w:val="Normal"/>
    <w:rsid w:val="0039681A"/>
    <w:pPr>
      <w:spacing w:before="120" w:after="120" w:line="240" w:lineRule="auto"/>
      <w:ind w:left="2551" w:hanging="567"/>
      <w:jc w:val="both"/>
    </w:pPr>
    <w:rPr>
      <w:rFonts w:ascii="Times New Roman" w:eastAsia="Times New Roman" w:hAnsi="Times New Roman" w:cs="Times New Roman"/>
      <w:kern w:val="0"/>
      <w:sz w:val="24"/>
      <w:szCs w:val="24"/>
      <w:lang w:val="de-DE" w:eastAsia="en-GB"/>
    </w:rPr>
  </w:style>
  <w:style w:type="paragraph" w:customStyle="1" w:styleId="Point4">
    <w:name w:val="Point 4"/>
    <w:basedOn w:val="Normal"/>
    <w:rsid w:val="0039681A"/>
    <w:pPr>
      <w:spacing w:before="120" w:after="120" w:line="240" w:lineRule="auto"/>
      <w:ind w:left="3118" w:hanging="567"/>
      <w:jc w:val="both"/>
    </w:pPr>
    <w:rPr>
      <w:rFonts w:ascii="Times New Roman" w:eastAsia="Times New Roman" w:hAnsi="Times New Roman" w:cs="Times New Roman"/>
      <w:kern w:val="0"/>
      <w:sz w:val="24"/>
      <w:szCs w:val="24"/>
      <w:lang w:val="de-DE" w:eastAsia="en-GB"/>
    </w:rPr>
  </w:style>
  <w:style w:type="paragraph" w:customStyle="1" w:styleId="Tiret0">
    <w:name w:val="Tiret 0"/>
    <w:basedOn w:val="Point0"/>
    <w:rsid w:val="0039681A"/>
    <w:pPr>
      <w:numPr>
        <w:numId w:val="7"/>
      </w:numPr>
      <w:tabs>
        <w:tab w:val="clear" w:pos="850"/>
      </w:tabs>
      <w:ind w:left="0" w:firstLine="0"/>
    </w:pPr>
  </w:style>
  <w:style w:type="paragraph" w:customStyle="1" w:styleId="Tiret1">
    <w:name w:val="Tiret 1"/>
    <w:basedOn w:val="Point1"/>
    <w:rsid w:val="0039681A"/>
    <w:pPr>
      <w:numPr>
        <w:numId w:val="8"/>
      </w:numPr>
      <w:tabs>
        <w:tab w:val="clear" w:pos="1417"/>
        <w:tab w:val="num" w:pos="3118"/>
      </w:tabs>
      <w:ind w:left="0" w:firstLine="0"/>
    </w:pPr>
  </w:style>
  <w:style w:type="paragraph" w:customStyle="1" w:styleId="Tiret2">
    <w:name w:val="Tiret 2"/>
    <w:basedOn w:val="Point2"/>
    <w:rsid w:val="0039681A"/>
    <w:pPr>
      <w:numPr>
        <w:numId w:val="9"/>
      </w:numPr>
      <w:tabs>
        <w:tab w:val="clear" w:pos="1984"/>
        <w:tab w:val="num" w:pos="360"/>
      </w:tabs>
      <w:ind w:left="0" w:firstLine="0"/>
    </w:pPr>
  </w:style>
  <w:style w:type="paragraph" w:customStyle="1" w:styleId="Tiret3">
    <w:name w:val="Tiret 3"/>
    <w:basedOn w:val="Point3"/>
    <w:rsid w:val="0039681A"/>
    <w:pPr>
      <w:numPr>
        <w:numId w:val="10"/>
      </w:numPr>
      <w:tabs>
        <w:tab w:val="clear" w:pos="2551"/>
        <w:tab w:val="num" w:pos="360"/>
      </w:tabs>
      <w:ind w:left="0" w:firstLine="0"/>
    </w:pPr>
  </w:style>
  <w:style w:type="paragraph" w:customStyle="1" w:styleId="Tiret4">
    <w:name w:val="Tiret 4"/>
    <w:basedOn w:val="Point4"/>
    <w:rsid w:val="0039681A"/>
    <w:pPr>
      <w:numPr>
        <w:numId w:val="11"/>
      </w:numPr>
      <w:tabs>
        <w:tab w:val="clear" w:pos="3118"/>
      </w:tabs>
      <w:ind w:left="0" w:firstLine="0"/>
    </w:pPr>
  </w:style>
  <w:style w:type="paragraph" w:customStyle="1" w:styleId="PointDouble0">
    <w:name w:val="PointDouble 0"/>
    <w:basedOn w:val="Normal"/>
    <w:rsid w:val="0039681A"/>
    <w:pPr>
      <w:tabs>
        <w:tab w:val="left" w:pos="850"/>
      </w:tabs>
      <w:spacing w:before="120" w:after="120" w:line="240" w:lineRule="auto"/>
      <w:ind w:left="1417" w:hanging="1417"/>
      <w:jc w:val="both"/>
    </w:pPr>
    <w:rPr>
      <w:rFonts w:ascii="Times New Roman" w:eastAsia="Times New Roman" w:hAnsi="Times New Roman" w:cs="Times New Roman"/>
      <w:kern w:val="0"/>
      <w:sz w:val="24"/>
      <w:szCs w:val="24"/>
      <w:lang w:val="de-DE" w:eastAsia="en-GB"/>
    </w:rPr>
  </w:style>
  <w:style w:type="paragraph" w:customStyle="1" w:styleId="PointDouble1">
    <w:name w:val="PointDouble 1"/>
    <w:basedOn w:val="Normal"/>
    <w:rsid w:val="0039681A"/>
    <w:pPr>
      <w:tabs>
        <w:tab w:val="left" w:pos="1417"/>
      </w:tabs>
      <w:spacing w:before="120" w:after="120" w:line="240" w:lineRule="auto"/>
      <w:ind w:left="1984" w:hanging="1134"/>
      <w:jc w:val="both"/>
    </w:pPr>
    <w:rPr>
      <w:rFonts w:ascii="Times New Roman" w:eastAsia="Times New Roman" w:hAnsi="Times New Roman" w:cs="Times New Roman"/>
      <w:kern w:val="0"/>
      <w:sz w:val="24"/>
      <w:szCs w:val="24"/>
      <w:lang w:val="de-DE" w:eastAsia="en-GB"/>
    </w:rPr>
  </w:style>
  <w:style w:type="paragraph" w:customStyle="1" w:styleId="PointDouble2">
    <w:name w:val="PointDouble 2"/>
    <w:basedOn w:val="Normal"/>
    <w:rsid w:val="0039681A"/>
    <w:pPr>
      <w:tabs>
        <w:tab w:val="left" w:pos="1984"/>
      </w:tabs>
      <w:spacing w:before="120" w:after="120" w:line="240" w:lineRule="auto"/>
      <w:ind w:left="2551" w:hanging="1134"/>
      <w:jc w:val="both"/>
    </w:pPr>
    <w:rPr>
      <w:rFonts w:ascii="Times New Roman" w:eastAsia="Times New Roman" w:hAnsi="Times New Roman" w:cs="Times New Roman"/>
      <w:kern w:val="0"/>
      <w:sz w:val="24"/>
      <w:szCs w:val="24"/>
      <w:lang w:val="de-DE" w:eastAsia="en-GB"/>
    </w:rPr>
  </w:style>
  <w:style w:type="paragraph" w:customStyle="1" w:styleId="PointDouble3">
    <w:name w:val="PointDouble 3"/>
    <w:basedOn w:val="Normal"/>
    <w:rsid w:val="0039681A"/>
    <w:pPr>
      <w:tabs>
        <w:tab w:val="left" w:pos="2551"/>
      </w:tabs>
      <w:spacing w:before="120" w:after="120" w:line="240" w:lineRule="auto"/>
      <w:ind w:left="3118" w:hanging="1134"/>
      <w:jc w:val="both"/>
    </w:pPr>
    <w:rPr>
      <w:rFonts w:ascii="Times New Roman" w:eastAsia="Times New Roman" w:hAnsi="Times New Roman" w:cs="Times New Roman"/>
      <w:kern w:val="0"/>
      <w:sz w:val="24"/>
      <w:szCs w:val="24"/>
      <w:lang w:val="de-DE" w:eastAsia="en-GB"/>
    </w:rPr>
  </w:style>
  <w:style w:type="paragraph" w:customStyle="1" w:styleId="PointDouble4">
    <w:name w:val="PointDouble 4"/>
    <w:basedOn w:val="Normal"/>
    <w:rsid w:val="0039681A"/>
    <w:pPr>
      <w:tabs>
        <w:tab w:val="left" w:pos="3118"/>
      </w:tabs>
      <w:spacing w:before="120" w:after="120" w:line="240" w:lineRule="auto"/>
      <w:ind w:left="3685" w:hanging="1134"/>
      <w:jc w:val="both"/>
    </w:pPr>
    <w:rPr>
      <w:rFonts w:ascii="Times New Roman" w:eastAsia="Times New Roman" w:hAnsi="Times New Roman" w:cs="Times New Roman"/>
      <w:kern w:val="0"/>
      <w:sz w:val="24"/>
      <w:szCs w:val="24"/>
      <w:lang w:val="de-DE" w:eastAsia="en-GB"/>
    </w:rPr>
  </w:style>
  <w:style w:type="paragraph" w:customStyle="1" w:styleId="PointTriple0">
    <w:name w:val="PointTriple 0"/>
    <w:basedOn w:val="Normal"/>
    <w:rsid w:val="0039681A"/>
    <w:pPr>
      <w:tabs>
        <w:tab w:val="left" w:pos="850"/>
        <w:tab w:val="left" w:pos="1417"/>
      </w:tabs>
      <w:spacing w:before="120" w:after="120" w:line="240" w:lineRule="auto"/>
      <w:ind w:left="1984" w:hanging="1984"/>
      <w:jc w:val="both"/>
    </w:pPr>
    <w:rPr>
      <w:rFonts w:ascii="Times New Roman" w:eastAsia="Times New Roman" w:hAnsi="Times New Roman" w:cs="Times New Roman"/>
      <w:kern w:val="0"/>
      <w:sz w:val="24"/>
      <w:szCs w:val="24"/>
      <w:lang w:val="de-DE" w:eastAsia="en-GB"/>
    </w:rPr>
  </w:style>
  <w:style w:type="paragraph" w:customStyle="1" w:styleId="PointTriple1">
    <w:name w:val="PointTriple 1"/>
    <w:basedOn w:val="Normal"/>
    <w:rsid w:val="0039681A"/>
    <w:pPr>
      <w:tabs>
        <w:tab w:val="left" w:pos="1417"/>
        <w:tab w:val="left" w:pos="1984"/>
      </w:tabs>
      <w:spacing w:before="120" w:after="120" w:line="240" w:lineRule="auto"/>
      <w:ind w:left="2551" w:hanging="1701"/>
      <w:jc w:val="both"/>
    </w:pPr>
    <w:rPr>
      <w:rFonts w:ascii="Times New Roman" w:eastAsia="Times New Roman" w:hAnsi="Times New Roman" w:cs="Times New Roman"/>
      <w:kern w:val="0"/>
      <w:sz w:val="24"/>
      <w:szCs w:val="24"/>
      <w:lang w:val="de-DE" w:eastAsia="en-GB"/>
    </w:rPr>
  </w:style>
  <w:style w:type="paragraph" w:customStyle="1" w:styleId="PointTriple2">
    <w:name w:val="PointTriple 2"/>
    <w:basedOn w:val="Normal"/>
    <w:rsid w:val="0039681A"/>
    <w:pPr>
      <w:tabs>
        <w:tab w:val="left" w:pos="1984"/>
        <w:tab w:val="left" w:pos="2551"/>
      </w:tabs>
      <w:spacing w:before="120" w:after="120" w:line="240" w:lineRule="auto"/>
      <w:ind w:left="3118" w:hanging="1701"/>
      <w:jc w:val="both"/>
    </w:pPr>
    <w:rPr>
      <w:rFonts w:ascii="Times New Roman" w:eastAsia="Times New Roman" w:hAnsi="Times New Roman" w:cs="Times New Roman"/>
      <w:kern w:val="0"/>
      <w:sz w:val="24"/>
      <w:szCs w:val="24"/>
      <w:lang w:val="de-DE" w:eastAsia="en-GB"/>
    </w:rPr>
  </w:style>
  <w:style w:type="paragraph" w:customStyle="1" w:styleId="PointTriple3">
    <w:name w:val="PointTriple 3"/>
    <w:basedOn w:val="Normal"/>
    <w:rsid w:val="0039681A"/>
    <w:pPr>
      <w:tabs>
        <w:tab w:val="left" w:pos="2551"/>
        <w:tab w:val="left" w:pos="3118"/>
      </w:tabs>
      <w:spacing w:before="120" w:after="120" w:line="240" w:lineRule="auto"/>
      <w:ind w:left="3685" w:hanging="1701"/>
      <w:jc w:val="both"/>
    </w:pPr>
    <w:rPr>
      <w:rFonts w:ascii="Times New Roman" w:eastAsia="Times New Roman" w:hAnsi="Times New Roman" w:cs="Times New Roman"/>
      <w:kern w:val="0"/>
      <w:sz w:val="24"/>
      <w:szCs w:val="24"/>
      <w:lang w:val="de-DE" w:eastAsia="en-GB"/>
    </w:rPr>
  </w:style>
  <w:style w:type="paragraph" w:customStyle="1" w:styleId="PointTriple4">
    <w:name w:val="PointTriple 4"/>
    <w:basedOn w:val="Normal"/>
    <w:rsid w:val="0039681A"/>
    <w:pPr>
      <w:tabs>
        <w:tab w:val="left" w:pos="3118"/>
        <w:tab w:val="left" w:pos="3685"/>
      </w:tabs>
      <w:spacing w:before="120" w:after="120" w:line="240" w:lineRule="auto"/>
      <w:ind w:left="4252" w:hanging="1701"/>
      <w:jc w:val="both"/>
    </w:pPr>
    <w:rPr>
      <w:rFonts w:ascii="Times New Roman" w:eastAsia="Times New Roman" w:hAnsi="Times New Roman" w:cs="Times New Roman"/>
      <w:kern w:val="0"/>
      <w:sz w:val="24"/>
      <w:szCs w:val="24"/>
      <w:lang w:val="de-DE" w:eastAsia="en-GB"/>
    </w:rPr>
  </w:style>
  <w:style w:type="paragraph" w:customStyle="1" w:styleId="NumPar1">
    <w:name w:val="NumPar 1"/>
    <w:basedOn w:val="Normal"/>
    <w:next w:val="Text1"/>
    <w:rsid w:val="0039681A"/>
    <w:pPr>
      <w:numPr>
        <w:ilvl w:val="1"/>
        <w:numId w:val="12"/>
      </w:numPr>
      <w:tabs>
        <w:tab w:val="clear" w:pos="850"/>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NumPar2">
    <w:name w:val="NumPar 2"/>
    <w:basedOn w:val="Normal"/>
    <w:next w:val="Text1"/>
    <w:rsid w:val="0039681A"/>
    <w:pPr>
      <w:numPr>
        <w:ilvl w:val="2"/>
        <w:numId w:val="12"/>
      </w:numPr>
      <w:tabs>
        <w:tab w:val="clear" w:pos="850"/>
        <w:tab w:val="num" w:pos="1209"/>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NumPar3">
    <w:name w:val="NumPar 3"/>
    <w:basedOn w:val="Normal"/>
    <w:next w:val="Text1"/>
    <w:rsid w:val="0039681A"/>
    <w:pPr>
      <w:numPr>
        <w:ilvl w:val="3"/>
        <w:numId w:val="12"/>
      </w:numPr>
      <w:tabs>
        <w:tab w:val="clear" w:pos="850"/>
        <w:tab w:val="num" w:pos="1209"/>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NumPar4">
    <w:name w:val="NumPar 4"/>
    <w:basedOn w:val="Normal"/>
    <w:next w:val="Text1"/>
    <w:rsid w:val="0039681A"/>
    <w:pPr>
      <w:tabs>
        <w:tab w:val="num" w:pos="850"/>
      </w:tabs>
      <w:spacing w:before="120" w:after="120" w:line="240" w:lineRule="auto"/>
      <w:ind w:left="850" w:hanging="850"/>
      <w:jc w:val="both"/>
    </w:pPr>
    <w:rPr>
      <w:rFonts w:ascii="Times New Roman" w:eastAsia="Times New Roman" w:hAnsi="Times New Roman" w:cs="Times New Roman"/>
      <w:kern w:val="0"/>
      <w:sz w:val="24"/>
      <w:szCs w:val="24"/>
      <w:lang w:val="de-DE" w:eastAsia="en-GB"/>
    </w:rPr>
  </w:style>
  <w:style w:type="paragraph" w:customStyle="1" w:styleId="ManualNumPar1">
    <w:name w:val="Manual NumPar 1"/>
    <w:basedOn w:val="Normal"/>
    <w:next w:val="Text1"/>
    <w:rsid w:val="0039681A"/>
    <w:pPr>
      <w:spacing w:before="120" w:after="120" w:line="240" w:lineRule="auto"/>
      <w:ind w:left="850" w:hanging="850"/>
      <w:jc w:val="both"/>
    </w:pPr>
    <w:rPr>
      <w:rFonts w:ascii="Times New Roman" w:eastAsia="Times New Roman" w:hAnsi="Times New Roman" w:cs="Times New Roman"/>
      <w:kern w:val="0"/>
      <w:sz w:val="24"/>
      <w:szCs w:val="24"/>
      <w:lang w:val="de-DE" w:eastAsia="en-GB"/>
    </w:rPr>
  </w:style>
  <w:style w:type="paragraph" w:customStyle="1" w:styleId="ManualNumPar2">
    <w:name w:val="Manual NumPar 2"/>
    <w:basedOn w:val="Normal"/>
    <w:next w:val="Text1"/>
    <w:rsid w:val="0039681A"/>
    <w:pPr>
      <w:spacing w:before="120" w:after="120" w:line="240" w:lineRule="auto"/>
      <w:ind w:left="850" w:hanging="850"/>
      <w:jc w:val="both"/>
    </w:pPr>
    <w:rPr>
      <w:rFonts w:ascii="Times New Roman" w:eastAsia="Times New Roman" w:hAnsi="Times New Roman" w:cs="Times New Roman"/>
      <w:kern w:val="0"/>
      <w:sz w:val="24"/>
      <w:szCs w:val="24"/>
      <w:lang w:val="de-DE" w:eastAsia="en-GB"/>
    </w:rPr>
  </w:style>
  <w:style w:type="paragraph" w:customStyle="1" w:styleId="ManualNumPar3">
    <w:name w:val="Manual NumPar 3"/>
    <w:basedOn w:val="Normal"/>
    <w:next w:val="Text1"/>
    <w:rsid w:val="0039681A"/>
    <w:pPr>
      <w:spacing w:before="120" w:after="120" w:line="240" w:lineRule="auto"/>
      <w:ind w:left="850" w:hanging="850"/>
      <w:jc w:val="both"/>
    </w:pPr>
    <w:rPr>
      <w:rFonts w:ascii="Times New Roman" w:eastAsia="Times New Roman" w:hAnsi="Times New Roman" w:cs="Times New Roman"/>
      <w:kern w:val="0"/>
      <w:sz w:val="24"/>
      <w:szCs w:val="24"/>
      <w:lang w:val="de-DE" w:eastAsia="en-GB"/>
    </w:rPr>
  </w:style>
  <w:style w:type="paragraph" w:customStyle="1" w:styleId="ManualNumPar4">
    <w:name w:val="Manual NumPar 4"/>
    <w:basedOn w:val="Normal"/>
    <w:next w:val="Text1"/>
    <w:rsid w:val="0039681A"/>
    <w:pPr>
      <w:spacing w:before="120" w:after="120" w:line="240" w:lineRule="auto"/>
      <w:ind w:left="850" w:hanging="850"/>
      <w:jc w:val="both"/>
    </w:pPr>
    <w:rPr>
      <w:rFonts w:ascii="Times New Roman" w:eastAsia="Times New Roman" w:hAnsi="Times New Roman" w:cs="Times New Roman"/>
      <w:kern w:val="0"/>
      <w:sz w:val="24"/>
      <w:szCs w:val="24"/>
      <w:lang w:val="de-DE" w:eastAsia="en-GB"/>
    </w:rPr>
  </w:style>
  <w:style w:type="paragraph" w:customStyle="1" w:styleId="QuotedNumPar">
    <w:name w:val="Quoted NumPar"/>
    <w:basedOn w:val="Normal"/>
    <w:rsid w:val="0039681A"/>
    <w:pPr>
      <w:spacing w:before="120" w:after="120" w:line="240" w:lineRule="auto"/>
      <w:ind w:left="1417" w:hanging="567"/>
      <w:jc w:val="both"/>
    </w:pPr>
    <w:rPr>
      <w:rFonts w:ascii="Times New Roman" w:eastAsia="Times New Roman" w:hAnsi="Times New Roman" w:cs="Times New Roman"/>
      <w:kern w:val="0"/>
      <w:sz w:val="24"/>
      <w:szCs w:val="24"/>
      <w:lang w:val="de-DE" w:eastAsia="en-GB"/>
    </w:rPr>
  </w:style>
  <w:style w:type="paragraph" w:customStyle="1" w:styleId="ManualHeading1">
    <w:name w:val="Manual Heading 1"/>
    <w:basedOn w:val="Normal"/>
    <w:next w:val="Text1"/>
    <w:rsid w:val="0039681A"/>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szCs w:val="24"/>
      <w:lang w:val="de-DE" w:eastAsia="en-GB"/>
    </w:rPr>
  </w:style>
  <w:style w:type="paragraph" w:customStyle="1" w:styleId="ManualHeading2">
    <w:name w:val="Manual Heading 2"/>
    <w:basedOn w:val="Normal"/>
    <w:next w:val="Text1"/>
    <w:rsid w:val="0039681A"/>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sz w:val="24"/>
      <w:szCs w:val="24"/>
      <w:lang w:val="de-DE" w:eastAsia="en-GB"/>
    </w:rPr>
  </w:style>
  <w:style w:type="paragraph" w:customStyle="1" w:styleId="ManualHeading3">
    <w:name w:val="Manual Heading 3"/>
    <w:basedOn w:val="Normal"/>
    <w:next w:val="Text1"/>
    <w:rsid w:val="0039681A"/>
    <w:pPr>
      <w:keepNext/>
      <w:tabs>
        <w:tab w:val="left" w:pos="850"/>
      </w:tabs>
      <w:spacing w:before="120" w:after="120" w:line="240" w:lineRule="auto"/>
      <w:ind w:left="850" w:hanging="850"/>
      <w:jc w:val="both"/>
      <w:outlineLvl w:val="2"/>
    </w:pPr>
    <w:rPr>
      <w:rFonts w:ascii="Times New Roman" w:eastAsia="Times New Roman" w:hAnsi="Times New Roman" w:cs="Times New Roman"/>
      <w:i/>
      <w:kern w:val="0"/>
      <w:sz w:val="24"/>
      <w:szCs w:val="24"/>
      <w:lang w:val="de-DE" w:eastAsia="en-GB"/>
    </w:rPr>
  </w:style>
  <w:style w:type="paragraph" w:customStyle="1" w:styleId="ManualHeading4">
    <w:name w:val="Manual Heading 4"/>
    <w:basedOn w:val="Normal"/>
    <w:next w:val="Text1"/>
    <w:rsid w:val="0039681A"/>
    <w:pPr>
      <w:keepNext/>
      <w:tabs>
        <w:tab w:val="left" w:pos="850"/>
      </w:tabs>
      <w:spacing w:before="120" w:after="120" w:line="240" w:lineRule="auto"/>
      <w:ind w:left="850" w:hanging="850"/>
      <w:jc w:val="both"/>
      <w:outlineLvl w:val="3"/>
    </w:pPr>
    <w:rPr>
      <w:rFonts w:ascii="Times New Roman" w:eastAsia="Times New Roman" w:hAnsi="Times New Roman" w:cs="Times New Roman"/>
      <w:kern w:val="0"/>
      <w:sz w:val="24"/>
      <w:szCs w:val="24"/>
      <w:lang w:val="de-DE" w:eastAsia="en-GB"/>
    </w:rPr>
  </w:style>
  <w:style w:type="paragraph" w:customStyle="1" w:styleId="ChapterTitle">
    <w:name w:val="ChapterTitle"/>
    <w:basedOn w:val="Normal"/>
    <w:next w:val="Normal"/>
    <w:rsid w:val="0039681A"/>
    <w:pPr>
      <w:keepNext/>
      <w:spacing w:before="120" w:after="360" w:line="240" w:lineRule="auto"/>
      <w:jc w:val="center"/>
    </w:pPr>
    <w:rPr>
      <w:rFonts w:ascii="Times New Roman" w:eastAsia="Times New Roman" w:hAnsi="Times New Roman" w:cs="Times New Roman"/>
      <w:b/>
      <w:kern w:val="0"/>
      <w:sz w:val="32"/>
      <w:szCs w:val="24"/>
      <w:lang w:val="de-DE" w:eastAsia="en-GB"/>
    </w:rPr>
  </w:style>
  <w:style w:type="paragraph" w:customStyle="1" w:styleId="PartTitle">
    <w:name w:val="PartTitle"/>
    <w:basedOn w:val="Normal"/>
    <w:next w:val="ChapterTitle"/>
    <w:rsid w:val="0039681A"/>
    <w:pPr>
      <w:keepNext/>
      <w:pageBreakBefore/>
      <w:spacing w:before="120" w:after="360" w:line="240" w:lineRule="auto"/>
      <w:jc w:val="center"/>
    </w:pPr>
    <w:rPr>
      <w:rFonts w:ascii="Times New Roman" w:eastAsia="Times New Roman" w:hAnsi="Times New Roman" w:cs="Times New Roman"/>
      <w:b/>
      <w:kern w:val="0"/>
      <w:sz w:val="36"/>
      <w:szCs w:val="24"/>
      <w:lang w:val="de-DE" w:eastAsia="en-GB"/>
    </w:rPr>
  </w:style>
  <w:style w:type="paragraph" w:customStyle="1" w:styleId="SectionTitle">
    <w:name w:val="SectionTitle"/>
    <w:basedOn w:val="Normal"/>
    <w:next w:val="Heading1"/>
    <w:rsid w:val="0039681A"/>
    <w:pPr>
      <w:keepNext/>
      <w:spacing w:before="120" w:after="360" w:line="240" w:lineRule="auto"/>
      <w:jc w:val="center"/>
    </w:pPr>
    <w:rPr>
      <w:rFonts w:ascii="Times New Roman" w:eastAsia="Times New Roman" w:hAnsi="Times New Roman" w:cs="Times New Roman"/>
      <w:b/>
      <w:smallCaps/>
      <w:kern w:val="0"/>
      <w:sz w:val="28"/>
      <w:szCs w:val="24"/>
      <w:lang w:val="de-DE" w:eastAsia="en-GB"/>
    </w:rPr>
  </w:style>
  <w:style w:type="paragraph" w:customStyle="1" w:styleId="TableTitle">
    <w:name w:val="Table Title"/>
    <w:basedOn w:val="Normal"/>
    <w:next w:val="Normal"/>
    <w:rsid w:val="0039681A"/>
    <w:pPr>
      <w:spacing w:before="120" w:after="120" w:line="240" w:lineRule="auto"/>
      <w:jc w:val="center"/>
    </w:pPr>
    <w:rPr>
      <w:rFonts w:ascii="Times New Roman" w:eastAsia="Times New Roman" w:hAnsi="Times New Roman" w:cs="Times New Roman"/>
      <w:b/>
      <w:kern w:val="0"/>
      <w:sz w:val="24"/>
      <w:szCs w:val="24"/>
      <w:lang w:val="de-DE" w:eastAsia="en-GB"/>
    </w:rPr>
  </w:style>
  <w:style w:type="paragraph" w:customStyle="1" w:styleId="Point0number">
    <w:name w:val="Point 0 (number)"/>
    <w:basedOn w:val="Normal"/>
    <w:rsid w:val="0039681A"/>
    <w:pPr>
      <w:numPr>
        <w:ilvl w:val="2"/>
        <w:numId w:val="13"/>
      </w:numPr>
      <w:tabs>
        <w:tab w:val="clear" w:pos="1417"/>
        <w:tab w:val="num" w:pos="360"/>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1number">
    <w:name w:val="Point 1 (number)"/>
    <w:basedOn w:val="Normal"/>
    <w:rsid w:val="0039681A"/>
    <w:pPr>
      <w:numPr>
        <w:ilvl w:val="4"/>
        <w:numId w:val="13"/>
      </w:numPr>
      <w:tabs>
        <w:tab w:val="clear" w:pos="1984"/>
        <w:tab w:val="num" w:pos="360"/>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2number">
    <w:name w:val="Point 2 (number)"/>
    <w:basedOn w:val="Normal"/>
    <w:rsid w:val="0039681A"/>
    <w:pPr>
      <w:numPr>
        <w:ilvl w:val="6"/>
        <w:numId w:val="13"/>
      </w:numPr>
      <w:tabs>
        <w:tab w:val="clear" w:pos="2551"/>
        <w:tab w:val="num" w:pos="360"/>
        <w:tab w:val="num" w:pos="1984"/>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3number">
    <w:name w:val="Point 3 (number)"/>
    <w:basedOn w:val="Normal"/>
    <w:rsid w:val="0039681A"/>
    <w:pPr>
      <w:numPr>
        <w:ilvl w:val="1"/>
        <w:numId w:val="13"/>
      </w:numPr>
      <w:tabs>
        <w:tab w:val="clear" w:pos="850"/>
        <w:tab w:val="num" w:pos="360"/>
        <w:tab w:val="num" w:pos="2551"/>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0letter">
    <w:name w:val="Point 0 (letter)"/>
    <w:basedOn w:val="Normal"/>
    <w:rsid w:val="0039681A"/>
    <w:pPr>
      <w:numPr>
        <w:ilvl w:val="3"/>
        <w:numId w:val="13"/>
      </w:numPr>
      <w:tabs>
        <w:tab w:val="clear" w:pos="1417"/>
        <w:tab w:val="num" w:pos="360"/>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1letter">
    <w:name w:val="Point 1 (letter)"/>
    <w:basedOn w:val="Normal"/>
    <w:rsid w:val="0039681A"/>
    <w:pPr>
      <w:numPr>
        <w:ilvl w:val="5"/>
        <w:numId w:val="13"/>
      </w:numPr>
      <w:tabs>
        <w:tab w:val="clear" w:pos="1984"/>
        <w:tab w:val="num" w:pos="360"/>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2letter">
    <w:name w:val="Point 2 (letter)"/>
    <w:basedOn w:val="Normal"/>
    <w:rsid w:val="0039681A"/>
    <w:pPr>
      <w:numPr>
        <w:ilvl w:val="7"/>
        <w:numId w:val="13"/>
      </w:numPr>
      <w:tabs>
        <w:tab w:val="clear" w:pos="2551"/>
        <w:tab w:val="num" w:pos="360"/>
        <w:tab w:val="num" w:pos="1984"/>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3letter">
    <w:name w:val="Point 3 (letter)"/>
    <w:basedOn w:val="Normal"/>
    <w:rsid w:val="0039681A"/>
    <w:pPr>
      <w:numPr>
        <w:ilvl w:val="8"/>
        <w:numId w:val="13"/>
      </w:numPr>
      <w:tabs>
        <w:tab w:val="clear" w:pos="3118"/>
        <w:tab w:val="num" w:pos="360"/>
        <w:tab w:val="num" w:pos="2551"/>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Point4letter">
    <w:name w:val="Point 4 (letter)"/>
    <w:basedOn w:val="Normal"/>
    <w:rsid w:val="0039681A"/>
    <w:pPr>
      <w:tabs>
        <w:tab w:val="num" w:pos="3118"/>
      </w:tabs>
      <w:spacing w:before="120" w:after="120" w:line="240" w:lineRule="auto"/>
      <w:ind w:left="3118" w:hanging="567"/>
      <w:jc w:val="both"/>
    </w:pPr>
    <w:rPr>
      <w:rFonts w:ascii="Times New Roman" w:eastAsia="Times New Roman" w:hAnsi="Times New Roman" w:cs="Times New Roman"/>
      <w:kern w:val="0"/>
      <w:sz w:val="24"/>
      <w:szCs w:val="24"/>
      <w:lang w:val="de-DE" w:eastAsia="en-GB"/>
    </w:rPr>
  </w:style>
  <w:style w:type="paragraph" w:customStyle="1" w:styleId="Bullet0">
    <w:name w:val="Bullet 0"/>
    <w:basedOn w:val="Normal"/>
    <w:rsid w:val="0039681A"/>
    <w:pPr>
      <w:numPr>
        <w:numId w:val="14"/>
      </w:numPr>
      <w:tabs>
        <w:tab w:val="clear" w:pos="850"/>
        <w:tab w:val="num" w:pos="643"/>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Bullet1">
    <w:name w:val="Bullet 1"/>
    <w:basedOn w:val="Normal"/>
    <w:rsid w:val="0039681A"/>
    <w:pPr>
      <w:numPr>
        <w:numId w:val="15"/>
      </w:numPr>
      <w:tabs>
        <w:tab w:val="clear" w:pos="1417"/>
        <w:tab w:val="num" w:pos="926"/>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Bullet2">
    <w:name w:val="Bullet 2"/>
    <w:basedOn w:val="Normal"/>
    <w:rsid w:val="0039681A"/>
    <w:pPr>
      <w:numPr>
        <w:numId w:val="16"/>
      </w:numPr>
      <w:tabs>
        <w:tab w:val="clear" w:pos="1984"/>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Bullet3">
    <w:name w:val="Bullet 3"/>
    <w:basedOn w:val="Normal"/>
    <w:rsid w:val="0039681A"/>
    <w:pPr>
      <w:tabs>
        <w:tab w:val="num" w:pos="2551"/>
      </w:tabs>
      <w:spacing w:before="120" w:after="120" w:line="240" w:lineRule="auto"/>
      <w:ind w:left="2551" w:hanging="567"/>
      <w:jc w:val="both"/>
    </w:pPr>
    <w:rPr>
      <w:rFonts w:ascii="Times New Roman" w:eastAsia="Times New Roman" w:hAnsi="Times New Roman" w:cs="Times New Roman"/>
      <w:kern w:val="0"/>
      <w:sz w:val="24"/>
      <w:szCs w:val="24"/>
      <w:lang w:val="de-DE" w:eastAsia="en-GB"/>
    </w:rPr>
  </w:style>
  <w:style w:type="paragraph" w:customStyle="1" w:styleId="Bullet4">
    <w:name w:val="Bullet 4"/>
    <w:basedOn w:val="Normal"/>
    <w:rsid w:val="0039681A"/>
    <w:pPr>
      <w:numPr>
        <w:numId w:val="17"/>
      </w:numPr>
      <w:tabs>
        <w:tab w:val="clear" w:pos="3118"/>
      </w:tabs>
      <w:spacing w:before="120" w:after="120" w:line="240" w:lineRule="auto"/>
      <w:ind w:left="0" w:firstLine="0"/>
      <w:jc w:val="both"/>
    </w:pPr>
    <w:rPr>
      <w:rFonts w:ascii="Times New Roman" w:eastAsia="Times New Roman" w:hAnsi="Times New Roman" w:cs="Times New Roman"/>
      <w:kern w:val="0"/>
      <w:sz w:val="24"/>
      <w:szCs w:val="24"/>
      <w:lang w:val="de-DE" w:eastAsia="en-GB"/>
    </w:rPr>
  </w:style>
  <w:style w:type="paragraph" w:customStyle="1" w:styleId="Rfrenceinterne">
    <w:name w:val="Référence interne"/>
    <w:basedOn w:val="Normal"/>
    <w:next w:val="Rfrenceinterinstitutionnelle"/>
    <w:rsid w:val="0039681A"/>
    <w:pPr>
      <w:spacing w:after="0" w:line="240" w:lineRule="auto"/>
      <w:ind w:left="5103"/>
    </w:pPr>
    <w:rPr>
      <w:rFonts w:ascii="Times New Roman" w:eastAsia="Times New Roman" w:hAnsi="Times New Roman" w:cs="Times New Roman"/>
      <w:kern w:val="0"/>
      <w:sz w:val="24"/>
      <w:szCs w:val="24"/>
      <w:lang w:val="de-DE" w:eastAsia="en-GB"/>
    </w:rPr>
  </w:style>
  <w:style w:type="paragraph" w:customStyle="1" w:styleId="Langue">
    <w:name w:val="Langue"/>
    <w:basedOn w:val="Normal"/>
    <w:next w:val="Rfrenceinterne"/>
    <w:rsid w:val="0039681A"/>
    <w:pPr>
      <w:framePr w:wrap="around" w:vAnchor="page" w:hAnchor="text" w:xAlign="center" w:y="14741"/>
      <w:spacing w:after="600" w:line="240" w:lineRule="auto"/>
      <w:jc w:val="center"/>
    </w:pPr>
    <w:rPr>
      <w:rFonts w:ascii="Times New Roman" w:eastAsia="Times New Roman" w:hAnsi="Times New Roman" w:cs="Times New Roman"/>
      <w:b/>
      <w:caps/>
      <w:kern w:val="0"/>
      <w:sz w:val="24"/>
      <w:szCs w:val="24"/>
      <w:lang w:val="de-DE" w:eastAsia="en-GB"/>
    </w:rPr>
  </w:style>
  <w:style w:type="paragraph" w:customStyle="1" w:styleId="Rfrenceinterinstitutionnelle">
    <w:name w:val="Référence interinstitutionnelle"/>
    <w:basedOn w:val="Normal"/>
    <w:next w:val="Statut"/>
    <w:rsid w:val="0039681A"/>
    <w:pPr>
      <w:spacing w:after="0" w:line="240" w:lineRule="auto"/>
      <w:ind w:left="5103"/>
    </w:pPr>
    <w:rPr>
      <w:rFonts w:ascii="Times New Roman" w:eastAsia="Times New Roman" w:hAnsi="Times New Roman" w:cs="Times New Roman"/>
      <w:kern w:val="0"/>
      <w:sz w:val="24"/>
      <w:szCs w:val="24"/>
      <w:lang w:val="de-DE" w:eastAsia="en-GB"/>
    </w:rPr>
  </w:style>
  <w:style w:type="paragraph" w:customStyle="1" w:styleId="Statut">
    <w:name w:val="Statut"/>
    <w:basedOn w:val="Normal"/>
    <w:next w:val="Typedudocument"/>
    <w:rsid w:val="0039681A"/>
    <w:pPr>
      <w:spacing w:before="360" w:after="0" w:line="240" w:lineRule="auto"/>
      <w:jc w:val="center"/>
    </w:pPr>
    <w:rPr>
      <w:rFonts w:ascii="Times New Roman" w:eastAsia="Times New Roman" w:hAnsi="Times New Roman" w:cs="Times New Roman"/>
      <w:kern w:val="0"/>
      <w:sz w:val="24"/>
      <w:szCs w:val="24"/>
      <w:lang w:val="de-DE" w:eastAsia="en-GB"/>
    </w:rPr>
  </w:style>
  <w:style w:type="paragraph" w:customStyle="1" w:styleId="Typedudocument">
    <w:name w:val="Type du document"/>
    <w:basedOn w:val="Normal"/>
    <w:next w:val="Titreobjet"/>
    <w:rsid w:val="0039681A"/>
    <w:pPr>
      <w:spacing w:before="360" w:after="0" w:line="240" w:lineRule="auto"/>
      <w:jc w:val="center"/>
    </w:pPr>
    <w:rPr>
      <w:rFonts w:ascii="Times New Roman" w:eastAsia="Times New Roman" w:hAnsi="Times New Roman" w:cs="Times New Roman"/>
      <w:b/>
      <w:kern w:val="0"/>
      <w:sz w:val="24"/>
      <w:szCs w:val="24"/>
      <w:lang w:val="de-DE" w:eastAsia="en-GB"/>
    </w:rPr>
  </w:style>
  <w:style w:type="paragraph" w:customStyle="1" w:styleId="Titreobjet">
    <w:name w:val="Titre objet"/>
    <w:basedOn w:val="Normal"/>
    <w:next w:val="IntrtEEE"/>
    <w:rsid w:val="0039681A"/>
    <w:pPr>
      <w:spacing w:before="360" w:after="360" w:line="240" w:lineRule="auto"/>
      <w:jc w:val="center"/>
    </w:pPr>
    <w:rPr>
      <w:rFonts w:ascii="Times New Roman" w:eastAsia="Times New Roman" w:hAnsi="Times New Roman" w:cs="Times New Roman"/>
      <w:b/>
      <w:kern w:val="0"/>
      <w:sz w:val="24"/>
      <w:szCs w:val="24"/>
      <w:lang w:val="de-DE" w:eastAsia="en-GB"/>
    </w:rPr>
  </w:style>
  <w:style w:type="paragraph" w:customStyle="1" w:styleId="IntrtEEE">
    <w:name w:val="Intérêt EEE"/>
    <w:basedOn w:val="Languesfaisantfoi"/>
    <w:next w:val="Normal"/>
    <w:rsid w:val="0039681A"/>
    <w:pPr>
      <w:spacing w:after="240"/>
    </w:pPr>
  </w:style>
  <w:style w:type="paragraph" w:customStyle="1" w:styleId="Languesfaisantfoi">
    <w:name w:val="Langues faisant foi"/>
    <w:basedOn w:val="Normal"/>
    <w:next w:val="Normal"/>
    <w:rsid w:val="0039681A"/>
    <w:pPr>
      <w:spacing w:before="360" w:after="0" w:line="240" w:lineRule="auto"/>
      <w:jc w:val="center"/>
    </w:pPr>
    <w:rPr>
      <w:rFonts w:ascii="Times New Roman" w:eastAsia="Times New Roman" w:hAnsi="Times New Roman" w:cs="Times New Roman"/>
      <w:kern w:val="0"/>
      <w:sz w:val="24"/>
      <w:szCs w:val="24"/>
      <w:lang w:val="de-DE" w:eastAsia="en-GB"/>
    </w:rPr>
  </w:style>
  <w:style w:type="paragraph" w:customStyle="1" w:styleId="Emission">
    <w:name w:val="Emission"/>
    <w:basedOn w:val="Normal"/>
    <w:next w:val="Rfrenceinstitutionnelle"/>
    <w:rsid w:val="0039681A"/>
    <w:pPr>
      <w:spacing w:after="0" w:line="240" w:lineRule="auto"/>
      <w:ind w:left="5103"/>
    </w:pPr>
    <w:rPr>
      <w:rFonts w:ascii="Times New Roman" w:eastAsia="Times New Roman" w:hAnsi="Times New Roman" w:cs="Times New Roman"/>
      <w:kern w:val="0"/>
      <w:sz w:val="24"/>
      <w:szCs w:val="24"/>
      <w:lang w:val="de-DE" w:eastAsia="en-GB"/>
    </w:rPr>
  </w:style>
  <w:style w:type="paragraph" w:customStyle="1" w:styleId="Nomdelinstitution">
    <w:name w:val="Nom de l'institution"/>
    <w:basedOn w:val="Normal"/>
    <w:next w:val="Emission"/>
    <w:rsid w:val="0039681A"/>
    <w:pPr>
      <w:spacing w:after="0" w:line="240" w:lineRule="auto"/>
    </w:pPr>
    <w:rPr>
      <w:rFonts w:ascii="Arial" w:eastAsia="Times New Roman" w:hAnsi="Arial" w:cs="Arial"/>
      <w:kern w:val="0"/>
      <w:sz w:val="24"/>
      <w:szCs w:val="24"/>
      <w:lang w:val="de-DE" w:eastAsia="en-GB"/>
    </w:rPr>
  </w:style>
  <w:style w:type="paragraph" w:customStyle="1" w:styleId="Rfrenceinstitutionnelle">
    <w:name w:val="Référence institutionnelle"/>
    <w:basedOn w:val="Normal"/>
    <w:next w:val="Confidentialit"/>
    <w:rsid w:val="0039681A"/>
    <w:pPr>
      <w:spacing w:after="240" w:line="240" w:lineRule="auto"/>
      <w:ind w:left="5103"/>
    </w:pPr>
    <w:rPr>
      <w:rFonts w:ascii="Times New Roman" w:eastAsia="Times New Roman" w:hAnsi="Times New Roman" w:cs="Times New Roman"/>
      <w:kern w:val="0"/>
      <w:sz w:val="24"/>
      <w:szCs w:val="24"/>
      <w:lang w:val="de-DE" w:eastAsia="en-GB"/>
    </w:rPr>
  </w:style>
  <w:style w:type="paragraph" w:customStyle="1" w:styleId="Confidentialit">
    <w:name w:val="Confidentialité"/>
    <w:basedOn w:val="Normal"/>
    <w:next w:val="TypedudocumentPagedecouverture"/>
    <w:rsid w:val="0039681A"/>
    <w:pPr>
      <w:spacing w:before="240" w:after="240" w:line="240" w:lineRule="auto"/>
      <w:ind w:left="5103"/>
    </w:pPr>
    <w:rPr>
      <w:rFonts w:ascii="Times New Roman" w:eastAsia="Times New Roman" w:hAnsi="Times New Roman" w:cs="Times New Roman"/>
      <w:i/>
      <w:kern w:val="0"/>
      <w:sz w:val="32"/>
      <w:szCs w:val="24"/>
      <w:lang w:val="de-DE" w:eastAsia="en-GB"/>
    </w:rPr>
  </w:style>
  <w:style w:type="paragraph" w:customStyle="1" w:styleId="TypedudocumentPagedecouverture">
    <w:name w:val="Type du document (Page de couverture)"/>
    <w:basedOn w:val="Typedudocument"/>
    <w:next w:val="TitreobjetPagedecouverture"/>
    <w:rsid w:val="0039681A"/>
  </w:style>
  <w:style w:type="paragraph" w:customStyle="1" w:styleId="TitreobjetPagedecouverture">
    <w:name w:val="Titre objet (Page de couverture)"/>
    <w:basedOn w:val="Titreobjet"/>
    <w:next w:val="IntrtEEEPagedecouverture"/>
    <w:rsid w:val="0039681A"/>
  </w:style>
  <w:style w:type="paragraph" w:customStyle="1" w:styleId="IntrtEEEPagedecouverture">
    <w:name w:val="Intérêt EEE (Page de couverture)"/>
    <w:basedOn w:val="IntrtEEE"/>
    <w:next w:val="Rfrencecroise"/>
    <w:rsid w:val="0039681A"/>
  </w:style>
  <w:style w:type="paragraph" w:customStyle="1" w:styleId="Rfrencecroise">
    <w:name w:val="Référence croisée"/>
    <w:basedOn w:val="Normal"/>
    <w:rsid w:val="0039681A"/>
    <w:pPr>
      <w:spacing w:after="0" w:line="240" w:lineRule="auto"/>
      <w:jc w:val="center"/>
    </w:pPr>
    <w:rPr>
      <w:rFonts w:ascii="Times New Roman" w:eastAsia="Times New Roman" w:hAnsi="Times New Roman" w:cs="Times New Roman"/>
      <w:kern w:val="0"/>
      <w:sz w:val="24"/>
      <w:szCs w:val="24"/>
      <w:lang w:val="de-DE" w:eastAsia="en-GB"/>
    </w:rPr>
  </w:style>
  <w:style w:type="paragraph" w:customStyle="1" w:styleId="Pagedecouverture">
    <w:name w:val="Page de couverture"/>
    <w:basedOn w:val="Normal"/>
    <w:next w:val="Normal"/>
    <w:rsid w:val="0039681A"/>
    <w:pPr>
      <w:spacing w:after="0" w:line="240" w:lineRule="auto"/>
      <w:jc w:val="both"/>
    </w:pPr>
    <w:rPr>
      <w:rFonts w:ascii="Times New Roman" w:eastAsia="Times New Roman" w:hAnsi="Times New Roman" w:cs="Times New Roman"/>
      <w:kern w:val="0"/>
      <w:sz w:val="24"/>
      <w:szCs w:val="24"/>
      <w:lang w:val="de-DE" w:eastAsia="en-GB"/>
    </w:rPr>
  </w:style>
  <w:style w:type="paragraph" w:customStyle="1" w:styleId="Declassification">
    <w:name w:val="Declassification"/>
    <w:basedOn w:val="Normal"/>
    <w:next w:val="Normal"/>
    <w:rsid w:val="0039681A"/>
    <w:pPr>
      <w:spacing w:after="0" w:line="240" w:lineRule="auto"/>
      <w:jc w:val="both"/>
    </w:pPr>
    <w:rPr>
      <w:rFonts w:ascii="Times New Roman" w:eastAsia="Times New Roman" w:hAnsi="Times New Roman" w:cs="Times New Roman"/>
      <w:kern w:val="0"/>
      <w:sz w:val="24"/>
      <w:szCs w:val="24"/>
      <w:lang w:val="de-DE" w:eastAsia="en-GB"/>
    </w:rPr>
  </w:style>
  <w:style w:type="paragraph" w:customStyle="1" w:styleId="Disclaimer">
    <w:name w:val="Disclaimer"/>
    <w:basedOn w:val="Normal"/>
    <w:rsid w:val="0039681A"/>
    <w:pPr>
      <w:framePr w:w="8220" w:wrap="notBeside" w:hAnchor="margin" w:xAlign="center" w:y="10401"/>
      <w:pBdr>
        <w:top w:val="single" w:sz="6" w:space="4" w:color="auto"/>
        <w:left w:val="single" w:sz="6" w:space="7" w:color="auto"/>
        <w:bottom w:val="single" w:sz="6" w:space="4" w:color="auto"/>
        <w:right w:val="single" w:sz="6" w:space="7" w:color="auto"/>
      </w:pBdr>
      <w:spacing w:before="120" w:after="120" w:line="240" w:lineRule="auto"/>
      <w:jc w:val="both"/>
    </w:pPr>
    <w:rPr>
      <w:rFonts w:ascii="Times New Roman" w:eastAsia="Times New Roman" w:hAnsi="Times New Roman" w:cs="Times New Roman"/>
      <w:kern w:val="0"/>
      <w:sz w:val="24"/>
      <w:szCs w:val="24"/>
      <w:lang w:val="de-DE" w:eastAsia="en-GB"/>
    </w:rPr>
  </w:style>
  <w:style w:type="paragraph" w:customStyle="1" w:styleId="SecurityMarking">
    <w:name w:val="SecurityMarking"/>
    <w:basedOn w:val="Normal"/>
    <w:rsid w:val="0039681A"/>
    <w:pPr>
      <w:spacing w:after="0" w:line="240" w:lineRule="auto"/>
      <w:ind w:left="5103"/>
    </w:pPr>
    <w:rPr>
      <w:rFonts w:ascii="Times New Roman" w:eastAsia="Times New Roman" w:hAnsi="Times New Roman" w:cs="Times New Roman"/>
      <w:kern w:val="0"/>
      <w:sz w:val="28"/>
      <w:szCs w:val="24"/>
      <w:lang w:val="de-DE" w:eastAsia="en-GB"/>
    </w:rPr>
  </w:style>
  <w:style w:type="paragraph" w:customStyle="1" w:styleId="DateMarking">
    <w:name w:val="DateMarking"/>
    <w:basedOn w:val="Normal"/>
    <w:rsid w:val="0039681A"/>
    <w:pPr>
      <w:spacing w:after="0" w:line="240" w:lineRule="auto"/>
      <w:ind w:left="5103"/>
    </w:pPr>
    <w:rPr>
      <w:rFonts w:ascii="Times New Roman" w:eastAsia="Times New Roman" w:hAnsi="Times New Roman" w:cs="Times New Roman"/>
      <w:i/>
      <w:kern w:val="0"/>
      <w:sz w:val="28"/>
      <w:szCs w:val="24"/>
      <w:lang w:val="de-DE" w:eastAsia="en-GB"/>
    </w:rPr>
  </w:style>
  <w:style w:type="paragraph" w:customStyle="1" w:styleId="ReleasableTo">
    <w:name w:val="ReleasableTo"/>
    <w:basedOn w:val="Normal"/>
    <w:rsid w:val="0039681A"/>
    <w:pPr>
      <w:spacing w:after="0" w:line="240" w:lineRule="auto"/>
      <w:ind w:left="5103"/>
    </w:pPr>
    <w:rPr>
      <w:rFonts w:ascii="Times New Roman" w:eastAsia="Times New Roman" w:hAnsi="Times New Roman" w:cs="Times New Roman"/>
      <w:i/>
      <w:kern w:val="0"/>
      <w:sz w:val="28"/>
      <w:szCs w:val="24"/>
      <w:lang w:val="de-DE" w:eastAsia="en-GB"/>
    </w:rPr>
  </w:style>
  <w:style w:type="paragraph" w:customStyle="1" w:styleId="Annexetitreexpos">
    <w:name w:val="Annexe titre (exposé)"/>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lang w:val="de-DE" w:eastAsia="en-GB"/>
    </w:rPr>
  </w:style>
  <w:style w:type="paragraph" w:customStyle="1" w:styleId="Annexetitre">
    <w:name w:val="Annexe titre"/>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lang w:val="de-DE" w:eastAsia="en-GB"/>
    </w:rPr>
  </w:style>
  <w:style w:type="paragraph" w:customStyle="1" w:styleId="Annexetitrefichefinancire">
    <w:name w:val="Annexe titre (fiche financière)"/>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lang w:val="de-DE" w:eastAsia="en-GB"/>
    </w:rPr>
  </w:style>
  <w:style w:type="paragraph" w:customStyle="1" w:styleId="Fait">
    <w:name w:val="Fait à"/>
    <w:basedOn w:val="Normal"/>
    <w:next w:val="Institutionquisigne"/>
    <w:rsid w:val="0039681A"/>
    <w:pPr>
      <w:keepNext/>
      <w:spacing w:before="120" w:after="0" w:line="240" w:lineRule="auto"/>
      <w:jc w:val="both"/>
    </w:pPr>
    <w:rPr>
      <w:rFonts w:ascii="Times New Roman" w:eastAsia="Times New Roman" w:hAnsi="Times New Roman" w:cs="Times New Roman"/>
      <w:kern w:val="0"/>
      <w:sz w:val="24"/>
      <w:szCs w:val="24"/>
      <w:lang w:val="de-DE" w:eastAsia="en-GB"/>
    </w:rPr>
  </w:style>
  <w:style w:type="paragraph" w:customStyle="1" w:styleId="Applicationdirecte">
    <w:name w:val="Application directe"/>
    <w:basedOn w:val="Normal"/>
    <w:next w:val="Fait"/>
    <w:rsid w:val="0039681A"/>
    <w:pPr>
      <w:spacing w:before="480" w:after="120" w:line="240" w:lineRule="auto"/>
      <w:jc w:val="both"/>
    </w:pPr>
    <w:rPr>
      <w:rFonts w:ascii="Times New Roman" w:eastAsia="Times New Roman" w:hAnsi="Times New Roman" w:cs="Times New Roman"/>
      <w:kern w:val="0"/>
      <w:sz w:val="24"/>
      <w:szCs w:val="24"/>
      <w:lang w:val="de-DE" w:eastAsia="en-GB"/>
    </w:rPr>
  </w:style>
  <w:style w:type="paragraph" w:customStyle="1" w:styleId="Institutionquisigne">
    <w:name w:val="Institution qui signe"/>
    <w:basedOn w:val="Normal"/>
    <w:next w:val="Personnequisigne"/>
    <w:rsid w:val="0039681A"/>
    <w:pPr>
      <w:keepNext/>
      <w:tabs>
        <w:tab w:val="left" w:pos="4252"/>
      </w:tabs>
      <w:spacing w:before="720" w:after="0" w:line="240" w:lineRule="auto"/>
      <w:jc w:val="both"/>
    </w:pPr>
    <w:rPr>
      <w:rFonts w:ascii="Times New Roman" w:eastAsia="Times New Roman" w:hAnsi="Times New Roman" w:cs="Times New Roman"/>
      <w:i/>
      <w:kern w:val="0"/>
      <w:sz w:val="24"/>
      <w:szCs w:val="24"/>
      <w:lang w:val="de-DE" w:eastAsia="en-GB"/>
    </w:rPr>
  </w:style>
  <w:style w:type="paragraph" w:customStyle="1" w:styleId="Personnequisigne">
    <w:name w:val="Personne qui signe"/>
    <w:basedOn w:val="Normal"/>
    <w:next w:val="Institutionquisigne"/>
    <w:rsid w:val="0039681A"/>
    <w:pPr>
      <w:tabs>
        <w:tab w:val="left" w:pos="4252"/>
      </w:tabs>
      <w:spacing w:after="0" w:line="240" w:lineRule="auto"/>
    </w:pPr>
    <w:rPr>
      <w:rFonts w:ascii="Times New Roman" w:eastAsia="Times New Roman" w:hAnsi="Times New Roman" w:cs="Times New Roman"/>
      <w:i/>
      <w:kern w:val="0"/>
      <w:sz w:val="24"/>
      <w:szCs w:val="24"/>
      <w:lang w:val="de-DE" w:eastAsia="en-GB"/>
    </w:rPr>
  </w:style>
  <w:style w:type="paragraph" w:customStyle="1" w:styleId="Avertissementtitre">
    <w:name w:val="Avertissement titre"/>
    <w:basedOn w:val="Normal"/>
    <w:next w:val="Normal"/>
    <w:rsid w:val="0039681A"/>
    <w:pPr>
      <w:keepNext/>
      <w:spacing w:before="480" w:after="120" w:line="240" w:lineRule="auto"/>
      <w:jc w:val="both"/>
    </w:pPr>
    <w:rPr>
      <w:rFonts w:ascii="Times New Roman" w:eastAsia="Times New Roman" w:hAnsi="Times New Roman" w:cs="Times New Roman"/>
      <w:kern w:val="0"/>
      <w:sz w:val="24"/>
      <w:szCs w:val="24"/>
      <w:u w:val="single"/>
      <w:lang w:val="de-DE" w:eastAsia="en-GB"/>
    </w:rPr>
  </w:style>
  <w:style w:type="paragraph" w:customStyle="1" w:styleId="Confidence">
    <w:name w:val="Confidence"/>
    <w:basedOn w:val="Normal"/>
    <w:next w:val="Normal"/>
    <w:rsid w:val="0039681A"/>
    <w:pPr>
      <w:spacing w:before="360" w:after="120" w:line="240" w:lineRule="auto"/>
      <w:jc w:val="center"/>
    </w:pPr>
    <w:rPr>
      <w:rFonts w:ascii="Times New Roman" w:eastAsia="Times New Roman" w:hAnsi="Times New Roman" w:cs="Times New Roman"/>
      <w:kern w:val="0"/>
      <w:sz w:val="24"/>
      <w:szCs w:val="24"/>
      <w:lang w:val="de-DE" w:eastAsia="en-GB"/>
    </w:rPr>
  </w:style>
  <w:style w:type="paragraph" w:customStyle="1" w:styleId="Considrant">
    <w:name w:val="Considérant"/>
    <w:basedOn w:val="Normal"/>
    <w:rsid w:val="0039681A"/>
    <w:pPr>
      <w:tabs>
        <w:tab w:val="num" w:pos="709"/>
      </w:tabs>
      <w:spacing w:before="120" w:after="120" w:line="240" w:lineRule="auto"/>
      <w:ind w:left="709" w:hanging="709"/>
      <w:jc w:val="both"/>
    </w:pPr>
    <w:rPr>
      <w:rFonts w:ascii="Times New Roman" w:eastAsia="Times New Roman" w:hAnsi="Times New Roman" w:cs="Times New Roman"/>
      <w:kern w:val="0"/>
      <w:sz w:val="24"/>
      <w:szCs w:val="24"/>
      <w:lang w:val="de-DE" w:eastAsia="en-GB"/>
    </w:rPr>
  </w:style>
  <w:style w:type="paragraph" w:customStyle="1" w:styleId="Corrigendum">
    <w:name w:val="Corrigendum"/>
    <w:basedOn w:val="Normal"/>
    <w:next w:val="Normal"/>
    <w:rsid w:val="0039681A"/>
    <w:pPr>
      <w:spacing w:after="240" w:line="240" w:lineRule="auto"/>
    </w:pPr>
    <w:rPr>
      <w:rFonts w:ascii="Times New Roman" w:eastAsia="Times New Roman" w:hAnsi="Times New Roman" w:cs="Times New Roman"/>
      <w:kern w:val="0"/>
      <w:sz w:val="24"/>
      <w:szCs w:val="24"/>
      <w:lang w:val="de-DE" w:eastAsia="en-GB"/>
    </w:rPr>
  </w:style>
  <w:style w:type="paragraph" w:customStyle="1" w:styleId="Datedadoption">
    <w:name w:val="Date d'adoption"/>
    <w:basedOn w:val="Normal"/>
    <w:next w:val="Titreobjet"/>
    <w:rsid w:val="0039681A"/>
    <w:pPr>
      <w:spacing w:before="360" w:after="0" w:line="240" w:lineRule="auto"/>
      <w:jc w:val="center"/>
    </w:pPr>
    <w:rPr>
      <w:rFonts w:ascii="Times New Roman" w:eastAsia="Times New Roman" w:hAnsi="Times New Roman" w:cs="Times New Roman"/>
      <w:b/>
      <w:kern w:val="0"/>
      <w:sz w:val="24"/>
      <w:szCs w:val="24"/>
      <w:lang w:val="de-DE" w:eastAsia="en-GB"/>
    </w:rPr>
  </w:style>
  <w:style w:type="paragraph" w:customStyle="1" w:styleId="Exposdesmotifstitre">
    <w:name w:val="Exposé des motifs titre"/>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lang w:val="de-DE" w:eastAsia="en-GB"/>
    </w:rPr>
  </w:style>
  <w:style w:type="paragraph" w:customStyle="1" w:styleId="Titrearticle">
    <w:name w:val="Titre article"/>
    <w:basedOn w:val="Normal"/>
    <w:next w:val="Normal"/>
    <w:rsid w:val="0039681A"/>
    <w:pPr>
      <w:keepNext/>
      <w:spacing w:before="360" w:after="120" w:line="240" w:lineRule="auto"/>
      <w:jc w:val="center"/>
    </w:pPr>
    <w:rPr>
      <w:rFonts w:ascii="Times New Roman" w:eastAsia="Times New Roman" w:hAnsi="Times New Roman" w:cs="Times New Roman"/>
      <w:i/>
      <w:kern w:val="0"/>
      <w:sz w:val="24"/>
      <w:szCs w:val="24"/>
      <w:lang w:val="de-DE" w:eastAsia="en-GB"/>
    </w:rPr>
  </w:style>
  <w:style w:type="paragraph" w:customStyle="1" w:styleId="Formuledadoption">
    <w:name w:val="Formule d'adoption"/>
    <w:basedOn w:val="Normal"/>
    <w:next w:val="Titrearticle"/>
    <w:rsid w:val="0039681A"/>
    <w:pPr>
      <w:keepNext/>
      <w:spacing w:before="120" w:after="120" w:line="240" w:lineRule="auto"/>
      <w:jc w:val="both"/>
    </w:pPr>
    <w:rPr>
      <w:rFonts w:ascii="Times New Roman" w:eastAsia="Times New Roman" w:hAnsi="Times New Roman" w:cs="Times New Roman"/>
      <w:kern w:val="0"/>
      <w:sz w:val="24"/>
      <w:szCs w:val="24"/>
      <w:lang w:val="de-DE" w:eastAsia="en-GB"/>
    </w:rPr>
  </w:style>
  <w:style w:type="paragraph" w:customStyle="1" w:styleId="Institutionquiagit">
    <w:name w:val="Institution qui agit"/>
    <w:basedOn w:val="Normal"/>
    <w:next w:val="Normal"/>
    <w:rsid w:val="0039681A"/>
    <w:pPr>
      <w:keepNext/>
      <w:spacing w:before="600" w:after="120" w:line="240" w:lineRule="auto"/>
      <w:jc w:val="both"/>
    </w:pPr>
    <w:rPr>
      <w:rFonts w:ascii="Times New Roman" w:eastAsia="Times New Roman" w:hAnsi="Times New Roman" w:cs="Times New Roman"/>
      <w:kern w:val="0"/>
      <w:sz w:val="24"/>
      <w:szCs w:val="24"/>
      <w:lang w:val="de-DE" w:eastAsia="en-GB"/>
    </w:rPr>
  </w:style>
  <w:style w:type="paragraph" w:customStyle="1" w:styleId="ManualConsidrant">
    <w:name w:val="Manual Considérant"/>
    <w:basedOn w:val="Normal"/>
    <w:rsid w:val="0039681A"/>
    <w:pPr>
      <w:spacing w:before="120" w:after="120" w:line="240" w:lineRule="auto"/>
      <w:ind w:left="709" w:hanging="709"/>
      <w:jc w:val="both"/>
    </w:pPr>
    <w:rPr>
      <w:rFonts w:ascii="Times New Roman" w:eastAsia="Times New Roman" w:hAnsi="Times New Roman" w:cs="Times New Roman"/>
      <w:kern w:val="0"/>
      <w:sz w:val="24"/>
      <w:szCs w:val="24"/>
      <w:lang w:val="de-DE" w:eastAsia="en-GB"/>
    </w:rPr>
  </w:style>
  <w:style w:type="paragraph" w:customStyle="1" w:styleId="Address">
    <w:name w:val="Address"/>
    <w:basedOn w:val="Normal"/>
    <w:next w:val="Normal"/>
    <w:rsid w:val="0039681A"/>
    <w:pPr>
      <w:keepLines/>
      <w:spacing w:before="120" w:after="120" w:line="360" w:lineRule="auto"/>
      <w:ind w:left="3402"/>
    </w:pPr>
    <w:rPr>
      <w:rFonts w:ascii="Times New Roman" w:eastAsia="Times New Roman" w:hAnsi="Times New Roman" w:cs="Times New Roman"/>
      <w:kern w:val="0"/>
      <w:sz w:val="24"/>
      <w:szCs w:val="24"/>
      <w:lang w:val="de-DE" w:eastAsia="en-GB"/>
    </w:rPr>
  </w:style>
  <w:style w:type="paragraph" w:customStyle="1" w:styleId="Objetexterne">
    <w:name w:val="Objet externe"/>
    <w:basedOn w:val="Normal"/>
    <w:next w:val="Normal"/>
    <w:rsid w:val="0039681A"/>
    <w:pPr>
      <w:spacing w:before="120" w:after="120" w:line="240" w:lineRule="auto"/>
      <w:jc w:val="both"/>
    </w:pPr>
    <w:rPr>
      <w:rFonts w:ascii="Times New Roman" w:eastAsia="Times New Roman" w:hAnsi="Times New Roman" w:cs="Times New Roman"/>
      <w:i/>
      <w:caps/>
      <w:kern w:val="0"/>
      <w:sz w:val="24"/>
      <w:szCs w:val="24"/>
      <w:lang w:val="de-DE" w:eastAsia="en-GB"/>
    </w:rPr>
  </w:style>
  <w:style w:type="paragraph" w:customStyle="1" w:styleId="Supertitre">
    <w:name w:val="Supertitre"/>
    <w:basedOn w:val="Normal"/>
    <w:next w:val="Normal"/>
    <w:rsid w:val="0039681A"/>
    <w:pPr>
      <w:spacing w:after="600" w:line="240" w:lineRule="auto"/>
      <w:jc w:val="center"/>
    </w:pPr>
    <w:rPr>
      <w:rFonts w:ascii="Times New Roman" w:eastAsia="Times New Roman" w:hAnsi="Times New Roman" w:cs="Times New Roman"/>
      <w:b/>
      <w:kern w:val="0"/>
      <w:sz w:val="24"/>
      <w:szCs w:val="24"/>
      <w:lang w:val="de-DE" w:eastAsia="en-GB"/>
    </w:rPr>
  </w:style>
  <w:style w:type="paragraph" w:customStyle="1" w:styleId="Fichefinanciretitre">
    <w:name w:val="Fiche financière titre"/>
    <w:basedOn w:val="Normal"/>
    <w:next w:val="Normal"/>
    <w:rsid w:val="0039681A"/>
    <w:pPr>
      <w:spacing w:before="120" w:after="120" w:line="240" w:lineRule="auto"/>
      <w:jc w:val="center"/>
    </w:pPr>
    <w:rPr>
      <w:rFonts w:ascii="Times New Roman" w:eastAsia="Times New Roman" w:hAnsi="Times New Roman" w:cs="Times New Roman"/>
      <w:b/>
      <w:kern w:val="0"/>
      <w:sz w:val="24"/>
      <w:szCs w:val="24"/>
      <w:u w:val="single"/>
      <w:lang w:val="de-DE" w:eastAsia="en-GB"/>
    </w:rPr>
  </w:style>
  <w:style w:type="paragraph" w:customStyle="1" w:styleId="DatedadoptionPagedecouverture">
    <w:name w:val="Date d'adoption (Page de couverture)"/>
    <w:basedOn w:val="Datedadoption"/>
    <w:next w:val="TitreobjetPagedecouverture"/>
    <w:rsid w:val="0039681A"/>
  </w:style>
  <w:style w:type="paragraph" w:customStyle="1" w:styleId="RfrenceinterinstitutionnellePagedecouverture">
    <w:name w:val="Référence interinstitutionnelle (Page de couverture)"/>
    <w:basedOn w:val="Rfrenceinterinstitutionnelle"/>
    <w:next w:val="Confidentialit"/>
    <w:rsid w:val="0039681A"/>
  </w:style>
  <w:style w:type="paragraph" w:customStyle="1" w:styleId="StatutPagedecouverture">
    <w:name w:val="Statut (Page de couverture)"/>
    <w:basedOn w:val="Statut"/>
    <w:next w:val="TypedudocumentPagedecouverture"/>
    <w:rsid w:val="0039681A"/>
  </w:style>
  <w:style w:type="paragraph" w:customStyle="1" w:styleId="Volume">
    <w:name w:val="Volume"/>
    <w:basedOn w:val="Normal"/>
    <w:next w:val="Confidentialit"/>
    <w:rsid w:val="0039681A"/>
    <w:pPr>
      <w:spacing w:after="240" w:line="240" w:lineRule="auto"/>
      <w:ind w:left="5103"/>
    </w:pPr>
    <w:rPr>
      <w:rFonts w:ascii="Times New Roman" w:eastAsia="Times New Roman" w:hAnsi="Times New Roman" w:cs="Times New Roman"/>
      <w:kern w:val="0"/>
      <w:sz w:val="24"/>
      <w:szCs w:val="24"/>
      <w:lang w:val="de-DE" w:eastAsia="en-GB"/>
    </w:rPr>
  </w:style>
  <w:style w:type="paragraph" w:customStyle="1" w:styleId="Typeacteprincipal">
    <w:name w:val="Type acte principal"/>
    <w:basedOn w:val="Normal"/>
    <w:next w:val="Objetacteprincipal"/>
    <w:rsid w:val="0039681A"/>
    <w:pPr>
      <w:spacing w:after="240" w:line="240" w:lineRule="auto"/>
      <w:jc w:val="center"/>
    </w:pPr>
    <w:rPr>
      <w:rFonts w:ascii="Times New Roman" w:eastAsia="Times New Roman" w:hAnsi="Times New Roman" w:cs="Times New Roman"/>
      <w:b/>
      <w:kern w:val="0"/>
      <w:sz w:val="24"/>
      <w:szCs w:val="24"/>
      <w:lang w:val="de-DE" w:eastAsia="en-GB"/>
    </w:rPr>
  </w:style>
  <w:style w:type="paragraph" w:customStyle="1" w:styleId="Accompagnant">
    <w:name w:val="Accompagnant"/>
    <w:basedOn w:val="Normal"/>
    <w:next w:val="Typeacteprincipal"/>
    <w:rsid w:val="0039681A"/>
    <w:pPr>
      <w:spacing w:after="240" w:line="240" w:lineRule="auto"/>
      <w:jc w:val="center"/>
    </w:pPr>
    <w:rPr>
      <w:rFonts w:ascii="Times New Roman" w:eastAsia="Times New Roman" w:hAnsi="Times New Roman" w:cs="Times New Roman"/>
      <w:b/>
      <w:i/>
      <w:kern w:val="0"/>
      <w:sz w:val="24"/>
      <w:szCs w:val="24"/>
      <w:lang w:val="de-DE" w:eastAsia="en-GB"/>
    </w:rPr>
  </w:style>
  <w:style w:type="paragraph" w:customStyle="1" w:styleId="Objetacteprincipal">
    <w:name w:val="Objet acte principal"/>
    <w:basedOn w:val="Normal"/>
    <w:next w:val="Titrearticle"/>
    <w:rsid w:val="0039681A"/>
    <w:pPr>
      <w:spacing w:after="360" w:line="240" w:lineRule="auto"/>
      <w:jc w:val="center"/>
    </w:pPr>
    <w:rPr>
      <w:rFonts w:ascii="Times New Roman" w:eastAsia="Times New Roman" w:hAnsi="Times New Roman" w:cs="Times New Roman"/>
      <w:b/>
      <w:kern w:val="0"/>
      <w:sz w:val="24"/>
      <w:szCs w:val="24"/>
      <w:lang w:val="de-DE" w:eastAsia="en-GB"/>
    </w:rPr>
  </w:style>
  <w:style w:type="paragraph" w:customStyle="1" w:styleId="TypeacteprincipalPagedecouverture">
    <w:name w:val="Type acte principal (Page de couverture)"/>
    <w:basedOn w:val="Typeacteprincipal"/>
    <w:next w:val="ObjetacteprincipalPagedecouverture"/>
    <w:rsid w:val="0039681A"/>
  </w:style>
  <w:style w:type="paragraph" w:customStyle="1" w:styleId="AccompagnantPagedecouverture">
    <w:name w:val="Accompagnant (Page de couverture)"/>
    <w:basedOn w:val="Accompagnant"/>
    <w:next w:val="TypeacteprincipalPagedecouverture"/>
    <w:rsid w:val="0039681A"/>
  </w:style>
  <w:style w:type="paragraph" w:customStyle="1" w:styleId="ObjetacteprincipalPagedecouverture">
    <w:name w:val="Objet acte principal (Page de couverture)"/>
    <w:basedOn w:val="Objetacteprincipal"/>
    <w:next w:val="Rfrencecroise"/>
    <w:rsid w:val="0039681A"/>
  </w:style>
  <w:style w:type="paragraph" w:customStyle="1" w:styleId="LanguesfaisantfoiPagedecouverture">
    <w:name w:val="Langues faisant foi (Page de couverture)"/>
    <w:basedOn w:val="Normal"/>
    <w:next w:val="Normal"/>
    <w:rsid w:val="0039681A"/>
    <w:pPr>
      <w:spacing w:before="360" w:after="0" w:line="240" w:lineRule="auto"/>
      <w:jc w:val="center"/>
    </w:pPr>
    <w:rPr>
      <w:rFonts w:ascii="Times New Roman" w:eastAsia="Times New Roman" w:hAnsi="Times New Roman" w:cs="Times New Roman"/>
      <w:kern w:val="0"/>
      <w:sz w:val="24"/>
      <w:szCs w:val="24"/>
      <w:lang w:val="de-DE" w:eastAsia="en-GB"/>
    </w:rPr>
  </w:style>
  <w:style w:type="paragraph" w:customStyle="1" w:styleId="Times12">
    <w:name w:val="Times12"/>
    <w:basedOn w:val="Normal"/>
    <w:rsid w:val="0039681A"/>
    <w:pPr>
      <w:suppressAutoHyphens/>
      <w:spacing w:after="140" w:line="240" w:lineRule="auto"/>
      <w:jc w:val="both"/>
    </w:pPr>
    <w:rPr>
      <w:rFonts w:ascii="Times" w:eastAsia="SimSun" w:hAnsi="Times" w:cs="Times"/>
      <w:color w:val="00000A"/>
      <w:sz w:val="24"/>
      <w:szCs w:val="24"/>
      <w:lang w:val="de-DE" w:eastAsia="zh-CN"/>
    </w:rPr>
  </w:style>
  <w:style w:type="paragraph" w:customStyle="1" w:styleId="paragraph">
    <w:name w:val="paragraph"/>
    <w:basedOn w:val="Normal"/>
    <w:rsid w:val="0039681A"/>
    <w:pPr>
      <w:spacing w:before="100" w:beforeAutospacing="1" w:after="100" w:afterAutospacing="1" w:line="240" w:lineRule="auto"/>
    </w:pPr>
    <w:rPr>
      <w:rFonts w:ascii="Times New Roman" w:eastAsia="Times New Roman" w:hAnsi="Times New Roman" w:cs="Times New Roman"/>
      <w:kern w:val="0"/>
      <w:sz w:val="24"/>
      <w:szCs w:val="24"/>
      <w:lang w:val="de-DE" w:eastAsia="en-GB"/>
    </w:rPr>
  </w:style>
  <w:style w:type="character" w:customStyle="1" w:styleId="FooterCoverPageChar">
    <w:name w:val="Footer Cover Page Char"/>
    <w:basedOn w:val="DefaultParagraphFont"/>
    <w:link w:val="FooterCoverPage"/>
    <w:locked/>
    <w:rsid w:val="0039681A"/>
    <w:rPr>
      <w:rFonts w:ascii="Times New Roman" w:hAnsi="Times New Roman" w:cs="Times New Roman"/>
      <w:sz w:val="24"/>
    </w:rPr>
  </w:style>
  <w:style w:type="paragraph" w:customStyle="1" w:styleId="FooterCoverPage">
    <w:name w:val="Footer Cover Page"/>
    <w:basedOn w:val="Normal"/>
    <w:link w:val="FooterCoverPageChar"/>
    <w:rsid w:val="0039681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HeaderCoverPageChar">
    <w:name w:val="Header Cover Page Char"/>
    <w:basedOn w:val="DefaultParagraphFont"/>
    <w:link w:val="HeaderCoverPage"/>
    <w:locked/>
    <w:rsid w:val="0039681A"/>
    <w:rPr>
      <w:rFonts w:ascii="Times New Roman" w:hAnsi="Times New Roman" w:cs="Times New Roman"/>
      <w:sz w:val="24"/>
    </w:rPr>
  </w:style>
  <w:style w:type="paragraph" w:customStyle="1" w:styleId="HeaderCoverPage">
    <w:name w:val="Header Cover Page"/>
    <w:basedOn w:val="Normal"/>
    <w:link w:val="HeaderCoverPageChar"/>
    <w:rsid w:val="0039681A"/>
    <w:pPr>
      <w:tabs>
        <w:tab w:val="center" w:pos="4535"/>
        <w:tab w:val="right" w:pos="9071"/>
      </w:tabs>
      <w:spacing w:after="120" w:line="240" w:lineRule="auto"/>
      <w:jc w:val="both"/>
    </w:pPr>
    <w:rPr>
      <w:rFonts w:ascii="Times New Roman" w:hAnsi="Times New Roman" w:cs="Times New Roman"/>
      <w:sz w:val="24"/>
    </w:rPr>
  </w:style>
  <w:style w:type="paragraph" w:customStyle="1" w:styleId="Paragrafoelenco1">
    <w:name w:val="Paragrafo elenco1"/>
    <w:basedOn w:val="Normal"/>
    <w:rsid w:val="0039681A"/>
    <w:pPr>
      <w:spacing w:line="252" w:lineRule="auto"/>
      <w:ind w:left="720"/>
      <w:contextualSpacing/>
    </w:pPr>
    <w:rPr>
      <w:rFonts w:ascii="Times New Roman" w:eastAsia="Times New Roman" w:hAnsi="Times New Roman" w:cs="Times New Roman"/>
      <w:color w:val="00000A"/>
      <w:sz w:val="20"/>
      <w:szCs w:val="20"/>
      <w:lang w:val="de-DE" w:eastAsia="zh-CN"/>
    </w:rPr>
  </w:style>
  <w:style w:type="character" w:customStyle="1" w:styleId="DescriptiontextChar">
    <w:name w:val="Description text Char"/>
    <w:basedOn w:val="DefaultParagraphFont"/>
    <w:link w:val="Descriptiontext"/>
    <w:locked/>
    <w:rsid w:val="0039681A"/>
    <w:rPr>
      <w:rFonts w:ascii="Times New Roman" w:eastAsia="Times New Roman" w:hAnsi="Times New Roman" w:cs="Times New Roman"/>
      <w:lang w:eastAsia="en-GB"/>
    </w:rPr>
  </w:style>
  <w:style w:type="paragraph" w:customStyle="1" w:styleId="Descriptiontext">
    <w:name w:val="Description text"/>
    <w:basedOn w:val="Normal"/>
    <w:link w:val="DescriptiontextChar"/>
    <w:qFormat/>
    <w:rsid w:val="0039681A"/>
    <w:pPr>
      <w:spacing w:before="120" w:after="120" w:line="240" w:lineRule="auto"/>
      <w:ind w:left="709"/>
      <w:jc w:val="both"/>
    </w:pPr>
    <w:rPr>
      <w:rFonts w:ascii="Times New Roman" w:eastAsia="Times New Roman" w:hAnsi="Times New Roman" w:cs="Times New Roman"/>
      <w:lang w:eastAsia="en-GB"/>
    </w:rPr>
  </w:style>
  <w:style w:type="character" w:customStyle="1" w:styleId="DescriptiontitleChar">
    <w:name w:val="Description title Char"/>
    <w:basedOn w:val="DescriptiontextChar"/>
    <w:link w:val="Descriptiontitle"/>
    <w:locked/>
    <w:rsid w:val="0039681A"/>
    <w:rPr>
      <w:rFonts w:ascii="Times New Roman" w:eastAsia="Times New Roman" w:hAnsi="Times New Roman" w:cs="Times New Roman"/>
      <w:lang w:eastAsia="en-GB"/>
    </w:rPr>
  </w:style>
  <w:style w:type="paragraph" w:customStyle="1" w:styleId="Descriptiontitle">
    <w:name w:val="Description title"/>
    <w:basedOn w:val="Descriptiontext"/>
    <w:link w:val="DescriptiontitleChar"/>
    <w:rsid w:val="0039681A"/>
  </w:style>
  <w:style w:type="character" w:customStyle="1" w:styleId="AxistitleChar">
    <w:name w:val="Axis title Char"/>
    <w:basedOn w:val="DefaultParagraphFont"/>
    <w:link w:val="Axistitle"/>
    <w:locked/>
    <w:rsid w:val="0039681A"/>
    <w:rPr>
      <w:rFonts w:ascii="Times New Roman" w:eastAsia="Times New Roman" w:hAnsi="Times New Roman" w:cs="Times New Roman"/>
      <w:i/>
      <w:lang w:eastAsia="en-GB"/>
    </w:rPr>
  </w:style>
  <w:style w:type="paragraph" w:customStyle="1" w:styleId="Axistitle">
    <w:name w:val="Axis title"/>
    <w:basedOn w:val="Normal"/>
    <w:link w:val="AxistitleChar"/>
    <w:qFormat/>
    <w:rsid w:val="0039681A"/>
    <w:pPr>
      <w:spacing w:before="320" w:after="240" w:line="240" w:lineRule="auto"/>
      <w:ind w:left="709"/>
      <w:jc w:val="both"/>
    </w:pPr>
    <w:rPr>
      <w:rFonts w:ascii="Times New Roman" w:eastAsia="Times New Roman" w:hAnsi="Times New Roman" w:cs="Times New Roman"/>
      <w:i/>
      <w:lang w:eastAsia="en-GB"/>
    </w:rPr>
  </w:style>
  <w:style w:type="character" w:customStyle="1" w:styleId="TechnicalBlockChar">
    <w:name w:val="Technical Block Char"/>
    <w:basedOn w:val="DefaultParagraphFont"/>
    <w:link w:val="TechnicalBlock"/>
    <w:locked/>
    <w:rsid w:val="0039681A"/>
    <w:rPr>
      <w:rFonts w:ascii="Times New Roman" w:eastAsia="Times New Roman" w:hAnsi="Times New Roman" w:cs="Times New Roman"/>
      <w:noProof/>
      <w:lang w:eastAsia="en-GB"/>
    </w:rPr>
  </w:style>
  <w:style w:type="paragraph" w:customStyle="1" w:styleId="TechnicalBlock">
    <w:name w:val="Technical Block"/>
    <w:basedOn w:val="Normal"/>
    <w:link w:val="TechnicalBlockChar"/>
    <w:rsid w:val="0039681A"/>
    <w:pPr>
      <w:spacing w:after="240" w:line="240" w:lineRule="auto"/>
      <w:jc w:val="center"/>
    </w:pPr>
    <w:rPr>
      <w:rFonts w:ascii="Times New Roman" w:eastAsia="Times New Roman" w:hAnsi="Times New Roman" w:cs="Times New Roman"/>
      <w:noProof/>
      <w:lang w:eastAsia="en-GB"/>
    </w:rPr>
  </w:style>
  <w:style w:type="paragraph" w:customStyle="1" w:styleId="EntText">
    <w:name w:val="EntText"/>
    <w:basedOn w:val="Normal"/>
    <w:rsid w:val="0039681A"/>
    <w:pPr>
      <w:spacing w:before="120" w:after="120" w:line="360" w:lineRule="auto"/>
    </w:pPr>
    <w:rPr>
      <w:rFonts w:ascii="Times New Roman" w:hAnsi="Times New Roman" w:cs="Times New Roman"/>
      <w:kern w:val="0"/>
      <w:sz w:val="24"/>
      <w:lang w:val="de-DE"/>
    </w:rPr>
  </w:style>
  <w:style w:type="paragraph" w:customStyle="1" w:styleId="Lignefinal">
    <w:name w:val="Ligne final"/>
    <w:basedOn w:val="Normal"/>
    <w:next w:val="Normal"/>
    <w:rsid w:val="0039681A"/>
    <w:pPr>
      <w:pBdr>
        <w:bottom w:val="single" w:sz="4" w:space="0" w:color="000000"/>
      </w:pBdr>
      <w:spacing w:before="360" w:after="120" w:line="360" w:lineRule="auto"/>
      <w:ind w:left="3400" w:right="3400"/>
      <w:jc w:val="center"/>
    </w:pPr>
    <w:rPr>
      <w:rFonts w:ascii="Times New Roman" w:hAnsi="Times New Roman" w:cs="Times New Roman"/>
      <w:b/>
      <w:kern w:val="0"/>
      <w:sz w:val="24"/>
      <w:lang w:val="de-DE"/>
    </w:rPr>
  </w:style>
  <w:style w:type="character" w:customStyle="1" w:styleId="pjChar">
    <w:name w:val="p.j. Char"/>
    <w:basedOn w:val="DefaultParagraphFont"/>
    <w:link w:val="pj"/>
    <w:locked/>
    <w:rsid w:val="0039681A"/>
    <w:rPr>
      <w:rFonts w:ascii="Times New Roman" w:eastAsia="Times New Roman" w:hAnsi="Times New Roman" w:cs="Times New Roman"/>
      <w:lang w:eastAsia="en-GB"/>
    </w:rPr>
  </w:style>
  <w:style w:type="paragraph" w:customStyle="1" w:styleId="pj">
    <w:name w:val="p.j."/>
    <w:basedOn w:val="Normal"/>
    <w:link w:val="pjChar"/>
    <w:rsid w:val="0039681A"/>
    <w:pPr>
      <w:spacing w:before="1200" w:after="120" w:line="240" w:lineRule="auto"/>
      <w:ind w:left="1440" w:hanging="1440"/>
    </w:pPr>
    <w:rPr>
      <w:rFonts w:ascii="Times New Roman" w:eastAsia="Times New Roman" w:hAnsi="Times New Roman" w:cs="Times New Roman"/>
      <w:lang w:eastAsia="en-GB"/>
    </w:rPr>
  </w:style>
  <w:style w:type="character" w:customStyle="1" w:styleId="nbborderedChar">
    <w:name w:val="nb bordered Char"/>
    <w:basedOn w:val="DefaultParagraphFont"/>
    <w:link w:val="nbbordered"/>
    <w:locked/>
    <w:rsid w:val="0039681A"/>
    <w:rPr>
      <w:rFonts w:ascii="Times New Roman" w:eastAsia="Times New Roman" w:hAnsi="Times New Roman" w:cs="Times New Roman"/>
      <w:b/>
      <w:lang w:eastAsia="en-GB"/>
    </w:rPr>
  </w:style>
  <w:style w:type="paragraph" w:customStyle="1" w:styleId="nbbordered">
    <w:name w:val="nb bordered"/>
    <w:basedOn w:val="Normal"/>
    <w:link w:val="nbborderedChar"/>
    <w:rsid w:val="0039681A"/>
    <w:pPr>
      <w:pBdr>
        <w:top w:val="single" w:sz="4" w:space="1" w:color="auto"/>
        <w:left w:val="single" w:sz="4" w:space="4" w:color="auto"/>
        <w:bottom w:val="single" w:sz="4" w:space="1" w:color="auto"/>
        <w:right w:val="single" w:sz="4" w:space="4" w:color="auto"/>
      </w:pBdr>
      <w:spacing w:line="240" w:lineRule="auto"/>
      <w:ind w:left="480" w:hanging="480"/>
    </w:pPr>
    <w:rPr>
      <w:rFonts w:ascii="Times New Roman" w:eastAsia="Times New Roman" w:hAnsi="Times New Roman" w:cs="Times New Roman"/>
      <w:b/>
      <w:lang w:eastAsia="en-GB"/>
    </w:rPr>
  </w:style>
  <w:style w:type="character" w:customStyle="1" w:styleId="HeaderCouncilChar">
    <w:name w:val="Header Council Char"/>
    <w:basedOn w:val="DefaultParagraphFont"/>
    <w:link w:val="HeaderCouncil"/>
    <w:locked/>
    <w:rsid w:val="0039681A"/>
    <w:rPr>
      <w:rFonts w:ascii="Times New Roman" w:eastAsia="Times New Roman" w:hAnsi="Times New Roman" w:cs="Times New Roman"/>
      <w:noProof/>
      <w:sz w:val="2"/>
      <w:lang w:eastAsia="en-GB"/>
    </w:rPr>
  </w:style>
  <w:style w:type="paragraph" w:customStyle="1" w:styleId="HeaderCouncil">
    <w:name w:val="Header Council"/>
    <w:basedOn w:val="Normal"/>
    <w:link w:val="HeaderCouncilChar"/>
    <w:rsid w:val="0039681A"/>
    <w:pPr>
      <w:spacing w:after="0" w:line="240" w:lineRule="auto"/>
    </w:pPr>
    <w:rPr>
      <w:rFonts w:ascii="Times New Roman" w:eastAsia="Times New Roman" w:hAnsi="Times New Roman" w:cs="Times New Roman"/>
      <w:noProof/>
      <w:sz w:val="2"/>
      <w:lang w:eastAsia="en-GB"/>
    </w:rPr>
  </w:style>
  <w:style w:type="character" w:customStyle="1" w:styleId="HeaderCouncilLargeChar">
    <w:name w:val="Header Council Large Char"/>
    <w:basedOn w:val="DefaultParagraphFont"/>
    <w:link w:val="HeaderCouncilLarge"/>
    <w:locked/>
    <w:rsid w:val="0039681A"/>
    <w:rPr>
      <w:rFonts w:ascii="Times New Roman" w:eastAsia="Times New Roman" w:hAnsi="Times New Roman" w:cs="Times New Roman"/>
      <w:noProof/>
      <w:sz w:val="2"/>
      <w:lang w:eastAsia="en-GB"/>
    </w:rPr>
  </w:style>
  <w:style w:type="paragraph" w:customStyle="1" w:styleId="HeaderCouncilLarge">
    <w:name w:val="Header Council Large"/>
    <w:basedOn w:val="Normal"/>
    <w:link w:val="HeaderCouncilLargeChar"/>
    <w:rsid w:val="0039681A"/>
    <w:pPr>
      <w:spacing w:after="440" w:line="240" w:lineRule="auto"/>
    </w:pPr>
    <w:rPr>
      <w:rFonts w:ascii="Times New Roman" w:eastAsia="Times New Roman" w:hAnsi="Times New Roman" w:cs="Times New Roman"/>
      <w:noProof/>
      <w:sz w:val="2"/>
      <w:lang w:eastAsia="en-GB"/>
    </w:rPr>
  </w:style>
  <w:style w:type="character" w:customStyle="1" w:styleId="FooterCouncilChar">
    <w:name w:val="Footer Council Char"/>
    <w:basedOn w:val="DefaultParagraphFont"/>
    <w:link w:val="FooterCouncil"/>
    <w:locked/>
    <w:rsid w:val="0039681A"/>
    <w:rPr>
      <w:rFonts w:ascii="Times New Roman" w:eastAsia="Times New Roman" w:hAnsi="Times New Roman" w:cs="Times New Roman"/>
      <w:noProof/>
      <w:sz w:val="2"/>
      <w:lang w:eastAsia="en-GB"/>
    </w:rPr>
  </w:style>
  <w:style w:type="paragraph" w:customStyle="1" w:styleId="FooterCouncil">
    <w:name w:val="Footer Council"/>
    <w:basedOn w:val="Normal"/>
    <w:link w:val="FooterCouncilChar"/>
    <w:rsid w:val="0039681A"/>
    <w:pPr>
      <w:spacing w:after="0" w:line="240" w:lineRule="auto"/>
    </w:pPr>
    <w:rPr>
      <w:rFonts w:ascii="Times New Roman" w:eastAsia="Times New Roman" w:hAnsi="Times New Roman" w:cs="Times New Roman"/>
      <w:noProof/>
      <w:sz w:val="2"/>
      <w:lang w:eastAsia="en-GB"/>
    </w:rPr>
  </w:style>
  <w:style w:type="paragraph" w:customStyle="1" w:styleId="FooterText">
    <w:name w:val="Footer Text"/>
    <w:basedOn w:val="Normal"/>
    <w:rsid w:val="0039681A"/>
    <w:pPr>
      <w:spacing w:after="0" w:line="240" w:lineRule="auto"/>
    </w:pPr>
    <w:rPr>
      <w:rFonts w:ascii="Times New Roman" w:eastAsia="Times New Roman" w:hAnsi="Times New Roman" w:cs="Times New Roman"/>
      <w:kern w:val="0"/>
      <w:sz w:val="24"/>
      <w:szCs w:val="24"/>
      <w:lang w:val="de-DE"/>
    </w:rPr>
  </w:style>
  <w:style w:type="paragraph" w:customStyle="1" w:styleId="pf0">
    <w:name w:val="pf0"/>
    <w:basedOn w:val="Normal"/>
    <w:rsid w:val="0039681A"/>
    <w:pPr>
      <w:spacing w:before="100" w:beforeAutospacing="1" w:after="100" w:afterAutospacing="1" w:line="240" w:lineRule="auto"/>
    </w:pPr>
    <w:rPr>
      <w:rFonts w:ascii="Times New Roman" w:eastAsia="Times New Roman" w:hAnsi="Times New Roman" w:cs="Times New Roman"/>
      <w:kern w:val="0"/>
      <w:sz w:val="24"/>
      <w:szCs w:val="24"/>
      <w:lang w:val="de-DE" w:eastAsia="en-IE"/>
    </w:rPr>
  </w:style>
  <w:style w:type="paragraph" w:customStyle="1" w:styleId="LegalNumPar">
    <w:name w:val="LegalNumPar"/>
    <w:basedOn w:val="Normal"/>
    <w:rsid w:val="0039681A"/>
    <w:pPr>
      <w:numPr>
        <w:numId w:val="18"/>
      </w:numPr>
      <w:spacing w:line="256" w:lineRule="auto"/>
      <w:ind w:left="0" w:firstLine="0"/>
    </w:pPr>
    <w:rPr>
      <w:kern w:val="0"/>
      <w:lang w:val="de-DE"/>
    </w:rPr>
  </w:style>
  <w:style w:type="paragraph" w:customStyle="1" w:styleId="LegalNumPar2">
    <w:name w:val="LegalNumPar2"/>
    <w:basedOn w:val="Normal"/>
    <w:rsid w:val="0039681A"/>
    <w:pPr>
      <w:numPr>
        <w:ilvl w:val="1"/>
        <w:numId w:val="18"/>
      </w:numPr>
      <w:spacing w:line="256" w:lineRule="auto"/>
      <w:ind w:left="0" w:firstLine="0"/>
    </w:pPr>
    <w:rPr>
      <w:kern w:val="0"/>
      <w:lang w:val="de-DE"/>
    </w:rPr>
  </w:style>
  <w:style w:type="paragraph" w:customStyle="1" w:styleId="LegalNumPar3">
    <w:name w:val="LegalNumPar3"/>
    <w:basedOn w:val="Normal"/>
    <w:rsid w:val="0039681A"/>
    <w:pPr>
      <w:numPr>
        <w:ilvl w:val="2"/>
        <w:numId w:val="18"/>
      </w:numPr>
      <w:spacing w:line="256" w:lineRule="auto"/>
      <w:ind w:left="0" w:firstLine="0"/>
    </w:pPr>
    <w:rPr>
      <w:kern w:val="0"/>
      <w:lang w:val="de-DE"/>
    </w:rPr>
  </w:style>
  <w:style w:type="paragraph" w:customStyle="1" w:styleId="P68B1DB1-Normale1">
    <w:name w:val="P68B1DB1-Normale1"/>
    <w:basedOn w:val="Normal"/>
    <w:rsid w:val="0039681A"/>
    <w:pPr>
      <w:spacing w:line="256" w:lineRule="auto"/>
    </w:pPr>
    <w:rPr>
      <w:rFonts w:ascii="Calibri" w:eastAsia="Calibri" w:hAnsi="Calibri" w:cs="Calibri"/>
      <w:b/>
      <w:kern w:val="0"/>
      <w:szCs w:val="20"/>
      <w:lang w:val="de-DE" w:eastAsia="en-IE"/>
    </w:rPr>
  </w:style>
  <w:style w:type="paragraph" w:customStyle="1" w:styleId="P68B1DB1-Normale6">
    <w:name w:val="P68B1DB1-Normale6"/>
    <w:basedOn w:val="Normal"/>
    <w:rsid w:val="0039681A"/>
    <w:pPr>
      <w:spacing w:line="256" w:lineRule="auto"/>
    </w:pPr>
    <w:rPr>
      <w:rFonts w:ascii="Times New Roman" w:eastAsia="Calibri" w:hAnsi="Times New Roman" w:cs="Times New Roman"/>
      <w:kern w:val="0"/>
      <w:sz w:val="20"/>
      <w:szCs w:val="20"/>
      <w:lang w:val="de-DE" w:eastAsia="en-IE"/>
    </w:rPr>
  </w:style>
  <w:style w:type="paragraph" w:customStyle="1" w:styleId="Default">
    <w:name w:val="Default"/>
    <w:rsid w:val="0039681A"/>
    <w:pPr>
      <w:autoSpaceDE w:val="0"/>
      <w:autoSpaceDN w:val="0"/>
      <w:adjustRightInd w:val="0"/>
      <w:spacing w:after="0" w:line="240" w:lineRule="auto"/>
    </w:pPr>
    <w:rPr>
      <w:rFonts w:ascii="Times New Roman" w:hAnsi="Times New Roman" w:cs="Times New Roman"/>
      <w:color w:val="000000"/>
      <w:kern w:val="0"/>
      <w:sz w:val="24"/>
      <w:szCs w:val="24"/>
      <w:lang w:val="de-DE"/>
    </w:rPr>
  </w:style>
  <w:style w:type="character" w:styleId="CommentReference">
    <w:name w:val="annotation reference"/>
    <w:basedOn w:val="DefaultParagraphFont"/>
    <w:uiPriority w:val="99"/>
    <w:unhideWhenUsed/>
    <w:rsid w:val="0039681A"/>
    <w:rPr>
      <w:sz w:val="16"/>
      <w:szCs w:val="16"/>
    </w:rPr>
  </w:style>
  <w:style w:type="character" w:styleId="PlaceholderText">
    <w:name w:val="Placeholder Text"/>
    <w:basedOn w:val="DefaultParagraphFont"/>
    <w:uiPriority w:val="99"/>
    <w:semiHidden/>
    <w:rsid w:val="0039681A"/>
    <w:rPr>
      <w:color w:val="808080"/>
    </w:rPr>
  </w:style>
  <w:style w:type="character" w:customStyle="1" w:styleId="SubtleEmphasis1">
    <w:name w:val="Subtle Emphasis1"/>
    <w:basedOn w:val="DefaultParagraphFont"/>
    <w:uiPriority w:val="19"/>
    <w:qFormat/>
    <w:rsid w:val="0039681A"/>
    <w:rPr>
      <w:i/>
      <w:iCs/>
      <w:color w:val="404040"/>
    </w:rPr>
  </w:style>
  <w:style w:type="character" w:customStyle="1" w:styleId="Marker">
    <w:name w:val="Marker"/>
    <w:basedOn w:val="DefaultParagraphFont"/>
    <w:rsid w:val="0039681A"/>
    <w:rPr>
      <w:color w:val="0000FF"/>
    </w:rPr>
  </w:style>
  <w:style w:type="character" w:customStyle="1" w:styleId="Marker1">
    <w:name w:val="Marker1"/>
    <w:basedOn w:val="DefaultParagraphFont"/>
    <w:rsid w:val="0039681A"/>
    <w:rPr>
      <w:color w:val="008000"/>
    </w:rPr>
  </w:style>
  <w:style w:type="character" w:customStyle="1" w:styleId="Marker2">
    <w:name w:val="Marker2"/>
    <w:basedOn w:val="DefaultParagraphFont"/>
    <w:rsid w:val="0039681A"/>
    <w:rPr>
      <w:color w:val="FF0000"/>
    </w:rPr>
  </w:style>
  <w:style w:type="character" w:customStyle="1" w:styleId="Added">
    <w:name w:val="Added"/>
    <w:basedOn w:val="DefaultParagraphFont"/>
    <w:rsid w:val="0039681A"/>
    <w:rPr>
      <w:b/>
      <w:bCs w:val="0"/>
      <w:u w:val="single"/>
    </w:rPr>
  </w:style>
  <w:style w:type="character" w:customStyle="1" w:styleId="Deleted">
    <w:name w:val="Deleted"/>
    <w:basedOn w:val="DefaultParagraphFont"/>
    <w:rsid w:val="0039681A"/>
    <w:rPr>
      <w:strike/>
    </w:rPr>
  </w:style>
  <w:style w:type="character" w:customStyle="1" w:styleId="normaltextrun">
    <w:name w:val="normaltextrun"/>
    <w:basedOn w:val="DefaultParagraphFont"/>
    <w:rsid w:val="0039681A"/>
  </w:style>
  <w:style w:type="character" w:customStyle="1" w:styleId="eop">
    <w:name w:val="eop"/>
    <w:basedOn w:val="DefaultParagraphFont"/>
    <w:rsid w:val="0039681A"/>
  </w:style>
  <w:style w:type="character" w:customStyle="1" w:styleId="y2iqfc">
    <w:name w:val="y2iqfc"/>
    <w:basedOn w:val="DefaultParagraphFont"/>
    <w:rsid w:val="0039681A"/>
  </w:style>
  <w:style w:type="character" w:customStyle="1" w:styleId="FootnoteCharacters">
    <w:name w:val="Footnote Characters"/>
    <w:rsid w:val="0039681A"/>
    <w:rPr>
      <w:vertAlign w:val="superscript"/>
    </w:rPr>
  </w:style>
  <w:style w:type="character" w:customStyle="1" w:styleId="normaltextrun1">
    <w:name w:val="normaltextrun1"/>
    <w:basedOn w:val="DefaultParagraphFont"/>
    <w:rsid w:val="0039681A"/>
  </w:style>
  <w:style w:type="character" w:customStyle="1" w:styleId="Hyperlink0">
    <w:name w:val="Hyperlink.0"/>
    <w:rsid w:val="0039681A"/>
  </w:style>
  <w:style w:type="character" w:customStyle="1" w:styleId="Mention1">
    <w:name w:val="Mention1"/>
    <w:basedOn w:val="DefaultParagraphFont"/>
    <w:uiPriority w:val="99"/>
    <w:rsid w:val="0039681A"/>
    <w:rPr>
      <w:color w:val="2B579A"/>
      <w:shd w:val="clear" w:color="auto" w:fill="E6E6E6"/>
    </w:rPr>
  </w:style>
  <w:style w:type="character" w:customStyle="1" w:styleId="superscript">
    <w:name w:val="superscript"/>
    <w:basedOn w:val="DefaultParagraphFont"/>
    <w:rsid w:val="0039681A"/>
  </w:style>
  <w:style w:type="character" w:customStyle="1" w:styleId="Mention2">
    <w:name w:val="Mention2"/>
    <w:basedOn w:val="DefaultParagraphFont"/>
    <w:uiPriority w:val="99"/>
    <w:rsid w:val="0039681A"/>
    <w:rPr>
      <w:color w:val="2B579A"/>
      <w:shd w:val="clear" w:color="auto" w:fill="E6E6E6"/>
    </w:rPr>
  </w:style>
  <w:style w:type="character" w:customStyle="1" w:styleId="findhit">
    <w:name w:val="findhit"/>
    <w:basedOn w:val="DefaultParagraphFont"/>
    <w:rsid w:val="0039681A"/>
  </w:style>
  <w:style w:type="character" w:customStyle="1" w:styleId="tabchar">
    <w:name w:val="tabchar"/>
    <w:basedOn w:val="DefaultParagraphFont"/>
    <w:rsid w:val="0039681A"/>
  </w:style>
  <w:style w:type="character" w:customStyle="1" w:styleId="cf01">
    <w:name w:val="cf01"/>
    <w:basedOn w:val="DefaultParagraphFont"/>
    <w:rsid w:val="0039681A"/>
    <w:rPr>
      <w:rFonts w:ascii="Segoe UI" w:hAnsi="Segoe UI" w:cs="Segoe UI" w:hint="default"/>
      <w:b/>
      <w:bCs/>
      <w:sz w:val="18"/>
      <w:szCs w:val="18"/>
    </w:rPr>
  </w:style>
  <w:style w:type="character" w:customStyle="1" w:styleId="cf11">
    <w:name w:val="cf11"/>
    <w:basedOn w:val="DefaultParagraphFont"/>
    <w:rsid w:val="0039681A"/>
    <w:rPr>
      <w:rFonts w:ascii="Segoe UI" w:hAnsi="Segoe UI" w:cs="Segoe UI" w:hint="default"/>
      <w:sz w:val="18"/>
      <w:szCs w:val="18"/>
    </w:rPr>
  </w:style>
  <w:style w:type="character" w:customStyle="1" w:styleId="Mention3">
    <w:name w:val="Mention3"/>
    <w:basedOn w:val="DefaultParagraphFont"/>
    <w:uiPriority w:val="99"/>
    <w:rsid w:val="0039681A"/>
    <w:rPr>
      <w:color w:val="2B579A"/>
      <w:shd w:val="clear" w:color="auto" w:fill="E6E6E6"/>
    </w:rPr>
  </w:style>
  <w:style w:type="character" w:customStyle="1" w:styleId="Mention4">
    <w:name w:val="Mention4"/>
    <w:basedOn w:val="DefaultParagraphFont"/>
    <w:uiPriority w:val="99"/>
    <w:rsid w:val="0039681A"/>
    <w:rPr>
      <w:color w:val="2B579A"/>
      <w:shd w:val="clear" w:color="auto" w:fill="E6E6E6"/>
    </w:rPr>
  </w:style>
  <w:style w:type="character" w:customStyle="1" w:styleId="ui-provider">
    <w:name w:val="ui-provider"/>
    <w:basedOn w:val="DefaultParagraphFont"/>
    <w:uiPriority w:val="1"/>
    <w:rsid w:val="0039681A"/>
  </w:style>
  <w:style w:type="character" w:customStyle="1" w:styleId="UnresolvedMention1">
    <w:name w:val="Unresolved Mention1"/>
    <w:basedOn w:val="DefaultParagraphFont"/>
    <w:uiPriority w:val="99"/>
    <w:semiHidden/>
    <w:rsid w:val="0039681A"/>
    <w:rPr>
      <w:color w:val="605E5C"/>
      <w:shd w:val="clear" w:color="auto" w:fill="E1DFDD"/>
    </w:rPr>
  </w:style>
  <w:style w:type="character" w:customStyle="1" w:styleId="s10">
    <w:name w:val="s10"/>
    <w:basedOn w:val="DefaultParagraphFont"/>
    <w:rsid w:val="0039681A"/>
  </w:style>
  <w:style w:type="character" w:customStyle="1" w:styleId="Mention5">
    <w:name w:val="Mention5"/>
    <w:basedOn w:val="DefaultParagraphFont"/>
    <w:uiPriority w:val="99"/>
    <w:rsid w:val="0039681A"/>
    <w:rPr>
      <w:color w:val="2B579A"/>
      <w:shd w:val="clear" w:color="auto" w:fill="E1DFDD"/>
    </w:rPr>
  </w:style>
  <w:style w:type="character" w:customStyle="1" w:styleId="UnresolvedMention2">
    <w:name w:val="Unresolved Mention2"/>
    <w:basedOn w:val="DefaultParagraphFont"/>
    <w:uiPriority w:val="99"/>
    <w:semiHidden/>
    <w:rsid w:val="0039681A"/>
    <w:rPr>
      <w:color w:val="605E5C"/>
      <w:shd w:val="clear" w:color="auto" w:fill="E1DFDD"/>
    </w:rPr>
  </w:style>
  <w:style w:type="character" w:customStyle="1" w:styleId="font71">
    <w:name w:val="font71"/>
    <w:basedOn w:val="DefaultParagraphFont"/>
    <w:rsid w:val="0039681A"/>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81">
    <w:name w:val="font81"/>
    <w:basedOn w:val="DefaultParagraphFont"/>
    <w:rsid w:val="0039681A"/>
    <w:rPr>
      <w:rFonts w:ascii="Times New Roman" w:hAnsi="Times New Roman" w:cs="Times New Roman" w:hint="default"/>
      <w:b w:val="0"/>
      <w:bCs w:val="0"/>
      <w:i w:val="0"/>
      <w:iCs w:val="0"/>
      <w:strike w:val="0"/>
      <w:dstrike w:val="0"/>
      <w:color w:val="006100"/>
      <w:sz w:val="20"/>
      <w:szCs w:val="20"/>
      <w:u w:val="none"/>
      <w:effect w:val="none"/>
    </w:rPr>
  </w:style>
  <w:style w:type="character" w:customStyle="1" w:styleId="font111">
    <w:name w:val="font111"/>
    <w:basedOn w:val="DefaultParagraphFont"/>
    <w:rsid w:val="0039681A"/>
    <w:rPr>
      <w:rFonts w:ascii="Times New Roman" w:hAnsi="Times New Roman" w:cs="Times New Roman" w:hint="default"/>
      <w:b w:val="0"/>
      <w:bCs w:val="0"/>
      <w:i w:val="0"/>
      <w:iCs w:val="0"/>
      <w:strike w:val="0"/>
      <w:dstrike w:val="0"/>
      <w:color w:val="006100"/>
      <w:sz w:val="20"/>
      <w:szCs w:val="20"/>
      <w:u w:val="none"/>
      <w:effect w:val="none"/>
    </w:rPr>
  </w:style>
  <w:style w:type="character" w:customStyle="1" w:styleId="Mention6">
    <w:name w:val="Mention6"/>
    <w:basedOn w:val="DefaultParagraphFont"/>
    <w:uiPriority w:val="99"/>
    <w:rsid w:val="0039681A"/>
    <w:rPr>
      <w:color w:val="2B579A"/>
      <w:shd w:val="clear" w:color="auto" w:fill="E6E6E6"/>
    </w:rPr>
  </w:style>
  <w:style w:type="character" w:customStyle="1" w:styleId="Mention7">
    <w:name w:val="Mention7"/>
    <w:basedOn w:val="DefaultParagraphFont"/>
    <w:uiPriority w:val="99"/>
    <w:rsid w:val="0039681A"/>
    <w:rPr>
      <w:color w:val="2B579A"/>
      <w:shd w:val="clear" w:color="auto" w:fill="E6E6E6"/>
    </w:rPr>
  </w:style>
  <w:style w:type="character" w:customStyle="1" w:styleId="Mention8">
    <w:name w:val="Mention8"/>
    <w:basedOn w:val="DefaultParagraphFont"/>
    <w:uiPriority w:val="99"/>
    <w:rsid w:val="0039681A"/>
    <w:rPr>
      <w:color w:val="2B579A"/>
      <w:shd w:val="clear" w:color="auto" w:fill="E1DFDD"/>
    </w:rPr>
  </w:style>
  <w:style w:type="character" w:customStyle="1" w:styleId="Mention9">
    <w:name w:val="Mention9"/>
    <w:basedOn w:val="DefaultParagraphFont"/>
    <w:uiPriority w:val="99"/>
    <w:rsid w:val="0039681A"/>
    <w:rPr>
      <w:color w:val="2B579A"/>
      <w:shd w:val="clear" w:color="auto" w:fill="E1DFDD"/>
    </w:rPr>
  </w:style>
  <w:style w:type="character" w:customStyle="1" w:styleId="UnresolvedMention3">
    <w:name w:val="Unresolved Mention3"/>
    <w:basedOn w:val="DefaultParagraphFont"/>
    <w:uiPriority w:val="99"/>
    <w:semiHidden/>
    <w:rsid w:val="0039681A"/>
    <w:rPr>
      <w:color w:val="605E5C"/>
      <w:shd w:val="clear" w:color="auto" w:fill="E1DFDD"/>
    </w:rPr>
  </w:style>
  <w:style w:type="character" w:customStyle="1" w:styleId="TitleChar1">
    <w:name w:val="Title Char1"/>
    <w:basedOn w:val="DefaultParagraphFont"/>
    <w:uiPriority w:val="10"/>
    <w:rsid w:val="0039681A"/>
    <w:rPr>
      <w:rFonts w:ascii="Aptos Display" w:eastAsia="Times New Roman" w:hAnsi="Aptos Display" w:cs="Times New Roman" w:hint="default"/>
      <w:spacing w:val="-10"/>
      <w:kern w:val="28"/>
      <w:sz w:val="56"/>
      <w:szCs w:val="56"/>
      <w:lang w:eastAsia="en-GB"/>
    </w:rPr>
  </w:style>
  <w:style w:type="character" w:customStyle="1" w:styleId="SubtitleChar1">
    <w:name w:val="Subtitle Char1"/>
    <w:basedOn w:val="DefaultParagraphFont"/>
    <w:uiPriority w:val="11"/>
    <w:rsid w:val="0039681A"/>
    <w:rPr>
      <w:rFonts w:ascii="Yu Gothic Light" w:eastAsia="Times New Roman" w:hAnsi="Yu Gothic Light" w:cs="Times New Roman" w:hint="eastAsia"/>
      <w:color w:val="595959"/>
      <w:spacing w:val="15"/>
      <w:kern w:val="0"/>
      <w:sz w:val="28"/>
      <w:szCs w:val="28"/>
      <w:lang w:eastAsia="en-GB"/>
    </w:rPr>
  </w:style>
  <w:style w:type="character" w:customStyle="1" w:styleId="QuoteChar1">
    <w:name w:val="Quote Char1"/>
    <w:basedOn w:val="DefaultParagraphFont"/>
    <w:uiPriority w:val="29"/>
    <w:rsid w:val="0039681A"/>
    <w:rPr>
      <w:rFonts w:ascii="Times New Roman" w:eastAsia="Times New Roman" w:hAnsi="Times New Roman" w:cs="Times New Roman" w:hint="default"/>
      <w:i/>
      <w:iCs/>
      <w:color w:val="404040"/>
      <w:kern w:val="0"/>
      <w:sz w:val="24"/>
      <w:szCs w:val="24"/>
      <w:lang w:eastAsia="en-GB"/>
    </w:rPr>
  </w:style>
  <w:style w:type="character" w:customStyle="1" w:styleId="Mention10">
    <w:name w:val="Mention10"/>
    <w:basedOn w:val="DefaultParagraphFont"/>
    <w:uiPriority w:val="99"/>
    <w:rsid w:val="0039681A"/>
    <w:rPr>
      <w:color w:val="2B579A"/>
      <w:shd w:val="clear" w:color="auto" w:fill="E1DFDD"/>
    </w:rPr>
  </w:style>
  <w:style w:type="character" w:customStyle="1" w:styleId="Mention11">
    <w:name w:val="Mention11"/>
    <w:basedOn w:val="DefaultParagraphFont"/>
    <w:uiPriority w:val="99"/>
    <w:rsid w:val="0039681A"/>
    <w:rPr>
      <w:color w:val="2B579A"/>
      <w:shd w:val="clear" w:color="auto" w:fill="E1DFDD"/>
    </w:rPr>
  </w:style>
  <w:style w:type="table" w:customStyle="1" w:styleId="TableGrid1">
    <w:name w:val="Table Grid1"/>
    <w:basedOn w:val="TableNormal"/>
    <w:next w:val="TableGrid"/>
    <w:uiPriority w:val="59"/>
    <w:rsid w:val="0039681A"/>
    <w:pPr>
      <w:spacing w:after="0" w:line="240" w:lineRule="auto"/>
    </w:pPr>
    <w:rPr>
      <w:kern w:val="0"/>
      <w:lang w:val="de-D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Puntielenco0">
    <w:name w:val="Punti elenco.0"/>
    <w:rsid w:val="0039681A"/>
    <w:pPr>
      <w:numPr>
        <w:numId w:val="19"/>
      </w:numPr>
    </w:pPr>
  </w:style>
  <w:style w:type="numbering" w:customStyle="1" w:styleId="Stileimportato9">
    <w:name w:val="Stile importato 9"/>
    <w:rsid w:val="0039681A"/>
    <w:pPr>
      <w:numPr>
        <w:numId w:val="20"/>
      </w:numPr>
    </w:pPr>
  </w:style>
  <w:style w:type="character" w:customStyle="1" w:styleId="Mention12">
    <w:name w:val="Mention12"/>
    <w:basedOn w:val="DefaultParagraphFont"/>
    <w:uiPriority w:val="99"/>
    <w:unhideWhenUsed/>
    <w:rsid w:val="0039681A"/>
    <w:rPr>
      <w:color w:val="2B579A"/>
      <w:shd w:val="clear" w:color="auto" w:fill="E1DFDD"/>
    </w:rPr>
  </w:style>
  <w:style w:type="numbering" w:customStyle="1" w:styleId="NoList11">
    <w:name w:val="No List11"/>
    <w:next w:val="NoList"/>
    <w:uiPriority w:val="99"/>
    <w:semiHidden/>
    <w:unhideWhenUsed/>
    <w:rsid w:val="0039681A"/>
  </w:style>
  <w:style w:type="table" w:customStyle="1" w:styleId="TableGrid11">
    <w:name w:val="Table Grid11"/>
    <w:basedOn w:val="TableNormal"/>
    <w:next w:val="TableGrid"/>
    <w:uiPriority w:val="59"/>
    <w:rsid w:val="0039681A"/>
    <w:pPr>
      <w:spacing w:after="0" w:line="240" w:lineRule="auto"/>
    </w:pPr>
    <w:rPr>
      <w:rFonts w:ascii="Calibri" w:eastAsia="Calibri" w:hAnsi="Calibri" w:cs="Arial"/>
      <w:kern w:val="0"/>
      <w:lang w:val="de-D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Puntielenco01">
    <w:name w:val="Punti elenco.01"/>
    <w:rsid w:val="0039681A"/>
  </w:style>
  <w:style w:type="numbering" w:customStyle="1" w:styleId="Stileimportato91">
    <w:name w:val="Stile importato 91"/>
    <w:rsid w:val="0039681A"/>
  </w:style>
  <w:style w:type="numbering" w:customStyle="1" w:styleId="NoList2">
    <w:name w:val="No List2"/>
    <w:next w:val="NoList"/>
    <w:uiPriority w:val="99"/>
    <w:semiHidden/>
    <w:unhideWhenUsed/>
    <w:rsid w:val="0039681A"/>
  </w:style>
  <w:style w:type="character" w:customStyle="1" w:styleId="UnresolvedMention4">
    <w:name w:val="Unresolved Mention4"/>
    <w:basedOn w:val="DefaultParagraphFont"/>
    <w:uiPriority w:val="99"/>
    <w:semiHidden/>
    <w:unhideWhenUsed/>
    <w:rsid w:val="0039681A"/>
    <w:rPr>
      <w:color w:val="605E5C"/>
      <w:shd w:val="clear" w:color="auto" w:fill="E1DFDD"/>
    </w:rPr>
  </w:style>
  <w:style w:type="character" w:customStyle="1" w:styleId="UnresolvedMention5">
    <w:name w:val="Unresolved Mention5"/>
    <w:basedOn w:val="DefaultParagraphFont"/>
    <w:uiPriority w:val="99"/>
    <w:semiHidden/>
    <w:unhideWhenUsed/>
    <w:rsid w:val="0039681A"/>
    <w:rPr>
      <w:color w:val="605E5C"/>
      <w:shd w:val="clear" w:color="auto" w:fill="E1DFDD"/>
    </w:rPr>
  </w:style>
  <w:style w:type="paragraph" w:customStyle="1" w:styleId="TableParagraph">
    <w:name w:val="Table Paragraph"/>
    <w:basedOn w:val="Normal"/>
    <w:uiPriority w:val="1"/>
    <w:qFormat/>
    <w:rsid w:val="0039681A"/>
    <w:pPr>
      <w:widowControl w:val="0"/>
      <w:autoSpaceDE w:val="0"/>
      <w:autoSpaceDN w:val="0"/>
      <w:spacing w:after="0" w:line="240" w:lineRule="auto"/>
    </w:pPr>
    <w:rPr>
      <w:rFonts w:ascii="Calibri" w:eastAsia="Calibri" w:hAnsi="Calibri" w:cs="Calibri"/>
      <w:kern w:val="0"/>
      <w:lang w:val="it-IT"/>
    </w:rPr>
  </w:style>
  <w:style w:type="paragraph" w:customStyle="1" w:styleId="EndnoteText1">
    <w:name w:val="Endnote Text1"/>
    <w:basedOn w:val="Normal"/>
    <w:next w:val="EndnoteText"/>
    <w:link w:val="EndnoteTextChar"/>
    <w:uiPriority w:val="99"/>
    <w:semiHidden/>
    <w:unhideWhenUsed/>
    <w:rsid w:val="0039681A"/>
    <w:pPr>
      <w:spacing w:after="0" w:line="240" w:lineRule="auto"/>
    </w:pPr>
    <w:rPr>
      <w:rFonts w:eastAsia="Times New Roman"/>
      <w:kern w:val="0"/>
      <w:sz w:val="20"/>
      <w:szCs w:val="20"/>
      <w:lang w:val="en-IE" w:eastAsia="ja-JP"/>
    </w:rPr>
  </w:style>
  <w:style w:type="character" w:customStyle="1" w:styleId="EndnoteTextChar">
    <w:name w:val="Endnote Text Char"/>
    <w:basedOn w:val="DefaultParagraphFont"/>
    <w:link w:val="EndnoteText1"/>
    <w:uiPriority w:val="99"/>
    <w:semiHidden/>
    <w:rsid w:val="0039681A"/>
    <w:rPr>
      <w:rFonts w:eastAsia="Times New Roman"/>
      <w:kern w:val="0"/>
      <w:sz w:val="20"/>
      <w:szCs w:val="20"/>
      <w:lang w:val="en-IE" w:eastAsia="ja-JP"/>
    </w:rPr>
  </w:style>
  <w:style w:type="character" w:styleId="EndnoteReference">
    <w:name w:val="endnote reference"/>
    <w:basedOn w:val="DefaultParagraphFont"/>
    <w:uiPriority w:val="99"/>
    <w:semiHidden/>
    <w:unhideWhenUsed/>
    <w:rsid w:val="0039681A"/>
    <w:rPr>
      <w:vertAlign w:val="superscript"/>
    </w:rPr>
  </w:style>
  <w:style w:type="numbering" w:customStyle="1" w:styleId="NoList111">
    <w:name w:val="No List111"/>
    <w:next w:val="NoList"/>
    <w:uiPriority w:val="99"/>
    <w:semiHidden/>
    <w:unhideWhenUsed/>
    <w:rsid w:val="0039681A"/>
  </w:style>
  <w:style w:type="character" w:customStyle="1" w:styleId="Mention120">
    <w:name w:val="Mention120"/>
    <w:basedOn w:val="DefaultParagraphFont"/>
    <w:uiPriority w:val="99"/>
    <w:unhideWhenUsed/>
    <w:rsid w:val="0039681A"/>
    <w:rPr>
      <w:color w:val="2B579A"/>
      <w:shd w:val="clear" w:color="auto" w:fill="E1DFDD"/>
    </w:rPr>
  </w:style>
  <w:style w:type="character" w:customStyle="1" w:styleId="Mention13">
    <w:name w:val="Mention13"/>
    <w:basedOn w:val="DefaultParagraphFont"/>
    <w:uiPriority w:val="99"/>
    <w:unhideWhenUsed/>
    <w:rsid w:val="0039681A"/>
    <w:rPr>
      <w:color w:val="2B579A"/>
      <w:shd w:val="clear" w:color="auto" w:fill="E1DFDD"/>
    </w:rPr>
  </w:style>
  <w:style w:type="character" w:customStyle="1" w:styleId="UnresolvedMention6">
    <w:name w:val="Unresolved Mention6"/>
    <w:basedOn w:val="DefaultParagraphFont"/>
    <w:uiPriority w:val="99"/>
    <w:semiHidden/>
    <w:unhideWhenUsed/>
    <w:rsid w:val="0039681A"/>
    <w:rPr>
      <w:color w:val="605E5C"/>
      <w:shd w:val="clear" w:color="auto" w:fill="E1DFDD"/>
    </w:rPr>
  </w:style>
  <w:style w:type="character" w:customStyle="1" w:styleId="Other1">
    <w:name w:val="Other|1_"/>
    <w:basedOn w:val="DefaultParagraphFont"/>
    <w:link w:val="Other10"/>
    <w:rsid w:val="0039681A"/>
    <w:rPr>
      <w:color w:val="006100"/>
    </w:rPr>
  </w:style>
  <w:style w:type="paragraph" w:customStyle="1" w:styleId="Other10">
    <w:name w:val="Other|1"/>
    <w:basedOn w:val="Normal"/>
    <w:link w:val="Other1"/>
    <w:rsid w:val="0039681A"/>
    <w:pPr>
      <w:widowControl w:val="0"/>
      <w:spacing w:after="0" w:line="240" w:lineRule="auto"/>
    </w:pPr>
    <w:rPr>
      <w:color w:val="006100"/>
    </w:rPr>
  </w:style>
  <w:style w:type="character" w:customStyle="1" w:styleId="Mention14">
    <w:name w:val="Mention14"/>
    <w:basedOn w:val="DefaultParagraphFont"/>
    <w:uiPriority w:val="99"/>
    <w:unhideWhenUsed/>
    <w:rsid w:val="0039681A"/>
    <w:rPr>
      <w:color w:val="2B579A"/>
      <w:shd w:val="clear" w:color="auto" w:fill="E1DFDD"/>
    </w:rPr>
  </w:style>
  <w:style w:type="paragraph" w:customStyle="1" w:styleId="Annex">
    <w:name w:val="Annex"/>
    <w:basedOn w:val="Normal"/>
    <w:next w:val="Normal"/>
    <w:rsid w:val="0039681A"/>
    <w:pPr>
      <w:spacing w:before="120" w:after="120" w:line="360" w:lineRule="auto"/>
      <w:jc w:val="right"/>
    </w:pPr>
    <w:rPr>
      <w:rFonts w:ascii="Times New Roman" w:hAnsi="Times New Roman" w:cs="Times New Roman"/>
      <w:b/>
      <w:kern w:val="0"/>
      <w:sz w:val="24"/>
      <w:u w:val="single"/>
    </w:rPr>
  </w:style>
  <w:style w:type="character" w:styleId="Hyperlink">
    <w:name w:val="Hyperlink"/>
    <w:basedOn w:val="DefaultParagraphFont"/>
    <w:uiPriority w:val="99"/>
    <w:unhideWhenUsed/>
    <w:rsid w:val="0039681A"/>
    <w:rPr>
      <w:color w:val="467886" w:themeColor="hyperlink"/>
      <w:u w:val="single"/>
    </w:rPr>
  </w:style>
  <w:style w:type="character" w:styleId="FollowedHyperlink">
    <w:name w:val="FollowedHyperlink"/>
    <w:basedOn w:val="DefaultParagraphFont"/>
    <w:uiPriority w:val="99"/>
    <w:semiHidden/>
    <w:unhideWhenUsed/>
    <w:rsid w:val="0039681A"/>
    <w:rPr>
      <w:color w:val="96607D" w:themeColor="followedHyperlink"/>
      <w:u w:val="single"/>
    </w:rPr>
  </w:style>
  <w:style w:type="paragraph" w:styleId="ListNumber">
    <w:name w:val="List Number"/>
    <w:basedOn w:val="Normal"/>
    <w:uiPriority w:val="99"/>
    <w:semiHidden/>
    <w:unhideWhenUsed/>
    <w:rsid w:val="0039681A"/>
    <w:pPr>
      <w:spacing w:line="278" w:lineRule="auto"/>
      <w:contextualSpacing/>
    </w:pPr>
    <w:rPr>
      <w:sz w:val="24"/>
      <w:szCs w:val="24"/>
      <w:lang w:val="en-IE"/>
    </w:rPr>
  </w:style>
  <w:style w:type="paragraph" w:styleId="ListNumber2">
    <w:name w:val="List Number 2"/>
    <w:basedOn w:val="Normal"/>
    <w:uiPriority w:val="99"/>
    <w:semiHidden/>
    <w:unhideWhenUsed/>
    <w:rsid w:val="0039681A"/>
    <w:pPr>
      <w:spacing w:line="278" w:lineRule="auto"/>
      <w:contextualSpacing/>
    </w:pPr>
    <w:rPr>
      <w:sz w:val="24"/>
      <w:szCs w:val="24"/>
      <w:lang w:val="en-IE"/>
    </w:rPr>
  </w:style>
  <w:style w:type="paragraph" w:styleId="ListNumber3">
    <w:name w:val="List Number 3"/>
    <w:basedOn w:val="Normal"/>
    <w:uiPriority w:val="99"/>
    <w:semiHidden/>
    <w:unhideWhenUsed/>
    <w:rsid w:val="0039681A"/>
    <w:pPr>
      <w:spacing w:line="278" w:lineRule="auto"/>
      <w:contextualSpacing/>
    </w:pPr>
    <w:rPr>
      <w:sz w:val="24"/>
      <w:szCs w:val="24"/>
      <w:lang w:val="en-IE"/>
    </w:rPr>
  </w:style>
  <w:style w:type="paragraph" w:styleId="ListNumber4">
    <w:name w:val="List Number 4"/>
    <w:basedOn w:val="Normal"/>
    <w:uiPriority w:val="99"/>
    <w:semiHidden/>
    <w:unhideWhenUsed/>
    <w:rsid w:val="0039681A"/>
    <w:pPr>
      <w:spacing w:line="278" w:lineRule="auto"/>
      <w:contextualSpacing/>
    </w:pPr>
    <w:rPr>
      <w:sz w:val="24"/>
      <w:szCs w:val="24"/>
      <w:lang w:val="en-IE"/>
    </w:rPr>
  </w:style>
  <w:style w:type="paragraph" w:styleId="Revision">
    <w:name w:val="Revision"/>
    <w:hidden/>
    <w:uiPriority w:val="99"/>
    <w:semiHidden/>
    <w:rsid w:val="0039681A"/>
    <w:pPr>
      <w:spacing w:after="0" w:line="240" w:lineRule="auto"/>
    </w:pPr>
    <w:rPr>
      <w:sz w:val="24"/>
      <w:szCs w:val="24"/>
      <w:lang w:val="en-IE"/>
    </w:rPr>
  </w:style>
  <w:style w:type="character" w:styleId="SubtleEmphasis">
    <w:name w:val="Subtle Emphasis"/>
    <w:basedOn w:val="DefaultParagraphFont"/>
    <w:uiPriority w:val="19"/>
    <w:qFormat/>
    <w:rsid w:val="0039681A"/>
    <w:rPr>
      <w:i/>
      <w:iCs/>
      <w:color w:val="404040" w:themeColor="text1" w:themeTint="BF"/>
    </w:rPr>
  </w:style>
  <w:style w:type="table" w:styleId="TableGrid">
    <w:name w:val="Table Grid"/>
    <w:basedOn w:val="TableNormal"/>
    <w:uiPriority w:val="39"/>
    <w:rsid w:val="0039681A"/>
    <w:pPr>
      <w:spacing w:after="0" w:line="240" w:lineRule="auto"/>
    </w:pPr>
    <w:rPr>
      <w:sz w:val="24"/>
      <w:szCs w:val="24"/>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1"/>
    <w:uiPriority w:val="99"/>
    <w:semiHidden/>
    <w:unhideWhenUsed/>
    <w:rsid w:val="0039681A"/>
    <w:pPr>
      <w:spacing w:after="0" w:line="240" w:lineRule="auto"/>
    </w:pPr>
    <w:rPr>
      <w:sz w:val="20"/>
      <w:szCs w:val="20"/>
      <w:lang w:val="en-IE"/>
    </w:rPr>
  </w:style>
  <w:style w:type="character" w:customStyle="1" w:styleId="EndnoteTextChar1">
    <w:name w:val="Endnote Text Char1"/>
    <w:basedOn w:val="DefaultParagraphFont"/>
    <w:link w:val="EndnoteText"/>
    <w:uiPriority w:val="99"/>
    <w:semiHidden/>
    <w:rsid w:val="0039681A"/>
    <w:rPr>
      <w:sz w:val="20"/>
      <w:szCs w:val="20"/>
      <w:lang w:val="en-IE"/>
    </w:rPr>
  </w:style>
  <w:style w:type="character" w:customStyle="1" w:styleId="Mention">
    <w:name w:val="Mention"/>
    <w:basedOn w:val="DefaultParagraphFont"/>
    <w:uiPriority w:val="99"/>
    <w:unhideWhenUsed/>
    <w:rsid w:val="0039681A"/>
    <w:rPr>
      <w:color w:val="2B579A"/>
      <w:shd w:val="clear" w:color="auto" w:fill="E1DFDD"/>
    </w:rPr>
  </w:style>
  <w:style w:type="paragraph" w:styleId="Caption">
    <w:name w:val="caption"/>
    <w:basedOn w:val="Normal"/>
    <w:next w:val="Normal"/>
    <w:uiPriority w:val="35"/>
    <w:semiHidden/>
    <w:unhideWhenUsed/>
    <w:qFormat/>
    <w:rsid w:val="0039681A"/>
    <w:pPr>
      <w:spacing w:after="200" w:line="240" w:lineRule="auto"/>
      <w:jc w:val="both"/>
    </w:pPr>
    <w:rPr>
      <w:rFonts w:ascii="Times New Roman" w:hAnsi="Times New Roman" w:cs="Times New Roman"/>
      <w:i/>
      <w:iCs/>
      <w:color w:val="0E2841" w:themeColor="text2"/>
      <w:kern w:val="0"/>
      <w:sz w:val="18"/>
      <w:szCs w:val="18"/>
      <w:lang w:val="de-DE"/>
    </w:rPr>
  </w:style>
  <w:style w:type="paragraph" w:styleId="TableofFigures">
    <w:name w:val="table of figures"/>
    <w:basedOn w:val="Normal"/>
    <w:next w:val="Normal"/>
    <w:uiPriority w:val="99"/>
    <w:semiHidden/>
    <w:unhideWhenUsed/>
    <w:rsid w:val="0039681A"/>
    <w:pPr>
      <w:spacing w:before="120" w:after="0" w:line="240" w:lineRule="auto"/>
      <w:jc w:val="both"/>
    </w:pPr>
    <w:rPr>
      <w:rFonts w:ascii="Times New Roman" w:hAnsi="Times New Roman" w:cs="Times New Roman"/>
      <w:kern w:val="0"/>
      <w:sz w:val="24"/>
      <w:lang w:val="de-DE"/>
    </w:rPr>
  </w:style>
  <w:style w:type="character" w:customStyle="1" w:styleId="UnresolvedMention">
    <w:name w:val="Unresolved Mention"/>
    <w:basedOn w:val="DefaultParagraphFont"/>
    <w:uiPriority w:val="99"/>
    <w:semiHidden/>
    <w:unhideWhenUsed/>
    <w:rsid w:val="0039681A"/>
    <w:rPr>
      <w:color w:val="605E5C"/>
      <w:shd w:val="clear" w:color="auto" w:fill="E1DFDD"/>
    </w:rPr>
  </w:style>
  <w:style w:type="numbering" w:customStyle="1" w:styleId="NoList3">
    <w:name w:val="No List3"/>
    <w:next w:val="NoList"/>
    <w:uiPriority w:val="99"/>
    <w:semiHidden/>
    <w:unhideWhenUsed/>
    <w:rsid w:val="00927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30.xml"/><Relationship Id="rId21" Type="http://schemas.openxmlformats.org/officeDocument/2006/relationships/header" Target="header7.xml"/><Relationship Id="rId42" Type="http://schemas.openxmlformats.org/officeDocument/2006/relationships/header" Target="header21.xml"/><Relationship Id="rId63" Type="http://schemas.openxmlformats.org/officeDocument/2006/relationships/header" Target="header37.xml"/><Relationship Id="rId84" Type="http://schemas.openxmlformats.org/officeDocument/2006/relationships/header" Target="header53.xml"/><Relationship Id="rId138" Type="http://schemas.openxmlformats.org/officeDocument/2006/relationships/header" Target="header92.xml"/><Relationship Id="rId159" Type="http://schemas.openxmlformats.org/officeDocument/2006/relationships/header" Target="header107.xml"/><Relationship Id="rId170" Type="http://schemas.openxmlformats.org/officeDocument/2006/relationships/header" Target="header114.xml"/><Relationship Id="rId191" Type="http://schemas.openxmlformats.org/officeDocument/2006/relationships/footer" Target="footer55.xml"/><Relationship Id="rId205" Type="http://schemas.openxmlformats.org/officeDocument/2006/relationships/header" Target="header137.xml"/><Relationship Id="rId226" Type="http://schemas.openxmlformats.org/officeDocument/2006/relationships/header" Target="header153.xml"/><Relationship Id="rId247" Type="http://schemas.openxmlformats.org/officeDocument/2006/relationships/footer" Target="footer69.xml"/><Relationship Id="rId107" Type="http://schemas.openxmlformats.org/officeDocument/2006/relationships/header" Target="header70.xml"/><Relationship Id="rId268" Type="http://schemas.openxmlformats.org/officeDocument/2006/relationships/theme" Target="theme/theme1.xml"/><Relationship Id="rId11" Type="http://schemas.openxmlformats.org/officeDocument/2006/relationships/footer" Target="footer1.xml"/><Relationship Id="rId32" Type="http://schemas.openxmlformats.org/officeDocument/2006/relationships/header" Target="header14.xml"/><Relationship Id="rId53" Type="http://schemas.openxmlformats.org/officeDocument/2006/relationships/footer" Target="footer14.xml"/><Relationship Id="rId74" Type="http://schemas.openxmlformats.org/officeDocument/2006/relationships/header" Target="header45.xml"/><Relationship Id="rId128" Type="http://schemas.openxmlformats.org/officeDocument/2006/relationships/footer" Target="footer34.xml"/><Relationship Id="rId149" Type="http://schemas.openxmlformats.org/officeDocument/2006/relationships/footer" Target="footer40.xml"/><Relationship Id="rId5" Type="http://schemas.openxmlformats.org/officeDocument/2006/relationships/webSettings" Target="webSettings.xml"/><Relationship Id="rId95" Type="http://schemas.openxmlformats.org/officeDocument/2006/relationships/header" Target="header61.xml"/><Relationship Id="rId160" Type="http://schemas.openxmlformats.org/officeDocument/2006/relationships/header" Target="header108.xml"/><Relationship Id="rId181" Type="http://schemas.openxmlformats.org/officeDocument/2006/relationships/header" Target="header119.xml"/><Relationship Id="rId216" Type="http://schemas.openxmlformats.org/officeDocument/2006/relationships/header" Target="header145.xml"/><Relationship Id="rId237" Type="http://schemas.openxmlformats.org/officeDocument/2006/relationships/header" Target="header161.xml"/><Relationship Id="rId258" Type="http://schemas.openxmlformats.org/officeDocument/2006/relationships/header" Target="header177.xml"/><Relationship Id="rId22" Type="http://schemas.openxmlformats.org/officeDocument/2006/relationships/header" Target="header8.xml"/><Relationship Id="rId43" Type="http://schemas.openxmlformats.org/officeDocument/2006/relationships/header" Target="header22.xml"/><Relationship Id="rId64" Type="http://schemas.openxmlformats.org/officeDocument/2006/relationships/header" Target="header38.xml"/><Relationship Id="rId118" Type="http://schemas.openxmlformats.org/officeDocument/2006/relationships/header" Target="header78.xml"/><Relationship Id="rId139" Type="http://schemas.openxmlformats.org/officeDocument/2006/relationships/footer" Target="footer37.xml"/><Relationship Id="rId85" Type="http://schemas.openxmlformats.org/officeDocument/2006/relationships/footer" Target="footer22.xml"/><Relationship Id="rId150" Type="http://schemas.openxmlformats.org/officeDocument/2006/relationships/header" Target="header100.xml"/><Relationship Id="rId171" Type="http://schemas.openxmlformats.org/officeDocument/2006/relationships/footer" Target="footer47.xml"/><Relationship Id="rId192" Type="http://schemas.openxmlformats.org/officeDocument/2006/relationships/header" Target="header127.xml"/><Relationship Id="rId206" Type="http://schemas.openxmlformats.org/officeDocument/2006/relationships/header" Target="header138.xml"/><Relationship Id="rId227" Type="http://schemas.openxmlformats.org/officeDocument/2006/relationships/footer" Target="footer64.xml"/><Relationship Id="rId248" Type="http://schemas.openxmlformats.org/officeDocument/2006/relationships/header" Target="header169.xml"/><Relationship Id="rId12" Type="http://schemas.openxmlformats.org/officeDocument/2006/relationships/footer" Target="footer2.xml"/><Relationship Id="rId33" Type="http://schemas.openxmlformats.org/officeDocument/2006/relationships/footer" Target="footer9.xml"/><Relationship Id="rId108" Type="http://schemas.openxmlformats.org/officeDocument/2006/relationships/header" Target="header71.xml"/><Relationship Id="rId129" Type="http://schemas.openxmlformats.org/officeDocument/2006/relationships/header" Target="header85.xml"/><Relationship Id="rId54" Type="http://schemas.openxmlformats.org/officeDocument/2006/relationships/header" Target="header30.xml"/><Relationship Id="rId75" Type="http://schemas.openxmlformats.org/officeDocument/2006/relationships/header" Target="header46.xml"/><Relationship Id="rId96" Type="http://schemas.openxmlformats.org/officeDocument/2006/relationships/header" Target="header62.xml"/><Relationship Id="rId140" Type="http://schemas.openxmlformats.org/officeDocument/2006/relationships/header" Target="header93.xml"/><Relationship Id="rId161" Type="http://schemas.openxmlformats.org/officeDocument/2006/relationships/footer" Target="footer43.xml"/><Relationship Id="rId182" Type="http://schemas.openxmlformats.org/officeDocument/2006/relationships/header" Target="header120.xml"/><Relationship Id="rId217" Type="http://schemas.openxmlformats.org/officeDocument/2006/relationships/header" Target="header146.xml"/><Relationship Id="rId6" Type="http://schemas.openxmlformats.org/officeDocument/2006/relationships/footnotes" Target="footnotes.xml"/><Relationship Id="rId238" Type="http://schemas.openxmlformats.org/officeDocument/2006/relationships/header" Target="header162.xml"/><Relationship Id="rId259" Type="http://schemas.openxmlformats.org/officeDocument/2006/relationships/footer" Target="footer72.xml"/><Relationship Id="rId23" Type="http://schemas.openxmlformats.org/officeDocument/2006/relationships/footer" Target="footer7.xml"/><Relationship Id="rId28" Type="http://schemas.openxmlformats.org/officeDocument/2006/relationships/header" Target="header12.xml"/><Relationship Id="rId49" Type="http://schemas.openxmlformats.org/officeDocument/2006/relationships/footer" Target="footer13.xml"/><Relationship Id="rId114" Type="http://schemas.openxmlformats.org/officeDocument/2006/relationships/header" Target="header75.xml"/><Relationship Id="rId119" Type="http://schemas.openxmlformats.org/officeDocument/2006/relationships/header" Target="header79.xml"/><Relationship Id="rId44" Type="http://schemas.openxmlformats.org/officeDocument/2006/relationships/header" Target="header23.xml"/><Relationship Id="rId60" Type="http://schemas.openxmlformats.org/officeDocument/2006/relationships/header" Target="header35.xml"/><Relationship Id="rId65" Type="http://schemas.openxmlformats.org/officeDocument/2006/relationships/footer" Target="footer17.xml"/><Relationship Id="rId81" Type="http://schemas.openxmlformats.org/officeDocument/2006/relationships/footer" Target="footer21.xml"/><Relationship Id="rId86" Type="http://schemas.openxmlformats.org/officeDocument/2006/relationships/header" Target="header54.xml"/><Relationship Id="rId130" Type="http://schemas.openxmlformats.org/officeDocument/2006/relationships/header" Target="header86.xml"/><Relationship Id="rId135" Type="http://schemas.openxmlformats.org/officeDocument/2006/relationships/footer" Target="footer36.xml"/><Relationship Id="rId151" Type="http://schemas.openxmlformats.org/officeDocument/2006/relationships/header" Target="header101.xml"/><Relationship Id="rId156" Type="http://schemas.openxmlformats.org/officeDocument/2006/relationships/header" Target="header105.xml"/><Relationship Id="rId177" Type="http://schemas.openxmlformats.org/officeDocument/2006/relationships/footer" Target="footer50.xml"/><Relationship Id="rId198" Type="http://schemas.openxmlformats.org/officeDocument/2006/relationships/header" Target="header132.xml"/><Relationship Id="rId172" Type="http://schemas.openxmlformats.org/officeDocument/2006/relationships/footer" Target="footer48.xml"/><Relationship Id="rId193" Type="http://schemas.openxmlformats.org/officeDocument/2006/relationships/header" Target="header128.xml"/><Relationship Id="rId202" Type="http://schemas.openxmlformats.org/officeDocument/2006/relationships/header" Target="header135.xml"/><Relationship Id="rId207" Type="http://schemas.openxmlformats.org/officeDocument/2006/relationships/footer" Target="footer59.xml"/><Relationship Id="rId223" Type="http://schemas.openxmlformats.org/officeDocument/2006/relationships/footer" Target="footer63.xml"/><Relationship Id="rId228" Type="http://schemas.openxmlformats.org/officeDocument/2006/relationships/header" Target="header154.xml"/><Relationship Id="rId244" Type="http://schemas.openxmlformats.org/officeDocument/2006/relationships/header" Target="header166.xml"/><Relationship Id="rId249" Type="http://schemas.openxmlformats.org/officeDocument/2006/relationships/header" Target="header170.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header" Target="header19.xml"/><Relationship Id="rId109" Type="http://schemas.openxmlformats.org/officeDocument/2006/relationships/footer" Target="footer28.xml"/><Relationship Id="rId260" Type="http://schemas.openxmlformats.org/officeDocument/2006/relationships/header" Target="header178.xml"/><Relationship Id="rId265" Type="http://schemas.openxmlformats.org/officeDocument/2006/relationships/header" Target="header182.xml"/><Relationship Id="rId34" Type="http://schemas.openxmlformats.org/officeDocument/2006/relationships/header" Target="header15.xml"/><Relationship Id="rId50" Type="http://schemas.openxmlformats.org/officeDocument/2006/relationships/header" Target="header27.xml"/><Relationship Id="rId55" Type="http://schemas.openxmlformats.org/officeDocument/2006/relationships/header" Target="header31.xml"/><Relationship Id="rId76" Type="http://schemas.openxmlformats.org/officeDocument/2006/relationships/header" Target="header47.xml"/><Relationship Id="rId97" Type="http://schemas.openxmlformats.org/officeDocument/2006/relationships/footer" Target="footer25.xml"/><Relationship Id="rId104" Type="http://schemas.openxmlformats.org/officeDocument/2006/relationships/header" Target="header68.xml"/><Relationship Id="rId120" Type="http://schemas.openxmlformats.org/officeDocument/2006/relationships/header" Target="header80.xml"/><Relationship Id="rId125" Type="http://schemas.openxmlformats.org/officeDocument/2006/relationships/footer" Target="footer32.xml"/><Relationship Id="rId141" Type="http://schemas.openxmlformats.org/officeDocument/2006/relationships/header" Target="header94.xml"/><Relationship Id="rId146" Type="http://schemas.openxmlformats.org/officeDocument/2006/relationships/footer" Target="footer39.xml"/><Relationship Id="rId167" Type="http://schemas.openxmlformats.org/officeDocument/2006/relationships/header" Target="header112.xml"/><Relationship Id="rId188" Type="http://schemas.openxmlformats.org/officeDocument/2006/relationships/header" Target="header124.xml"/><Relationship Id="rId7" Type="http://schemas.openxmlformats.org/officeDocument/2006/relationships/endnotes" Target="endnotes.xml"/><Relationship Id="rId71" Type="http://schemas.openxmlformats.org/officeDocument/2006/relationships/header" Target="header43.xml"/><Relationship Id="rId92" Type="http://schemas.openxmlformats.org/officeDocument/2006/relationships/header" Target="header59.xml"/><Relationship Id="rId162" Type="http://schemas.openxmlformats.org/officeDocument/2006/relationships/header" Target="header109.xml"/><Relationship Id="rId183" Type="http://schemas.openxmlformats.org/officeDocument/2006/relationships/footer" Target="footer53.xml"/><Relationship Id="rId213" Type="http://schemas.openxmlformats.org/officeDocument/2006/relationships/header" Target="header143.xml"/><Relationship Id="rId218" Type="http://schemas.openxmlformats.org/officeDocument/2006/relationships/header" Target="header147.xml"/><Relationship Id="rId234" Type="http://schemas.openxmlformats.org/officeDocument/2006/relationships/header" Target="header159.xml"/><Relationship Id="rId239" Type="http://schemas.openxmlformats.org/officeDocument/2006/relationships/footer" Target="footer67.xml"/><Relationship Id="rId2" Type="http://schemas.openxmlformats.org/officeDocument/2006/relationships/numbering" Target="numbering.xml"/><Relationship Id="rId29" Type="http://schemas.openxmlformats.org/officeDocument/2006/relationships/hyperlink" Target="https://www.inps.it/" TargetMode="External"/><Relationship Id="rId250" Type="http://schemas.openxmlformats.org/officeDocument/2006/relationships/header" Target="header171.xml"/><Relationship Id="rId255" Type="http://schemas.openxmlformats.org/officeDocument/2006/relationships/footer" Target="footer71.xml"/><Relationship Id="rId24" Type="http://schemas.openxmlformats.org/officeDocument/2006/relationships/header" Target="header9.xml"/><Relationship Id="rId40" Type="http://schemas.openxmlformats.org/officeDocument/2006/relationships/header" Target="header20.xml"/><Relationship Id="rId45" Type="http://schemas.openxmlformats.org/officeDocument/2006/relationships/footer" Target="footer12.xml"/><Relationship Id="rId66" Type="http://schemas.openxmlformats.org/officeDocument/2006/relationships/header" Target="header39.xml"/><Relationship Id="rId87" Type="http://schemas.openxmlformats.org/officeDocument/2006/relationships/header" Target="header55.xml"/><Relationship Id="rId110" Type="http://schemas.openxmlformats.org/officeDocument/2006/relationships/header" Target="header72.xml"/><Relationship Id="rId115" Type="http://schemas.openxmlformats.org/officeDocument/2006/relationships/header" Target="header76.xml"/><Relationship Id="rId131" Type="http://schemas.openxmlformats.org/officeDocument/2006/relationships/footer" Target="footer35.xml"/><Relationship Id="rId136" Type="http://schemas.openxmlformats.org/officeDocument/2006/relationships/header" Target="header90.xml"/><Relationship Id="rId157" Type="http://schemas.openxmlformats.org/officeDocument/2006/relationships/footer" Target="footer42.xml"/><Relationship Id="rId178" Type="http://schemas.openxmlformats.org/officeDocument/2006/relationships/footer" Target="footer51.xml"/><Relationship Id="rId61" Type="http://schemas.openxmlformats.org/officeDocument/2006/relationships/footer" Target="footer16.xml"/><Relationship Id="rId82" Type="http://schemas.openxmlformats.org/officeDocument/2006/relationships/header" Target="header51.xml"/><Relationship Id="rId152" Type="http://schemas.openxmlformats.org/officeDocument/2006/relationships/header" Target="header102.xml"/><Relationship Id="rId173" Type="http://schemas.openxmlformats.org/officeDocument/2006/relationships/header" Target="header115.xml"/><Relationship Id="rId194" Type="http://schemas.openxmlformats.org/officeDocument/2006/relationships/header" Target="header129.xml"/><Relationship Id="rId199" Type="http://schemas.openxmlformats.org/officeDocument/2006/relationships/footer" Target="footer57.xml"/><Relationship Id="rId203" Type="http://schemas.openxmlformats.org/officeDocument/2006/relationships/footer" Target="footer58.xml"/><Relationship Id="rId208" Type="http://schemas.openxmlformats.org/officeDocument/2006/relationships/header" Target="header139.xml"/><Relationship Id="rId229" Type="http://schemas.openxmlformats.org/officeDocument/2006/relationships/header" Target="header155.xml"/><Relationship Id="rId19" Type="http://schemas.openxmlformats.org/officeDocument/2006/relationships/header" Target="header6.xml"/><Relationship Id="rId224" Type="http://schemas.openxmlformats.org/officeDocument/2006/relationships/header" Target="header151.xml"/><Relationship Id="rId240" Type="http://schemas.openxmlformats.org/officeDocument/2006/relationships/header" Target="header163.xml"/><Relationship Id="rId245" Type="http://schemas.openxmlformats.org/officeDocument/2006/relationships/header" Target="header167.xml"/><Relationship Id="rId261" Type="http://schemas.openxmlformats.org/officeDocument/2006/relationships/header" Target="header179.xml"/><Relationship Id="rId266" Type="http://schemas.openxmlformats.org/officeDocument/2006/relationships/footer" Target="footer74.xml"/><Relationship Id="rId14" Type="http://schemas.openxmlformats.org/officeDocument/2006/relationships/footer" Target="footer3.xml"/><Relationship Id="rId30" Type="http://schemas.openxmlformats.org/officeDocument/2006/relationships/hyperlink" Target="https://www.inps.it/" TargetMode="External"/><Relationship Id="rId35" Type="http://schemas.openxmlformats.org/officeDocument/2006/relationships/header" Target="header16.xml"/><Relationship Id="rId56" Type="http://schemas.openxmlformats.org/officeDocument/2006/relationships/header" Target="header32.xml"/><Relationship Id="rId77" Type="http://schemas.openxmlformats.org/officeDocument/2006/relationships/footer" Target="footer20.xml"/><Relationship Id="rId100" Type="http://schemas.openxmlformats.org/officeDocument/2006/relationships/header" Target="header65.xml"/><Relationship Id="rId105" Type="http://schemas.openxmlformats.org/officeDocument/2006/relationships/footer" Target="footer27.xml"/><Relationship Id="rId126" Type="http://schemas.openxmlformats.org/officeDocument/2006/relationships/footer" Target="footer33.xml"/><Relationship Id="rId147" Type="http://schemas.openxmlformats.org/officeDocument/2006/relationships/header" Target="header98.xml"/><Relationship Id="rId168" Type="http://schemas.openxmlformats.org/officeDocument/2006/relationships/footer" Target="footer46.xml"/><Relationship Id="rId8" Type="http://schemas.openxmlformats.org/officeDocument/2006/relationships/image" Target="media/image1.emf"/><Relationship Id="rId51" Type="http://schemas.openxmlformats.org/officeDocument/2006/relationships/header" Target="header28.xml"/><Relationship Id="rId72" Type="http://schemas.openxmlformats.org/officeDocument/2006/relationships/header" Target="header44.xml"/><Relationship Id="rId93" Type="http://schemas.openxmlformats.org/officeDocument/2006/relationships/footer" Target="footer24.xml"/><Relationship Id="rId98" Type="http://schemas.openxmlformats.org/officeDocument/2006/relationships/header" Target="header63.xml"/><Relationship Id="rId121" Type="http://schemas.openxmlformats.org/officeDocument/2006/relationships/footer" Target="footer31.xml"/><Relationship Id="rId142" Type="http://schemas.openxmlformats.org/officeDocument/2006/relationships/header" Target="header95.xml"/><Relationship Id="rId163" Type="http://schemas.openxmlformats.org/officeDocument/2006/relationships/header" Target="header110.xml"/><Relationship Id="rId184" Type="http://schemas.openxmlformats.org/officeDocument/2006/relationships/header" Target="header121.xml"/><Relationship Id="rId189" Type="http://schemas.openxmlformats.org/officeDocument/2006/relationships/header" Target="header125.xml"/><Relationship Id="rId219" Type="http://schemas.openxmlformats.org/officeDocument/2006/relationships/footer" Target="footer62.xml"/><Relationship Id="rId3" Type="http://schemas.openxmlformats.org/officeDocument/2006/relationships/styles" Target="styles.xml"/><Relationship Id="rId214" Type="http://schemas.openxmlformats.org/officeDocument/2006/relationships/header" Target="header144.xml"/><Relationship Id="rId230" Type="http://schemas.openxmlformats.org/officeDocument/2006/relationships/header" Target="header156.xml"/><Relationship Id="rId235" Type="http://schemas.openxmlformats.org/officeDocument/2006/relationships/footer" Target="footer66.xml"/><Relationship Id="rId251" Type="http://schemas.openxmlformats.org/officeDocument/2006/relationships/footer" Target="footer70.xml"/><Relationship Id="rId256" Type="http://schemas.openxmlformats.org/officeDocument/2006/relationships/header" Target="header175.xml"/><Relationship Id="rId25" Type="http://schemas.openxmlformats.org/officeDocument/2006/relationships/header" Target="header10.xml"/><Relationship Id="rId46" Type="http://schemas.openxmlformats.org/officeDocument/2006/relationships/header" Target="header24.xml"/><Relationship Id="rId67" Type="http://schemas.openxmlformats.org/officeDocument/2006/relationships/header" Target="header40.xml"/><Relationship Id="rId116" Type="http://schemas.openxmlformats.org/officeDocument/2006/relationships/header" Target="header77.xml"/><Relationship Id="rId137" Type="http://schemas.openxmlformats.org/officeDocument/2006/relationships/header" Target="header91.xml"/><Relationship Id="rId158" Type="http://schemas.openxmlformats.org/officeDocument/2006/relationships/header" Target="header106.xml"/><Relationship Id="rId20" Type="http://schemas.openxmlformats.org/officeDocument/2006/relationships/footer" Target="footer6.xml"/><Relationship Id="rId41" Type="http://schemas.openxmlformats.org/officeDocument/2006/relationships/footer" Target="footer11.xml"/><Relationship Id="rId62" Type="http://schemas.openxmlformats.org/officeDocument/2006/relationships/header" Target="header36.xml"/><Relationship Id="rId83" Type="http://schemas.openxmlformats.org/officeDocument/2006/relationships/header" Target="header52.xml"/><Relationship Id="rId88" Type="http://schemas.openxmlformats.org/officeDocument/2006/relationships/header" Target="header56.xml"/><Relationship Id="rId111" Type="http://schemas.openxmlformats.org/officeDocument/2006/relationships/header" Target="header73.xml"/><Relationship Id="rId132" Type="http://schemas.openxmlformats.org/officeDocument/2006/relationships/header" Target="header87.xml"/><Relationship Id="rId153" Type="http://schemas.openxmlformats.org/officeDocument/2006/relationships/footer" Target="footer41.xml"/><Relationship Id="rId174" Type="http://schemas.openxmlformats.org/officeDocument/2006/relationships/footer" Target="footer49.xml"/><Relationship Id="rId179" Type="http://schemas.openxmlformats.org/officeDocument/2006/relationships/header" Target="header118.xml"/><Relationship Id="rId195" Type="http://schemas.openxmlformats.org/officeDocument/2006/relationships/footer" Target="footer56.xml"/><Relationship Id="rId209" Type="http://schemas.openxmlformats.org/officeDocument/2006/relationships/header" Target="header140.xml"/><Relationship Id="rId190" Type="http://schemas.openxmlformats.org/officeDocument/2006/relationships/header" Target="header126.xml"/><Relationship Id="rId204" Type="http://schemas.openxmlformats.org/officeDocument/2006/relationships/header" Target="header136.xml"/><Relationship Id="rId220" Type="http://schemas.openxmlformats.org/officeDocument/2006/relationships/header" Target="header148.xml"/><Relationship Id="rId225" Type="http://schemas.openxmlformats.org/officeDocument/2006/relationships/header" Target="header152.xml"/><Relationship Id="rId241" Type="http://schemas.openxmlformats.org/officeDocument/2006/relationships/header" Target="header164.xml"/><Relationship Id="rId246" Type="http://schemas.openxmlformats.org/officeDocument/2006/relationships/header" Target="header168.xml"/><Relationship Id="rId267" Type="http://schemas.openxmlformats.org/officeDocument/2006/relationships/fontTable" Target="fontTable.xml"/><Relationship Id="rId15" Type="http://schemas.openxmlformats.org/officeDocument/2006/relationships/header" Target="header4.xml"/><Relationship Id="rId36" Type="http://schemas.openxmlformats.org/officeDocument/2006/relationships/header" Target="header17.xml"/><Relationship Id="rId57" Type="http://schemas.openxmlformats.org/officeDocument/2006/relationships/footer" Target="footer15.xml"/><Relationship Id="rId106" Type="http://schemas.openxmlformats.org/officeDocument/2006/relationships/header" Target="header69.xml"/><Relationship Id="rId127" Type="http://schemas.openxmlformats.org/officeDocument/2006/relationships/header" Target="header84.xml"/><Relationship Id="rId262" Type="http://schemas.openxmlformats.org/officeDocument/2006/relationships/header" Target="header180.xml"/><Relationship Id="rId10" Type="http://schemas.openxmlformats.org/officeDocument/2006/relationships/header" Target="header2.xml"/><Relationship Id="rId31" Type="http://schemas.openxmlformats.org/officeDocument/2006/relationships/header" Target="header13.xml"/><Relationship Id="rId52" Type="http://schemas.openxmlformats.org/officeDocument/2006/relationships/header" Target="header29.xml"/><Relationship Id="rId73" Type="http://schemas.openxmlformats.org/officeDocument/2006/relationships/footer" Target="footer19.xml"/><Relationship Id="rId78" Type="http://schemas.openxmlformats.org/officeDocument/2006/relationships/header" Target="header48.xml"/><Relationship Id="rId94" Type="http://schemas.openxmlformats.org/officeDocument/2006/relationships/header" Target="header60.xml"/><Relationship Id="rId99" Type="http://schemas.openxmlformats.org/officeDocument/2006/relationships/header" Target="header64.xml"/><Relationship Id="rId101" Type="http://schemas.openxmlformats.org/officeDocument/2006/relationships/footer" Target="footer26.xml"/><Relationship Id="rId122" Type="http://schemas.openxmlformats.org/officeDocument/2006/relationships/header" Target="header81.xml"/><Relationship Id="rId143" Type="http://schemas.openxmlformats.org/officeDocument/2006/relationships/footer" Target="footer38.xml"/><Relationship Id="rId148" Type="http://schemas.openxmlformats.org/officeDocument/2006/relationships/header" Target="header99.xml"/><Relationship Id="rId164" Type="http://schemas.openxmlformats.org/officeDocument/2006/relationships/header" Target="header111.xml"/><Relationship Id="rId169" Type="http://schemas.openxmlformats.org/officeDocument/2006/relationships/header" Target="header113.xml"/><Relationship Id="rId185" Type="http://schemas.openxmlformats.org/officeDocument/2006/relationships/header" Target="header122.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footer" Target="footer52.xml"/><Relationship Id="rId210" Type="http://schemas.openxmlformats.org/officeDocument/2006/relationships/header" Target="header141.xml"/><Relationship Id="rId215" Type="http://schemas.openxmlformats.org/officeDocument/2006/relationships/footer" Target="footer61.xml"/><Relationship Id="rId236" Type="http://schemas.openxmlformats.org/officeDocument/2006/relationships/header" Target="header160.xml"/><Relationship Id="rId257" Type="http://schemas.openxmlformats.org/officeDocument/2006/relationships/header" Target="header176.xml"/><Relationship Id="rId26" Type="http://schemas.openxmlformats.org/officeDocument/2006/relationships/header" Target="header11.xml"/><Relationship Id="rId231" Type="http://schemas.openxmlformats.org/officeDocument/2006/relationships/footer" Target="footer65.xml"/><Relationship Id="rId252" Type="http://schemas.openxmlformats.org/officeDocument/2006/relationships/header" Target="header172.xml"/><Relationship Id="rId47" Type="http://schemas.openxmlformats.org/officeDocument/2006/relationships/header" Target="header25.xml"/><Relationship Id="rId68" Type="http://schemas.openxmlformats.org/officeDocument/2006/relationships/header" Target="header41.xml"/><Relationship Id="rId89" Type="http://schemas.openxmlformats.org/officeDocument/2006/relationships/footer" Target="footer23.xml"/><Relationship Id="rId112" Type="http://schemas.openxmlformats.org/officeDocument/2006/relationships/header" Target="header74.xml"/><Relationship Id="rId133" Type="http://schemas.openxmlformats.org/officeDocument/2006/relationships/header" Target="header88.xml"/><Relationship Id="rId154" Type="http://schemas.openxmlformats.org/officeDocument/2006/relationships/header" Target="header103.xml"/><Relationship Id="rId175" Type="http://schemas.openxmlformats.org/officeDocument/2006/relationships/header" Target="header116.xml"/><Relationship Id="rId196" Type="http://schemas.openxmlformats.org/officeDocument/2006/relationships/header" Target="header130.xml"/><Relationship Id="rId200" Type="http://schemas.openxmlformats.org/officeDocument/2006/relationships/header" Target="header133.xml"/><Relationship Id="rId16" Type="http://schemas.openxmlformats.org/officeDocument/2006/relationships/header" Target="header5.xml"/><Relationship Id="rId221" Type="http://schemas.openxmlformats.org/officeDocument/2006/relationships/header" Target="header149.xml"/><Relationship Id="rId242" Type="http://schemas.openxmlformats.org/officeDocument/2006/relationships/header" Target="header165.xml"/><Relationship Id="rId263" Type="http://schemas.openxmlformats.org/officeDocument/2006/relationships/footer" Target="footer73.xml"/><Relationship Id="rId37" Type="http://schemas.openxmlformats.org/officeDocument/2006/relationships/footer" Target="footer10.xml"/><Relationship Id="rId58" Type="http://schemas.openxmlformats.org/officeDocument/2006/relationships/header" Target="header33.xml"/><Relationship Id="rId79" Type="http://schemas.openxmlformats.org/officeDocument/2006/relationships/header" Target="header49.xml"/><Relationship Id="rId102" Type="http://schemas.openxmlformats.org/officeDocument/2006/relationships/header" Target="header66.xml"/><Relationship Id="rId123" Type="http://schemas.openxmlformats.org/officeDocument/2006/relationships/header" Target="header82.xml"/><Relationship Id="rId144" Type="http://schemas.openxmlformats.org/officeDocument/2006/relationships/header" Target="header96.xml"/><Relationship Id="rId90" Type="http://schemas.openxmlformats.org/officeDocument/2006/relationships/header" Target="header57.xml"/><Relationship Id="rId165" Type="http://schemas.openxmlformats.org/officeDocument/2006/relationships/footer" Target="footer44.xml"/><Relationship Id="rId186" Type="http://schemas.openxmlformats.org/officeDocument/2006/relationships/header" Target="header123.xml"/><Relationship Id="rId211" Type="http://schemas.openxmlformats.org/officeDocument/2006/relationships/footer" Target="footer60.xml"/><Relationship Id="rId232" Type="http://schemas.openxmlformats.org/officeDocument/2006/relationships/header" Target="header157.xml"/><Relationship Id="rId253" Type="http://schemas.openxmlformats.org/officeDocument/2006/relationships/header" Target="header173.xml"/><Relationship Id="rId27" Type="http://schemas.openxmlformats.org/officeDocument/2006/relationships/footer" Target="footer8.xml"/><Relationship Id="rId48" Type="http://schemas.openxmlformats.org/officeDocument/2006/relationships/header" Target="header26.xml"/><Relationship Id="rId69" Type="http://schemas.openxmlformats.org/officeDocument/2006/relationships/footer" Target="footer18.xml"/><Relationship Id="rId113" Type="http://schemas.openxmlformats.org/officeDocument/2006/relationships/footer" Target="footer29.xml"/><Relationship Id="rId134" Type="http://schemas.openxmlformats.org/officeDocument/2006/relationships/header" Target="header89.xml"/><Relationship Id="rId80" Type="http://schemas.openxmlformats.org/officeDocument/2006/relationships/header" Target="header50.xml"/><Relationship Id="rId155" Type="http://schemas.openxmlformats.org/officeDocument/2006/relationships/header" Target="header104.xml"/><Relationship Id="rId176" Type="http://schemas.openxmlformats.org/officeDocument/2006/relationships/header" Target="header117.xml"/><Relationship Id="rId197" Type="http://schemas.openxmlformats.org/officeDocument/2006/relationships/header" Target="header131.xml"/><Relationship Id="rId201" Type="http://schemas.openxmlformats.org/officeDocument/2006/relationships/header" Target="header134.xml"/><Relationship Id="rId222" Type="http://schemas.openxmlformats.org/officeDocument/2006/relationships/header" Target="header150.xml"/><Relationship Id="rId243" Type="http://schemas.openxmlformats.org/officeDocument/2006/relationships/footer" Target="footer68.xml"/><Relationship Id="rId264" Type="http://schemas.openxmlformats.org/officeDocument/2006/relationships/header" Target="header181.xml"/><Relationship Id="rId17" Type="http://schemas.openxmlformats.org/officeDocument/2006/relationships/footer" Target="footer4.xml"/><Relationship Id="rId38" Type="http://schemas.openxmlformats.org/officeDocument/2006/relationships/header" Target="header18.xml"/><Relationship Id="rId59" Type="http://schemas.openxmlformats.org/officeDocument/2006/relationships/header" Target="header34.xml"/><Relationship Id="rId103" Type="http://schemas.openxmlformats.org/officeDocument/2006/relationships/header" Target="header67.xml"/><Relationship Id="rId124" Type="http://schemas.openxmlformats.org/officeDocument/2006/relationships/header" Target="header83.xml"/><Relationship Id="rId70" Type="http://schemas.openxmlformats.org/officeDocument/2006/relationships/header" Target="header42.xml"/><Relationship Id="rId91" Type="http://schemas.openxmlformats.org/officeDocument/2006/relationships/header" Target="header58.xml"/><Relationship Id="rId145" Type="http://schemas.openxmlformats.org/officeDocument/2006/relationships/header" Target="header97.xml"/><Relationship Id="rId166" Type="http://schemas.openxmlformats.org/officeDocument/2006/relationships/footer" Target="footer45.xml"/><Relationship Id="rId187" Type="http://schemas.openxmlformats.org/officeDocument/2006/relationships/footer" Target="footer54.xml"/><Relationship Id="rId1" Type="http://schemas.openxmlformats.org/officeDocument/2006/relationships/customXml" Target="../customXml/item1.xml"/><Relationship Id="rId212" Type="http://schemas.openxmlformats.org/officeDocument/2006/relationships/header" Target="header142.xml"/><Relationship Id="rId233" Type="http://schemas.openxmlformats.org/officeDocument/2006/relationships/header" Target="header158.xml"/><Relationship Id="rId254" Type="http://schemas.openxmlformats.org/officeDocument/2006/relationships/header" Target="header17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BF3A12-70B3-49A5-9BC1-0E25E374A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10</Pages>
  <Words>112106</Words>
  <Characters>639006</Characters>
  <Application>Microsoft Office Word</Application>
  <DocSecurity>0</DocSecurity>
  <Lines>5325</Lines>
  <Paragraphs>1499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2026-08-04T20:19:00Z</dcterms:created>
  <dcterms:modified xsi:type="dcterms:W3CDTF">2026-08-05T14:03:00Z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2026-07-24T12:58:41Z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9267aa7b-ef81-48a5-94a5-7fb365ddda57</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