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6558CE" w:rsidRDefault="009933BA" w:rsidP="009933B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B726B4-35F4-4B29-9C84-9E233116AB74" style="width:455.25pt;height:357.75pt">
            <v:imagedata r:id="rId11" o:title=""/>
          </v:shape>
        </w:pict>
      </w:r>
    </w:p>
    <w:p w:rsidR="00A83B18" w:rsidRPr="006558CE" w:rsidRDefault="00A83B18" w:rsidP="00A83B18">
      <w:pPr>
        <w:pStyle w:val="Pagedecouverture"/>
        <w:rPr>
          <w:noProof/>
        </w:rPr>
        <w:sectPr w:rsidR="00A83B18" w:rsidRPr="006558CE" w:rsidSect="009933BA">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6558CE" w:rsidRDefault="00DB38C7" w:rsidP="00DB38C7">
      <w:pPr>
        <w:pStyle w:val="Exposdesmotifstitre"/>
        <w:rPr>
          <w:noProof/>
        </w:rPr>
      </w:pPr>
      <w:bookmarkStart w:id="1" w:name="_GoBack"/>
      <w:bookmarkEnd w:id="1"/>
    </w:p>
    <w:p w:rsidR="00607CA2" w:rsidRPr="006558CE" w:rsidRDefault="00607CA2" w:rsidP="00607CA2">
      <w:pPr>
        <w:rPr>
          <w:noProof/>
        </w:rPr>
      </w:pPr>
    </w:p>
    <w:p w:rsidR="0087659E" w:rsidRDefault="00751D1E">
      <w:pPr>
        <w:pStyle w:val="Rfrenceinterinstitutionnelle"/>
        <w:rPr>
          <w:noProof/>
        </w:rPr>
      </w:pPr>
      <w:r>
        <w:rPr>
          <w:noProof/>
        </w:rPr>
        <w:t>2026/0238 (NLE)</w:t>
      </w:r>
    </w:p>
    <w:p w:rsidR="002709B6" w:rsidRPr="006558CE" w:rsidRDefault="006558CE" w:rsidP="006558CE">
      <w:pPr>
        <w:pStyle w:val="Statut"/>
        <w:rPr>
          <w:noProof/>
        </w:rPr>
      </w:pPr>
      <w:r w:rsidRPr="006558CE">
        <w:rPr>
          <w:noProof/>
        </w:rPr>
        <w:t>Proposition de</w:t>
      </w:r>
    </w:p>
    <w:p w:rsidR="002709B6" w:rsidRPr="006558CE" w:rsidRDefault="006558CE" w:rsidP="006558CE">
      <w:pPr>
        <w:pStyle w:val="Typedudocument"/>
        <w:rPr>
          <w:noProof/>
        </w:rPr>
      </w:pPr>
      <w:r w:rsidRPr="006558CE">
        <w:rPr>
          <w:noProof/>
        </w:rPr>
        <w:t>DÉCISION D’EXÉCUTION DU CONSEIL</w:t>
      </w:r>
    </w:p>
    <w:p w:rsidR="002F19B5" w:rsidRPr="006558CE" w:rsidRDefault="006558CE" w:rsidP="006558CE">
      <w:pPr>
        <w:pStyle w:val="Titreobjet"/>
        <w:rPr>
          <w:noProof/>
        </w:rPr>
      </w:pPr>
      <w:r w:rsidRPr="006558CE">
        <w:rPr>
          <w:noProof/>
        </w:rPr>
        <w:t>modifiant la décision d’exécution du 13 juillet 2021 relative à l’approbation de l’évaluation du plan pour la reprise et la résilience pour l’Italie</w:t>
      </w:r>
    </w:p>
    <w:p w:rsidR="00007F85" w:rsidRPr="006558CE" w:rsidRDefault="00007F85" w:rsidP="002F19B5">
      <w:pPr>
        <w:pStyle w:val="Institutionquiagit"/>
        <w:rPr>
          <w:noProof/>
        </w:rPr>
      </w:pPr>
      <w:r w:rsidRPr="006558CE">
        <w:rPr>
          <w:noProof/>
        </w:rPr>
        <w:t>LE CONSEIL DE L’UNION EUROPÉENNE,</w:t>
      </w:r>
    </w:p>
    <w:p w:rsidR="00007F85" w:rsidRPr="006558CE" w:rsidRDefault="00007F85" w:rsidP="00007F85">
      <w:pPr>
        <w:rPr>
          <w:noProof/>
        </w:rPr>
      </w:pPr>
      <w:r w:rsidRPr="006558CE">
        <w:rPr>
          <w:noProof/>
        </w:rPr>
        <w:t>vu le traité sur le fonctionnement de l’Union européenne,</w:t>
      </w:r>
    </w:p>
    <w:p w:rsidR="00007F85" w:rsidRPr="006558CE" w:rsidRDefault="00007F85" w:rsidP="00007F85">
      <w:pPr>
        <w:rPr>
          <w:noProof/>
        </w:rPr>
      </w:pPr>
      <w:r w:rsidRPr="006558CE">
        <w:rPr>
          <w:noProof/>
        </w:rPr>
        <w:t>vu le règlement (UE) 2021/241 du Parlement européen et du Conseil du 12 février 2021 établissant la facilité pour la reprise et la résilience</w:t>
      </w:r>
      <w:r w:rsidRPr="006558CE">
        <w:rPr>
          <w:rStyle w:val="FootnoteReference"/>
          <w:noProof/>
        </w:rPr>
        <w:footnoteReference w:id="2"/>
      </w:r>
      <w:r w:rsidRPr="006558CE">
        <w:rPr>
          <w:noProof/>
        </w:rPr>
        <w:t>, et notamment son article 20, paragraphe 1,</w:t>
      </w:r>
    </w:p>
    <w:p w:rsidR="00007F85" w:rsidRPr="006558CE" w:rsidRDefault="00007F85" w:rsidP="00007F85">
      <w:pPr>
        <w:rPr>
          <w:noProof/>
        </w:rPr>
      </w:pPr>
      <w:r w:rsidRPr="006558CE">
        <w:rPr>
          <w:noProof/>
        </w:rPr>
        <w:t>vu la proposition de la Commission européenne,</w:t>
      </w:r>
    </w:p>
    <w:p w:rsidR="00007F85" w:rsidRPr="006558CE" w:rsidRDefault="00007F85" w:rsidP="00007F85">
      <w:pPr>
        <w:rPr>
          <w:noProof/>
        </w:rPr>
      </w:pPr>
      <w:r w:rsidRPr="006558CE">
        <w:rPr>
          <w:noProof/>
        </w:rPr>
        <w:t>considérant ce qui suit:</w:t>
      </w:r>
    </w:p>
    <w:p w:rsidR="00007F85" w:rsidRPr="006558CE" w:rsidRDefault="386510C8" w:rsidP="007156EA">
      <w:pPr>
        <w:pStyle w:val="ManualConsidrant"/>
        <w:rPr>
          <w:noProof/>
        </w:rPr>
      </w:pPr>
      <w:r>
        <w:rPr>
          <w:noProof/>
        </w:rPr>
        <w:t>(1)</w:t>
      </w:r>
      <w:r>
        <w:rPr>
          <w:noProof/>
        </w:rPr>
        <w:tab/>
      </w:r>
      <w:r w:rsidRPr="006558CE">
        <w:rPr>
          <w:noProof/>
        </w:rPr>
        <w:t>Après la présentation, par</w:t>
      </w:r>
      <w:r w:rsidRPr="006558CE">
        <w:rPr>
          <w:noProof/>
          <w:shd w:val="clear" w:color="auto" w:fill="FFFFFF"/>
        </w:rPr>
        <w:t xml:space="preserve"> </w:t>
      </w:r>
      <w:r w:rsidRPr="006558CE">
        <w:rPr>
          <w:noProof/>
        </w:rPr>
        <w:t xml:space="preserve">l’Italie, de son plan national pour la reprise et la résilience (ci-après le «PRR») </w:t>
      </w:r>
      <w:r w:rsidRPr="006558CE">
        <w:rPr>
          <w:noProof/>
          <w:shd w:val="clear" w:color="auto" w:fill="FFFFFF"/>
        </w:rPr>
        <w:t>le</w:t>
      </w:r>
      <w:r w:rsidRPr="006558CE">
        <w:rPr>
          <w:noProof/>
        </w:rPr>
        <w:t xml:space="preserve"> 30 avril 2021, la Commission a proposé au Conseil que ce PRR reçoive une évaluation positive. Le 13 juillet 2021, le Conseil a approuvé l’évaluation positive par la voie d’une décision d’exécution</w:t>
      </w:r>
      <w:r w:rsidRPr="006558CE">
        <w:rPr>
          <w:rStyle w:val="FootnoteReference"/>
          <w:noProof/>
        </w:rPr>
        <w:footnoteReference w:id="3"/>
      </w:r>
      <w:r w:rsidRPr="006558CE">
        <w:rPr>
          <w:noProof/>
        </w:rPr>
        <w:t xml:space="preserve"> (ci-après la «décision d’exécution du Conseil du 13 juillet 2021»). La décision d’exécution du Conseil du 13 juillet 2021 a été modifiée par les décisions d’exécution du Conseil du 19 septembre 2023</w:t>
      </w:r>
      <w:r w:rsidRPr="006558CE">
        <w:rPr>
          <w:rStyle w:val="FootnoteReference"/>
          <w:noProof/>
        </w:rPr>
        <w:footnoteReference w:id="4"/>
      </w:r>
      <w:r w:rsidRPr="006558CE">
        <w:rPr>
          <w:noProof/>
        </w:rPr>
        <w:t>, du 8 décembre 2023</w:t>
      </w:r>
      <w:r w:rsidRPr="006558CE">
        <w:rPr>
          <w:rStyle w:val="FootnoteReference"/>
          <w:noProof/>
        </w:rPr>
        <w:footnoteReference w:id="5"/>
      </w:r>
      <w:r w:rsidRPr="006558CE">
        <w:rPr>
          <w:noProof/>
        </w:rPr>
        <w:t>, du 14 mai 2024</w:t>
      </w:r>
      <w:r w:rsidRPr="006558CE">
        <w:rPr>
          <w:rStyle w:val="FootnoteReference"/>
          <w:noProof/>
        </w:rPr>
        <w:footnoteReference w:id="6"/>
      </w:r>
      <w:r w:rsidRPr="006558CE">
        <w:rPr>
          <w:noProof/>
        </w:rPr>
        <w:t>, du 18 novembre 2024</w:t>
      </w:r>
      <w:r w:rsidRPr="006558CE">
        <w:rPr>
          <w:rStyle w:val="FootnoteReference"/>
          <w:noProof/>
        </w:rPr>
        <w:footnoteReference w:id="7"/>
      </w:r>
      <w:r w:rsidRPr="006558CE">
        <w:rPr>
          <w:noProof/>
        </w:rPr>
        <w:t>, du 20 juin 2025</w:t>
      </w:r>
      <w:r w:rsidRPr="006558CE">
        <w:rPr>
          <w:rStyle w:val="FootnoteReference"/>
          <w:noProof/>
        </w:rPr>
        <w:footnoteReference w:id="8"/>
      </w:r>
      <w:r w:rsidRPr="006558CE">
        <w:rPr>
          <w:noProof/>
        </w:rPr>
        <w:t>, du 27 novembre 2025</w:t>
      </w:r>
      <w:r w:rsidRPr="006558CE">
        <w:rPr>
          <w:rStyle w:val="FootnoteReference"/>
          <w:noProof/>
        </w:rPr>
        <w:footnoteReference w:id="9"/>
      </w:r>
      <w:r w:rsidRPr="006558CE">
        <w:rPr>
          <w:noProof/>
        </w:rPr>
        <w:t xml:space="preserve"> et du 30 mars 2026</w:t>
      </w:r>
      <w:r w:rsidRPr="006558CE">
        <w:rPr>
          <w:rStyle w:val="FootnoteReference"/>
          <w:noProof/>
        </w:rPr>
        <w:footnoteReference w:id="10"/>
      </w:r>
      <w:r w:rsidRPr="006558CE">
        <w:rPr>
          <w:noProof/>
        </w:rPr>
        <w:t>.</w:t>
      </w:r>
    </w:p>
    <w:p w:rsidR="00007F85" w:rsidRPr="006558CE" w:rsidRDefault="386510C8" w:rsidP="4DE86E74">
      <w:pPr>
        <w:pStyle w:val="ManualConsidrant"/>
        <w:rPr>
          <w:rFonts w:eastAsia="Times New Roman"/>
          <w:noProof/>
        </w:rPr>
      </w:pPr>
      <w:r>
        <w:rPr>
          <w:noProof/>
        </w:rPr>
        <w:t>(2)</w:t>
      </w:r>
      <w:r>
        <w:rPr>
          <w:noProof/>
        </w:rPr>
        <w:tab/>
      </w:r>
      <w:r w:rsidRPr="006558CE">
        <w:rPr>
          <w:noProof/>
        </w:rPr>
        <w:t xml:space="preserve">Le 11 juin 2026, estimant que le PRR ne pouvait plus être respecté en partie, en raison de circonstances objectives, l’Italie </w:t>
      </w:r>
      <w:bookmarkStart w:id="2" w:name="_Hlk130805569"/>
      <w:r w:rsidRPr="006558CE">
        <w:rPr>
          <w:noProof/>
        </w:rPr>
        <w:t>a adressé à la Commission une demande motivée l’invitant à présenter une proposition visant à modifier la décision d’exécution du Conseil du 13 juillet 2021 conformément à l’article 21, paragraphe 1, du règlement (UE) 2021/241. Sur cette base, l’Italie a présenté un PRR modifié.</w:t>
      </w:r>
      <w:bookmarkEnd w:id="2"/>
    </w:p>
    <w:p w:rsidR="00007F85" w:rsidRPr="006558CE" w:rsidRDefault="00007F85" w:rsidP="00007F85">
      <w:pPr>
        <w:rPr>
          <w:b/>
          <w:bCs/>
          <w:i/>
          <w:iCs/>
          <w:noProof/>
        </w:rPr>
      </w:pPr>
      <w:r w:rsidRPr="006558CE">
        <w:rPr>
          <w:b/>
          <w:i/>
          <w:noProof/>
        </w:rPr>
        <w:t xml:space="preserve">Modifications fondées sur l’article 21 du règlement (UE) 2021/241 </w:t>
      </w:r>
    </w:p>
    <w:p w:rsidR="13412589" w:rsidRPr="006558CE" w:rsidRDefault="386510C8" w:rsidP="13412589">
      <w:pPr>
        <w:pStyle w:val="ManualConsidrant"/>
        <w:rPr>
          <w:rFonts w:eastAsia="Times New Roman"/>
          <w:noProof/>
          <w:color w:val="000000" w:themeColor="text1"/>
        </w:rPr>
      </w:pPr>
      <w:r>
        <w:rPr>
          <w:noProof/>
        </w:rPr>
        <w:t>(3)</w:t>
      </w:r>
      <w:r>
        <w:rPr>
          <w:noProof/>
        </w:rPr>
        <w:tab/>
      </w:r>
      <w:r w:rsidRPr="006558CE">
        <w:rPr>
          <w:noProof/>
        </w:rPr>
        <w:t>Les modifications du PRR présentées par l’Italie en raison de circonstances objectives concernent 118 mesures.</w:t>
      </w:r>
    </w:p>
    <w:p w:rsidR="13412589" w:rsidRPr="006558CE" w:rsidRDefault="5C27A16E" w:rsidP="13412589">
      <w:pPr>
        <w:pStyle w:val="ManualConsidrant"/>
        <w:rPr>
          <w:rFonts w:eastAsia="Times New Roman"/>
          <w:noProof/>
          <w:color w:val="000000" w:themeColor="text1"/>
        </w:rPr>
      </w:pPr>
      <w:r>
        <w:rPr>
          <w:noProof/>
        </w:rPr>
        <w:t>(4)</w:t>
      </w:r>
      <w:r>
        <w:rPr>
          <w:noProof/>
        </w:rPr>
        <w:tab/>
      </w:r>
      <w:r w:rsidRPr="006558CE">
        <w:rPr>
          <w:noProof/>
          <w:color w:val="000000" w:themeColor="text1"/>
        </w:rPr>
        <w:t xml:space="preserve">L’Italie a demandé la suppression de deux mesures, en raison de circonstances objectives. Cela concerne: la mesure M3C1-11 relevant de l’investissement 1.3 «Connexions diagonales» au titre du volet 1 de la mission 3; et la mesure M5C3-14 relevant de l’investissement 1.5 «Régime de crédit d’impôt pour les investissements dans le sud de l’Italie et la zone économique spéciale (ZES)» au titre du volet 3 de la mission 5. </w:t>
      </w:r>
      <w:r w:rsidRPr="006558CE">
        <w:rPr>
          <w:noProof/>
        </w:rPr>
        <w:t>Il convient donc de modifier la décision d’exécution du Conseil du 13 juillet 2021 en conséquence.</w:t>
      </w:r>
    </w:p>
    <w:p w:rsidR="00007F85" w:rsidRPr="006558CE" w:rsidRDefault="002B6EBC" w:rsidP="00007F85">
      <w:pPr>
        <w:pStyle w:val="ManualConsidrant"/>
        <w:rPr>
          <w:rFonts w:eastAsia="Times New Roman"/>
          <w:noProof/>
        </w:rPr>
      </w:pPr>
      <w:r>
        <w:rPr>
          <w:noProof/>
        </w:rPr>
        <w:t>(5)</w:t>
      </w:r>
      <w:r>
        <w:rPr>
          <w:noProof/>
        </w:rPr>
        <w:tab/>
      </w:r>
      <w:bookmarkStart w:id="3" w:name="_Hlk158894031"/>
      <w:r w:rsidRPr="006558CE">
        <w:rPr>
          <w:noProof/>
          <w:color w:val="000000" w:themeColor="text1"/>
        </w:rPr>
        <w:t xml:space="preserve">L’Italie a expliqué que trois mesures n’étaient plus réalisables en partie, en raison d’un manque de demande ou d’une évolution de la demande. Cela concerne la mesure M2C1-8 relevant de l’investissement 2.3 «Innovation et mécanisation dans les secteurs agricole et alimentaire» au titre du volet 1 de la mission 2; </w:t>
      </w:r>
      <w:r w:rsidRPr="006558CE">
        <w:rPr>
          <w:noProof/>
        </w:rPr>
        <w:t>la mesure M2C2-45 relevant de l’investissement 1.1 «Développement de systèmes agrophotovoltaïques» au titre du volet 2 de la mission 2; et la mesure M3C2-5</w:t>
      </w:r>
      <w:r w:rsidRPr="006558CE">
        <w:rPr>
          <w:i/>
          <w:iCs/>
          <w:noProof/>
        </w:rPr>
        <w:t>bis</w:t>
      </w:r>
      <w:r w:rsidRPr="006558CE">
        <w:rPr>
          <w:noProof/>
        </w:rPr>
        <w:t xml:space="preserve"> relevant de l’investissement 2.1 «Numérisation de la chaîne logistique» au titre du volet 2 de la mission 3.</w:t>
      </w:r>
      <w:r w:rsidRPr="006558CE">
        <w:rPr>
          <w:noProof/>
          <w:color w:val="000000" w:themeColor="text1"/>
        </w:rPr>
        <w:t xml:space="preserve"> </w:t>
      </w:r>
      <w:r w:rsidRPr="006558CE">
        <w:rPr>
          <w:noProof/>
        </w:rPr>
        <w:t>Sur cette base, l’Italie a demandé que ces mesures soient modifiées.</w:t>
      </w:r>
      <w:r w:rsidRPr="006558CE">
        <w:rPr>
          <w:noProof/>
          <w:color w:val="000000" w:themeColor="text1"/>
        </w:rPr>
        <w:t xml:space="preserve"> </w:t>
      </w:r>
      <w:r w:rsidRPr="006558CE">
        <w:rPr>
          <w:noProof/>
        </w:rPr>
        <w:t>Il convient donc de modifier la décision d’exécution du Conseil du 13 juillet 2021 en conséquence.</w:t>
      </w:r>
    </w:p>
    <w:bookmarkEnd w:id="3"/>
    <w:p w:rsidR="000E677C" w:rsidRPr="006558CE" w:rsidRDefault="086734E4" w:rsidP="00C65AAF">
      <w:pPr>
        <w:pStyle w:val="ManualConsidrant"/>
        <w:rPr>
          <w:rFonts w:eastAsia="Times New Roman"/>
          <w:noProof/>
        </w:rPr>
      </w:pPr>
      <w:r>
        <w:rPr>
          <w:noProof/>
        </w:rPr>
        <w:t>(6)</w:t>
      </w:r>
      <w:r>
        <w:rPr>
          <w:noProof/>
        </w:rPr>
        <w:tab/>
      </w:r>
      <w:r w:rsidRPr="006558CE">
        <w:rPr>
          <w:noProof/>
          <w:color w:val="000000" w:themeColor="text1"/>
        </w:rPr>
        <w:t xml:space="preserve">L’Italie a expliqué que cinq mesures n’étaient plus réalisables en partie, en raison de l’évolution des conditions du marché, y compris des retards imprévus dans l’approvisionnement ayant une incidence sur les procédures de passation de marchés. Cela concerne la mesure M1C2-15 relevant de l’investissement 2 «Innovation et technologie de la microélectronique» au titre du volet 2 de la mission 1; la mesure M2C1-9 relevant de l’investissement 2.2 «Parc agrosolaire» au titre du volet 1 de la mission 2; la mesure M2C2-29 relevant de l’investissement 4.3 «Installation d’infrastructures de recharge»; la mesure M7-27 relevant de l’investissement 8 «Approvisionnement durable, circulaire et sûr en matières premières critiques»; et les mesures M7-41 et M7-42 relevant de l’investissement 15 «Transizione 5.0» au titre de la mission 7. </w:t>
      </w:r>
      <w:r w:rsidRPr="006558CE">
        <w:rPr>
          <w:noProof/>
        </w:rPr>
        <w:t>Sur cette base, l’Italie a demandé que ces mesures soient modifiées.</w:t>
      </w:r>
      <w:r w:rsidRPr="006558CE">
        <w:rPr>
          <w:noProof/>
          <w:color w:val="000000" w:themeColor="text1"/>
        </w:rPr>
        <w:t xml:space="preserve"> </w:t>
      </w:r>
      <w:r w:rsidRPr="006558CE">
        <w:rPr>
          <w:noProof/>
        </w:rPr>
        <w:t>Il convient donc de modifier la décision d’exécution du Conseil du 13 juillet 2021 en conséquence.</w:t>
      </w:r>
    </w:p>
    <w:p w:rsidR="00AA2C84" w:rsidRPr="006558CE" w:rsidRDefault="00AA2C84" w:rsidP="00C65AAF">
      <w:pPr>
        <w:pStyle w:val="ManualConsidrant"/>
        <w:rPr>
          <w:rFonts w:eastAsia="Times New Roman"/>
          <w:noProof/>
        </w:rPr>
      </w:pPr>
      <w:r>
        <w:rPr>
          <w:noProof/>
        </w:rPr>
        <w:t>(7)</w:t>
      </w:r>
      <w:r>
        <w:rPr>
          <w:noProof/>
        </w:rPr>
        <w:tab/>
      </w:r>
      <w:r w:rsidRPr="006558CE">
        <w:rPr>
          <w:noProof/>
          <w:color w:val="000000" w:themeColor="text1"/>
        </w:rPr>
        <w:t>L’Italie a expliqué qu’une mesure n’était en partie plus réalisable, en raison de problèmes techniques retardant la mise en œuvre réelle.</w:t>
      </w:r>
      <w:r w:rsidRPr="006558CE">
        <w:rPr>
          <w:noProof/>
        </w:rPr>
        <w:t xml:space="preserve"> Cela concerne les mesures M3C1-26 et M3C1-27 relevant de la réforme 1.3 «Stimuler l’efficacité de l’infrastructure ferroviaire en Italie» au titre du volet 1 de la mission 3.</w:t>
      </w:r>
      <w:r w:rsidRPr="006558CE">
        <w:rPr>
          <w:noProof/>
          <w:color w:val="000000" w:themeColor="text1"/>
        </w:rPr>
        <w:t xml:space="preserve"> </w:t>
      </w:r>
      <w:r w:rsidRPr="006558CE">
        <w:rPr>
          <w:noProof/>
        </w:rPr>
        <w:t>Sur cette base, l’Italie a demandé que cette mesure soit modifiée. Il convient donc de modifier la décision d’exécution du Conseil du 13 juillet 2021 en conséquence.</w:t>
      </w:r>
    </w:p>
    <w:p w:rsidR="00F17164" w:rsidRPr="006558CE" w:rsidRDefault="00F17164" w:rsidP="00C65AAF">
      <w:pPr>
        <w:pStyle w:val="ManualConsidrant"/>
        <w:rPr>
          <w:rFonts w:eastAsia="Times New Roman"/>
          <w:noProof/>
        </w:rPr>
      </w:pPr>
      <w:r>
        <w:rPr>
          <w:noProof/>
        </w:rPr>
        <w:t>(8)</w:t>
      </w:r>
      <w:r>
        <w:rPr>
          <w:noProof/>
        </w:rPr>
        <w:tab/>
      </w:r>
      <w:r w:rsidRPr="006558CE">
        <w:rPr>
          <w:noProof/>
          <w:color w:val="000000" w:themeColor="text1"/>
        </w:rPr>
        <w:t>L’Italie a expliqué que deux mesures n’étaient plus réalisables en partie, en raison de l’inflation et de problèmes opérationnels de nature technique.</w:t>
      </w:r>
      <w:r w:rsidRPr="006558CE">
        <w:rPr>
          <w:noProof/>
        </w:rPr>
        <w:t xml:space="preserve"> Cela concerne les mesures M3C1-5 et M3C1-6 relevant de l’investissement 1.1 «Liaisons ferroviaires à grande vitesse vers le centre et le sud pour les voyageurs et le fret»; et la mesure M3C1-9 relevant de l’investissement 1.2 «Lignes à haut débit dans le nord reliant le reste de l’Europe» au titre du volet 1 de la mission 3. Sur cette base, l’Italie a demandé que ces mesures soient modifiées. Il convient donc de modifier la décision d’exécution du Conseil du 13 juillet 2021 en conséquence. </w:t>
      </w:r>
    </w:p>
    <w:p w:rsidR="007917C0" w:rsidRPr="006558CE" w:rsidRDefault="0072024B" w:rsidP="00C65AAF">
      <w:pPr>
        <w:pStyle w:val="ManualConsidrant"/>
        <w:rPr>
          <w:rFonts w:eastAsia="Times New Roman"/>
          <w:noProof/>
        </w:rPr>
      </w:pPr>
      <w:r>
        <w:rPr>
          <w:noProof/>
        </w:rPr>
        <w:t>(9)</w:t>
      </w:r>
      <w:r>
        <w:rPr>
          <w:noProof/>
        </w:rPr>
        <w:tab/>
      </w:r>
      <w:r w:rsidRPr="006558CE">
        <w:rPr>
          <w:noProof/>
        </w:rPr>
        <w:t>L’Italie a expliqué qu’une mesure n’était plus réalisable en partie, en raison des phénomènes météorologiques extrêmes qui ont déclenché l’adoption d’une déclaration sur l’état d’urgence</w:t>
      </w:r>
      <w:r w:rsidRPr="006558CE">
        <w:rPr>
          <w:rStyle w:val="FootnoteReference"/>
          <w:rFonts w:eastAsia="Times New Roman"/>
          <w:noProof/>
        </w:rPr>
        <w:footnoteReference w:id="11"/>
      </w:r>
      <w:r w:rsidRPr="006558CE">
        <w:rPr>
          <w:noProof/>
        </w:rPr>
        <w:t xml:space="preserve"> en 2025 et 2026 et qui ont touché les territoires de la Calabre, de la Sardaigne et de la Sicile. Cela concerne la mesure M2C4-38 relevant de l’investissement 4.4 «Investissements dans l’assainissement et la purification» au titre du volet 4 de la mission 2. Sur cette base, l’Italie a demandé que cette mesure soit modifiée. Il convient donc de modifier la décision d’exécution du Conseil du 13 juillet 2021 en conséquence.</w:t>
      </w:r>
    </w:p>
    <w:p w:rsidR="00900266" w:rsidRPr="006558CE" w:rsidRDefault="086734E4" w:rsidP="000D72DD">
      <w:pPr>
        <w:pStyle w:val="ManualConsidrant"/>
        <w:rPr>
          <w:rFonts w:eastAsia="Times New Roman"/>
          <w:noProof/>
        </w:rPr>
      </w:pPr>
      <w:r>
        <w:rPr>
          <w:noProof/>
        </w:rPr>
        <w:t>(10)</w:t>
      </w:r>
      <w:r>
        <w:rPr>
          <w:noProof/>
        </w:rPr>
        <w:tab/>
      </w:r>
      <w:r w:rsidRPr="006558CE">
        <w:rPr>
          <w:noProof/>
        </w:rPr>
        <w:t xml:space="preserve">L’Italie a expliqué que neuf mesures avaient été modifiées au profit de solutions plus efficaces pour réaliser leur ambition initiale. </w:t>
      </w:r>
      <w:r w:rsidRPr="006558CE">
        <w:rPr>
          <w:noProof/>
          <w:color w:val="000000" w:themeColor="text1"/>
        </w:rPr>
        <w:t>Cela concerne la mesure M1C2-34 relevant de l’investissement 9 «Mesure d’expansion: Transition 4.0» au titre du volet 2 de la mission 1; la mesure M2C2-35</w:t>
      </w:r>
      <w:r w:rsidRPr="006558CE">
        <w:rPr>
          <w:i/>
          <w:iCs/>
          <w:noProof/>
          <w:color w:val="000000" w:themeColor="text1"/>
        </w:rPr>
        <w:t>bis</w:t>
      </w:r>
      <w:r w:rsidRPr="006558CE">
        <w:rPr>
          <w:noProof/>
          <w:color w:val="000000" w:themeColor="text1"/>
        </w:rPr>
        <w:t xml:space="preserve"> relevant de l’investissement 4.4.2 «Renforcement du parc ferroviaire régional de transport public au moyen de trains à zéro émission et du service universel»; </w:t>
      </w:r>
      <w:r w:rsidRPr="006558CE">
        <w:rPr>
          <w:noProof/>
        </w:rPr>
        <w:t xml:space="preserve">la mesure M2C2-43 relevant de l’investissement 5.4 «Injection de fonds propres dans le Fonds pour la transition verte (GTF) géré par CDP Venture Capital SGR» au titre du volet 2 de la mission 2; </w:t>
      </w:r>
      <w:r w:rsidRPr="006558CE">
        <w:rPr>
          <w:noProof/>
          <w:color w:val="000000" w:themeColor="text1"/>
        </w:rPr>
        <w:t xml:space="preserve">la mesure M2C2-47 relevant de l’investissement 1.2 «Promotion des sources d’énergie renouvelables pour les communautés énergétiques et autoconsommateurs d’énergies renouvelables agissant conjointement»; les mesures M2C4-39 et M2C4-40 relevant de l’investissement 4.5 «Régime de subventions pour les investissements dans les infrastructures hydrauliques» au titre du volet 4 de la mission 2; la mesure M3C1-20 relevant de l’investissement 1.8 «Mise à niveau des gares ferroviaires» au titre du volet 1 de la mission 3; la mesure M7-31 relevant de l’investissement 11 «Mesure d’expansion: Renforcement de la flotte de transports publics régionaux grâce à des trains à émissions nulles et au service universel»; la mesure M7-44 relevant de l’investissement 16 «Soutien aux PME en faveur de l’autoproduction à partir de sources d’énergie renouvelables»; </w:t>
      </w:r>
      <w:r w:rsidRPr="006558CE">
        <w:rPr>
          <w:noProof/>
        </w:rPr>
        <w:t>et la mesure M7-49 relevant de l’investissement 17 «Instrument financier pour la rénovation énergétique des logements résidentiels publics» au titre de la mission 7.</w:t>
      </w:r>
      <w:r w:rsidR="003E01C1">
        <w:rPr>
          <w:noProof/>
        </w:rPr>
        <w:t xml:space="preserve"> </w:t>
      </w:r>
      <w:r w:rsidRPr="006558CE">
        <w:rPr>
          <w:noProof/>
        </w:rPr>
        <w:t>Sur cette base, l’Italie a demandé que ces mesures soient modifiées.</w:t>
      </w:r>
      <w:r w:rsidRPr="006558CE">
        <w:rPr>
          <w:noProof/>
          <w:color w:val="000000" w:themeColor="text1"/>
        </w:rPr>
        <w:t xml:space="preserve"> </w:t>
      </w:r>
      <w:r w:rsidRPr="006558CE">
        <w:rPr>
          <w:noProof/>
        </w:rPr>
        <w:t>Il convient donc de modifier la décision d’exécution du Conseil du 13 juillet 2021 en conséquence.</w:t>
      </w:r>
    </w:p>
    <w:p w:rsidR="00007F85" w:rsidRPr="006558CE" w:rsidRDefault="086734E4" w:rsidP="00237909">
      <w:pPr>
        <w:pStyle w:val="ManualConsidrant"/>
        <w:rPr>
          <w:rFonts w:eastAsia="Times New Roman"/>
          <w:noProof/>
          <w:color w:val="000000" w:themeColor="text1"/>
        </w:rPr>
      </w:pPr>
      <w:r>
        <w:rPr>
          <w:noProof/>
        </w:rPr>
        <w:t>(11)</w:t>
      </w:r>
      <w:r>
        <w:rPr>
          <w:noProof/>
        </w:rPr>
        <w:tab/>
      </w:r>
      <w:r w:rsidRPr="006558CE">
        <w:rPr>
          <w:noProof/>
        </w:rPr>
        <w:t xml:space="preserve">L’Italie a expliqué que 93 mesures avaient été modifiées au profit de solutions plus efficaces permettant de réduire la charge administrative et de simplifier la décision d’exécution du Conseil, tout en continuant à atteindre les objectifs de ces mesures. </w:t>
      </w:r>
      <w:r w:rsidRPr="006558CE">
        <w:rPr>
          <w:noProof/>
          <w:color w:val="000000" w:themeColor="text1"/>
        </w:rPr>
        <w:t>Cela concerne: la mesure M1C1-26 relevant de l’investissement 1.1 «Infrastructures numériques»; la mesure M1C1-45 relevant de la réforme 1.4 «Réforme de la justice civile»; la mesure M1C1-46 relevant de la réforme 1.5 «Réforme de la justice pénale»; les mesures M1C1-59</w:t>
      </w:r>
      <w:r w:rsidRPr="006558CE">
        <w:rPr>
          <w:i/>
          <w:iCs/>
          <w:noProof/>
          <w:color w:val="000000" w:themeColor="text1"/>
        </w:rPr>
        <w:t>ter</w:t>
      </w:r>
      <w:r w:rsidRPr="006558CE">
        <w:rPr>
          <w:noProof/>
          <w:color w:val="000000" w:themeColor="text1"/>
        </w:rPr>
        <w:t xml:space="preserve"> et M1C1-63 relevant de la réforme 1.9 «Réforme de l’emploi public et réforme de simplification»; la mesure M1C1-66 relevant de l’investissement 1.9 «Fournir une assistance technique et renforcer les capacités en vue de la mise en œuvre du plan italien pour la reprise et la résilience»; la mesure M1C1-117 relevant de la réforme 1.15 «Réforme des règles de comptabilité publique»; la mesure M1C1-119 relevant de la réforme 1.14 «Réforme du cadre fiscal subnational»; la mesure M1C1-121 </w:t>
      </w:r>
      <w:r w:rsidRPr="006558CE">
        <w:rPr>
          <w:i/>
          <w:iCs/>
          <w:noProof/>
          <w:color w:val="000000" w:themeColor="text1"/>
        </w:rPr>
        <w:t>bis</w:t>
      </w:r>
      <w:r w:rsidRPr="006558CE">
        <w:rPr>
          <w:noProof/>
          <w:color w:val="000000" w:themeColor="text1"/>
        </w:rPr>
        <w:t xml:space="preserve"> relevant de la réforme 1.12 «Réforme de l’administration fiscale»; la mesure M1C1-122 relevant de la réforme 1.13 «Réforme du cadre d’examen des dépenses»; la mesure M1C1-148 relevant de l’investissement 1.4.1 «Expérience citoyenne – Amélioration de la qualité et de la facilité d’utilisation des services publics numériques»; la mesure M1C1-151 relevant de l’investissement 1.4.5 «Numérisation des avis publics»; la mesure M1C1-152 relevant de l’investissement 1.6.1 «Numérisation du ministère de l’Intérieur»; la mesure M1C1-155 relevant de l’investissement 1.6.3 «Numérisation de l’Institut national de la sécurité sociale (INPS) et de l’Institut national pour l’assurance contre les accidents de travail (INAIL)» au titre du volet 1 de la mission 1; la mesure M1C2-13</w:t>
      </w:r>
      <w:r w:rsidRPr="006558CE">
        <w:rPr>
          <w:i/>
          <w:iCs/>
          <w:noProof/>
          <w:color w:val="000000" w:themeColor="text1"/>
        </w:rPr>
        <w:t>bis</w:t>
      </w:r>
      <w:r w:rsidRPr="006558CE">
        <w:rPr>
          <w:noProof/>
          <w:color w:val="000000" w:themeColor="text1"/>
        </w:rPr>
        <w:t xml:space="preserve"> relevant de la réforme 2 «Lois annuelles sur la concurrence»; la mesure M1C2-14</w:t>
      </w:r>
      <w:r w:rsidRPr="006558CE">
        <w:rPr>
          <w:i/>
          <w:iCs/>
          <w:noProof/>
          <w:color w:val="000000" w:themeColor="text1"/>
        </w:rPr>
        <w:t>ter</w:t>
      </w:r>
      <w:r w:rsidRPr="006558CE">
        <w:rPr>
          <w:noProof/>
          <w:color w:val="000000" w:themeColor="text1"/>
        </w:rPr>
        <w:t xml:space="preserve"> relevant de la réforme 3 «Rationalisation et simplification des incitations des entreprises»; les mesures M1C2-17, M1C2-18, M1C2-20 et M1C2-21 relevant de l’investissement 3 «Connexions internet rapides (ultra-haut débit et 5G)»; la mesure M1C2-23</w:t>
      </w:r>
      <w:r w:rsidRPr="006558CE">
        <w:rPr>
          <w:i/>
          <w:iCs/>
          <w:noProof/>
          <w:color w:val="000000" w:themeColor="text1"/>
        </w:rPr>
        <w:t>bis</w:t>
      </w:r>
      <w:r w:rsidRPr="006558CE">
        <w:rPr>
          <w:noProof/>
          <w:color w:val="000000" w:themeColor="text1"/>
        </w:rPr>
        <w:t xml:space="preserve"> relevant de l’investissement 4 «Technologie satellitaire et économie spatiale» au titre du volet 2 de la mission 1; la mesure M1C3-3 relevant de l’investissement 1.2 «Suppression des barrières physiques et cognitives dans les musées, les bibliothèques et les archives afin de permettre une participation et un accès plus larges à la culture»; la mesure </w:t>
      </w:r>
      <w:r w:rsidR="007334CE">
        <w:rPr>
          <w:noProof/>
          <w:color w:val="000000" w:themeColor="text1"/>
        </w:rPr>
        <w:t>M1C3-</w:t>
      </w:r>
      <w:r w:rsidRPr="006558CE">
        <w:rPr>
          <w:noProof/>
          <w:color w:val="000000" w:themeColor="text1"/>
        </w:rPr>
        <w:t>16</w:t>
      </w:r>
      <w:r w:rsidRPr="006558CE">
        <w:rPr>
          <w:i/>
          <w:iCs/>
          <w:noProof/>
          <w:color w:val="000000" w:themeColor="text1"/>
        </w:rPr>
        <w:t>bis</w:t>
      </w:r>
      <w:r w:rsidRPr="006558CE">
        <w:rPr>
          <w:noProof/>
          <w:color w:val="000000" w:themeColor="text1"/>
        </w:rPr>
        <w:t xml:space="preserve"> relevant de l’investissement 2.1 «Attractivité des petites villes historiques»; la mesure M1C3-17 relevant de l’investissement 2.2 «Protection et amélioration de l’architecture et du paysage ruraux»; la mesure M1C3-19 relevant de l’investissement 2.4 «Sécurité sismique des lieux de culte, restauration du patrimoine du FEC et abris pour œuvres d’art (art de récupération)»; la mesure M1C3-21 relevant de l’investissement 3.2 «Développement de l’industrie cinématographique (projet Cinecittà)»; la mesure M1C3-29 relevant de l’investissement 4.2 «Fonds pour la compétitivité des entreprises touristiques»; la mesure M1C3-36 relevant de l’investissement 4.3 «Caput Mundi-Next Generation EU pour les grands événements touristiques» au titre du volet 3 de la mission 1; la mesure M2C1-10 relevant de l’investissement 2.1 «Plan logistique pour les secteurs agroalimentaire, de la pêche et de l’aquaculture, de la sylviculture, de la floriculture et de la pépinière»; la mesure M2C1-16</w:t>
      </w:r>
      <w:r w:rsidRPr="006558CE">
        <w:rPr>
          <w:i/>
          <w:iCs/>
          <w:noProof/>
          <w:color w:val="000000" w:themeColor="text1"/>
        </w:rPr>
        <w:t>quater</w:t>
      </w:r>
      <w:r w:rsidRPr="006558CE">
        <w:rPr>
          <w:noProof/>
          <w:color w:val="000000" w:themeColor="text1"/>
        </w:rPr>
        <w:t xml:space="preserve"> relevant de l’investissement 1.1 «Mise en œuvre de nouvelles installations de gestion des déchets et modernisation des installations existantes, et projets “phares” de l’économie circulaire»; </w:t>
      </w:r>
      <w:r w:rsidRPr="006558CE">
        <w:rPr>
          <w:noProof/>
        </w:rPr>
        <w:t xml:space="preserve">la mesure M2C1-19 relevant de l’investissement 3.1 «Îles vertes»; </w:t>
      </w:r>
      <w:r w:rsidRPr="006558CE">
        <w:rPr>
          <w:noProof/>
          <w:color w:val="000000" w:themeColor="text1"/>
        </w:rPr>
        <w:t>la mesure M2C1-21 relevant de l’investissement 3.2 «Communautés vertes» au titre du volet 1 de la mission 2; la mesure M2C2-10 relevant de l’investissement 2.1 «Renforcer les réseaux intelligents»; la mesure M2C2-13 relevant de l’investissement 2.2 «Interventions pour accroître la résilience du réseau électrique»; la mesure M2C2-17 relevant de l’investissement 3.4 «Essais d’hydrogène pour la mobilité ferroviaire et le transport routier»; la mesure M2C2-23 relevant de l’investissement 4.1 «Investissement dans la mobilité douce (plan national de pistes cyclables)»; la mesure M2C2-26 relevant de l’investissement 4.2 «Développement de systèmes de transport rapide de masse»; la mesure M2C2-30 relevant de l’investissement 4.5 «Programme de renouvellement du parc de véhicules de tourisme et de véhicules utilitaires légers avec des véhicules électriques»; la mesure M2C2-35</w:t>
      </w:r>
      <w:r w:rsidRPr="006558CE">
        <w:rPr>
          <w:i/>
          <w:iCs/>
          <w:noProof/>
          <w:color w:val="000000" w:themeColor="text1"/>
        </w:rPr>
        <w:t>ter</w:t>
      </w:r>
      <w:r w:rsidRPr="006558CE">
        <w:rPr>
          <w:noProof/>
          <w:color w:val="000000" w:themeColor="text1"/>
        </w:rPr>
        <w:t xml:space="preserve"> relevant de l’investissement 4.4.1 «Renforcement du parc régional de bus de transport public avec des bus à émission nulle»; la mesure M2C2-40 relevant de l’investissement 5.1 «Soutien au système de production pour la transition écologique, les technologies “zéro net” et la compétitivité et la résilience des chaînes d’approvisionnement stratégiques»; la mesure M2C2-49 relevant de l’investissement 3.1 (Production d’hydrogène dans les friches industrielles (vallées de l’hydrogène)»; la mesure M2C2-53 relevant de l’investissement 5.2 «Hydrogène» au titre du volet 2 de la mission 2; la mesure M2C3-6 relevant de l’investissement 1.1 «Construction de nouvelles écoles par le remplacement des bâtiments»; la mesure M2C3-10 relevant de l’investissement 3.1 «Promotion d’un chauffage urbain efficace» au titre du volet 3 de la mission 2; la mesure M2C4-6</w:t>
      </w:r>
      <w:r w:rsidRPr="006558CE">
        <w:rPr>
          <w:i/>
          <w:iCs/>
          <w:noProof/>
          <w:color w:val="000000" w:themeColor="text1"/>
        </w:rPr>
        <w:t>bis</w:t>
      </w:r>
      <w:r w:rsidRPr="006558CE">
        <w:rPr>
          <w:noProof/>
          <w:color w:val="000000" w:themeColor="text1"/>
        </w:rPr>
        <w:t xml:space="preserve"> au titre de l’investissement 3.2 «Numérisation des parcs nationaux»; la mesure M2C4-11</w:t>
      </w:r>
      <w:r w:rsidRPr="006558CE">
        <w:rPr>
          <w:i/>
          <w:iCs/>
          <w:noProof/>
          <w:color w:val="000000" w:themeColor="text1"/>
        </w:rPr>
        <w:t>bis</w:t>
      </w:r>
      <w:r w:rsidRPr="006558CE">
        <w:rPr>
          <w:noProof/>
          <w:color w:val="000000" w:themeColor="text1"/>
        </w:rPr>
        <w:t xml:space="preserve"> relevant de l’investissement 2.1a «Mesures de réduction des risques d’inondation et hydrogéologiques — Interventions en Émilie-Romagne, en Toscane et dans les Marches»; la mesure M2C4-13 relevant de l’investissement 2.1b «Mesures de réduction des risques d’inondation et hydrogéologiques»; la mesure M2C4-20</w:t>
      </w:r>
      <w:r w:rsidRPr="006558CE">
        <w:rPr>
          <w:i/>
          <w:iCs/>
          <w:noProof/>
          <w:color w:val="000000" w:themeColor="text1"/>
        </w:rPr>
        <w:t>bis</w:t>
      </w:r>
      <w:r w:rsidRPr="006558CE">
        <w:rPr>
          <w:noProof/>
          <w:color w:val="000000" w:themeColor="text1"/>
        </w:rPr>
        <w:t xml:space="preserve"> relevant de l’investissement 3.1 «Protection et valorisation des forêts urbaines et périurbaines»; la mesure M2C4-23 relevant de l’investissement 3.3 «Renaturation de la région du Pô»; la mesure M2C4-25 relevant de l’investissement 3.4 «Assainissement des “sols des sites orphelins”»; la mesure M2C4-29 relevant de l’investissement 4.1 «Investissements dans les infrastructures d’eau primaire pour la sécurité de l’approvisionnement en eau»; la mesure M2C4-34</w:t>
      </w:r>
      <w:r w:rsidRPr="006558CE">
        <w:rPr>
          <w:i/>
          <w:iCs/>
          <w:noProof/>
          <w:color w:val="000000" w:themeColor="text1"/>
        </w:rPr>
        <w:t>bis</w:t>
      </w:r>
      <w:r w:rsidRPr="006558CE">
        <w:rPr>
          <w:noProof/>
          <w:color w:val="000000" w:themeColor="text1"/>
        </w:rPr>
        <w:t xml:space="preserve"> relevant de l’investissement 4.3 «Investissements dans la résilience de l’agro-irrigation en vue d’une meilleure gestion des ressources en eau» au titre du volet 4 de la mission 2; la mesure M3C1-14 relevant de l’investissement 1.4 «Système européen de gestion du transport ferroviaire (ERTMS)»; la mesure M3C1-28 relevant de l’investissement 1.10 «Renforcement des nœuds métropolitains et des lignes ferroviaires régionales» au titre du volet 1 de la mission 3; la mesure M3C2-6 relevant de l’investissement 2.2 «Numérisation de la gestion du trafic aérien»; la mesure M3C2-9 relevant de l’investissement 1.1 «Ports verts: interventions en matière d’énergies renouvelables et d’efficacité énergétique dans les ports»; la mesure M3C2-12 relevant de l’investissement 2.3 «Repassage à froid» au titre du volet 2 de la mission 3; la mesure M4C1-14</w:t>
      </w:r>
      <w:r w:rsidRPr="006558CE">
        <w:rPr>
          <w:i/>
          <w:iCs/>
          <w:noProof/>
          <w:color w:val="000000" w:themeColor="text1"/>
        </w:rPr>
        <w:t>ter</w:t>
      </w:r>
      <w:r w:rsidRPr="006558CE">
        <w:rPr>
          <w:noProof/>
          <w:color w:val="000000" w:themeColor="text1"/>
        </w:rPr>
        <w:t xml:space="preserve"> relevant de la réforme 2.1 «Recrutement des enseignants»; la mesure M4C1-18 relevant de l’investissement 1.1 «Plan pour les crèches et les écoles maternelles et les services d’éducation et d’accueil de la petite enfance»; </w:t>
      </w:r>
      <w:r w:rsidRPr="006558CE">
        <w:rPr>
          <w:noProof/>
        </w:rPr>
        <w:t xml:space="preserve">la mesure M4C1-20 relevant de l’investissement 5 «Développement du système de formation professionnelle tertiaire (STI)»; </w:t>
      </w:r>
      <w:r w:rsidRPr="006558CE">
        <w:rPr>
          <w:noProof/>
          <w:color w:val="000000" w:themeColor="text1"/>
        </w:rPr>
        <w:t xml:space="preserve">la mesure M4C1-21 relevant de l’investissement 1.2 «Plan d’extension du temps plein»; la mesure M4C1-22 relevant de l’investissement 1.3 «Plan d’amélioration des infrastructures sportives scolaires»; la description de la mesure M4C1-24 relevant de l’investissement 1.6 «Orientation active dans la transition entre l’école et l’université»; </w:t>
      </w:r>
      <w:r w:rsidRPr="006558CE">
        <w:rPr>
          <w:noProof/>
        </w:rPr>
        <w:t xml:space="preserve">la mesure M4C1-26 relevant de l’investissement 3.3 «Sécurité des bâtiments scolaires et plan de réhabilitation structurelle»; </w:t>
      </w:r>
      <w:r w:rsidRPr="006558CE">
        <w:rPr>
          <w:noProof/>
          <w:color w:val="000000" w:themeColor="text1"/>
        </w:rPr>
        <w:t>la mesure M4C1-30 relevant de la réforme 1.7 «Logement étudiant» au titre du volet 1 de la mission 4; la mesure M4C2-9 relevant de l’investissement 1.4 «Création de “leaders nationaux de la R&amp;D” sur certaines technologies clés génériques»; la mesure M4C2-14 relevant de l’investissement 2.3 «Centres de transfert de technologie»; la mesure M4C2-16</w:t>
      </w:r>
      <w:r w:rsidRPr="006558CE">
        <w:rPr>
          <w:i/>
          <w:iCs/>
          <w:noProof/>
          <w:color w:val="000000" w:themeColor="text1"/>
        </w:rPr>
        <w:t>bis</w:t>
      </w:r>
      <w:r w:rsidRPr="006558CE">
        <w:rPr>
          <w:noProof/>
          <w:color w:val="000000" w:themeColor="text1"/>
        </w:rPr>
        <w:t xml:space="preserve"> relevant de l’investissement 3.1 «Infrastructures de recherche et d’innovation»; la mesure M4C2-18</w:t>
      </w:r>
      <w:r w:rsidRPr="006558CE">
        <w:rPr>
          <w:i/>
          <w:iCs/>
          <w:noProof/>
          <w:color w:val="000000" w:themeColor="text1"/>
        </w:rPr>
        <w:t>bis</w:t>
      </w:r>
      <w:r w:rsidRPr="006558CE">
        <w:rPr>
          <w:noProof/>
          <w:color w:val="000000" w:themeColor="text1"/>
        </w:rPr>
        <w:t xml:space="preserve"> relevant de l’investissement 1.5 «Mise en place et renforcement d’“écosystèmes d’innovation pour la durabilité”, création de “leaders territoriaux de la R&amp;D”» au titre du volet 2 de la mission 4; la mesure M5C1-4</w:t>
      </w:r>
      <w:r w:rsidRPr="006558CE">
        <w:rPr>
          <w:i/>
          <w:iCs/>
          <w:noProof/>
          <w:color w:val="000000" w:themeColor="text1"/>
        </w:rPr>
        <w:t>bis</w:t>
      </w:r>
      <w:r w:rsidRPr="006558CE">
        <w:rPr>
          <w:noProof/>
          <w:color w:val="000000" w:themeColor="text1"/>
        </w:rPr>
        <w:t xml:space="preserve"> relevant de la réforme 1 «PAMT et formation professionnelle»; la mesure M5C1-7</w:t>
      </w:r>
      <w:r w:rsidRPr="006558CE">
        <w:rPr>
          <w:i/>
          <w:iCs/>
          <w:noProof/>
          <w:color w:val="000000" w:themeColor="text1"/>
        </w:rPr>
        <w:t>bis</w:t>
      </w:r>
      <w:r w:rsidRPr="006558CE">
        <w:rPr>
          <w:noProof/>
          <w:color w:val="000000" w:themeColor="text1"/>
        </w:rPr>
        <w:t xml:space="preserve"> relevant de l’investissement 1 «Renforcement des services publics de l’emploi (SPE)»; la mesure M5C1-11 relevant de la réforme 2 «Travail non déclaré»; la mesure M5C1-14 relevant de l’investissement 2 «Système de certification de l’égalité entre les hommes et les femmes» au titre du volet 1 de la mission 5; la mesure M5C1-16 relevant de l’investissement 4 «Fonction publique universelle» au titre du volet 1 de la mission 5; </w:t>
      </w:r>
      <w:r w:rsidRPr="006558CE">
        <w:rPr>
          <w:noProof/>
        </w:rPr>
        <w:t>la description de la mesure relevant de l’investissement 3 «Housing First et centres de soutien»;</w:t>
      </w:r>
      <w:r w:rsidRPr="006558CE">
        <w:rPr>
          <w:noProof/>
          <w:color w:val="000000" w:themeColor="text1"/>
        </w:rPr>
        <w:t xml:space="preserve"> la mesure M5C2-8 relevant de l’investissement 2 «Modèles d’autonomie pour les personnes handicapées»; la mesure M5C2-12 relevant de l’investissement 4 «Investissements dans des projets de réhabilitation urbaine visant à réduire les situations de marginalisation et de dégradation sociale»; les mesures M5C2-14 et M5C2-16 relevant de l’investissement 5 «Plans intégrés urbains»; la mesure M5C2-20 relevant de l’investissement 6 «Programme d’innovation pour la qualité du logement»; la mesure M5C2-22 relevant de l’investissement 7 «Sport et inclusion sociale» au titre du volet 2 de la mission 5; la mesure M5C3-13 relevant de l’investissement 1.4 «Investissements infrastructurels pour la zone économique spéciale» au titre du volet 3 de la mission 5; la mesure M6C1-11 relevant de l’investissement 1.3 «Renforcement des soins de santé intermédiaires et de leurs installations (hôpitaux communautaires)»; les mesures M6C2-6 et M6C2-9 relevant de l’investissement 1.1 «Mise à jour numérique des équipements technologiques des hôpitaux»; la mesure M6C2-10</w:t>
      </w:r>
      <w:r w:rsidRPr="006558CE">
        <w:rPr>
          <w:i/>
          <w:iCs/>
          <w:noProof/>
          <w:color w:val="000000" w:themeColor="text1"/>
        </w:rPr>
        <w:t>bis</w:t>
      </w:r>
      <w:r w:rsidRPr="006558CE">
        <w:rPr>
          <w:noProof/>
          <w:color w:val="000000" w:themeColor="text1"/>
        </w:rPr>
        <w:t xml:space="preserve"> relevant de l’investissement 1.2 «Vers un hôpital sûr et durable»; la mesure M6C2-12 relevant de l’investissement 1.3 «Renforcement de l’infrastructure technologique et des outils de collecte, de traitement, d’analyse et de simulation de données) au titre du volet 2 de la mission 6; la mesure M6C2-16 relevant de l’investissement 2.2 «Développement des compétences technico-professionnelles, numériques et de gestion des professionnels du système de santé»; la mesure M7-3 relevant de la réforme 1 «Rationalisation des procédures d’autorisation pour les énergies renouvelables aux niveaux central et local»; la mesure M7-11 relevant de l’investissement 1 «Mesure d’expansion: Réseaux intelligents»; la mesure M7-12 relevant de l’investissement 2 «Mesure d’expansion: Interventions visant à accroître la résilience du réseau électrique»; la mesure M7-13 relevant de l’investissement 3 «Mesure d’expansion: Production d’hydrogène dans les friches industrielles (vallées de l’hydrogène)»; la mesure M7-15 relevant de l’investissement 4 «Liaison tyrrhénienne»; la mesure M7-17 relevant de l’investissement 5 «SA.CO.I.3»; la mesure M7-22 relevant de l’investissement 7 «Réseau de transport national intelligent»; la mesure M7-37 relevant de l’investissement 13 «Ligne adriatique phase 1 (station de compression de Sulmona et gazoduc Sestino-Minerbio)»; la mesure M7-39 relevant de l’investissement 14 «Infrastructures transfrontalières d’exportation de gaz»; et la mesure M7-50 relevant de l’investissement 18 «Mesure d’expansion: Programme de renouvellement du parc de véhicules de tourisme et de véhicules utilitaires légers avec des véhicules électriques» au titre de la mission 7. </w:t>
      </w:r>
      <w:r w:rsidRPr="006558CE">
        <w:rPr>
          <w:noProof/>
        </w:rPr>
        <w:t>Sur cette base, l’Italie a demandé que ces mesures soient modifiées.</w:t>
      </w:r>
      <w:r w:rsidRPr="006558CE">
        <w:rPr>
          <w:noProof/>
          <w:color w:val="000000" w:themeColor="text1"/>
        </w:rPr>
        <w:t xml:space="preserve"> </w:t>
      </w:r>
      <w:r w:rsidRPr="006558CE">
        <w:rPr>
          <w:noProof/>
        </w:rPr>
        <w:t>Il convient donc de modifier la décision d’exécution du Conseil du 13 juillet 2021 en conséquence.</w:t>
      </w:r>
    </w:p>
    <w:p w:rsidR="00CC1827" w:rsidRPr="006558CE" w:rsidRDefault="386510C8" w:rsidP="00CC1827">
      <w:pPr>
        <w:pStyle w:val="ManualConsidrant"/>
        <w:rPr>
          <w:rFonts w:eastAsia="Times New Roman"/>
          <w:noProof/>
        </w:rPr>
      </w:pPr>
      <w:r>
        <w:rPr>
          <w:noProof/>
        </w:rPr>
        <w:t>(12)</w:t>
      </w:r>
      <w:r>
        <w:rPr>
          <w:noProof/>
        </w:rPr>
        <w:tab/>
      </w:r>
      <w:r w:rsidRPr="006558CE">
        <w:rPr>
          <w:noProof/>
        </w:rPr>
        <w:t>À la suite de la suppression et de l’abaissement du niveau de mise en œuvre de mesures au titre de l’article 21 du règlement (UE) 2021/241, l’Italie a demandé que les ressources ainsi libérées soient utilisées pour ajouter deux nouvelles mesures et augmenter le niveau de mise en œuvre de huit mesures.</w:t>
      </w:r>
      <w:r w:rsidRPr="006558CE">
        <w:rPr>
          <w:i/>
          <w:noProof/>
        </w:rPr>
        <w:t xml:space="preserve"> </w:t>
      </w:r>
      <w:r w:rsidRPr="006558CE">
        <w:rPr>
          <w:noProof/>
          <w:color w:val="000000" w:themeColor="text1"/>
        </w:rPr>
        <w:t>Cela concerne la mesure M1C2-34 relevant de l’investissement 9 «Mesure d’expansion: Transition 4.0» au titre du volet 2 de la mission 1; la mesure M2C2-35</w:t>
      </w:r>
      <w:r w:rsidRPr="006558CE">
        <w:rPr>
          <w:i/>
          <w:iCs/>
          <w:noProof/>
          <w:color w:val="000000" w:themeColor="text1"/>
        </w:rPr>
        <w:t>bis</w:t>
      </w:r>
      <w:r w:rsidRPr="006558CE">
        <w:rPr>
          <w:noProof/>
          <w:color w:val="000000" w:themeColor="text1"/>
        </w:rPr>
        <w:t xml:space="preserve"> relevant de l’investissement 4.4.2 «Renforcement du parc ferroviaire régional de transport public au moyen de trains à zéro émission et du service universel»; la mesure M2C2-47 relevant de l’investissement 1.2 «Promotion des sources d’énergie renouvelables pour les communautés énergétiques et autoconsommateurs d’énergies renouvelables agissant conjointement»; la mesure M2C2-54 relevant de l’investissement 4.6 «Trains de diagnostic»; la mesure M2C2-55 relevant de l’investissement 5.5 «Crédit d’impôt vert» au titre du volet 2 de la mission 2; les mesures M2C4-39 et M2C4-40 relevant de l’investissement 4.5 «Régime de subventions pour les investissements dans les infrastructures hydrauliques» au titre du volet 4 de la mission 2; la mesure M3C1-20 relevant de l’investissement 1.8 «Mise à niveau des gares ferroviaires» au titre du volet 1 de la mission 3; les mesures M5C1-19</w:t>
      </w:r>
      <w:r w:rsidRPr="006558CE">
        <w:rPr>
          <w:i/>
          <w:iCs/>
          <w:noProof/>
          <w:color w:val="000000" w:themeColor="text1"/>
        </w:rPr>
        <w:t>bis</w:t>
      </w:r>
      <w:r w:rsidRPr="006558CE">
        <w:rPr>
          <w:noProof/>
          <w:color w:val="000000" w:themeColor="text1"/>
        </w:rPr>
        <w:t xml:space="preserve"> et M5C1-20 relevant de l’investissement 5 «Création d’entreprises féminines» au titre du volet 1 de la mission 5; la mesure M7-31 relevant de l’investissement 11 «Mesure d’expansion: Renforcement de la flotte de transports publics régionaux grâce à des trains à émissions nulles et au service universel»; les mesures M7-44 et M7-45 relevant de l’investissement 16 «Soutien aux PME en faveur de l’autoproduction à partir de sources d’énergie renouvelables»; et la mesure M7-49 relevant de l’investissement 17 «Instrument financier pour la rénovation énergétique des logements résidentiels publics» au titre de la mission 7. Sur cette base, l’Italie a demandé que le niveau de mise en œuvre de deux mesures soit relevé et que huit nouvelles mesures soient ajoutées. </w:t>
      </w:r>
      <w:r w:rsidRPr="006558CE">
        <w:rPr>
          <w:noProof/>
        </w:rPr>
        <w:t>Il convient donc de modifier la décision d’exécution du Conseil du 13 juillet 2021 en conséquence.</w:t>
      </w:r>
      <w:bookmarkEnd w:id="0"/>
    </w:p>
    <w:p w:rsidR="00007F85" w:rsidRPr="006558CE" w:rsidRDefault="00007F85" w:rsidP="00007F85">
      <w:pPr>
        <w:rPr>
          <w:b/>
          <w:bCs/>
          <w:i/>
          <w:iCs/>
          <w:noProof/>
        </w:rPr>
      </w:pPr>
      <w:r w:rsidRPr="006558CE">
        <w:rPr>
          <w:b/>
          <w:i/>
          <w:noProof/>
        </w:rPr>
        <w:t>Correction d’erreurs matérielles</w:t>
      </w:r>
    </w:p>
    <w:p w:rsidR="00C83D47" w:rsidRPr="006558CE" w:rsidRDefault="00F5744F" w:rsidP="2D05B216">
      <w:pPr>
        <w:pStyle w:val="ManualConsidrant"/>
        <w:rPr>
          <w:noProof/>
        </w:rPr>
      </w:pPr>
      <w:r>
        <w:rPr>
          <w:noProof/>
        </w:rPr>
        <w:t>(13)</w:t>
      </w:r>
      <w:r>
        <w:rPr>
          <w:noProof/>
        </w:rPr>
        <w:tab/>
      </w:r>
      <w:r w:rsidRPr="006558CE">
        <w:rPr>
          <w:noProof/>
        </w:rPr>
        <w:t>Deux erreurs matérielles ont été relevées dans le texte de la décision d’exécution du Conseil du 13 juillet 2021, concernant deux jalons et cibles dans deux mesures relevant de deux volets différents. Il y a lieu de modifier la décision d’exécution du Conseil du 13 juillet 2021 afin de corriger ces erreurs matérielles qui ne reflètent pas le contenu du PRR présenté à la Commission le 30 avril 2021, comme convenu entre la Commission et l’Italie. Ces erreurs matérielles concernent la mesure M1C2-31 relevant de l’investissement 7 «Fonds national pour la connectivité» au titre du volet 2 de la mission 1; et la mesure M4C1-23 relevant de l’investissement 3.4 «Enseignement et compétences universitaires avancées» au titre du volet 1 de la mission 4. Ces corrections n’ont pas d’incidence sur la mise en œuvre des mesures concernées.</w:t>
      </w:r>
    </w:p>
    <w:p w:rsidR="00007F85" w:rsidRPr="006558CE" w:rsidRDefault="00007F85" w:rsidP="00007F85">
      <w:pPr>
        <w:rPr>
          <w:b/>
          <w:bCs/>
          <w:i/>
          <w:iCs/>
          <w:noProof/>
        </w:rPr>
      </w:pPr>
      <w:r w:rsidRPr="006558CE">
        <w:rPr>
          <w:b/>
          <w:i/>
          <w:noProof/>
        </w:rPr>
        <w:t>Évaluation de la Commission</w:t>
      </w:r>
    </w:p>
    <w:p w:rsidR="00007F85" w:rsidRPr="006558CE" w:rsidRDefault="386510C8" w:rsidP="00007F85">
      <w:pPr>
        <w:pStyle w:val="ManualConsidrant"/>
        <w:rPr>
          <w:rFonts w:eastAsia="Times New Roman"/>
          <w:noProof/>
        </w:rPr>
      </w:pPr>
      <w:r>
        <w:rPr>
          <w:noProof/>
        </w:rPr>
        <w:t>(14)</w:t>
      </w:r>
      <w:r>
        <w:rPr>
          <w:noProof/>
        </w:rPr>
        <w:tab/>
      </w:r>
      <w:r w:rsidRPr="006558CE">
        <w:rPr>
          <w:noProof/>
        </w:rPr>
        <w:t>La Commission a évalué le PRR modifié à l’aune des critères d’évaluation énoncés à l’article 19, paragraphe 3, du règlement (UE) 2021/241.</w:t>
      </w:r>
    </w:p>
    <w:p w:rsidR="00007F85" w:rsidRPr="006558CE" w:rsidRDefault="386510C8" w:rsidP="5A34F4AD">
      <w:pPr>
        <w:rPr>
          <w:b/>
          <w:bCs/>
          <w:i/>
          <w:iCs/>
          <w:noProof/>
        </w:rPr>
      </w:pPr>
      <w:r w:rsidRPr="006558CE">
        <w:rPr>
          <w:b/>
          <w:i/>
          <w:noProof/>
        </w:rPr>
        <w:t>Contribution à la réalisation des objectifs REPowerEU</w:t>
      </w:r>
    </w:p>
    <w:p w:rsidR="00007F85" w:rsidRPr="006558CE" w:rsidRDefault="386510C8" w:rsidP="00007F85">
      <w:pPr>
        <w:pStyle w:val="ManualConsidrant"/>
        <w:rPr>
          <w:rFonts w:eastAsia="Times New Roman"/>
          <w:noProof/>
        </w:rPr>
      </w:pPr>
      <w:r>
        <w:rPr>
          <w:noProof/>
        </w:rPr>
        <w:t>(15)</w:t>
      </w:r>
      <w:r>
        <w:rPr>
          <w:noProof/>
        </w:rPr>
        <w:tab/>
      </w:r>
      <w:r w:rsidRPr="006558CE">
        <w:rPr>
          <w:noProof/>
        </w:rPr>
        <w:t>Conformément à l’article 19, paragraphe 3, point d </w:t>
      </w:r>
      <w:r w:rsidRPr="006558CE">
        <w:rPr>
          <w:i/>
          <w:iCs/>
          <w:noProof/>
        </w:rPr>
        <w:t>bis</w:t>
      </w:r>
      <w:r w:rsidRPr="006558CE">
        <w:rPr>
          <w:noProof/>
        </w:rPr>
        <w:t>), et au critère 2.12 de l’annexe V du règlement (UE) 2021/241, le chapitre REPowerEU devrait, dans une large mesure (note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w:t>
      </w:r>
    </w:p>
    <w:p w:rsidR="00007F85" w:rsidRPr="006558CE" w:rsidRDefault="00622021" w:rsidP="00007F85">
      <w:pPr>
        <w:pStyle w:val="ManualConsidrant"/>
        <w:rPr>
          <w:rFonts w:eastAsia="Times New Roman"/>
          <w:noProof/>
        </w:rPr>
      </w:pPr>
      <w:r>
        <w:rPr>
          <w:noProof/>
        </w:rPr>
        <w:t>(16)</w:t>
      </w:r>
      <w:r>
        <w:rPr>
          <w:noProof/>
        </w:rPr>
        <w:tab/>
      </w:r>
      <w:r w:rsidRPr="006558CE">
        <w:rPr>
          <w:noProof/>
        </w:rPr>
        <w:t>Les modifications concernant la réforme 1 «Rationalisation des procédures d’autorisation pour les énergies renouvelables aux niveaux central et local»; l’investissement 1 «Mesure d’expansion: Réseaux intelligents»; l’investissement 2 «Mesure d’expansion: Interventions visant à accroître la résilience du réseau électrique»; l’investissement 3 «Mesure d’expansion: Production d’hydrogène dans les friches industrielles (vallées de l’hydrogène)»; l’investissement 4 «Liaison tyrrhénienne»; l’investissement 5 «SA.CO.I.3»; l’investissement 7 «Réseau de transport national intelligent»; l’investissement 8 «Approvisionnement durable, circulaire et sûr en matières premières critiques»; l’investissement 11 «Renforcement du parc ferroviaire régional de transports publics dotés de trains à émissions nulles et d’un service universel»; l’investissement 13 «Ligne adriatique phase 1 (station de compression de Sulmona et gazoduc Sestino-Minerbio)»; l’investissement 14 «Infrastructures transfrontalières d’exportation de gaz»; l’investissement 15 «Transizione 5.0»; l’investissement 16 «Soutien aux PME en faveur de l’autoproduction à partir de sources d’énergie renouvelables»; l’investissement 17 «Instrument financier pour la rénovation énergétique des logements résidentiels publics» et l’investissement 18 «Mesure d’expansion: Programme de renouvellement du parc de véhicules de tourisme et de véhicules utilitaires légers avec des véhicules électriques» ne changent en rien l’évaluation globale selon laquelle la mise en œuvre des mesures figurant dans le chapitre REPowerEU devrait contribuer, en particulier, à soutenir les objectifs énoncés à l’article 21 </w:t>
      </w:r>
      <w:r w:rsidRPr="006558CE">
        <w:rPr>
          <w:i/>
          <w:iCs/>
          <w:noProof/>
        </w:rPr>
        <w:t>quater</w:t>
      </w:r>
      <w:r w:rsidRPr="006558CE">
        <w:rPr>
          <w:noProof/>
        </w:rPr>
        <w:t xml:space="preserve">, paragraphe 3, points a), b), c), d), e) et f), du règlement (UE) 2021/241. Le chapitre contribue efficacement et dans une large mesure à la sécurité énergétique, à la diversification de l’approvisionnement énergétique de l’Union, à un accroissement de l’utilisation des énergies renouvelables et de l’efficacité énergétique et à la réduction de la dépendance à l’égard des combustibles fossiles avant 2030. Par conséquent, le plan modifié contribue effectivement à la réalisation des objectifs de l’article 19, paragraphe 3, point d </w:t>
      </w:r>
      <w:r w:rsidRPr="006558CE">
        <w:rPr>
          <w:i/>
          <w:iCs/>
          <w:noProof/>
        </w:rPr>
        <w:t>bis</w:t>
      </w:r>
      <w:r w:rsidRPr="006558CE">
        <w:rPr>
          <w:noProof/>
        </w:rPr>
        <w:t>).</w:t>
      </w:r>
    </w:p>
    <w:p w:rsidR="00007F85" w:rsidRPr="006558CE" w:rsidRDefault="00007F85" w:rsidP="00007F85">
      <w:pPr>
        <w:rPr>
          <w:b/>
          <w:bCs/>
          <w:i/>
          <w:iCs/>
          <w:noProof/>
        </w:rPr>
      </w:pPr>
      <w:r w:rsidRPr="006558CE">
        <w:rPr>
          <w:i/>
          <w:noProof/>
        </w:rPr>
        <w:t xml:space="preserve"> </w:t>
      </w:r>
      <w:r w:rsidRPr="006558CE">
        <w:rPr>
          <w:b/>
          <w:i/>
          <w:noProof/>
        </w:rPr>
        <w:t>Contribution à la transition verte, y compris à la biodiversité</w:t>
      </w:r>
    </w:p>
    <w:p w:rsidR="00007F85" w:rsidRPr="006558CE" w:rsidRDefault="386510C8" w:rsidP="00007F85">
      <w:pPr>
        <w:pStyle w:val="ManualConsidrant"/>
        <w:rPr>
          <w:rFonts w:eastAsia="Times New Roman"/>
          <w:noProof/>
        </w:rPr>
      </w:pPr>
      <w:r>
        <w:rPr>
          <w:noProof/>
        </w:rPr>
        <w:t>(17)</w:t>
      </w:r>
      <w:r>
        <w:rPr>
          <w:noProof/>
        </w:rPr>
        <w:tab/>
      </w:r>
      <w:r w:rsidRPr="006558CE">
        <w:rPr>
          <w:noProof/>
        </w:rPr>
        <w:t>Conformément à l’article 19, paragraphe 3, point e), et au critère 2.5 de l’annexe V du règlement (UE) 2021/241, le PRR modifié contient des mesures qui contribuent dans une large mesure (note A) à la transition verte, y compris la biodiversité, ou à relever les défis qui en découlent. Le montant des mesures de soutien aux objectifs climatiques représente 37 % de l’enveloppe totale du PRR modifié et 71,9 % du coût total estimé des mesures figurant dans le chapitre REPowerEU, la méthode de calcul étant celle définie à l’annexe VI du règlement (UE) 2021/241. Conformément à l’article 17 dudit règlement, le PRR modifié est cohérent avec les informations qui figurent dans le plan national en matière d’énergie et de climat 2021-2030.</w:t>
      </w:r>
    </w:p>
    <w:p w:rsidR="00396A7B" w:rsidRPr="006558CE" w:rsidRDefault="00396A7B" w:rsidP="00007F85">
      <w:pPr>
        <w:pStyle w:val="ManualConsidrant"/>
        <w:rPr>
          <w:rFonts w:eastAsia="Times New Roman"/>
          <w:noProof/>
        </w:rPr>
      </w:pPr>
      <w:r>
        <w:rPr>
          <w:noProof/>
        </w:rPr>
        <w:t>(18)</w:t>
      </w:r>
      <w:r>
        <w:rPr>
          <w:noProof/>
        </w:rPr>
        <w:tab/>
      </w:r>
      <w:r w:rsidRPr="006558CE">
        <w:rPr>
          <w:noProof/>
        </w:rPr>
        <w:t>Les modifications apportées à la contribution à la transition verte concernent la diminution de la dotation pour un certain nombre de mesures relevant de plusieurs missions et volets. La réduction a été partiellement compensée par un certain nombre de nouveaux investissements et mesures, dont le niveau de mise en œuvre a été relevé. La diminution de la dotation concernait l’investissement 2.2 «Parc agrosolaire» au titre du volet 1 de la mission 2. La révision à la hausse de l’investissement 1.2 «Promotion des communautés d’énergie renouvelable et des autoconsommateurs d’énergies renouvelables agissant conjointement», ainsi que l’augmentation de la dotation de l’investissement 4.4.2 «Renouvellement du parc ferroviaire régional de transport public avec des trains à carburants propres et un service universel», de l’investissement 5.1 «Technologies “zéro net”» et la création de l’investissement 4.6 «Trains de diagnostic», de l’investissement 5.5 «Crédit d’impôt vert», ainsi que la révision à la hausse de l’étiquetage vert également pour l’investissement 5.4 «Injection de fonds propres dans le Fonds pour la transition verte (GTF) géré par CDP Venture Capital SGR» ont plus que compensé la révision à la baisse de l’investissement 1.1 «Développement de systèmes agrophotovoltaïques» et de l’investissement 4.3 «Installation d’infrastructures de recharge» au titre du volet 2 de la mission 2. La dotation a augmenté concernant l’investissement 4.5 «Régime de subventions pour les investissements dans les infrastructures hydrauliques» au titre du volet 4 de la mission 2. De plus, la réduction de la dotation pour la réforme 1.3 «Stimuler l’efficacité de l’infrastructure ferroviaire en Italie» au titre du volet 1 de la mission 3 a été partiellement compensée par une augmentation de la dotation pour l’investissement 1.8 «Mise à niveau des gares ferroviaires». La diminution concernait également l’investissement 6 «Programme d’innovation pour la qualité du logement» au titre du volet 2 de la mission 5; et l’investissement 1.1 «Les maisons communautaires de santé pour améliorer l’aide à la santé territoriale» au titre du volet 1 de la mission 6. Enfin, la diminution de la dotation concernant la contribution à la transition verte dans l’investissement 8 «Approvisionnement durable, circulaire et sûr en matières premières critiques» au titre de la mission 7; et dans l’investissement 15 «Transizione 5.0» au titre de la Mission 7 était plus que compensée par l’augmentation de la dotation de l’investissement 11 «Mesure d’expansion: Renforcement de la flotte de transports publics régionaux grâce à des trains à émissions nulles et au service universel»; de l’investissement 16 «Soutien aux PME en faveur de l’autoproduction à partir de sources d’énergie renouvelables»; et de l’investissement 17 «Instrument financier pour la rénovation énergétique des logements résidentiels publics».</w:t>
      </w:r>
    </w:p>
    <w:p w:rsidR="008A353D" w:rsidRPr="006558CE" w:rsidRDefault="008A353D" w:rsidP="00007F85">
      <w:pPr>
        <w:pStyle w:val="ManualConsidrant"/>
        <w:rPr>
          <w:rFonts w:eastAsia="Times New Roman"/>
          <w:noProof/>
        </w:rPr>
      </w:pPr>
      <w:r>
        <w:rPr>
          <w:noProof/>
        </w:rPr>
        <w:t>(19)</w:t>
      </w:r>
      <w:r>
        <w:rPr>
          <w:noProof/>
        </w:rPr>
        <w:tab/>
      </w:r>
      <w:r w:rsidRPr="006558CE">
        <w:rPr>
          <w:noProof/>
        </w:rPr>
        <w:t>Dans l’ensemble, les mesures figurant dans le PRR modifié continuent de contribuer de manière significative à la transition verte de l’Italie. En raison des différences en matière d’étiquetage climatique de la mesure revue à la hausse et des mesures revues à la baisse, les modifications apportées au PRR de l’Italie entraînent une diminution nette de la contribution globale à l’objectif climatique du PRR de 0,1 point de pourcentage, qui passe ainsi de 37,1 % à 37 %. La portée des modifications ne change pas l’évaluation globale de ce critère.</w:t>
      </w:r>
    </w:p>
    <w:p w:rsidR="00007F85" w:rsidRPr="006558CE" w:rsidRDefault="386510C8" w:rsidP="3E84F4DC">
      <w:pPr>
        <w:rPr>
          <w:b/>
          <w:bCs/>
          <w:i/>
          <w:iCs/>
          <w:noProof/>
        </w:rPr>
      </w:pPr>
      <w:r w:rsidRPr="006558CE">
        <w:rPr>
          <w:b/>
          <w:i/>
          <w:noProof/>
        </w:rPr>
        <w:t>Contribution à la transition numérique</w:t>
      </w:r>
    </w:p>
    <w:p w:rsidR="00007F85" w:rsidRPr="006558CE" w:rsidRDefault="386510C8" w:rsidP="00007F85">
      <w:pPr>
        <w:pStyle w:val="ManualConsidrant"/>
        <w:rPr>
          <w:rFonts w:eastAsia="Times New Roman"/>
          <w:noProof/>
        </w:rPr>
      </w:pPr>
      <w:r>
        <w:rPr>
          <w:noProof/>
        </w:rPr>
        <w:t>(20)</w:t>
      </w:r>
      <w:r>
        <w:rPr>
          <w:noProof/>
        </w:rPr>
        <w:tab/>
      </w:r>
      <w:r w:rsidRPr="006558CE">
        <w:rPr>
          <w:noProof/>
        </w:rPr>
        <w:t xml:space="preserve">Conformément à l’article 19, paragraphe 3, point f), et au critère 2.6 de l’annexe V du règlement (UE) 2021/241, le PRR modifié contient des mesures qui contribuent dans une large mesure (note A) à la transition numérique ou à relever les défis qui en découlent. Le montant des mesures de soutien aux objectifs numériques représente 26,4 % de l’enveloppe totale du PRR modifié, le calcul étant effectué selon la méthode exposée à l’annexe VII dudit règlement. </w:t>
      </w:r>
    </w:p>
    <w:p w:rsidR="00C3334A" w:rsidRPr="006558CE" w:rsidRDefault="005976C3" w:rsidP="00007F85">
      <w:pPr>
        <w:pStyle w:val="ManualConsidrant"/>
        <w:rPr>
          <w:rFonts w:eastAsia="Times New Roman"/>
          <w:noProof/>
        </w:rPr>
      </w:pPr>
      <w:r>
        <w:rPr>
          <w:noProof/>
        </w:rPr>
        <w:t>(21)</w:t>
      </w:r>
      <w:r>
        <w:rPr>
          <w:noProof/>
        </w:rPr>
        <w:tab/>
      </w:r>
      <w:r w:rsidRPr="006558CE">
        <w:rPr>
          <w:noProof/>
        </w:rPr>
        <w:t xml:space="preserve">La diminution de la dotation concerne l’investissement 2 «Innovation et technologie de la microélectronique» au titre du volet 2 de la mission 1 et l’investissement 2.1 «Numérisation de la chaîne logistique» au titre du volet 2 de la mission 3. </w:t>
      </w:r>
    </w:p>
    <w:p w:rsidR="00DC0715" w:rsidRPr="006558CE" w:rsidRDefault="00F5028A" w:rsidP="00007F85">
      <w:pPr>
        <w:pStyle w:val="ManualConsidrant"/>
        <w:rPr>
          <w:rFonts w:eastAsia="Times New Roman"/>
          <w:noProof/>
        </w:rPr>
      </w:pPr>
      <w:r>
        <w:rPr>
          <w:noProof/>
        </w:rPr>
        <w:t>(22)</w:t>
      </w:r>
      <w:r>
        <w:rPr>
          <w:noProof/>
        </w:rPr>
        <w:tab/>
      </w:r>
      <w:r w:rsidRPr="006558CE">
        <w:rPr>
          <w:noProof/>
        </w:rPr>
        <w:t>Dans l’ensemble, les mesures figurant dans le PRR modifié continuent de contribuer à la transition numérique de l’Italie: en raison des différences en matière d’étiquetage numérique des mesures revues à la baisse, les modifications apportées au PRR de l’Italie entraînent une diminution nette de 0,1 point de pourcentage, de 26,5 % à 26,4 %. En raison de leur portée limitée, ces modifications ne changent en rien l’évaluation globale de ce critère.</w:t>
      </w:r>
    </w:p>
    <w:p w:rsidR="00B57F37" w:rsidRPr="006558CE" w:rsidRDefault="386510C8" w:rsidP="00B57F37">
      <w:pPr>
        <w:rPr>
          <w:i/>
          <w:iCs/>
          <w:noProof/>
        </w:rPr>
      </w:pPr>
      <w:r w:rsidRPr="006558CE">
        <w:rPr>
          <w:b/>
          <w:i/>
          <w:noProof/>
        </w:rPr>
        <w:t>Estimation des coûts</w:t>
      </w:r>
    </w:p>
    <w:p w:rsidR="00007F85" w:rsidRPr="006558CE" w:rsidRDefault="386510C8" w:rsidP="00690908">
      <w:pPr>
        <w:pStyle w:val="ManualConsidrant"/>
        <w:rPr>
          <w:rFonts w:eastAsia="Times New Roman"/>
          <w:noProof/>
        </w:rPr>
      </w:pPr>
      <w:r>
        <w:rPr>
          <w:noProof/>
        </w:rPr>
        <w:t>(23)</w:t>
      </w:r>
      <w:r>
        <w:rPr>
          <w:noProof/>
        </w:rPr>
        <w:tab/>
      </w:r>
      <w:r w:rsidRPr="006558CE">
        <w:rPr>
          <w:noProof/>
        </w:rPr>
        <w:t>Conformément à l’article 19, paragraphe 3, point i), et au critère 2.9 de l’annexe V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690908" w:rsidRPr="006558CE" w:rsidRDefault="00690908" w:rsidP="00690908">
      <w:pPr>
        <w:pStyle w:val="ManualConsidrant"/>
        <w:rPr>
          <w:noProof/>
        </w:rPr>
      </w:pPr>
      <w:r>
        <w:rPr>
          <w:noProof/>
        </w:rPr>
        <w:t>(24)</w:t>
      </w:r>
      <w:r>
        <w:rPr>
          <w:noProof/>
        </w:rPr>
        <w:tab/>
      </w:r>
      <w:r w:rsidRPr="006558CE">
        <w:rPr>
          <w:noProof/>
        </w:rPr>
        <w:t>Le montant des coûts totaux estimés du PRR modifié est conforme à la nature et au type de réformes et d’investissements envisagés. En conséquence, les estimations des coûts pour la plupart des mesures figurant dans le PRR modifié sont jugées raisonnables et plausibles. L’Italie a fourni des informations et des éléments de preuve suffisants montrant que le montant du coût total estimé n’était pas couvert par un financement existant ou prévu de l’Union. Enfin, le montant des coûts totaux estimés du PRR modifié est conforme au principe de l’efficacité au regard des coûts et proportionné aux conséquences économiques et sociales attendues au niveau national. Par conséquent, la note B est justifiée pour le PRR modifié.</w:t>
      </w:r>
    </w:p>
    <w:p w:rsidR="00007F85" w:rsidRPr="006558CE" w:rsidRDefault="386510C8" w:rsidP="5A34F4AD">
      <w:pPr>
        <w:rPr>
          <w:i/>
          <w:iCs/>
          <w:noProof/>
        </w:rPr>
      </w:pPr>
      <w:r w:rsidRPr="006558CE">
        <w:rPr>
          <w:b/>
          <w:i/>
          <w:noProof/>
        </w:rPr>
        <w:t>Autres critères d’évaluation</w:t>
      </w:r>
    </w:p>
    <w:p w:rsidR="00007F85" w:rsidRPr="006558CE" w:rsidRDefault="386510C8" w:rsidP="00007F85">
      <w:pPr>
        <w:pStyle w:val="ManualConsidrant"/>
        <w:rPr>
          <w:rFonts w:eastAsia="Times New Roman"/>
          <w:noProof/>
        </w:rPr>
      </w:pPr>
      <w:r>
        <w:rPr>
          <w:noProof/>
        </w:rPr>
        <w:t>(25)</w:t>
      </w:r>
      <w:r>
        <w:rPr>
          <w:noProof/>
        </w:rPr>
        <w:tab/>
      </w:r>
      <w:r w:rsidRPr="006558CE">
        <w:rPr>
          <w:noProof/>
        </w:rPr>
        <w:t xml:space="preserve">La Commission considère que les modifications proposées par l’Italie n’ont pas d’incidence sur l’évaluation positive du PRR présentée dans la décision d’exécution 10160/21 du Conseil du 13 juillet 2021 relative à l’approbation de l’évaluation du PRR pour l’Italie en ce qui concerne la pertinence, l’efficacité, l’efficience et la cohérence du PRR au regard des critères d’évaluation énoncés à l’article 19, paragraphe 3, points a), b), c), d), d </w:t>
      </w:r>
      <w:r w:rsidRPr="006558CE">
        <w:rPr>
          <w:i/>
          <w:iCs/>
          <w:noProof/>
        </w:rPr>
        <w:t>ter</w:t>
      </w:r>
      <w:r w:rsidRPr="006558CE">
        <w:rPr>
          <w:noProof/>
        </w:rPr>
        <w:t>), g), h), j) et k).</w:t>
      </w:r>
    </w:p>
    <w:p w:rsidR="00007F85" w:rsidRPr="006558CE" w:rsidRDefault="00007F85" w:rsidP="00007F85">
      <w:pPr>
        <w:rPr>
          <w:b/>
          <w:bCs/>
          <w:i/>
          <w:iCs/>
          <w:noProof/>
        </w:rPr>
      </w:pPr>
      <w:r w:rsidRPr="006558CE">
        <w:rPr>
          <w:b/>
          <w:i/>
          <w:noProof/>
        </w:rPr>
        <w:t>Évaluation positive</w:t>
      </w:r>
    </w:p>
    <w:p w:rsidR="00007F85" w:rsidRPr="006558CE" w:rsidRDefault="386510C8" w:rsidP="00007F85">
      <w:pPr>
        <w:pStyle w:val="ManualConsidrant"/>
        <w:rPr>
          <w:rFonts w:eastAsia="Times New Roman"/>
          <w:noProof/>
        </w:rPr>
      </w:pPr>
      <w:r>
        <w:rPr>
          <w:noProof/>
        </w:rPr>
        <w:t>(26)</w:t>
      </w:r>
      <w:r>
        <w:rPr>
          <w:noProof/>
        </w:rPr>
        <w:tab/>
      </w:r>
      <w:r w:rsidRPr="006558CE">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007F85" w:rsidRPr="006558CE" w:rsidRDefault="386510C8" w:rsidP="00007F85">
      <w:pPr>
        <w:rPr>
          <w:b/>
          <w:bCs/>
          <w:i/>
          <w:iCs/>
          <w:noProof/>
        </w:rPr>
      </w:pPr>
      <w:r w:rsidRPr="006558CE">
        <w:rPr>
          <w:b/>
          <w:i/>
          <w:noProof/>
        </w:rPr>
        <w:t>Contribution financière</w:t>
      </w:r>
    </w:p>
    <w:p w:rsidR="5DD1E67C" w:rsidRPr="006558CE" w:rsidRDefault="5DD1E67C" w:rsidP="1F07C6BE">
      <w:pPr>
        <w:pStyle w:val="ManualConsidrant"/>
        <w:rPr>
          <w:rFonts w:eastAsia="Calibri"/>
          <w:noProof/>
        </w:rPr>
      </w:pPr>
      <w:r>
        <w:rPr>
          <w:noProof/>
        </w:rPr>
        <w:t>(27)</w:t>
      </w:r>
      <w:r>
        <w:rPr>
          <w:noProof/>
        </w:rPr>
        <w:tab/>
      </w:r>
      <w:r w:rsidRPr="006558CE">
        <w:rPr>
          <w:noProof/>
        </w:rPr>
        <w:t>Le coût total du PRR modifié de l’Italie est estimé à 194 435 381 164 EUR. Le montant du coût total estimé du PRR modifié étant supérieur à la contribution financière maximale actualisée disponible pour l’Italie, la contribution financière déterminée conformément à l’article 4 </w:t>
      </w:r>
      <w:r w:rsidRPr="006558CE">
        <w:rPr>
          <w:i/>
          <w:iCs/>
          <w:noProof/>
        </w:rPr>
        <w:t>bis</w:t>
      </w:r>
      <w:r w:rsidRPr="006558CE">
        <w:rPr>
          <w:noProof/>
        </w:rPr>
        <w:t xml:space="preserve"> du règlement (UE) 2021/1755 du Parlement européen et du Conseil</w:t>
      </w:r>
      <w:r w:rsidRPr="006558CE">
        <w:rPr>
          <w:rStyle w:val="FootnoteReference"/>
          <w:rFonts w:eastAsia="Calibri"/>
          <w:noProof/>
        </w:rPr>
        <w:footnoteReference w:id="12"/>
      </w:r>
      <w:r w:rsidRPr="006558CE">
        <w:rPr>
          <w:noProof/>
        </w:rPr>
        <w:t xml:space="preserve"> ainsi qu’à l’article 20, paragraphe 4, et à l’article 21 </w:t>
      </w:r>
      <w:r w:rsidRPr="006558CE">
        <w:rPr>
          <w:i/>
          <w:iCs/>
          <w:noProof/>
        </w:rPr>
        <w:t>bis</w:t>
      </w:r>
      <w:r w:rsidRPr="006558CE">
        <w:rPr>
          <w:noProof/>
        </w:rPr>
        <w:t>, paragraphe 6, du règlement (UE) 2021/241, allouée au PRR modifié de l’Italie, devrait être égale à 71 779 623 788 EUR. Par conséquent, la contribution financière mise à la disposition de l’Italie reste inchangée.</w:t>
      </w:r>
    </w:p>
    <w:p w:rsidR="00007F85" w:rsidRPr="006558CE" w:rsidRDefault="00007F85" w:rsidP="00007F85">
      <w:pPr>
        <w:rPr>
          <w:b/>
          <w:bCs/>
          <w:i/>
          <w:iCs/>
          <w:noProof/>
        </w:rPr>
      </w:pPr>
      <w:r w:rsidRPr="006558CE">
        <w:rPr>
          <w:b/>
          <w:i/>
          <w:noProof/>
        </w:rPr>
        <w:t>Prêts</w:t>
      </w:r>
    </w:p>
    <w:p w:rsidR="00007F85" w:rsidRPr="006558CE" w:rsidRDefault="386510C8" w:rsidP="00007F85">
      <w:pPr>
        <w:pStyle w:val="ManualConsidrant"/>
        <w:rPr>
          <w:noProof/>
        </w:rPr>
      </w:pPr>
      <w:r>
        <w:rPr>
          <w:noProof/>
        </w:rPr>
        <w:t>(28)</w:t>
      </w:r>
      <w:r>
        <w:rPr>
          <w:noProof/>
        </w:rPr>
        <w:tab/>
      </w:r>
      <w:r w:rsidRPr="006558CE">
        <w:rPr>
          <w:noProof/>
        </w:rPr>
        <w:t xml:space="preserve">Le soutien sous forme de prêt disponible pour l’Italie, d’un montant de 122 601 810 400 EUR, reste inchangé. </w:t>
      </w:r>
    </w:p>
    <w:p w:rsidR="00007F85" w:rsidRPr="006558CE" w:rsidRDefault="386510C8" w:rsidP="007A2842">
      <w:pPr>
        <w:pStyle w:val="ManualConsidrant"/>
        <w:tabs>
          <w:tab w:val="num" w:pos="2127"/>
        </w:tabs>
        <w:rPr>
          <w:noProof/>
        </w:rPr>
      </w:pPr>
      <w:r>
        <w:rPr>
          <w:noProof/>
        </w:rPr>
        <w:t>(29)</w:t>
      </w:r>
      <w:r>
        <w:rPr>
          <w:noProof/>
        </w:rPr>
        <w:tab/>
      </w:r>
      <w:r w:rsidRPr="006558CE">
        <w:rPr>
          <w:noProof/>
        </w:rPr>
        <w:t>Il convient donc de modifier la décision d’exécution du Conseil du 13 juillet 2021 en conséquence. Par souci de clarté, il convient de remplacer intégralement l’annexe de la décision d’exécution du Conseil du 13 juillet 2021.</w:t>
      </w:r>
    </w:p>
    <w:p w:rsidR="00CD54FA" w:rsidRPr="006558CE" w:rsidRDefault="207CD39C" w:rsidP="007A2842">
      <w:pPr>
        <w:pStyle w:val="ManualConsidrant"/>
        <w:tabs>
          <w:tab w:val="num" w:pos="2127"/>
        </w:tabs>
        <w:rPr>
          <w:noProof/>
        </w:rPr>
      </w:pPr>
      <w:r>
        <w:rPr>
          <w:noProof/>
        </w:rPr>
        <w:t>(30)</w:t>
      </w:r>
      <w:r>
        <w:rPr>
          <w:noProof/>
        </w:rPr>
        <w:tab/>
      </w:r>
      <w:r w:rsidRPr="006558CE">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conformément à l’article 108 du traité, les aides d’État susceptibles d’être instituées,</w:t>
      </w:r>
    </w:p>
    <w:p w:rsidR="00007F85" w:rsidRPr="006558CE" w:rsidRDefault="00007F85" w:rsidP="00007F85">
      <w:pPr>
        <w:pStyle w:val="Formuledadoption"/>
        <w:rPr>
          <w:noProof/>
        </w:rPr>
      </w:pPr>
      <w:r w:rsidRPr="006558CE">
        <w:rPr>
          <w:noProof/>
        </w:rPr>
        <w:t xml:space="preserve">A ADOPTÉ LA PRÉSENTE DÉCISION: </w:t>
      </w:r>
    </w:p>
    <w:p w:rsidR="00007F85" w:rsidRPr="006558CE" w:rsidRDefault="00007F85" w:rsidP="00007F85">
      <w:pPr>
        <w:pStyle w:val="Titrearticle"/>
        <w:rPr>
          <w:noProof/>
        </w:rPr>
      </w:pPr>
      <w:r w:rsidRPr="006558CE">
        <w:rPr>
          <w:i w:val="0"/>
          <w:noProof/>
        </w:rPr>
        <w:t>Article premier</w:t>
      </w:r>
      <w:r w:rsidRPr="006558CE">
        <w:rPr>
          <w:noProof/>
        </w:rPr>
        <w:t xml:space="preserve"> </w:t>
      </w:r>
      <w:r w:rsidRPr="006558CE">
        <w:rPr>
          <w:noProof/>
        </w:rPr>
        <w:br/>
        <w:t>Approbation de l’évaluation du PRR</w:t>
      </w:r>
    </w:p>
    <w:p w:rsidR="00007F85" w:rsidRPr="006558CE" w:rsidRDefault="00007F85" w:rsidP="00007F85">
      <w:pPr>
        <w:rPr>
          <w:rFonts w:eastAsia="Times New Roman"/>
          <w:noProof/>
        </w:rPr>
      </w:pPr>
      <w:r w:rsidRPr="006558CE">
        <w:rPr>
          <w:noProof/>
        </w:rPr>
        <w:t xml:space="preserve">L’évaluation du PRR modifié pour l’Italie sur la base des critères prévus à l’article 19, paragraphe 3, du règlement (UE) 2021/241 est approuvée. </w:t>
      </w:r>
    </w:p>
    <w:p w:rsidR="00007F85" w:rsidRPr="006558CE" w:rsidRDefault="00007F85" w:rsidP="00007F85">
      <w:pPr>
        <w:pStyle w:val="Titrearticle"/>
        <w:rPr>
          <w:noProof/>
        </w:rPr>
      </w:pPr>
      <w:r w:rsidRPr="006558CE">
        <w:rPr>
          <w:i w:val="0"/>
          <w:noProof/>
        </w:rPr>
        <w:t>Article 2</w:t>
      </w:r>
      <w:r w:rsidRPr="006558CE">
        <w:rPr>
          <w:noProof/>
        </w:rPr>
        <w:t xml:space="preserve"> </w:t>
      </w:r>
      <w:r w:rsidRPr="006558CE">
        <w:rPr>
          <w:noProof/>
        </w:rPr>
        <w:br/>
        <w:t>Modifications</w:t>
      </w:r>
    </w:p>
    <w:p w:rsidR="00007F85" w:rsidRPr="006558CE" w:rsidRDefault="386510C8" w:rsidP="00007F85">
      <w:pPr>
        <w:rPr>
          <w:noProof/>
        </w:rPr>
      </w:pPr>
      <w:r w:rsidRPr="006558CE">
        <w:rPr>
          <w:noProof/>
        </w:rPr>
        <w:t>La décision d’exécution du Conseil du 13 juillet 2021 relative à l’approbation de l’évaluation du plan pour la reprise et la résilience pour l’Italie est modifiée comme suit:</w:t>
      </w:r>
    </w:p>
    <w:p w:rsidR="00007F85" w:rsidRPr="006558CE" w:rsidRDefault="386510C8" w:rsidP="00007F85">
      <w:pPr>
        <w:rPr>
          <w:noProof/>
        </w:rPr>
      </w:pPr>
      <w:r w:rsidRPr="006558CE">
        <w:rPr>
          <w:noProof/>
        </w:rPr>
        <w:t>l’annexe est remplacée par le texte figurant à l’annexe de la présente décision.</w:t>
      </w:r>
    </w:p>
    <w:p w:rsidR="00007F85" w:rsidRPr="006558CE" w:rsidRDefault="00007F85" w:rsidP="00E70A74">
      <w:pPr>
        <w:pStyle w:val="Titrearticle"/>
        <w:rPr>
          <w:noProof/>
        </w:rPr>
      </w:pPr>
      <w:r w:rsidRPr="006558CE">
        <w:rPr>
          <w:i w:val="0"/>
          <w:noProof/>
        </w:rPr>
        <w:t>Article 3</w:t>
      </w:r>
      <w:r w:rsidRPr="006558CE">
        <w:rPr>
          <w:noProof/>
        </w:rPr>
        <w:t xml:space="preserve"> </w:t>
      </w:r>
      <w:r w:rsidRPr="006558CE">
        <w:rPr>
          <w:noProof/>
        </w:rPr>
        <w:br/>
        <w:t>Destinataire</w:t>
      </w:r>
    </w:p>
    <w:p w:rsidR="00007F85" w:rsidRPr="006558CE" w:rsidRDefault="00007F85" w:rsidP="00007F85">
      <w:pPr>
        <w:rPr>
          <w:noProof/>
        </w:rPr>
      </w:pPr>
      <w:r w:rsidRPr="006558CE">
        <w:rPr>
          <w:noProof/>
        </w:rPr>
        <w:t>La République italienne est destinataire de la présente décision.</w:t>
      </w:r>
    </w:p>
    <w:p w:rsidR="00007F85" w:rsidRPr="006558CE" w:rsidRDefault="006558CE" w:rsidP="00E70A74">
      <w:pPr>
        <w:pStyle w:val="Fait"/>
        <w:rPr>
          <w:noProof/>
        </w:rPr>
      </w:pPr>
      <w:r>
        <w:rPr>
          <w:noProof/>
        </w:rPr>
        <w:t>Fait à Bruxelles, le</w:t>
      </w:r>
    </w:p>
    <w:p w:rsidR="00007F85" w:rsidRPr="006558CE" w:rsidRDefault="00007F85" w:rsidP="00E70A74">
      <w:pPr>
        <w:pStyle w:val="Institutionquisigne"/>
        <w:rPr>
          <w:noProof/>
        </w:rPr>
      </w:pPr>
      <w:r w:rsidRPr="006558CE">
        <w:rPr>
          <w:noProof/>
        </w:rPr>
        <w:tab/>
        <w:t>Par le Conseil</w:t>
      </w:r>
    </w:p>
    <w:p w:rsidR="002709B6" w:rsidRPr="006558CE" w:rsidRDefault="00007F85" w:rsidP="00A1233B">
      <w:pPr>
        <w:pStyle w:val="Personnequisigne"/>
        <w:rPr>
          <w:noProof/>
          <w:color w:val="008000"/>
        </w:rPr>
      </w:pPr>
      <w:r w:rsidRPr="006558CE">
        <w:rPr>
          <w:noProof/>
        </w:rPr>
        <w:tab/>
        <w:t>Le président/La présidente</w:t>
      </w:r>
    </w:p>
    <w:sectPr w:rsidR="002709B6" w:rsidRPr="006558CE" w:rsidSect="009933B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E2A" w:rsidRDefault="00317E2A">
      <w:pPr>
        <w:spacing w:before="0" w:after="0"/>
      </w:pPr>
      <w:r>
        <w:separator/>
      </w:r>
    </w:p>
  </w:endnote>
  <w:endnote w:type="continuationSeparator" w:id="0">
    <w:p w:rsidR="00317E2A" w:rsidRDefault="00317E2A">
      <w:pPr>
        <w:spacing w:before="0" w:after="0"/>
      </w:pPr>
      <w:r>
        <w:continuationSeparator/>
      </w:r>
    </w:p>
  </w:endnote>
  <w:endnote w:type="continuationNotice" w:id="1">
    <w:p w:rsidR="00317E2A" w:rsidRDefault="00317E2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Pr="009933BA" w:rsidRDefault="009933BA" w:rsidP="009933BA">
    <w:pPr>
      <w:pStyle w:val="Footer"/>
      <w:rPr>
        <w:rFonts w:ascii="Arial" w:hAnsi="Arial" w:cs="Arial"/>
        <w:b/>
        <w:sz w:val="48"/>
      </w:rPr>
    </w:pPr>
    <w:r w:rsidRPr="009933BA">
      <w:rPr>
        <w:rFonts w:ascii="Arial" w:hAnsi="Arial" w:cs="Arial"/>
        <w:b/>
        <w:sz w:val="48"/>
      </w:rPr>
      <w:t>FR</w:t>
    </w:r>
    <w:r w:rsidRPr="009933BA">
      <w:rPr>
        <w:rFonts w:ascii="Arial" w:hAnsi="Arial" w:cs="Arial"/>
        <w:b/>
        <w:sz w:val="48"/>
      </w:rPr>
      <w:tab/>
    </w:r>
    <w:r w:rsidRPr="009933BA">
      <w:rPr>
        <w:rFonts w:ascii="Arial" w:hAnsi="Arial" w:cs="Arial"/>
        <w:b/>
        <w:sz w:val="48"/>
      </w:rPr>
      <w:tab/>
    </w:r>
    <w:r w:rsidRPr="009933BA">
      <w:tab/>
    </w:r>
    <w:r w:rsidRPr="009933B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Pr="009933BA" w:rsidRDefault="009933BA" w:rsidP="009933BA">
    <w:pPr>
      <w:pStyle w:val="Footer"/>
      <w:rPr>
        <w:rFonts w:ascii="Arial" w:hAnsi="Arial" w:cs="Arial"/>
        <w:b/>
        <w:sz w:val="48"/>
      </w:rPr>
    </w:pPr>
    <w:r w:rsidRPr="009933BA">
      <w:rPr>
        <w:rFonts w:ascii="Arial" w:hAnsi="Arial" w:cs="Arial"/>
        <w:b/>
        <w:sz w:val="48"/>
      </w:rPr>
      <w:t>FR</w:t>
    </w:r>
    <w:r w:rsidRPr="009933BA">
      <w:rPr>
        <w:rFonts w:ascii="Arial" w:hAnsi="Arial" w:cs="Arial"/>
        <w:b/>
        <w:sz w:val="48"/>
      </w:rPr>
      <w:tab/>
    </w:r>
    <w:r w:rsidRPr="009933BA">
      <w:rPr>
        <w:rFonts w:ascii="Arial" w:hAnsi="Arial" w:cs="Arial"/>
        <w:b/>
        <w:sz w:val="48"/>
      </w:rPr>
      <w:tab/>
    </w:r>
    <w:r w:rsidRPr="009933BA">
      <w:tab/>
    </w:r>
    <w:r w:rsidRPr="009933B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Default="009933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Pr="009933BA" w:rsidRDefault="009933BA" w:rsidP="009933BA">
    <w:pPr>
      <w:pStyle w:val="Footer"/>
      <w:rPr>
        <w:rFonts w:ascii="Arial" w:hAnsi="Arial" w:cs="Arial"/>
        <w:b/>
        <w:sz w:val="48"/>
      </w:rPr>
    </w:pPr>
    <w:r w:rsidRPr="009933BA">
      <w:rPr>
        <w:rFonts w:ascii="Arial" w:hAnsi="Arial" w:cs="Arial"/>
        <w:b/>
        <w:sz w:val="48"/>
      </w:rPr>
      <w:t>FR</w:t>
    </w:r>
    <w:r w:rsidRPr="009933BA">
      <w:rPr>
        <w:rFonts w:ascii="Arial" w:hAnsi="Arial" w:cs="Arial"/>
        <w:b/>
        <w:sz w:val="48"/>
      </w:rPr>
      <w:tab/>
    </w:r>
    <w:r>
      <w:fldChar w:fldCharType="begin"/>
    </w:r>
    <w:r>
      <w:instrText xml:space="preserve"> PAGE  \* MERGEFORMAT </w:instrText>
    </w:r>
    <w:r>
      <w:fldChar w:fldCharType="separate"/>
    </w:r>
    <w:r w:rsidR="00E70A74">
      <w:rPr>
        <w:noProof/>
      </w:rPr>
      <w:t>11</w:t>
    </w:r>
    <w:r>
      <w:fldChar w:fldCharType="end"/>
    </w:r>
    <w:r>
      <w:tab/>
    </w:r>
    <w:r w:rsidRPr="009933BA">
      <w:tab/>
    </w:r>
    <w:r w:rsidRPr="009933B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Default="009933BA" w:rsidP="00993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E2A" w:rsidRDefault="00317E2A">
      <w:pPr>
        <w:spacing w:before="0" w:after="0"/>
      </w:pPr>
      <w:r>
        <w:separator/>
      </w:r>
    </w:p>
  </w:footnote>
  <w:footnote w:type="continuationSeparator" w:id="0">
    <w:p w:rsidR="00317E2A" w:rsidRDefault="00317E2A">
      <w:pPr>
        <w:spacing w:before="0" w:after="0"/>
      </w:pPr>
      <w:r>
        <w:continuationSeparator/>
      </w:r>
    </w:p>
  </w:footnote>
  <w:footnote w:type="continuationNotice" w:id="1">
    <w:p w:rsidR="00317E2A" w:rsidRDefault="00317E2A">
      <w:pPr>
        <w:spacing w:before="0" w:after="0"/>
      </w:pPr>
    </w:p>
  </w:footnote>
  <w:footnote w:id="2">
    <w:p w:rsidR="003E72A3" w:rsidRPr="002C0DBB" w:rsidRDefault="003E72A3">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3E72A3" w:rsidRPr="003E01C1" w:rsidRDefault="003E72A3">
      <w:pPr>
        <w:pStyle w:val="FootnoteText"/>
        <w:rPr>
          <w:lang w:val="en-IE"/>
        </w:rPr>
      </w:pPr>
      <w:r>
        <w:rPr>
          <w:rStyle w:val="FootnoteReference"/>
        </w:rPr>
        <w:footnoteRef/>
      </w:r>
      <w:r w:rsidRPr="003E01C1">
        <w:rPr>
          <w:lang w:val="en-IE"/>
        </w:rPr>
        <w:tab/>
        <w:t>ST 10160/21 INIT; ST 10160/21 ADD 1 REV 2; et ST 10160/21 ADD 1 REV 2 COR 1 (sk).</w:t>
      </w:r>
    </w:p>
  </w:footnote>
  <w:footnote w:id="4">
    <w:p w:rsidR="003E72A3" w:rsidRPr="003E01C1" w:rsidRDefault="003E72A3">
      <w:pPr>
        <w:pStyle w:val="FootnoteText"/>
        <w:rPr>
          <w:lang w:val="en-IE"/>
        </w:rPr>
      </w:pPr>
      <w:r>
        <w:rPr>
          <w:rStyle w:val="FootnoteReference"/>
        </w:rPr>
        <w:footnoteRef/>
      </w:r>
      <w:r w:rsidRPr="003E01C1">
        <w:rPr>
          <w:lang w:val="en-IE"/>
        </w:rPr>
        <w:tab/>
        <w:t>ST 12259/23 INIT.</w:t>
      </w:r>
    </w:p>
  </w:footnote>
  <w:footnote w:id="5">
    <w:p w:rsidR="003E72A3" w:rsidRPr="003E01C1" w:rsidRDefault="003E72A3">
      <w:pPr>
        <w:pStyle w:val="FootnoteText"/>
        <w:rPr>
          <w:lang w:val="en-IE"/>
        </w:rPr>
      </w:pPr>
      <w:r>
        <w:rPr>
          <w:rStyle w:val="FootnoteReference"/>
        </w:rPr>
        <w:footnoteRef/>
      </w:r>
      <w:r w:rsidRPr="003E01C1">
        <w:rPr>
          <w:lang w:val="en-IE"/>
        </w:rPr>
        <w:tab/>
        <w:t>ST 16051/23 INIT; ST 16051/23 ADD 1; et ST 16051/23 ADD 1 REV 1 (ga).</w:t>
      </w:r>
    </w:p>
  </w:footnote>
  <w:footnote w:id="6">
    <w:p w:rsidR="003E72A3" w:rsidRPr="003E01C1" w:rsidRDefault="003E72A3">
      <w:pPr>
        <w:pStyle w:val="FootnoteText"/>
        <w:rPr>
          <w:lang w:val="en-IE"/>
        </w:rPr>
      </w:pPr>
      <w:r>
        <w:rPr>
          <w:rStyle w:val="FootnoteReference"/>
        </w:rPr>
        <w:footnoteRef/>
      </w:r>
      <w:r w:rsidRPr="003E01C1">
        <w:rPr>
          <w:lang w:val="en-IE"/>
        </w:rPr>
        <w:tab/>
        <w:t>ST 9399/24 INIT; ST 9399/24 ADD 1; et ST 9399/24 ADD1 COR 2 (sv).</w:t>
      </w:r>
    </w:p>
  </w:footnote>
  <w:footnote w:id="7">
    <w:p w:rsidR="003E72A3" w:rsidRPr="003E01C1" w:rsidRDefault="003E72A3">
      <w:pPr>
        <w:pStyle w:val="FootnoteText"/>
        <w:rPr>
          <w:lang w:val="en-IE"/>
        </w:rPr>
      </w:pPr>
      <w:r>
        <w:rPr>
          <w:rStyle w:val="FootnoteReference"/>
        </w:rPr>
        <w:footnoteRef/>
      </w:r>
      <w:r w:rsidRPr="003E01C1">
        <w:rPr>
          <w:lang w:val="en-IE"/>
        </w:rPr>
        <w:tab/>
        <w:t>ST 15114/24 INIT; et ST 15114 ADD 1 REV 1.</w:t>
      </w:r>
    </w:p>
  </w:footnote>
  <w:footnote w:id="8">
    <w:p w:rsidR="003E72A3" w:rsidRPr="003E01C1" w:rsidRDefault="003E72A3">
      <w:pPr>
        <w:pStyle w:val="FootnoteText"/>
        <w:rPr>
          <w:lang w:val="en-IE"/>
        </w:rPr>
      </w:pPr>
      <w:r>
        <w:rPr>
          <w:rStyle w:val="FootnoteReference"/>
        </w:rPr>
        <w:footnoteRef/>
      </w:r>
      <w:r w:rsidRPr="003E01C1">
        <w:rPr>
          <w:lang w:val="en-IE"/>
        </w:rPr>
        <w:tab/>
        <w:t>ST 9587/25 INIT; et ST 9587/25 ADD 1.</w:t>
      </w:r>
    </w:p>
  </w:footnote>
  <w:footnote w:id="9">
    <w:p w:rsidR="003E72A3" w:rsidRPr="003E01C1" w:rsidRDefault="003E72A3">
      <w:pPr>
        <w:pStyle w:val="FootnoteText"/>
        <w:rPr>
          <w:lang w:val="en-IE"/>
        </w:rPr>
      </w:pPr>
      <w:r>
        <w:rPr>
          <w:rStyle w:val="FootnoteReference"/>
        </w:rPr>
        <w:footnoteRef/>
      </w:r>
      <w:r w:rsidRPr="003E01C1">
        <w:rPr>
          <w:lang w:val="en-IE"/>
        </w:rPr>
        <w:tab/>
        <w:t>ST 15106/25 INIT; ST 15106/25 ADD 1; et ST 15106/25 ADD 1 COR 1 (sv).</w:t>
      </w:r>
    </w:p>
  </w:footnote>
  <w:footnote w:id="10">
    <w:p w:rsidR="003E72A3" w:rsidRPr="003E01C1" w:rsidRDefault="003E72A3">
      <w:pPr>
        <w:pStyle w:val="FootnoteText"/>
        <w:rPr>
          <w:lang w:val="en-IE"/>
        </w:rPr>
      </w:pPr>
      <w:r>
        <w:rPr>
          <w:rStyle w:val="FootnoteReference"/>
        </w:rPr>
        <w:footnoteRef/>
      </w:r>
      <w:r w:rsidRPr="003E01C1">
        <w:rPr>
          <w:lang w:val="en-IE"/>
        </w:rPr>
        <w:tab/>
        <w:t>ST 7138/26 INIT; et ST 7138/26 ADD 1.</w:t>
      </w:r>
    </w:p>
  </w:footnote>
  <w:footnote w:id="11">
    <w:p w:rsidR="003E72A3" w:rsidRPr="003E72A3" w:rsidRDefault="003E72A3">
      <w:pPr>
        <w:pStyle w:val="FootnoteText"/>
      </w:pPr>
      <w:r>
        <w:rPr>
          <w:rStyle w:val="FootnoteReference"/>
        </w:rPr>
        <w:footnoteRef/>
      </w:r>
      <w:r>
        <w:tab/>
        <w:t>Délibération du Conseil des ministres du 4 juin 2025 déclarant l’état d’urgence pour les villes métropolitaines de Catane et de Messine; délibération du Conseil des ministres nº 157 du 26 janvier 2026 déclarant l’état d’urgence pour les territoires de Calabre, de Sicile et de Sardaigne.</w:t>
      </w:r>
    </w:p>
  </w:footnote>
  <w:footnote w:id="12">
    <w:p w:rsidR="003E72A3" w:rsidRPr="003E72A3" w:rsidRDefault="003E72A3">
      <w:pPr>
        <w:pStyle w:val="FootnoteText"/>
      </w:pPr>
      <w:r>
        <w:rPr>
          <w:rStyle w:val="FootnoteReference"/>
        </w:rPr>
        <w:footnoteRef/>
      </w:r>
      <w:r>
        <w:tab/>
        <w:t xml:space="preserve">Règlement (UE) 2021/1755 du Parlement européen et du Conseil du 6 octobre 2021 établissant la réserve d’ajustement au Brexit (JO L 357 du 8.10.2021, p. 1, ELI: </w:t>
      </w:r>
      <w:hyperlink r:id="rId2" w:history="1">
        <w:r>
          <w:rPr>
            <w:rStyle w:val="Hyperlink"/>
          </w:rPr>
          <w:t>http://data.europa.eu/eli/reg/2021/1755/oj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Default="00993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BA" w:rsidRDefault="00993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1:39: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2B726B4-35F4-4B29-9C84-9E233116AB74"/>
    <w:docVar w:name="LW_COVERPAGE_TYPE" w:val="1"/>
    <w:docVar w:name="LW_CROSSREFERENCE" w:val="{SWD(2026) 266 final}"/>
    <w:docVar w:name="LW_DocType" w:val="COM"/>
    <w:docVar w:name="LW_EMISSION" w:val="7.8.2026"/>
    <w:docVar w:name="LW_EMISSION_ISODATE" w:val="2026-08-07"/>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8"/>
    <w:docVar w:name="LW_REF.II.NEW.CP_YEAR" w:val="2026"/>
    <w:docVar w:name="LW_REF.INST.NEW" w:val="COM"/>
    <w:docVar w:name="LW_REF.INST.NEW_ADOPTED" w:val="final"/>
    <w:docVar w:name="LW_REF.INST.NEW_TEXT" w:val="(2026) 4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u8217?Ital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2"/>
    <w:rsid w:val="00002525"/>
    <w:rsid w:val="0000253E"/>
    <w:rsid w:val="000025A3"/>
    <w:rsid w:val="0000268B"/>
    <w:rsid w:val="0000291C"/>
    <w:rsid w:val="00002A2B"/>
    <w:rsid w:val="00003015"/>
    <w:rsid w:val="00003279"/>
    <w:rsid w:val="000032D8"/>
    <w:rsid w:val="0000332D"/>
    <w:rsid w:val="000034F0"/>
    <w:rsid w:val="00003506"/>
    <w:rsid w:val="00003779"/>
    <w:rsid w:val="00003E51"/>
    <w:rsid w:val="0000445F"/>
    <w:rsid w:val="00004951"/>
    <w:rsid w:val="00004A40"/>
    <w:rsid w:val="00004B75"/>
    <w:rsid w:val="00004C03"/>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441"/>
    <w:rsid w:val="00010755"/>
    <w:rsid w:val="00010E81"/>
    <w:rsid w:val="0001123F"/>
    <w:rsid w:val="00011352"/>
    <w:rsid w:val="0001136F"/>
    <w:rsid w:val="0001157C"/>
    <w:rsid w:val="000115E2"/>
    <w:rsid w:val="00011609"/>
    <w:rsid w:val="00011631"/>
    <w:rsid w:val="0001167F"/>
    <w:rsid w:val="00011817"/>
    <w:rsid w:val="00011AA6"/>
    <w:rsid w:val="00011C63"/>
    <w:rsid w:val="00011F86"/>
    <w:rsid w:val="000128E3"/>
    <w:rsid w:val="00012AF9"/>
    <w:rsid w:val="00012C15"/>
    <w:rsid w:val="00012C1E"/>
    <w:rsid w:val="00012CD5"/>
    <w:rsid w:val="00013078"/>
    <w:rsid w:val="0001311B"/>
    <w:rsid w:val="000131BD"/>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05B"/>
    <w:rsid w:val="000151C8"/>
    <w:rsid w:val="0001520E"/>
    <w:rsid w:val="00015532"/>
    <w:rsid w:val="000158A1"/>
    <w:rsid w:val="00015907"/>
    <w:rsid w:val="00015B8C"/>
    <w:rsid w:val="00015C54"/>
    <w:rsid w:val="00015FC0"/>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2AA"/>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A3"/>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C41"/>
    <w:rsid w:val="00025D2B"/>
    <w:rsid w:val="00025E68"/>
    <w:rsid w:val="00025EE4"/>
    <w:rsid w:val="00026143"/>
    <w:rsid w:val="00026681"/>
    <w:rsid w:val="00026C48"/>
    <w:rsid w:val="00026CCC"/>
    <w:rsid w:val="00026E27"/>
    <w:rsid w:val="00026FEA"/>
    <w:rsid w:val="00027195"/>
    <w:rsid w:val="000273BE"/>
    <w:rsid w:val="000274CB"/>
    <w:rsid w:val="000276A7"/>
    <w:rsid w:val="00027850"/>
    <w:rsid w:val="00027960"/>
    <w:rsid w:val="00027D08"/>
    <w:rsid w:val="00027D17"/>
    <w:rsid w:val="00027D40"/>
    <w:rsid w:val="00027D88"/>
    <w:rsid w:val="00027FED"/>
    <w:rsid w:val="000302ED"/>
    <w:rsid w:val="000303DA"/>
    <w:rsid w:val="00030622"/>
    <w:rsid w:val="00030A00"/>
    <w:rsid w:val="00030B2A"/>
    <w:rsid w:val="00030C0F"/>
    <w:rsid w:val="00030D27"/>
    <w:rsid w:val="00030DCB"/>
    <w:rsid w:val="00031009"/>
    <w:rsid w:val="00031071"/>
    <w:rsid w:val="000311D1"/>
    <w:rsid w:val="00031678"/>
    <w:rsid w:val="00031687"/>
    <w:rsid w:val="00031689"/>
    <w:rsid w:val="000317A4"/>
    <w:rsid w:val="00031816"/>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86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4FD"/>
    <w:rsid w:val="00035614"/>
    <w:rsid w:val="00035714"/>
    <w:rsid w:val="0003572F"/>
    <w:rsid w:val="0003587A"/>
    <w:rsid w:val="00035A8F"/>
    <w:rsid w:val="00035AEB"/>
    <w:rsid w:val="00035C19"/>
    <w:rsid w:val="00035F5E"/>
    <w:rsid w:val="00035FC4"/>
    <w:rsid w:val="00036037"/>
    <w:rsid w:val="000362B9"/>
    <w:rsid w:val="0003642A"/>
    <w:rsid w:val="0003642E"/>
    <w:rsid w:val="00036464"/>
    <w:rsid w:val="0003686C"/>
    <w:rsid w:val="00036916"/>
    <w:rsid w:val="00036A86"/>
    <w:rsid w:val="00036B4D"/>
    <w:rsid w:val="00036B6F"/>
    <w:rsid w:val="0003700E"/>
    <w:rsid w:val="000373DF"/>
    <w:rsid w:val="00037661"/>
    <w:rsid w:val="00037ECC"/>
    <w:rsid w:val="00037F30"/>
    <w:rsid w:val="0004015F"/>
    <w:rsid w:val="000404B4"/>
    <w:rsid w:val="0004097D"/>
    <w:rsid w:val="000409A9"/>
    <w:rsid w:val="000409FB"/>
    <w:rsid w:val="00040A0A"/>
    <w:rsid w:val="000410EC"/>
    <w:rsid w:val="00041218"/>
    <w:rsid w:val="000414FF"/>
    <w:rsid w:val="0004159E"/>
    <w:rsid w:val="00041662"/>
    <w:rsid w:val="0004178A"/>
    <w:rsid w:val="0004179E"/>
    <w:rsid w:val="00041A15"/>
    <w:rsid w:val="00041CA2"/>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3F7D"/>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EEB"/>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47CD7"/>
    <w:rsid w:val="00050466"/>
    <w:rsid w:val="000504D0"/>
    <w:rsid w:val="0005075A"/>
    <w:rsid w:val="00050772"/>
    <w:rsid w:val="00050B5F"/>
    <w:rsid w:val="00050FDB"/>
    <w:rsid w:val="000510B8"/>
    <w:rsid w:val="000511C9"/>
    <w:rsid w:val="00051513"/>
    <w:rsid w:val="00051726"/>
    <w:rsid w:val="000517A5"/>
    <w:rsid w:val="000517E4"/>
    <w:rsid w:val="000518C9"/>
    <w:rsid w:val="000519D7"/>
    <w:rsid w:val="00051B06"/>
    <w:rsid w:val="00051B14"/>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6E"/>
    <w:rsid w:val="000540F6"/>
    <w:rsid w:val="00054157"/>
    <w:rsid w:val="000542DA"/>
    <w:rsid w:val="00054321"/>
    <w:rsid w:val="0005439F"/>
    <w:rsid w:val="0005452B"/>
    <w:rsid w:val="0005489C"/>
    <w:rsid w:val="00054A32"/>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D47"/>
    <w:rsid w:val="00055F79"/>
    <w:rsid w:val="00056007"/>
    <w:rsid w:val="000560AB"/>
    <w:rsid w:val="00056103"/>
    <w:rsid w:val="00056130"/>
    <w:rsid w:val="00056201"/>
    <w:rsid w:val="0005623B"/>
    <w:rsid w:val="0005656B"/>
    <w:rsid w:val="00056879"/>
    <w:rsid w:val="00056909"/>
    <w:rsid w:val="00056CD2"/>
    <w:rsid w:val="000572BF"/>
    <w:rsid w:val="000575AC"/>
    <w:rsid w:val="00057959"/>
    <w:rsid w:val="00057AEF"/>
    <w:rsid w:val="00057C15"/>
    <w:rsid w:val="0006011E"/>
    <w:rsid w:val="00060257"/>
    <w:rsid w:val="000605BD"/>
    <w:rsid w:val="000609CB"/>
    <w:rsid w:val="00060B29"/>
    <w:rsid w:val="00060E74"/>
    <w:rsid w:val="000610D0"/>
    <w:rsid w:val="000611DE"/>
    <w:rsid w:val="00061267"/>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049"/>
    <w:rsid w:val="00064304"/>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5CC2"/>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1F6D"/>
    <w:rsid w:val="00072038"/>
    <w:rsid w:val="000722F9"/>
    <w:rsid w:val="00072329"/>
    <w:rsid w:val="000724B6"/>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4B"/>
    <w:rsid w:val="00073C80"/>
    <w:rsid w:val="00073EB4"/>
    <w:rsid w:val="00073F93"/>
    <w:rsid w:val="00073FAB"/>
    <w:rsid w:val="0007419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35D"/>
    <w:rsid w:val="00080528"/>
    <w:rsid w:val="00080543"/>
    <w:rsid w:val="000805FF"/>
    <w:rsid w:val="00080605"/>
    <w:rsid w:val="000807BE"/>
    <w:rsid w:val="00080B04"/>
    <w:rsid w:val="00080B11"/>
    <w:rsid w:val="00080EAB"/>
    <w:rsid w:val="000810D3"/>
    <w:rsid w:val="0008116D"/>
    <w:rsid w:val="000811FA"/>
    <w:rsid w:val="000813D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7EE"/>
    <w:rsid w:val="00084A1F"/>
    <w:rsid w:val="00084D5C"/>
    <w:rsid w:val="00084DAA"/>
    <w:rsid w:val="00084E4A"/>
    <w:rsid w:val="00084F92"/>
    <w:rsid w:val="0008535C"/>
    <w:rsid w:val="00085394"/>
    <w:rsid w:val="000858B9"/>
    <w:rsid w:val="000859B8"/>
    <w:rsid w:val="00085B99"/>
    <w:rsid w:val="00085CDD"/>
    <w:rsid w:val="00085E36"/>
    <w:rsid w:val="00085FAF"/>
    <w:rsid w:val="00086146"/>
    <w:rsid w:val="000861AF"/>
    <w:rsid w:val="00086372"/>
    <w:rsid w:val="000864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55"/>
    <w:rsid w:val="000871FA"/>
    <w:rsid w:val="000872A0"/>
    <w:rsid w:val="00087449"/>
    <w:rsid w:val="0008755E"/>
    <w:rsid w:val="000875A5"/>
    <w:rsid w:val="0008765E"/>
    <w:rsid w:val="00087954"/>
    <w:rsid w:val="00087BC4"/>
    <w:rsid w:val="00087E3C"/>
    <w:rsid w:val="0009026E"/>
    <w:rsid w:val="000902D9"/>
    <w:rsid w:val="0009035C"/>
    <w:rsid w:val="0009060C"/>
    <w:rsid w:val="00090B62"/>
    <w:rsid w:val="00090CBE"/>
    <w:rsid w:val="00090D48"/>
    <w:rsid w:val="00091333"/>
    <w:rsid w:val="0009140D"/>
    <w:rsid w:val="000916B8"/>
    <w:rsid w:val="00091B99"/>
    <w:rsid w:val="00092185"/>
    <w:rsid w:val="0009226F"/>
    <w:rsid w:val="0009232D"/>
    <w:rsid w:val="000924EE"/>
    <w:rsid w:val="00092503"/>
    <w:rsid w:val="0009257C"/>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BFC"/>
    <w:rsid w:val="00094D01"/>
    <w:rsid w:val="00094E98"/>
    <w:rsid w:val="00094F6E"/>
    <w:rsid w:val="000952F4"/>
    <w:rsid w:val="0009544E"/>
    <w:rsid w:val="000955C5"/>
    <w:rsid w:val="000956C6"/>
    <w:rsid w:val="000956DF"/>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D69"/>
    <w:rsid w:val="000A1EB9"/>
    <w:rsid w:val="000A2239"/>
    <w:rsid w:val="000A232D"/>
    <w:rsid w:val="000A2443"/>
    <w:rsid w:val="000A250B"/>
    <w:rsid w:val="000A2691"/>
    <w:rsid w:val="000A275F"/>
    <w:rsid w:val="000A2785"/>
    <w:rsid w:val="000A2CFC"/>
    <w:rsid w:val="000A2FB3"/>
    <w:rsid w:val="000A31CD"/>
    <w:rsid w:val="000A31FA"/>
    <w:rsid w:val="000A322B"/>
    <w:rsid w:val="000A3369"/>
    <w:rsid w:val="000A33FD"/>
    <w:rsid w:val="000A34B1"/>
    <w:rsid w:val="000A34DF"/>
    <w:rsid w:val="000A35D4"/>
    <w:rsid w:val="000A37B1"/>
    <w:rsid w:val="000A3891"/>
    <w:rsid w:val="000A3C61"/>
    <w:rsid w:val="000A3D4C"/>
    <w:rsid w:val="000A3EB7"/>
    <w:rsid w:val="000A428A"/>
    <w:rsid w:val="000A43F4"/>
    <w:rsid w:val="000A4612"/>
    <w:rsid w:val="000A465B"/>
    <w:rsid w:val="000A46E1"/>
    <w:rsid w:val="000A4701"/>
    <w:rsid w:val="000A4AF2"/>
    <w:rsid w:val="000A4B43"/>
    <w:rsid w:val="000A4B94"/>
    <w:rsid w:val="000A4BE7"/>
    <w:rsid w:val="000A5044"/>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84"/>
    <w:rsid w:val="000A68F0"/>
    <w:rsid w:val="000A69F6"/>
    <w:rsid w:val="000A6BB1"/>
    <w:rsid w:val="000A6BEB"/>
    <w:rsid w:val="000A6C0C"/>
    <w:rsid w:val="000A6C48"/>
    <w:rsid w:val="000A6CDC"/>
    <w:rsid w:val="000A6DED"/>
    <w:rsid w:val="000A7185"/>
    <w:rsid w:val="000A728D"/>
    <w:rsid w:val="000A744C"/>
    <w:rsid w:val="000A75DB"/>
    <w:rsid w:val="000A76C4"/>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0D7"/>
    <w:rsid w:val="000B2200"/>
    <w:rsid w:val="000B229B"/>
    <w:rsid w:val="000B2317"/>
    <w:rsid w:val="000B2564"/>
    <w:rsid w:val="000B2927"/>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3A0"/>
    <w:rsid w:val="000B4465"/>
    <w:rsid w:val="000B456E"/>
    <w:rsid w:val="000B472D"/>
    <w:rsid w:val="000B4784"/>
    <w:rsid w:val="000B4AB5"/>
    <w:rsid w:val="000B4B2F"/>
    <w:rsid w:val="000B4E17"/>
    <w:rsid w:val="000B4F2D"/>
    <w:rsid w:val="000B51AF"/>
    <w:rsid w:val="000B52EA"/>
    <w:rsid w:val="000B55C4"/>
    <w:rsid w:val="000B5918"/>
    <w:rsid w:val="000B5C74"/>
    <w:rsid w:val="000B5D43"/>
    <w:rsid w:val="000B5F35"/>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C1"/>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B78"/>
    <w:rsid w:val="000C1D1B"/>
    <w:rsid w:val="000C1E1E"/>
    <w:rsid w:val="000C2382"/>
    <w:rsid w:val="000C25AF"/>
    <w:rsid w:val="000C2719"/>
    <w:rsid w:val="000C2802"/>
    <w:rsid w:val="000C2963"/>
    <w:rsid w:val="000C29B2"/>
    <w:rsid w:val="000C2A3F"/>
    <w:rsid w:val="000C2A87"/>
    <w:rsid w:val="000C2AE4"/>
    <w:rsid w:val="000C2E73"/>
    <w:rsid w:val="000C3014"/>
    <w:rsid w:val="000C30C3"/>
    <w:rsid w:val="000C30E9"/>
    <w:rsid w:val="000C35C2"/>
    <w:rsid w:val="000C38BC"/>
    <w:rsid w:val="000C3955"/>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68A"/>
    <w:rsid w:val="000C7780"/>
    <w:rsid w:val="000C778C"/>
    <w:rsid w:val="000C77F9"/>
    <w:rsid w:val="000C7A20"/>
    <w:rsid w:val="000C7FC5"/>
    <w:rsid w:val="000D00A4"/>
    <w:rsid w:val="000D0359"/>
    <w:rsid w:val="000D036A"/>
    <w:rsid w:val="000D03D7"/>
    <w:rsid w:val="000D0603"/>
    <w:rsid w:val="000D0AF8"/>
    <w:rsid w:val="000D0F59"/>
    <w:rsid w:val="000D1153"/>
    <w:rsid w:val="000D117D"/>
    <w:rsid w:val="000D1277"/>
    <w:rsid w:val="000D1A18"/>
    <w:rsid w:val="000D1B80"/>
    <w:rsid w:val="000D1CCA"/>
    <w:rsid w:val="000D202E"/>
    <w:rsid w:val="000D2424"/>
    <w:rsid w:val="000D2442"/>
    <w:rsid w:val="000D276A"/>
    <w:rsid w:val="000D2955"/>
    <w:rsid w:val="000D2A9D"/>
    <w:rsid w:val="000D2B21"/>
    <w:rsid w:val="000D2D32"/>
    <w:rsid w:val="000D2DA5"/>
    <w:rsid w:val="000D2EDB"/>
    <w:rsid w:val="000D2FF2"/>
    <w:rsid w:val="000D3147"/>
    <w:rsid w:val="000D3576"/>
    <w:rsid w:val="000D3581"/>
    <w:rsid w:val="000D35ED"/>
    <w:rsid w:val="000D3772"/>
    <w:rsid w:val="000D387B"/>
    <w:rsid w:val="000D39E2"/>
    <w:rsid w:val="000D3B4D"/>
    <w:rsid w:val="000D3C22"/>
    <w:rsid w:val="000D3EA9"/>
    <w:rsid w:val="000D41D1"/>
    <w:rsid w:val="000D4D62"/>
    <w:rsid w:val="000D4F0D"/>
    <w:rsid w:val="000D4F92"/>
    <w:rsid w:val="000D50D7"/>
    <w:rsid w:val="000D553C"/>
    <w:rsid w:val="000D575F"/>
    <w:rsid w:val="000D5D67"/>
    <w:rsid w:val="000D60F5"/>
    <w:rsid w:val="000D624C"/>
    <w:rsid w:val="000D6462"/>
    <w:rsid w:val="000D6511"/>
    <w:rsid w:val="000D675F"/>
    <w:rsid w:val="000D6778"/>
    <w:rsid w:val="000D680D"/>
    <w:rsid w:val="000D68B3"/>
    <w:rsid w:val="000D68ED"/>
    <w:rsid w:val="000D695D"/>
    <w:rsid w:val="000D6AF3"/>
    <w:rsid w:val="000D6B2B"/>
    <w:rsid w:val="000D6CD8"/>
    <w:rsid w:val="000D6D5E"/>
    <w:rsid w:val="000D70D5"/>
    <w:rsid w:val="000D70F5"/>
    <w:rsid w:val="000D72DD"/>
    <w:rsid w:val="000D72E7"/>
    <w:rsid w:val="000D745D"/>
    <w:rsid w:val="000D7782"/>
    <w:rsid w:val="000D7812"/>
    <w:rsid w:val="000D7BA1"/>
    <w:rsid w:val="000D7F2B"/>
    <w:rsid w:val="000D7F4B"/>
    <w:rsid w:val="000E0266"/>
    <w:rsid w:val="000E02B0"/>
    <w:rsid w:val="000E02B8"/>
    <w:rsid w:val="000E0412"/>
    <w:rsid w:val="000E0565"/>
    <w:rsid w:val="000E0B00"/>
    <w:rsid w:val="000E0F65"/>
    <w:rsid w:val="000E1576"/>
    <w:rsid w:val="000E1672"/>
    <w:rsid w:val="000E1797"/>
    <w:rsid w:val="000E1807"/>
    <w:rsid w:val="000E194C"/>
    <w:rsid w:val="000E197C"/>
    <w:rsid w:val="000E19B8"/>
    <w:rsid w:val="000E1A15"/>
    <w:rsid w:val="000E1AC3"/>
    <w:rsid w:val="000E1B8E"/>
    <w:rsid w:val="000E1D5C"/>
    <w:rsid w:val="000E1D5D"/>
    <w:rsid w:val="000E2065"/>
    <w:rsid w:val="000E247B"/>
    <w:rsid w:val="000E2636"/>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68D"/>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0DE3"/>
    <w:rsid w:val="000F10BA"/>
    <w:rsid w:val="000F11BF"/>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4EA"/>
    <w:rsid w:val="000F4A32"/>
    <w:rsid w:val="000F4C33"/>
    <w:rsid w:val="000F4EA1"/>
    <w:rsid w:val="000F50F0"/>
    <w:rsid w:val="000F5121"/>
    <w:rsid w:val="000F518D"/>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5EC"/>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AFB"/>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B4B"/>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2C"/>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46A"/>
    <w:rsid w:val="001119C8"/>
    <w:rsid w:val="00111A69"/>
    <w:rsid w:val="00111D38"/>
    <w:rsid w:val="00111E93"/>
    <w:rsid w:val="001120DF"/>
    <w:rsid w:val="001123DB"/>
    <w:rsid w:val="00112448"/>
    <w:rsid w:val="00112623"/>
    <w:rsid w:val="0011276C"/>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D13"/>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90"/>
    <w:rsid w:val="001200D8"/>
    <w:rsid w:val="001202DB"/>
    <w:rsid w:val="00120321"/>
    <w:rsid w:val="001203DA"/>
    <w:rsid w:val="001204E7"/>
    <w:rsid w:val="00120681"/>
    <w:rsid w:val="001206B9"/>
    <w:rsid w:val="00120767"/>
    <w:rsid w:val="00120924"/>
    <w:rsid w:val="00120C7E"/>
    <w:rsid w:val="00120EAD"/>
    <w:rsid w:val="00120F44"/>
    <w:rsid w:val="00121127"/>
    <w:rsid w:val="001212CA"/>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504"/>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677"/>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BCB"/>
    <w:rsid w:val="00131BD2"/>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799"/>
    <w:rsid w:val="0013595D"/>
    <w:rsid w:val="00135A06"/>
    <w:rsid w:val="00135D95"/>
    <w:rsid w:val="00135F9A"/>
    <w:rsid w:val="001360A8"/>
    <w:rsid w:val="00136188"/>
    <w:rsid w:val="00136471"/>
    <w:rsid w:val="001364E3"/>
    <w:rsid w:val="00136604"/>
    <w:rsid w:val="0013672C"/>
    <w:rsid w:val="00136769"/>
    <w:rsid w:val="00136988"/>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578"/>
    <w:rsid w:val="001407B4"/>
    <w:rsid w:val="001407F6"/>
    <w:rsid w:val="001408B2"/>
    <w:rsid w:val="001408E3"/>
    <w:rsid w:val="00140A02"/>
    <w:rsid w:val="00140A78"/>
    <w:rsid w:val="00140F92"/>
    <w:rsid w:val="00141171"/>
    <w:rsid w:val="0014122A"/>
    <w:rsid w:val="001413A4"/>
    <w:rsid w:val="00141E46"/>
    <w:rsid w:val="0014213C"/>
    <w:rsid w:val="00142225"/>
    <w:rsid w:val="0014233E"/>
    <w:rsid w:val="00142A72"/>
    <w:rsid w:val="00142D10"/>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5F24"/>
    <w:rsid w:val="001462E6"/>
    <w:rsid w:val="00146359"/>
    <w:rsid w:val="001464E3"/>
    <w:rsid w:val="0014650D"/>
    <w:rsid w:val="001466E4"/>
    <w:rsid w:val="001469A7"/>
    <w:rsid w:val="00146A34"/>
    <w:rsid w:val="00146A73"/>
    <w:rsid w:val="00146B91"/>
    <w:rsid w:val="00146EA1"/>
    <w:rsid w:val="001470D9"/>
    <w:rsid w:val="001474A0"/>
    <w:rsid w:val="00147592"/>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1D2"/>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09"/>
    <w:rsid w:val="001527EF"/>
    <w:rsid w:val="0015290C"/>
    <w:rsid w:val="00152B1A"/>
    <w:rsid w:val="00152BA3"/>
    <w:rsid w:val="00152FD6"/>
    <w:rsid w:val="0015302E"/>
    <w:rsid w:val="0015305F"/>
    <w:rsid w:val="0015321B"/>
    <w:rsid w:val="00153321"/>
    <w:rsid w:val="001537C7"/>
    <w:rsid w:val="00153858"/>
    <w:rsid w:val="00153957"/>
    <w:rsid w:val="00153C9B"/>
    <w:rsid w:val="00153F69"/>
    <w:rsid w:val="00154124"/>
    <w:rsid w:val="00154161"/>
    <w:rsid w:val="00154297"/>
    <w:rsid w:val="001544F9"/>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9E7"/>
    <w:rsid w:val="00162A51"/>
    <w:rsid w:val="00162C4D"/>
    <w:rsid w:val="00162C92"/>
    <w:rsid w:val="00162E48"/>
    <w:rsid w:val="00163530"/>
    <w:rsid w:val="001635D6"/>
    <w:rsid w:val="001636C3"/>
    <w:rsid w:val="00163909"/>
    <w:rsid w:val="00163EB7"/>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22E"/>
    <w:rsid w:val="001662F7"/>
    <w:rsid w:val="0016664E"/>
    <w:rsid w:val="001666AE"/>
    <w:rsid w:val="001667FB"/>
    <w:rsid w:val="00166891"/>
    <w:rsid w:val="001669A6"/>
    <w:rsid w:val="00166A09"/>
    <w:rsid w:val="00166C77"/>
    <w:rsid w:val="00166D65"/>
    <w:rsid w:val="00166D69"/>
    <w:rsid w:val="00166E40"/>
    <w:rsid w:val="00166F86"/>
    <w:rsid w:val="00166FB3"/>
    <w:rsid w:val="0016721A"/>
    <w:rsid w:val="001674B8"/>
    <w:rsid w:val="00167765"/>
    <w:rsid w:val="001677A0"/>
    <w:rsid w:val="00167938"/>
    <w:rsid w:val="00167AD1"/>
    <w:rsid w:val="00167B56"/>
    <w:rsid w:val="00167CF4"/>
    <w:rsid w:val="00167F80"/>
    <w:rsid w:val="001701B7"/>
    <w:rsid w:val="001703D9"/>
    <w:rsid w:val="0017062F"/>
    <w:rsid w:val="00170664"/>
    <w:rsid w:val="001707F1"/>
    <w:rsid w:val="00170A07"/>
    <w:rsid w:val="00170AF0"/>
    <w:rsid w:val="00170C3A"/>
    <w:rsid w:val="00170CCC"/>
    <w:rsid w:val="00170DD5"/>
    <w:rsid w:val="00170EF0"/>
    <w:rsid w:val="00170F0E"/>
    <w:rsid w:val="00171042"/>
    <w:rsid w:val="00171241"/>
    <w:rsid w:val="00171330"/>
    <w:rsid w:val="00171A05"/>
    <w:rsid w:val="00171ECB"/>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3F99"/>
    <w:rsid w:val="00174013"/>
    <w:rsid w:val="0017413B"/>
    <w:rsid w:val="00174254"/>
    <w:rsid w:val="001742E3"/>
    <w:rsid w:val="00174399"/>
    <w:rsid w:val="001743A2"/>
    <w:rsid w:val="00174597"/>
    <w:rsid w:val="001745AF"/>
    <w:rsid w:val="00174752"/>
    <w:rsid w:val="001747B2"/>
    <w:rsid w:val="001749F3"/>
    <w:rsid w:val="00174A3A"/>
    <w:rsid w:val="00174ADF"/>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767"/>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CDC"/>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587"/>
    <w:rsid w:val="00185710"/>
    <w:rsid w:val="00185D9F"/>
    <w:rsid w:val="00185EAF"/>
    <w:rsid w:val="001860E6"/>
    <w:rsid w:val="0018628F"/>
    <w:rsid w:val="001862E8"/>
    <w:rsid w:val="001862F2"/>
    <w:rsid w:val="001863C0"/>
    <w:rsid w:val="0018649D"/>
    <w:rsid w:val="00186A2D"/>
    <w:rsid w:val="00186ACF"/>
    <w:rsid w:val="00186CA2"/>
    <w:rsid w:val="00186D87"/>
    <w:rsid w:val="00186EAF"/>
    <w:rsid w:val="00186EDC"/>
    <w:rsid w:val="00187353"/>
    <w:rsid w:val="0018735A"/>
    <w:rsid w:val="00187437"/>
    <w:rsid w:val="001875AB"/>
    <w:rsid w:val="00187779"/>
    <w:rsid w:val="00187B46"/>
    <w:rsid w:val="00187CB7"/>
    <w:rsid w:val="00187CEB"/>
    <w:rsid w:val="00187DBB"/>
    <w:rsid w:val="00187F3F"/>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2F9F"/>
    <w:rsid w:val="0019300C"/>
    <w:rsid w:val="001930F9"/>
    <w:rsid w:val="001932AA"/>
    <w:rsid w:val="001934C6"/>
    <w:rsid w:val="001934C9"/>
    <w:rsid w:val="00193683"/>
    <w:rsid w:val="00193A9D"/>
    <w:rsid w:val="00193BB0"/>
    <w:rsid w:val="00193C23"/>
    <w:rsid w:val="00193E89"/>
    <w:rsid w:val="00193EC6"/>
    <w:rsid w:val="00194480"/>
    <w:rsid w:val="0019452A"/>
    <w:rsid w:val="001945D5"/>
    <w:rsid w:val="001948CC"/>
    <w:rsid w:val="00194942"/>
    <w:rsid w:val="00194A73"/>
    <w:rsid w:val="00194AA3"/>
    <w:rsid w:val="00194C73"/>
    <w:rsid w:val="00194F9B"/>
    <w:rsid w:val="001951B5"/>
    <w:rsid w:val="00195251"/>
    <w:rsid w:val="00195257"/>
    <w:rsid w:val="0019560F"/>
    <w:rsid w:val="001957D5"/>
    <w:rsid w:val="00195887"/>
    <w:rsid w:val="00195937"/>
    <w:rsid w:val="001959BC"/>
    <w:rsid w:val="00195CCF"/>
    <w:rsid w:val="00195DA1"/>
    <w:rsid w:val="00195E30"/>
    <w:rsid w:val="00195E45"/>
    <w:rsid w:val="00195F97"/>
    <w:rsid w:val="0019614D"/>
    <w:rsid w:val="001961DC"/>
    <w:rsid w:val="001963E4"/>
    <w:rsid w:val="00196438"/>
    <w:rsid w:val="00196489"/>
    <w:rsid w:val="0019658C"/>
    <w:rsid w:val="0019672B"/>
    <w:rsid w:val="00196802"/>
    <w:rsid w:val="001968D7"/>
    <w:rsid w:val="00196958"/>
    <w:rsid w:val="00196BB2"/>
    <w:rsid w:val="00196D66"/>
    <w:rsid w:val="00196DD0"/>
    <w:rsid w:val="00196FEF"/>
    <w:rsid w:val="001970B9"/>
    <w:rsid w:val="00197308"/>
    <w:rsid w:val="0019758F"/>
    <w:rsid w:val="00197621"/>
    <w:rsid w:val="00197762"/>
    <w:rsid w:val="001979A1"/>
    <w:rsid w:val="00197AA9"/>
    <w:rsid w:val="001A04DD"/>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5F"/>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27"/>
    <w:rsid w:val="001A3AA2"/>
    <w:rsid w:val="001A3D4C"/>
    <w:rsid w:val="001A3DAA"/>
    <w:rsid w:val="001A4040"/>
    <w:rsid w:val="001A4163"/>
    <w:rsid w:val="001A44D7"/>
    <w:rsid w:val="001A45EA"/>
    <w:rsid w:val="001A47F8"/>
    <w:rsid w:val="001A4914"/>
    <w:rsid w:val="001A4A71"/>
    <w:rsid w:val="001A4DA9"/>
    <w:rsid w:val="001A5237"/>
    <w:rsid w:val="001A525C"/>
    <w:rsid w:val="001A54E4"/>
    <w:rsid w:val="001A5793"/>
    <w:rsid w:val="001A5B69"/>
    <w:rsid w:val="001A5ECA"/>
    <w:rsid w:val="001A61B4"/>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56"/>
    <w:rsid w:val="001B12DE"/>
    <w:rsid w:val="001B1521"/>
    <w:rsid w:val="001B1642"/>
    <w:rsid w:val="001B178A"/>
    <w:rsid w:val="001B1846"/>
    <w:rsid w:val="001B19A4"/>
    <w:rsid w:val="001B19C2"/>
    <w:rsid w:val="001B1BBD"/>
    <w:rsid w:val="001B1BFA"/>
    <w:rsid w:val="001B1DC5"/>
    <w:rsid w:val="001B21AD"/>
    <w:rsid w:val="001B26E5"/>
    <w:rsid w:val="001B2805"/>
    <w:rsid w:val="001B2DB0"/>
    <w:rsid w:val="001B3070"/>
    <w:rsid w:val="001B3359"/>
    <w:rsid w:val="001B3507"/>
    <w:rsid w:val="001B35E9"/>
    <w:rsid w:val="001B3700"/>
    <w:rsid w:val="001B3774"/>
    <w:rsid w:val="001B3819"/>
    <w:rsid w:val="001B38AC"/>
    <w:rsid w:val="001B3BE7"/>
    <w:rsid w:val="001B3F8E"/>
    <w:rsid w:val="001B40B0"/>
    <w:rsid w:val="001B431D"/>
    <w:rsid w:val="001B445C"/>
    <w:rsid w:val="001B45F7"/>
    <w:rsid w:val="001B4703"/>
    <w:rsid w:val="001B4B1A"/>
    <w:rsid w:val="001B4B97"/>
    <w:rsid w:val="001B4C1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FA7"/>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391"/>
    <w:rsid w:val="001C3570"/>
    <w:rsid w:val="001C3697"/>
    <w:rsid w:val="001C3742"/>
    <w:rsid w:val="001C3891"/>
    <w:rsid w:val="001C38C8"/>
    <w:rsid w:val="001C3B76"/>
    <w:rsid w:val="001C3BA4"/>
    <w:rsid w:val="001C3CA4"/>
    <w:rsid w:val="001C4078"/>
    <w:rsid w:val="001C427C"/>
    <w:rsid w:val="001C4296"/>
    <w:rsid w:val="001C4322"/>
    <w:rsid w:val="001C44F9"/>
    <w:rsid w:val="001C457B"/>
    <w:rsid w:val="001C471C"/>
    <w:rsid w:val="001C4807"/>
    <w:rsid w:val="001C4BCA"/>
    <w:rsid w:val="001C4D5A"/>
    <w:rsid w:val="001C4DF7"/>
    <w:rsid w:val="001C4EA9"/>
    <w:rsid w:val="001C4EFE"/>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C76"/>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E6C"/>
    <w:rsid w:val="001D1F44"/>
    <w:rsid w:val="001D2136"/>
    <w:rsid w:val="001D2239"/>
    <w:rsid w:val="001D26AD"/>
    <w:rsid w:val="001D28B7"/>
    <w:rsid w:val="001D29D0"/>
    <w:rsid w:val="001D29F4"/>
    <w:rsid w:val="001D2D85"/>
    <w:rsid w:val="001D3197"/>
    <w:rsid w:val="001D31F9"/>
    <w:rsid w:val="001D3208"/>
    <w:rsid w:val="001D3310"/>
    <w:rsid w:val="001D3565"/>
    <w:rsid w:val="001D3715"/>
    <w:rsid w:val="001D377C"/>
    <w:rsid w:val="001D3782"/>
    <w:rsid w:val="001D38C1"/>
    <w:rsid w:val="001D3A0C"/>
    <w:rsid w:val="001D3A77"/>
    <w:rsid w:val="001D3A9F"/>
    <w:rsid w:val="001D3AE7"/>
    <w:rsid w:val="001D3D5E"/>
    <w:rsid w:val="001D3EE3"/>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5C"/>
    <w:rsid w:val="001D78F0"/>
    <w:rsid w:val="001D7DB8"/>
    <w:rsid w:val="001D7E83"/>
    <w:rsid w:val="001D7EFC"/>
    <w:rsid w:val="001D7F61"/>
    <w:rsid w:val="001E005E"/>
    <w:rsid w:val="001E0160"/>
    <w:rsid w:val="001E016F"/>
    <w:rsid w:val="001E017D"/>
    <w:rsid w:val="001E0432"/>
    <w:rsid w:val="001E04B1"/>
    <w:rsid w:val="001E0559"/>
    <w:rsid w:val="001E07A2"/>
    <w:rsid w:val="001E07A9"/>
    <w:rsid w:val="001E07EE"/>
    <w:rsid w:val="001E0900"/>
    <w:rsid w:val="001E0AB0"/>
    <w:rsid w:val="001E0B0F"/>
    <w:rsid w:val="001E100C"/>
    <w:rsid w:val="001E1272"/>
    <w:rsid w:val="001E1391"/>
    <w:rsid w:val="001E16A1"/>
    <w:rsid w:val="001E16DE"/>
    <w:rsid w:val="001E1799"/>
    <w:rsid w:val="001E1817"/>
    <w:rsid w:val="001E1ACD"/>
    <w:rsid w:val="001E1B1A"/>
    <w:rsid w:val="001E1B70"/>
    <w:rsid w:val="001E2095"/>
    <w:rsid w:val="001E2113"/>
    <w:rsid w:val="001E224D"/>
    <w:rsid w:val="001E2325"/>
    <w:rsid w:val="001E25EC"/>
    <w:rsid w:val="001E26ED"/>
    <w:rsid w:val="001E2770"/>
    <w:rsid w:val="001E29FA"/>
    <w:rsid w:val="001E2A0B"/>
    <w:rsid w:val="001E2BE1"/>
    <w:rsid w:val="001E2BF4"/>
    <w:rsid w:val="001E2C1D"/>
    <w:rsid w:val="001E2F11"/>
    <w:rsid w:val="001E3059"/>
    <w:rsid w:val="001E3075"/>
    <w:rsid w:val="001E30D7"/>
    <w:rsid w:val="001E32FF"/>
    <w:rsid w:val="001E3360"/>
    <w:rsid w:val="001E36CA"/>
    <w:rsid w:val="001E3822"/>
    <w:rsid w:val="001E392E"/>
    <w:rsid w:val="001E399F"/>
    <w:rsid w:val="001E39D3"/>
    <w:rsid w:val="001E3BC9"/>
    <w:rsid w:val="001E3E51"/>
    <w:rsid w:val="001E3F0A"/>
    <w:rsid w:val="001E3F93"/>
    <w:rsid w:val="001E40D6"/>
    <w:rsid w:val="001E437C"/>
    <w:rsid w:val="001E4515"/>
    <w:rsid w:val="001E45E7"/>
    <w:rsid w:val="001E4960"/>
    <w:rsid w:val="001E4C21"/>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7C9"/>
    <w:rsid w:val="001F0966"/>
    <w:rsid w:val="001F0A40"/>
    <w:rsid w:val="001F0B59"/>
    <w:rsid w:val="001F0C46"/>
    <w:rsid w:val="001F0C62"/>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A56"/>
    <w:rsid w:val="001F3C23"/>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6FBD"/>
    <w:rsid w:val="001F7031"/>
    <w:rsid w:val="001F715E"/>
    <w:rsid w:val="001F74BF"/>
    <w:rsid w:val="001F74FD"/>
    <w:rsid w:val="001F761B"/>
    <w:rsid w:val="001F7685"/>
    <w:rsid w:val="001F7832"/>
    <w:rsid w:val="001F7985"/>
    <w:rsid w:val="001F7A5F"/>
    <w:rsid w:val="001F7BEA"/>
    <w:rsid w:val="001F7C66"/>
    <w:rsid w:val="001F7CB2"/>
    <w:rsid w:val="001F7D2D"/>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05D"/>
    <w:rsid w:val="002021A0"/>
    <w:rsid w:val="002021C4"/>
    <w:rsid w:val="002027CF"/>
    <w:rsid w:val="0020282A"/>
    <w:rsid w:val="0020284F"/>
    <w:rsid w:val="00202AC3"/>
    <w:rsid w:val="00202C07"/>
    <w:rsid w:val="00202E21"/>
    <w:rsid w:val="00203568"/>
    <w:rsid w:val="00203611"/>
    <w:rsid w:val="002037B2"/>
    <w:rsid w:val="002037F1"/>
    <w:rsid w:val="002038EA"/>
    <w:rsid w:val="00203B74"/>
    <w:rsid w:val="00203FD8"/>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4A9"/>
    <w:rsid w:val="00207C7E"/>
    <w:rsid w:val="0021004D"/>
    <w:rsid w:val="00210125"/>
    <w:rsid w:val="00210259"/>
    <w:rsid w:val="002104C1"/>
    <w:rsid w:val="00210520"/>
    <w:rsid w:val="00210C25"/>
    <w:rsid w:val="00210E7D"/>
    <w:rsid w:val="0021143B"/>
    <w:rsid w:val="0021146C"/>
    <w:rsid w:val="00211529"/>
    <w:rsid w:val="002115D5"/>
    <w:rsid w:val="002116D9"/>
    <w:rsid w:val="0021175B"/>
    <w:rsid w:val="00211896"/>
    <w:rsid w:val="002119AF"/>
    <w:rsid w:val="00211BE1"/>
    <w:rsid w:val="00211E9C"/>
    <w:rsid w:val="00211EEA"/>
    <w:rsid w:val="0021212B"/>
    <w:rsid w:val="00212130"/>
    <w:rsid w:val="0021219D"/>
    <w:rsid w:val="0021227F"/>
    <w:rsid w:val="002123E7"/>
    <w:rsid w:val="00212819"/>
    <w:rsid w:val="0021283F"/>
    <w:rsid w:val="0021289B"/>
    <w:rsid w:val="002129C0"/>
    <w:rsid w:val="00212AD7"/>
    <w:rsid w:val="00212E74"/>
    <w:rsid w:val="00212EA9"/>
    <w:rsid w:val="00212EB1"/>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0CE"/>
    <w:rsid w:val="002171B4"/>
    <w:rsid w:val="002172AC"/>
    <w:rsid w:val="002175C8"/>
    <w:rsid w:val="0021768D"/>
    <w:rsid w:val="00217810"/>
    <w:rsid w:val="002178CA"/>
    <w:rsid w:val="002179FD"/>
    <w:rsid w:val="00217C07"/>
    <w:rsid w:val="00217D31"/>
    <w:rsid w:val="00217D50"/>
    <w:rsid w:val="00217F6F"/>
    <w:rsid w:val="00217F85"/>
    <w:rsid w:val="00217FC4"/>
    <w:rsid w:val="00217FF2"/>
    <w:rsid w:val="0022007E"/>
    <w:rsid w:val="002202C3"/>
    <w:rsid w:val="00220428"/>
    <w:rsid w:val="002205B2"/>
    <w:rsid w:val="00220890"/>
    <w:rsid w:val="00220A3E"/>
    <w:rsid w:val="00220B95"/>
    <w:rsid w:val="00220BBB"/>
    <w:rsid w:val="00220C03"/>
    <w:rsid w:val="00220D09"/>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4B2"/>
    <w:rsid w:val="0022363C"/>
    <w:rsid w:val="00223884"/>
    <w:rsid w:val="002238CE"/>
    <w:rsid w:val="00223B41"/>
    <w:rsid w:val="00223D29"/>
    <w:rsid w:val="00223DD3"/>
    <w:rsid w:val="00223DEA"/>
    <w:rsid w:val="00223EEF"/>
    <w:rsid w:val="00224158"/>
    <w:rsid w:val="00224462"/>
    <w:rsid w:val="0022466B"/>
    <w:rsid w:val="00224686"/>
    <w:rsid w:val="002246A6"/>
    <w:rsid w:val="00224757"/>
    <w:rsid w:val="00224799"/>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A48"/>
    <w:rsid w:val="00226C99"/>
    <w:rsid w:val="00226CB2"/>
    <w:rsid w:val="00226EEE"/>
    <w:rsid w:val="0022706F"/>
    <w:rsid w:val="00227163"/>
    <w:rsid w:val="00227449"/>
    <w:rsid w:val="002274B9"/>
    <w:rsid w:val="002275EB"/>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42"/>
    <w:rsid w:val="00231579"/>
    <w:rsid w:val="002317A0"/>
    <w:rsid w:val="002319FE"/>
    <w:rsid w:val="00231A00"/>
    <w:rsid w:val="00231A08"/>
    <w:rsid w:val="00231BA5"/>
    <w:rsid w:val="00231CE1"/>
    <w:rsid w:val="00231E06"/>
    <w:rsid w:val="00232044"/>
    <w:rsid w:val="002322E2"/>
    <w:rsid w:val="00232616"/>
    <w:rsid w:val="0023277E"/>
    <w:rsid w:val="002329AC"/>
    <w:rsid w:val="002329C2"/>
    <w:rsid w:val="00232A1F"/>
    <w:rsid w:val="00232FF4"/>
    <w:rsid w:val="00233416"/>
    <w:rsid w:val="00233666"/>
    <w:rsid w:val="0023378E"/>
    <w:rsid w:val="00233834"/>
    <w:rsid w:val="00233B31"/>
    <w:rsid w:val="00233E44"/>
    <w:rsid w:val="00233E6F"/>
    <w:rsid w:val="00233ECF"/>
    <w:rsid w:val="00233F6E"/>
    <w:rsid w:val="00233FD6"/>
    <w:rsid w:val="0023406F"/>
    <w:rsid w:val="002341C5"/>
    <w:rsid w:val="002342DD"/>
    <w:rsid w:val="00234A9D"/>
    <w:rsid w:val="00234B77"/>
    <w:rsid w:val="00234B9B"/>
    <w:rsid w:val="00235018"/>
    <w:rsid w:val="002354A1"/>
    <w:rsid w:val="00235550"/>
    <w:rsid w:val="002355B5"/>
    <w:rsid w:val="00235609"/>
    <w:rsid w:val="00235653"/>
    <w:rsid w:val="00235695"/>
    <w:rsid w:val="00235732"/>
    <w:rsid w:val="002357C6"/>
    <w:rsid w:val="00235B28"/>
    <w:rsid w:val="00235C0B"/>
    <w:rsid w:val="00235D8C"/>
    <w:rsid w:val="002362FE"/>
    <w:rsid w:val="00236503"/>
    <w:rsid w:val="002365E1"/>
    <w:rsid w:val="00236BB4"/>
    <w:rsid w:val="00236E2B"/>
    <w:rsid w:val="00236FD5"/>
    <w:rsid w:val="00237047"/>
    <w:rsid w:val="00237188"/>
    <w:rsid w:val="002374AC"/>
    <w:rsid w:val="00237909"/>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49"/>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47EFB"/>
    <w:rsid w:val="002500E1"/>
    <w:rsid w:val="0025011E"/>
    <w:rsid w:val="00250354"/>
    <w:rsid w:val="002503B8"/>
    <w:rsid w:val="0025047A"/>
    <w:rsid w:val="002504BB"/>
    <w:rsid w:val="002506FE"/>
    <w:rsid w:val="002507DA"/>
    <w:rsid w:val="00250916"/>
    <w:rsid w:val="002509FE"/>
    <w:rsid w:val="00250C5D"/>
    <w:rsid w:val="00250CF9"/>
    <w:rsid w:val="00250D63"/>
    <w:rsid w:val="002511F4"/>
    <w:rsid w:val="0025156B"/>
    <w:rsid w:val="002516A8"/>
    <w:rsid w:val="00251918"/>
    <w:rsid w:val="00251A12"/>
    <w:rsid w:val="00251A76"/>
    <w:rsid w:val="00251C07"/>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70B"/>
    <w:rsid w:val="00253770"/>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0CA"/>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2A"/>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95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459"/>
    <w:rsid w:val="00265620"/>
    <w:rsid w:val="00265636"/>
    <w:rsid w:val="0026569C"/>
    <w:rsid w:val="0026575C"/>
    <w:rsid w:val="00265A65"/>
    <w:rsid w:val="00265B1E"/>
    <w:rsid w:val="00265C61"/>
    <w:rsid w:val="00265D6F"/>
    <w:rsid w:val="00265E41"/>
    <w:rsid w:val="00265F23"/>
    <w:rsid w:val="002660F6"/>
    <w:rsid w:val="002661AF"/>
    <w:rsid w:val="002661F4"/>
    <w:rsid w:val="002663C9"/>
    <w:rsid w:val="00266482"/>
    <w:rsid w:val="002665ED"/>
    <w:rsid w:val="0026667E"/>
    <w:rsid w:val="0026668B"/>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EF"/>
    <w:rsid w:val="002723F5"/>
    <w:rsid w:val="00272425"/>
    <w:rsid w:val="0027246C"/>
    <w:rsid w:val="0027254A"/>
    <w:rsid w:val="002725E2"/>
    <w:rsid w:val="00272702"/>
    <w:rsid w:val="002728DD"/>
    <w:rsid w:val="0027293F"/>
    <w:rsid w:val="00272D53"/>
    <w:rsid w:val="00272F1E"/>
    <w:rsid w:val="00272F7A"/>
    <w:rsid w:val="00273020"/>
    <w:rsid w:val="00273068"/>
    <w:rsid w:val="002730A6"/>
    <w:rsid w:val="002730B1"/>
    <w:rsid w:val="00273161"/>
    <w:rsid w:val="00273367"/>
    <w:rsid w:val="00273420"/>
    <w:rsid w:val="00273544"/>
    <w:rsid w:val="00273A66"/>
    <w:rsid w:val="00273D9C"/>
    <w:rsid w:val="00273E81"/>
    <w:rsid w:val="00273F37"/>
    <w:rsid w:val="00273FB7"/>
    <w:rsid w:val="0027430D"/>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5D21"/>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E2A"/>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45D"/>
    <w:rsid w:val="002836B6"/>
    <w:rsid w:val="00283751"/>
    <w:rsid w:val="00283782"/>
    <w:rsid w:val="002839E3"/>
    <w:rsid w:val="00283BA8"/>
    <w:rsid w:val="00283D1E"/>
    <w:rsid w:val="00283DB4"/>
    <w:rsid w:val="00283FA9"/>
    <w:rsid w:val="002840DE"/>
    <w:rsid w:val="002843F9"/>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826"/>
    <w:rsid w:val="00290918"/>
    <w:rsid w:val="00290B6E"/>
    <w:rsid w:val="00290C95"/>
    <w:rsid w:val="00290E9E"/>
    <w:rsid w:val="00290F4B"/>
    <w:rsid w:val="00290F73"/>
    <w:rsid w:val="00291057"/>
    <w:rsid w:val="00291156"/>
    <w:rsid w:val="00291426"/>
    <w:rsid w:val="002917F5"/>
    <w:rsid w:val="002919F8"/>
    <w:rsid w:val="00291B1E"/>
    <w:rsid w:val="00291C04"/>
    <w:rsid w:val="00291E92"/>
    <w:rsid w:val="00291EA9"/>
    <w:rsid w:val="00291F18"/>
    <w:rsid w:val="002921F4"/>
    <w:rsid w:val="00292275"/>
    <w:rsid w:val="002922A4"/>
    <w:rsid w:val="00292594"/>
    <w:rsid w:val="002926B0"/>
    <w:rsid w:val="0029289E"/>
    <w:rsid w:val="00292CAB"/>
    <w:rsid w:val="00292FE5"/>
    <w:rsid w:val="00292FEB"/>
    <w:rsid w:val="002930A3"/>
    <w:rsid w:val="00293414"/>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B66"/>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04"/>
    <w:rsid w:val="002A302F"/>
    <w:rsid w:val="002A303B"/>
    <w:rsid w:val="002A3054"/>
    <w:rsid w:val="002A3163"/>
    <w:rsid w:val="002A32B4"/>
    <w:rsid w:val="002A3392"/>
    <w:rsid w:val="002A3400"/>
    <w:rsid w:val="002A35B6"/>
    <w:rsid w:val="002A3BAE"/>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76"/>
    <w:rsid w:val="002A55F7"/>
    <w:rsid w:val="002A5718"/>
    <w:rsid w:val="002A5C41"/>
    <w:rsid w:val="002A5CC6"/>
    <w:rsid w:val="002A5D59"/>
    <w:rsid w:val="002A5E74"/>
    <w:rsid w:val="002A62EE"/>
    <w:rsid w:val="002A6351"/>
    <w:rsid w:val="002A6655"/>
    <w:rsid w:val="002A67EC"/>
    <w:rsid w:val="002A6898"/>
    <w:rsid w:val="002A68B1"/>
    <w:rsid w:val="002A6D9B"/>
    <w:rsid w:val="002A700C"/>
    <w:rsid w:val="002A706D"/>
    <w:rsid w:val="002A7131"/>
    <w:rsid w:val="002A7175"/>
    <w:rsid w:val="002A773C"/>
    <w:rsid w:val="002A77B7"/>
    <w:rsid w:val="002A7978"/>
    <w:rsid w:val="002A7BAD"/>
    <w:rsid w:val="002A7DCC"/>
    <w:rsid w:val="002B00EF"/>
    <w:rsid w:val="002B0435"/>
    <w:rsid w:val="002B0535"/>
    <w:rsid w:val="002B0594"/>
    <w:rsid w:val="002B0BD1"/>
    <w:rsid w:val="002B0C85"/>
    <w:rsid w:val="002B1017"/>
    <w:rsid w:val="002B1101"/>
    <w:rsid w:val="002B1159"/>
    <w:rsid w:val="002B11A5"/>
    <w:rsid w:val="002B11BB"/>
    <w:rsid w:val="002B1428"/>
    <w:rsid w:val="002B1752"/>
    <w:rsid w:val="002B188A"/>
    <w:rsid w:val="002B18EA"/>
    <w:rsid w:val="002B18F9"/>
    <w:rsid w:val="002B1BB3"/>
    <w:rsid w:val="002B1C6B"/>
    <w:rsid w:val="002B1CF4"/>
    <w:rsid w:val="002B1D9D"/>
    <w:rsid w:val="002B1F07"/>
    <w:rsid w:val="002B1F15"/>
    <w:rsid w:val="002B1F4E"/>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3E0"/>
    <w:rsid w:val="002B443C"/>
    <w:rsid w:val="002B45A8"/>
    <w:rsid w:val="002B4689"/>
    <w:rsid w:val="002B46B0"/>
    <w:rsid w:val="002B46B5"/>
    <w:rsid w:val="002B46F8"/>
    <w:rsid w:val="002B4811"/>
    <w:rsid w:val="002B4885"/>
    <w:rsid w:val="002B4992"/>
    <w:rsid w:val="002B4EF2"/>
    <w:rsid w:val="002B4FEE"/>
    <w:rsid w:val="002B50A1"/>
    <w:rsid w:val="002B53FC"/>
    <w:rsid w:val="002B5683"/>
    <w:rsid w:val="002B573E"/>
    <w:rsid w:val="002B5896"/>
    <w:rsid w:val="002B589D"/>
    <w:rsid w:val="002B5994"/>
    <w:rsid w:val="002B5CBD"/>
    <w:rsid w:val="002B6222"/>
    <w:rsid w:val="002B668F"/>
    <w:rsid w:val="002B66A8"/>
    <w:rsid w:val="002B66F3"/>
    <w:rsid w:val="002B67FC"/>
    <w:rsid w:val="002B695A"/>
    <w:rsid w:val="002B6E28"/>
    <w:rsid w:val="002B6EBC"/>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0DBB"/>
    <w:rsid w:val="002C12F4"/>
    <w:rsid w:val="002C1551"/>
    <w:rsid w:val="002C1773"/>
    <w:rsid w:val="002C1796"/>
    <w:rsid w:val="002C17EF"/>
    <w:rsid w:val="002C198E"/>
    <w:rsid w:val="002C1C14"/>
    <w:rsid w:val="002C1CBE"/>
    <w:rsid w:val="002C1F6A"/>
    <w:rsid w:val="002C1F99"/>
    <w:rsid w:val="002C2074"/>
    <w:rsid w:val="002C2484"/>
    <w:rsid w:val="002C2548"/>
    <w:rsid w:val="002C26FF"/>
    <w:rsid w:val="002C287F"/>
    <w:rsid w:val="002C29B8"/>
    <w:rsid w:val="002C2AD2"/>
    <w:rsid w:val="002C2B8D"/>
    <w:rsid w:val="002C2DD8"/>
    <w:rsid w:val="002C2F4A"/>
    <w:rsid w:val="002C304B"/>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380"/>
    <w:rsid w:val="002C544A"/>
    <w:rsid w:val="002C55BC"/>
    <w:rsid w:val="002C5741"/>
    <w:rsid w:val="002C583D"/>
    <w:rsid w:val="002C58AD"/>
    <w:rsid w:val="002C5ED2"/>
    <w:rsid w:val="002C5F1D"/>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A6"/>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83"/>
    <w:rsid w:val="002D2CB2"/>
    <w:rsid w:val="002D2DF5"/>
    <w:rsid w:val="002D3316"/>
    <w:rsid w:val="002D3459"/>
    <w:rsid w:val="002D38BD"/>
    <w:rsid w:val="002D3D0D"/>
    <w:rsid w:val="002D3E5F"/>
    <w:rsid w:val="002D419B"/>
    <w:rsid w:val="002D4247"/>
    <w:rsid w:val="002D4250"/>
    <w:rsid w:val="002D4326"/>
    <w:rsid w:val="002D443D"/>
    <w:rsid w:val="002D461E"/>
    <w:rsid w:val="002D46D0"/>
    <w:rsid w:val="002D4702"/>
    <w:rsid w:val="002D47FC"/>
    <w:rsid w:val="002D4832"/>
    <w:rsid w:val="002D4AC9"/>
    <w:rsid w:val="002D4B02"/>
    <w:rsid w:val="002D4C58"/>
    <w:rsid w:val="002D4F6E"/>
    <w:rsid w:val="002D50F7"/>
    <w:rsid w:val="002D520B"/>
    <w:rsid w:val="002D55AF"/>
    <w:rsid w:val="002D565C"/>
    <w:rsid w:val="002D57F4"/>
    <w:rsid w:val="002D5846"/>
    <w:rsid w:val="002D597C"/>
    <w:rsid w:val="002D5A91"/>
    <w:rsid w:val="002D61DA"/>
    <w:rsid w:val="002D6410"/>
    <w:rsid w:val="002D6769"/>
    <w:rsid w:val="002D6924"/>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78"/>
    <w:rsid w:val="002E35D3"/>
    <w:rsid w:val="002E3B46"/>
    <w:rsid w:val="002E3BE2"/>
    <w:rsid w:val="002E3C62"/>
    <w:rsid w:val="002E3F00"/>
    <w:rsid w:val="002E4388"/>
    <w:rsid w:val="002E4711"/>
    <w:rsid w:val="002E4779"/>
    <w:rsid w:val="002E4889"/>
    <w:rsid w:val="002E4A69"/>
    <w:rsid w:val="002E4E95"/>
    <w:rsid w:val="002E4FA7"/>
    <w:rsid w:val="002E507A"/>
    <w:rsid w:val="002E54D5"/>
    <w:rsid w:val="002E573A"/>
    <w:rsid w:val="002E579F"/>
    <w:rsid w:val="002E58A4"/>
    <w:rsid w:val="002E58E1"/>
    <w:rsid w:val="002E5926"/>
    <w:rsid w:val="002E5A15"/>
    <w:rsid w:val="002E5A2F"/>
    <w:rsid w:val="002E62F9"/>
    <w:rsid w:val="002E648E"/>
    <w:rsid w:val="002E657E"/>
    <w:rsid w:val="002E67DB"/>
    <w:rsid w:val="002E6A98"/>
    <w:rsid w:val="002E6E92"/>
    <w:rsid w:val="002E6F7E"/>
    <w:rsid w:val="002E6FE4"/>
    <w:rsid w:val="002E718D"/>
    <w:rsid w:val="002E792E"/>
    <w:rsid w:val="002E79A1"/>
    <w:rsid w:val="002E7BE9"/>
    <w:rsid w:val="002E7EFF"/>
    <w:rsid w:val="002F0030"/>
    <w:rsid w:val="002F0121"/>
    <w:rsid w:val="002F0256"/>
    <w:rsid w:val="002F02A1"/>
    <w:rsid w:val="002F02B8"/>
    <w:rsid w:val="002F02B9"/>
    <w:rsid w:val="002F03CB"/>
    <w:rsid w:val="002F05D5"/>
    <w:rsid w:val="002F068B"/>
    <w:rsid w:val="002F09A3"/>
    <w:rsid w:val="002F0B06"/>
    <w:rsid w:val="002F0B3A"/>
    <w:rsid w:val="002F0EB0"/>
    <w:rsid w:val="002F0FE0"/>
    <w:rsid w:val="002F116F"/>
    <w:rsid w:val="002F134B"/>
    <w:rsid w:val="002F1353"/>
    <w:rsid w:val="002F1423"/>
    <w:rsid w:val="002F15A2"/>
    <w:rsid w:val="002F1612"/>
    <w:rsid w:val="002F18C7"/>
    <w:rsid w:val="002F1932"/>
    <w:rsid w:val="002F19B1"/>
    <w:rsid w:val="002F19B5"/>
    <w:rsid w:val="002F1ADC"/>
    <w:rsid w:val="002F1CCD"/>
    <w:rsid w:val="002F206F"/>
    <w:rsid w:val="002F21BA"/>
    <w:rsid w:val="002F220F"/>
    <w:rsid w:val="002F2272"/>
    <w:rsid w:val="002F24C9"/>
    <w:rsid w:val="002F26FA"/>
    <w:rsid w:val="002F27BF"/>
    <w:rsid w:val="002F2819"/>
    <w:rsid w:val="002F2B37"/>
    <w:rsid w:val="002F2BC9"/>
    <w:rsid w:val="002F2CA6"/>
    <w:rsid w:val="002F2DEE"/>
    <w:rsid w:val="002F3081"/>
    <w:rsid w:val="002F33DF"/>
    <w:rsid w:val="002F3725"/>
    <w:rsid w:val="002F3798"/>
    <w:rsid w:val="002F37A9"/>
    <w:rsid w:val="002F389B"/>
    <w:rsid w:val="002F3B4E"/>
    <w:rsid w:val="002F3C6C"/>
    <w:rsid w:val="002F3D93"/>
    <w:rsid w:val="002F3DB0"/>
    <w:rsid w:val="002F3E03"/>
    <w:rsid w:val="002F4126"/>
    <w:rsid w:val="002F4276"/>
    <w:rsid w:val="002F42F7"/>
    <w:rsid w:val="002F4355"/>
    <w:rsid w:val="002F4967"/>
    <w:rsid w:val="002F4C8C"/>
    <w:rsid w:val="002F5317"/>
    <w:rsid w:val="002F546A"/>
    <w:rsid w:val="002F547F"/>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592"/>
    <w:rsid w:val="00300769"/>
    <w:rsid w:val="0030088B"/>
    <w:rsid w:val="0030094D"/>
    <w:rsid w:val="00300A19"/>
    <w:rsid w:val="00300A42"/>
    <w:rsid w:val="00300C8B"/>
    <w:rsid w:val="00300CA8"/>
    <w:rsid w:val="003010AF"/>
    <w:rsid w:val="00301496"/>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33"/>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B58"/>
    <w:rsid w:val="00303C0D"/>
    <w:rsid w:val="00303C78"/>
    <w:rsid w:val="00303E78"/>
    <w:rsid w:val="00303FB2"/>
    <w:rsid w:val="00304037"/>
    <w:rsid w:val="0030469F"/>
    <w:rsid w:val="0030483A"/>
    <w:rsid w:val="003049F6"/>
    <w:rsid w:val="00304BB7"/>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1AC"/>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64C"/>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53"/>
    <w:rsid w:val="00314CBD"/>
    <w:rsid w:val="00314E14"/>
    <w:rsid w:val="00314F5B"/>
    <w:rsid w:val="00315057"/>
    <w:rsid w:val="0031505C"/>
    <w:rsid w:val="003150D8"/>
    <w:rsid w:val="0031510C"/>
    <w:rsid w:val="003152A8"/>
    <w:rsid w:val="003153AA"/>
    <w:rsid w:val="003154B9"/>
    <w:rsid w:val="003154E2"/>
    <w:rsid w:val="00315527"/>
    <w:rsid w:val="00315D10"/>
    <w:rsid w:val="00315D44"/>
    <w:rsid w:val="00315EC9"/>
    <w:rsid w:val="00315F96"/>
    <w:rsid w:val="00315FDA"/>
    <w:rsid w:val="003160A9"/>
    <w:rsid w:val="003163A0"/>
    <w:rsid w:val="00316486"/>
    <w:rsid w:val="003167EE"/>
    <w:rsid w:val="003169A3"/>
    <w:rsid w:val="00316A60"/>
    <w:rsid w:val="00316C25"/>
    <w:rsid w:val="0031744A"/>
    <w:rsid w:val="00317481"/>
    <w:rsid w:val="00317608"/>
    <w:rsid w:val="0031763E"/>
    <w:rsid w:val="003178B6"/>
    <w:rsid w:val="0031791D"/>
    <w:rsid w:val="00317A53"/>
    <w:rsid w:val="00317E2A"/>
    <w:rsid w:val="00317E97"/>
    <w:rsid w:val="00317EB4"/>
    <w:rsid w:val="00317FAF"/>
    <w:rsid w:val="00317FD6"/>
    <w:rsid w:val="00320017"/>
    <w:rsid w:val="003200F5"/>
    <w:rsid w:val="00320142"/>
    <w:rsid w:val="003204F0"/>
    <w:rsid w:val="00320572"/>
    <w:rsid w:val="003206C0"/>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CC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EC8"/>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DE"/>
    <w:rsid w:val="00332DE7"/>
    <w:rsid w:val="00332F4E"/>
    <w:rsid w:val="00332FA3"/>
    <w:rsid w:val="00333120"/>
    <w:rsid w:val="0033322E"/>
    <w:rsid w:val="00333329"/>
    <w:rsid w:val="003333E7"/>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08"/>
    <w:rsid w:val="00335F7B"/>
    <w:rsid w:val="00335F98"/>
    <w:rsid w:val="00336207"/>
    <w:rsid w:val="00336333"/>
    <w:rsid w:val="00336779"/>
    <w:rsid w:val="003368B6"/>
    <w:rsid w:val="00336A83"/>
    <w:rsid w:val="00336B27"/>
    <w:rsid w:val="00336BD8"/>
    <w:rsid w:val="00336D3A"/>
    <w:rsid w:val="00336D77"/>
    <w:rsid w:val="00337006"/>
    <w:rsid w:val="00337038"/>
    <w:rsid w:val="0033706F"/>
    <w:rsid w:val="00337126"/>
    <w:rsid w:val="0033739B"/>
    <w:rsid w:val="0033751A"/>
    <w:rsid w:val="0033760B"/>
    <w:rsid w:val="0033794A"/>
    <w:rsid w:val="003379FC"/>
    <w:rsid w:val="00337AC7"/>
    <w:rsid w:val="00337E7D"/>
    <w:rsid w:val="003400D6"/>
    <w:rsid w:val="00340234"/>
    <w:rsid w:val="0034038A"/>
    <w:rsid w:val="00340968"/>
    <w:rsid w:val="00340A16"/>
    <w:rsid w:val="00340AAF"/>
    <w:rsid w:val="00340D02"/>
    <w:rsid w:val="00340DB5"/>
    <w:rsid w:val="00340F94"/>
    <w:rsid w:val="00341086"/>
    <w:rsid w:val="003411D6"/>
    <w:rsid w:val="003412D2"/>
    <w:rsid w:val="003414D3"/>
    <w:rsid w:val="003416E0"/>
    <w:rsid w:val="00341BD0"/>
    <w:rsid w:val="003420C3"/>
    <w:rsid w:val="003420EE"/>
    <w:rsid w:val="0034247E"/>
    <w:rsid w:val="003425BC"/>
    <w:rsid w:val="00342653"/>
    <w:rsid w:val="00342685"/>
    <w:rsid w:val="00342859"/>
    <w:rsid w:val="00342995"/>
    <w:rsid w:val="00342C1B"/>
    <w:rsid w:val="00342C48"/>
    <w:rsid w:val="0034309D"/>
    <w:rsid w:val="003432E8"/>
    <w:rsid w:val="003436F4"/>
    <w:rsid w:val="0034373B"/>
    <w:rsid w:val="0034374E"/>
    <w:rsid w:val="00343794"/>
    <w:rsid w:val="003438CE"/>
    <w:rsid w:val="00343C78"/>
    <w:rsid w:val="00343CE7"/>
    <w:rsid w:val="00343CE9"/>
    <w:rsid w:val="00343CF8"/>
    <w:rsid w:val="00343D94"/>
    <w:rsid w:val="00343FF7"/>
    <w:rsid w:val="0034434B"/>
    <w:rsid w:val="003443F8"/>
    <w:rsid w:val="0034458F"/>
    <w:rsid w:val="0034460E"/>
    <w:rsid w:val="003449F4"/>
    <w:rsid w:val="00344B4A"/>
    <w:rsid w:val="00344D5E"/>
    <w:rsid w:val="00344DB7"/>
    <w:rsid w:val="00344DF8"/>
    <w:rsid w:val="00344E5B"/>
    <w:rsid w:val="00345116"/>
    <w:rsid w:val="003451E5"/>
    <w:rsid w:val="0034557A"/>
    <w:rsid w:val="00345585"/>
    <w:rsid w:val="003455D9"/>
    <w:rsid w:val="00345688"/>
    <w:rsid w:val="00345700"/>
    <w:rsid w:val="0034573F"/>
    <w:rsid w:val="003458D9"/>
    <w:rsid w:val="00345B90"/>
    <w:rsid w:val="00345E41"/>
    <w:rsid w:val="00345F68"/>
    <w:rsid w:val="003461E6"/>
    <w:rsid w:val="0034628E"/>
    <w:rsid w:val="00346326"/>
    <w:rsid w:val="003463BE"/>
    <w:rsid w:val="00346459"/>
    <w:rsid w:val="0034654A"/>
    <w:rsid w:val="003468BD"/>
    <w:rsid w:val="0034693F"/>
    <w:rsid w:val="00346974"/>
    <w:rsid w:val="00346B9D"/>
    <w:rsid w:val="00346EC5"/>
    <w:rsid w:val="00346EF9"/>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32A"/>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1"/>
    <w:rsid w:val="00354156"/>
    <w:rsid w:val="00354634"/>
    <w:rsid w:val="00354AA9"/>
    <w:rsid w:val="00354BEC"/>
    <w:rsid w:val="00354CBC"/>
    <w:rsid w:val="00354F77"/>
    <w:rsid w:val="00354F8C"/>
    <w:rsid w:val="003551C1"/>
    <w:rsid w:val="00355383"/>
    <w:rsid w:val="00355909"/>
    <w:rsid w:val="00355A1D"/>
    <w:rsid w:val="00355BF4"/>
    <w:rsid w:val="00355CC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880"/>
    <w:rsid w:val="003619E7"/>
    <w:rsid w:val="00361A33"/>
    <w:rsid w:val="00361B14"/>
    <w:rsid w:val="00361B49"/>
    <w:rsid w:val="00361B83"/>
    <w:rsid w:val="00361C96"/>
    <w:rsid w:val="00361EA8"/>
    <w:rsid w:val="00361F13"/>
    <w:rsid w:val="0036230D"/>
    <w:rsid w:val="00362873"/>
    <w:rsid w:val="00362875"/>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21F"/>
    <w:rsid w:val="00364375"/>
    <w:rsid w:val="003645B8"/>
    <w:rsid w:val="003646B1"/>
    <w:rsid w:val="003649C0"/>
    <w:rsid w:val="00364A95"/>
    <w:rsid w:val="00364ABD"/>
    <w:rsid w:val="00364B14"/>
    <w:rsid w:val="00364DC8"/>
    <w:rsid w:val="0036527F"/>
    <w:rsid w:val="00365294"/>
    <w:rsid w:val="00365B5E"/>
    <w:rsid w:val="00365DC8"/>
    <w:rsid w:val="00365E73"/>
    <w:rsid w:val="00365F0A"/>
    <w:rsid w:val="003667A5"/>
    <w:rsid w:val="00366AF5"/>
    <w:rsid w:val="00366CA3"/>
    <w:rsid w:val="00366D1A"/>
    <w:rsid w:val="00366DB4"/>
    <w:rsid w:val="00366F7E"/>
    <w:rsid w:val="0036705D"/>
    <w:rsid w:val="003670B6"/>
    <w:rsid w:val="003671AD"/>
    <w:rsid w:val="003671F5"/>
    <w:rsid w:val="00367318"/>
    <w:rsid w:val="003674CB"/>
    <w:rsid w:val="00367504"/>
    <w:rsid w:val="00367853"/>
    <w:rsid w:val="00367883"/>
    <w:rsid w:val="00367977"/>
    <w:rsid w:val="00370037"/>
    <w:rsid w:val="003700B9"/>
    <w:rsid w:val="003700E1"/>
    <w:rsid w:val="0037046B"/>
    <w:rsid w:val="003704BB"/>
    <w:rsid w:val="00370507"/>
    <w:rsid w:val="00370608"/>
    <w:rsid w:val="0037063A"/>
    <w:rsid w:val="0037076A"/>
    <w:rsid w:val="00370836"/>
    <w:rsid w:val="0037085A"/>
    <w:rsid w:val="0037097F"/>
    <w:rsid w:val="00370984"/>
    <w:rsid w:val="003709E1"/>
    <w:rsid w:val="0037112E"/>
    <w:rsid w:val="00371415"/>
    <w:rsid w:val="0037147C"/>
    <w:rsid w:val="003715C6"/>
    <w:rsid w:val="0037161E"/>
    <w:rsid w:val="003716B3"/>
    <w:rsid w:val="00371848"/>
    <w:rsid w:val="00371850"/>
    <w:rsid w:val="00371F1C"/>
    <w:rsid w:val="00371F4F"/>
    <w:rsid w:val="0037225D"/>
    <w:rsid w:val="00372360"/>
    <w:rsid w:val="003723DA"/>
    <w:rsid w:val="00372403"/>
    <w:rsid w:val="00372430"/>
    <w:rsid w:val="00372970"/>
    <w:rsid w:val="00372971"/>
    <w:rsid w:val="00372C05"/>
    <w:rsid w:val="00372C0F"/>
    <w:rsid w:val="00372CD9"/>
    <w:rsid w:val="00372D0A"/>
    <w:rsid w:val="00372D42"/>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A3D"/>
    <w:rsid w:val="00376B3A"/>
    <w:rsid w:val="00376BDB"/>
    <w:rsid w:val="00376BE0"/>
    <w:rsid w:val="00376C46"/>
    <w:rsid w:val="00376D77"/>
    <w:rsid w:val="00377055"/>
    <w:rsid w:val="0037726F"/>
    <w:rsid w:val="00377479"/>
    <w:rsid w:val="00377578"/>
    <w:rsid w:val="003776C3"/>
    <w:rsid w:val="003779FD"/>
    <w:rsid w:val="00377ABE"/>
    <w:rsid w:val="00377B97"/>
    <w:rsid w:val="00377C3C"/>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0F42"/>
    <w:rsid w:val="0038104B"/>
    <w:rsid w:val="00381166"/>
    <w:rsid w:val="003812F0"/>
    <w:rsid w:val="0038155D"/>
    <w:rsid w:val="003815F7"/>
    <w:rsid w:val="00381621"/>
    <w:rsid w:val="0038191A"/>
    <w:rsid w:val="00381B09"/>
    <w:rsid w:val="00381B40"/>
    <w:rsid w:val="00381CCB"/>
    <w:rsid w:val="00381ED3"/>
    <w:rsid w:val="00381EFE"/>
    <w:rsid w:val="00382032"/>
    <w:rsid w:val="0038227F"/>
    <w:rsid w:val="0038275C"/>
    <w:rsid w:val="00382ABF"/>
    <w:rsid w:val="00382E55"/>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29"/>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AA"/>
    <w:rsid w:val="003869E7"/>
    <w:rsid w:val="00386E9F"/>
    <w:rsid w:val="00386EE9"/>
    <w:rsid w:val="0038716B"/>
    <w:rsid w:val="003874CA"/>
    <w:rsid w:val="003874E1"/>
    <w:rsid w:val="00387738"/>
    <w:rsid w:val="00387A80"/>
    <w:rsid w:val="00387A98"/>
    <w:rsid w:val="00387BD3"/>
    <w:rsid w:val="00387C3E"/>
    <w:rsid w:val="00387DD5"/>
    <w:rsid w:val="00387EDA"/>
    <w:rsid w:val="00390499"/>
    <w:rsid w:val="00390620"/>
    <w:rsid w:val="003906BD"/>
    <w:rsid w:val="003907E7"/>
    <w:rsid w:val="00390EF1"/>
    <w:rsid w:val="00391170"/>
    <w:rsid w:val="003911C4"/>
    <w:rsid w:val="003911F8"/>
    <w:rsid w:val="00391237"/>
    <w:rsid w:val="003914B8"/>
    <w:rsid w:val="003915BA"/>
    <w:rsid w:val="003915E5"/>
    <w:rsid w:val="00391C24"/>
    <w:rsid w:val="00391F5E"/>
    <w:rsid w:val="00392017"/>
    <w:rsid w:val="003920AF"/>
    <w:rsid w:val="003920FD"/>
    <w:rsid w:val="00392133"/>
    <w:rsid w:val="003922A8"/>
    <w:rsid w:val="003923F8"/>
    <w:rsid w:val="00392565"/>
    <w:rsid w:val="00392A6D"/>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BA2"/>
    <w:rsid w:val="00394BF6"/>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A7B"/>
    <w:rsid w:val="00396C2E"/>
    <w:rsid w:val="00396D00"/>
    <w:rsid w:val="00396D8D"/>
    <w:rsid w:val="00396F4E"/>
    <w:rsid w:val="00397139"/>
    <w:rsid w:val="00397177"/>
    <w:rsid w:val="00397355"/>
    <w:rsid w:val="0039737D"/>
    <w:rsid w:val="003973B0"/>
    <w:rsid w:val="0039770C"/>
    <w:rsid w:val="003978A9"/>
    <w:rsid w:val="003978AE"/>
    <w:rsid w:val="00397932"/>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3FF"/>
    <w:rsid w:val="003A44A8"/>
    <w:rsid w:val="003A494E"/>
    <w:rsid w:val="003A49BA"/>
    <w:rsid w:val="003A4C60"/>
    <w:rsid w:val="003A4CA7"/>
    <w:rsid w:val="003A4DB4"/>
    <w:rsid w:val="003A4F5D"/>
    <w:rsid w:val="003A5132"/>
    <w:rsid w:val="003A5446"/>
    <w:rsid w:val="003A5818"/>
    <w:rsid w:val="003A5DA5"/>
    <w:rsid w:val="003A5E92"/>
    <w:rsid w:val="003A5FB7"/>
    <w:rsid w:val="003A6325"/>
    <w:rsid w:val="003A6334"/>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093"/>
    <w:rsid w:val="003B0180"/>
    <w:rsid w:val="003B02B6"/>
    <w:rsid w:val="003B08F1"/>
    <w:rsid w:val="003B0B0E"/>
    <w:rsid w:val="003B0BD4"/>
    <w:rsid w:val="003B0E37"/>
    <w:rsid w:val="003B0F67"/>
    <w:rsid w:val="003B10AE"/>
    <w:rsid w:val="003B110B"/>
    <w:rsid w:val="003B1350"/>
    <w:rsid w:val="003B1407"/>
    <w:rsid w:val="003B14D1"/>
    <w:rsid w:val="003B1521"/>
    <w:rsid w:val="003B177C"/>
    <w:rsid w:val="003B1883"/>
    <w:rsid w:val="003B1A9D"/>
    <w:rsid w:val="003B1C87"/>
    <w:rsid w:val="003B1D52"/>
    <w:rsid w:val="003B1F82"/>
    <w:rsid w:val="003B209D"/>
    <w:rsid w:val="003B20E4"/>
    <w:rsid w:val="003B22EC"/>
    <w:rsid w:val="003B276B"/>
    <w:rsid w:val="003B2800"/>
    <w:rsid w:val="003B28ED"/>
    <w:rsid w:val="003B2939"/>
    <w:rsid w:val="003B2E69"/>
    <w:rsid w:val="003B3004"/>
    <w:rsid w:val="003B3058"/>
    <w:rsid w:val="003B3414"/>
    <w:rsid w:val="003B3680"/>
    <w:rsid w:val="003B36B7"/>
    <w:rsid w:val="003B378C"/>
    <w:rsid w:val="003B3B03"/>
    <w:rsid w:val="003B3B4E"/>
    <w:rsid w:val="003B3BE3"/>
    <w:rsid w:val="003B3E2D"/>
    <w:rsid w:val="003B3EC4"/>
    <w:rsid w:val="003B4086"/>
    <w:rsid w:val="003B43DE"/>
    <w:rsid w:val="003B43F9"/>
    <w:rsid w:val="003B451C"/>
    <w:rsid w:val="003B451D"/>
    <w:rsid w:val="003B4569"/>
    <w:rsid w:val="003B4878"/>
    <w:rsid w:val="003B4AC7"/>
    <w:rsid w:val="003B4AEC"/>
    <w:rsid w:val="003B4EE1"/>
    <w:rsid w:val="003B514E"/>
    <w:rsid w:val="003B51FB"/>
    <w:rsid w:val="003B525C"/>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2D5"/>
    <w:rsid w:val="003B740E"/>
    <w:rsid w:val="003B76FB"/>
    <w:rsid w:val="003B776A"/>
    <w:rsid w:val="003B7A99"/>
    <w:rsid w:val="003B7EC1"/>
    <w:rsid w:val="003B7FD4"/>
    <w:rsid w:val="003B7FD9"/>
    <w:rsid w:val="003C020C"/>
    <w:rsid w:val="003C02F7"/>
    <w:rsid w:val="003C07D7"/>
    <w:rsid w:val="003C0AFB"/>
    <w:rsid w:val="003C0FF5"/>
    <w:rsid w:val="003C1137"/>
    <w:rsid w:val="003C114F"/>
    <w:rsid w:val="003C1150"/>
    <w:rsid w:val="003C138C"/>
    <w:rsid w:val="003C15B6"/>
    <w:rsid w:val="003C1715"/>
    <w:rsid w:val="003C1A78"/>
    <w:rsid w:val="003C1B5C"/>
    <w:rsid w:val="003C25E6"/>
    <w:rsid w:val="003C26B6"/>
    <w:rsid w:val="003C28E5"/>
    <w:rsid w:val="003C28FA"/>
    <w:rsid w:val="003C2BF0"/>
    <w:rsid w:val="003C335B"/>
    <w:rsid w:val="003C33DD"/>
    <w:rsid w:val="003C3567"/>
    <w:rsid w:val="003C35C0"/>
    <w:rsid w:val="003C367D"/>
    <w:rsid w:val="003C377B"/>
    <w:rsid w:val="003C38E2"/>
    <w:rsid w:val="003C3AF8"/>
    <w:rsid w:val="003C3B0F"/>
    <w:rsid w:val="003C3B9E"/>
    <w:rsid w:val="003C3EF5"/>
    <w:rsid w:val="003C3F72"/>
    <w:rsid w:val="003C4065"/>
    <w:rsid w:val="003C4507"/>
    <w:rsid w:val="003C451B"/>
    <w:rsid w:val="003C45AB"/>
    <w:rsid w:val="003C4731"/>
    <w:rsid w:val="003C4A77"/>
    <w:rsid w:val="003C4A98"/>
    <w:rsid w:val="003C4AAA"/>
    <w:rsid w:val="003C4E65"/>
    <w:rsid w:val="003C50AB"/>
    <w:rsid w:val="003C50BE"/>
    <w:rsid w:val="003C5177"/>
    <w:rsid w:val="003C52DD"/>
    <w:rsid w:val="003C535F"/>
    <w:rsid w:val="003C5716"/>
    <w:rsid w:val="003C572B"/>
    <w:rsid w:val="003C573A"/>
    <w:rsid w:val="003C5857"/>
    <w:rsid w:val="003C59E2"/>
    <w:rsid w:val="003C5CBB"/>
    <w:rsid w:val="003C5CFD"/>
    <w:rsid w:val="003C60DD"/>
    <w:rsid w:val="003C63F0"/>
    <w:rsid w:val="003C65C6"/>
    <w:rsid w:val="003C6773"/>
    <w:rsid w:val="003C6B3C"/>
    <w:rsid w:val="003C6D36"/>
    <w:rsid w:val="003C6FC7"/>
    <w:rsid w:val="003C71B2"/>
    <w:rsid w:val="003C727C"/>
    <w:rsid w:val="003C73BB"/>
    <w:rsid w:val="003C73C9"/>
    <w:rsid w:val="003C792B"/>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B86"/>
    <w:rsid w:val="003D2C46"/>
    <w:rsid w:val="003D2F8B"/>
    <w:rsid w:val="003D343E"/>
    <w:rsid w:val="003D38DF"/>
    <w:rsid w:val="003D396C"/>
    <w:rsid w:val="003D3A62"/>
    <w:rsid w:val="003D3E74"/>
    <w:rsid w:val="003D41F7"/>
    <w:rsid w:val="003D4210"/>
    <w:rsid w:val="003D435A"/>
    <w:rsid w:val="003D48BD"/>
    <w:rsid w:val="003D4A53"/>
    <w:rsid w:val="003D4A76"/>
    <w:rsid w:val="003D4C38"/>
    <w:rsid w:val="003D4DB8"/>
    <w:rsid w:val="003D4E07"/>
    <w:rsid w:val="003D4E5C"/>
    <w:rsid w:val="003D4EC3"/>
    <w:rsid w:val="003D4ED3"/>
    <w:rsid w:val="003D4F2C"/>
    <w:rsid w:val="003D5059"/>
    <w:rsid w:val="003D508A"/>
    <w:rsid w:val="003D5348"/>
    <w:rsid w:val="003D5506"/>
    <w:rsid w:val="003D563C"/>
    <w:rsid w:val="003D56BF"/>
    <w:rsid w:val="003D5986"/>
    <w:rsid w:val="003D59A2"/>
    <w:rsid w:val="003D5B39"/>
    <w:rsid w:val="003D5CC5"/>
    <w:rsid w:val="003D62E6"/>
    <w:rsid w:val="003D6593"/>
    <w:rsid w:val="003D67C7"/>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1C1"/>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221"/>
    <w:rsid w:val="003E22A8"/>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3EAD"/>
    <w:rsid w:val="003E40DE"/>
    <w:rsid w:val="003E41EC"/>
    <w:rsid w:val="003E41F7"/>
    <w:rsid w:val="003E42FE"/>
    <w:rsid w:val="003E4689"/>
    <w:rsid w:val="003E468D"/>
    <w:rsid w:val="003E4799"/>
    <w:rsid w:val="003E4845"/>
    <w:rsid w:val="003E49C7"/>
    <w:rsid w:val="003E4A5A"/>
    <w:rsid w:val="003E4ACE"/>
    <w:rsid w:val="003E4B7E"/>
    <w:rsid w:val="003E4E64"/>
    <w:rsid w:val="003E4FB6"/>
    <w:rsid w:val="003E4FCE"/>
    <w:rsid w:val="003E5149"/>
    <w:rsid w:val="003E53CA"/>
    <w:rsid w:val="003E55C8"/>
    <w:rsid w:val="003E56A9"/>
    <w:rsid w:val="003E56B7"/>
    <w:rsid w:val="003E57E4"/>
    <w:rsid w:val="003E5D09"/>
    <w:rsid w:val="003E5EC4"/>
    <w:rsid w:val="003E5F96"/>
    <w:rsid w:val="003E61CE"/>
    <w:rsid w:val="003E62A0"/>
    <w:rsid w:val="003E646F"/>
    <w:rsid w:val="003E654A"/>
    <w:rsid w:val="003E6E06"/>
    <w:rsid w:val="003E6E25"/>
    <w:rsid w:val="003E72A3"/>
    <w:rsid w:val="003E768B"/>
    <w:rsid w:val="003E7A52"/>
    <w:rsid w:val="003E7A68"/>
    <w:rsid w:val="003E7C50"/>
    <w:rsid w:val="003E7D67"/>
    <w:rsid w:val="003E7EDE"/>
    <w:rsid w:val="003F00A1"/>
    <w:rsid w:val="003F01B3"/>
    <w:rsid w:val="003F0361"/>
    <w:rsid w:val="003F036A"/>
    <w:rsid w:val="003F0711"/>
    <w:rsid w:val="003F073F"/>
    <w:rsid w:val="003F09D3"/>
    <w:rsid w:val="003F0A04"/>
    <w:rsid w:val="003F0A0E"/>
    <w:rsid w:val="003F0AB2"/>
    <w:rsid w:val="003F0E29"/>
    <w:rsid w:val="003F0EB0"/>
    <w:rsid w:val="003F0FC4"/>
    <w:rsid w:val="003F101E"/>
    <w:rsid w:val="003F1022"/>
    <w:rsid w:val="003F1048"/>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9B"/>
    <w:rsid w:val="003F5AB2"/>
    <w:rsid w:val="003F5ED5"/>
    <w:rsid w:val="003F5EFD"/>
    <w:rsid w:val="003F5FB4"/>
    <w:rsid w:val="003F6191"/>
    <w:rsid w:val="003F6220"/>
    <w:rsid w:val="003F62B7"/>
    <w:rsid w:val="003F63BB"/>
    <w:rsid w:val="003F63DB"/>
    <w:rsid w:val="003F64AD"/>
    <w:rsid w:val="003F6506"/>
    <w:rsid w:val="003F6741"/>
    <w:rsid w:val="003F67EF"/>
    <w:rsid w:val="003F687C"/>
    <w:rsid w:val="003F694E"/>
    <w:rsid w:val="003F6A35"/>
    <w:rsid w:val="003F6B80"/>
    <w:rsid w:val="003F6CC2"/>
    <w:rsid w:val="003F6F86"/>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28"/>
    <w:rsid w:val="004032D9"/>
    <w:rsid w:val="00403428"/>
    <w:rsid w:val="00403748"/>
    <w:rsid w:val="00403FD1"/>
    <w:rsid w:val="004043E6"/>
    <w:rsid w:val="004044D4"/>
    <w:rsid w:val="00404634"/>
    <w:rsid w:val="00404A9D"/>
    <w:rsid w:val="00404CD9"/>
    <w:rsid w:val="00404DA0"/>
    <w:rsid w:val="00404E75"/>
    <w:rsid w:val="00404EFB"/>
    <w:rsid w:val="00404FA0"/>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19B"/>
    <w:rsid w:val="00407449"/>
    <w:rsid w:val="00407805"/>
    <w:rsid w:val="00407A77"/>
    <w:rsid w:val="00407F80"/>
    <w:rsid w:val="0041002D"/>
    <w:rsid w:val="00410110"/>
    <w:rsid w:val="0041030D"/>
    <w:rsid w:val="00410632"/>
    <w:rsid w:val="00410764"/>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2C2"/>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CBE"/>
    <w:rsid w:val="00416D40"/>
    <w:rsid w:val="004172B7"/>
    <w:rsid w:val="004177D0"/>
    <w:rsid w:val="004177E8"/>
    <w:rsid w:val="004179D4"/>
    <w:rsid w:val="00417BCD"/>
    <w:rsid w:val="00420379"/>
    <w:rsid w:val="00420425"/>
    <w:rsid w:val="00420589"/>
    <w:rsid w:val="004206B7"/>
    <w:rsid w:val="004206D9"/>
    <w:rsid w:val="004208CB"/>
    <w:rsid w:val="00420A1D"/>
    <w:rsid w:val="00420BCA"/>
    <w:rsid w:val="00420CD4"/>
    <w:rsid w:val="00420CF3"/>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2E58"/>
    <w:rsid w:val="0042302B"/>
    <w:rsid w:val="004230CE"/>
    <w:rsid w:val="00423240"/>
    <w:rsid w:val="004232D6"/>
    <w:rsid w:val="0042369E"/>
    <w:rsid w:val="0042374B"/>
    <w:rsid w:val="0042398D"/>
    <w:rsid w:val="00423CC5"/>
    <w:rsid w:val="00423F54"/>
    <w:rsid w:val="004240ED"/>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6E4"/>
    <w:rsid w:val="004309C9"/>
    <w:rsid w:val="00430DDC"/>
    <w:rsid w:val="00430F32"/>
    <w:rsid w:val="00430F74"/>
    <w:rsid w:val="00430FB2"/>
    <w:rsid w:val="00431196"/>
    <w:rsid w:val="0043134E"/>
    <w:rsid w:val="00431A6C"/>
    <w:rsid w:val="00431D34"/>
    <w:rsid w:val="00431E00"/>
    <w:rsid w:val="00431ECC"/>
    <w:rsid w:val="00431F3E"/>
    <w:rsid w:val="0043207D"/>
    <w:rsid w:val="004320EA"/>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1FB"/>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9EE"/>
    <w:rsid w:val="00436B87"/>
    <w:rsid w:val="00436CB9"/>
    <w:rsid w:val="004370E2"/>
    <w:rsid w:val="004371CF"/>
    <w:rsid w:val="00437351"/>
    <w:rsid w:val="00437454"/>
    <w:rsid w:val="0043747A"/>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D08"/>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A9"/>
    <w:rsid w:val="004435CE"/>
    <w:rsid w:val="00443602"/>
    <w:rsid w:val="004437CD"/>
    <w:rsid w:val="004437E1"/>
    <w:rsid w:val="004438D6"/>
    <w:rsid w:val="0044396B"/>
    <w:rsid w:val="00443BC2"/>
    <w:rsid w:val="00443C15"/>
    <w:rsid w:val="00443D26"/>
    <w:rsid w:val="00443D9D"/>
    <w:rsid w:val="00443DFD"/>
    <w:rsid w:val="00443E38"/>
    <w:rsid w:val="00443E67"/>
    <w:rsid w:val="00443F9A"/>
    <w:rsid w:val="00444216"/>
    <w:rsid w:val="0044424D"/>
    <w:rsid w:val="004446D0"/>
    <w:rsid w:val="00444779"/>
    <w:rsid w:val="004447EC"/>
    <w:rsid w:val="004448BA"/>
    <w:rsid w:val="00444A41"/>
    <w:rsid w:val="00444B2C"/>
    <w:rsid w:val="00444D32"/>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4A"/>
    <w:rsid w:val="004462E4"/>
    <w:rsid w:val="00446379"/>
    <w:rsid w:val="00446382"/>
    <w:rsid w:val="004463E4"/>
    <w:rsid w:val="004464F2"/>
    <w:rsid w:val="004466B5"/>
    <w:rsid w:val="004468B0"/>
    <w:rsid w:val="00446BFE"/>
    <w:rsid w:val="00446C3A"/>
    <w:rsid w:val="00446EB0"/>
    <w:rsid w:val="00446EC6"/>
    <w:rsid w:val="00446EFB"/>
    <w:rsid w:val="004471FF"/>
    <w:rsid w:val="0044749C"/>
    <w:rsid w:val="004474A5"/>
    <w:rsid w:val="00447606"/>
    <w:rsid w:val="00447983"/>
    <w:rsid w:val="00447993"/>
    <w:rsid w:val="004479EC"/>
    <w:rsid w:val="00447A4B"/>
    <w:rsid w:val="00447E2E"/>
    <w:rsid w:val="004500CA"/>
    <w:rsid w:val="0045017D"/>
    <w:rsid w:val="00450251"/>
    <w:rsid w:val="0045057A"/>
    <w:rsid w:val="0045058B"/>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B03"/>
    <w:rsid w:val="00452C2F"/>
    <w:rsid w:val="00452C45"/>
    <w:rsid w:val="00452D01"/>
    <w:rsid w:val="004531E2"/>
    <w:rsid w:val="00453730"/>
    <w:rsid w:val="00453908"/>
    <w:rsid w:val="00453AEE"/>
    <w:rsid w:val="00453CBF"/>
    <w:rsid w:val="00453CCD"/>
    <w:rsid w:val="00453FA1"/>
    <w:rsid w:val="0045412B"/>
    <w:rsid w:val="00454176"/>
    <w:rsid w:val="004542B0"/>
    <w:rsid w:val="00454450"/>
    <w:rsid w:val="004546C7"/>
    <w:rsid w:val="00454CD4"/>
    <w:rsid w:val="00454D07"/>
    <w:rsid w:val="00454D4B"/>
    <w:rsid w:val="00454FFE"/>
    <w:rsid w:val="00455008"/>
    <w:rsid w:val="004552A6"/>
    <w:rsid w:val="004554FE"/>
    <w:rsid w:val="00455653"/>
    <w:rsid w:val="00455853"/>
    <w:rsid w:val="004559C7"/>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3A8"/>
    <w:rsid w:val="00460452"/>
    <w:rsid w:val="00460607"/>
    <w:rsid w:val="00460864"/>
    <w:rsid w:val="0046089B"/>
    <w:rsid w:val="0046095C"/>
    <w:rsid w:val="00460973"/>
    <w:rsid w:val="004609CA"/>
    <w:rsid w:val="00460B81"/>
    <w:rsid w:val="00460CFF"/>
    <w:rsid w:val="00460DF2"/>
    <w:rsid w:val="00461087"/>
    <w:rsid w:val="00461103"/>
    <w:rsid w:val="004613E1"/>
    <w:rsid w:val="004615F2"/>
    <w:rsid w:val="004616C3"/>
    <w:rsid w:val="00461821"/>
    <w:rsid w:val="0046192B"/>
    <w:rsid w:val="00461E25"/>
    <w:rsid w:val="004620D8"/>
    <w:rsid w:val="00462207"/>
    <w:rsid w:val="00462211"/>
    <w:rsid w:val="004627CD"/>
    <w:rsid w:val="00462849"/>
    <w:rsid w:val="00462AED"/>
    <w:rsid w:val="00462C7A"/>
    <w:rsid w:val="00462F21"/>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29"/>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CD6"/>
    <w:rsid w:val="00466DE5"/>
    <w:rsid w:val="00466E48"/>
    <w:rsid w:val="0046708A"/>
    <w:rsid w:val="00467394"/>
    <w:rsid w:val="0046744C"/>
    <w:rsid w:val="00467486"/>
    <w:rsid w:val="004674D2"/>
    <w:rsid w:val="00467507"/>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E9B"/>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B6E"/>
    <w:rsid w:val="00474CAA"/>
    <w:rsid w:val="00474D0C"/>
    <w:rsid w:val="00474EE4"/>
    <w:rsid w:val="00474FC7"/>
    <w:rsid w:val="00474FF6"/>
    <w:rsid w:val="004752A5"/>
    <w:rsid w:val="004754BC"/>
    <w:rsid w:val="0047554E"/>
    <w:rsid w:val="0047559B"/>
    <w:rsid w:val="004755C3"/>
    <w:rsid w:val="0047563F"/>
    <w:rsid w:val="00475945"/>
    <w:rsid w:val="00475A62"/>
    <w:rsid w:val="00475AC5"/>
    <w:rsid w:val="00475B60"/>
    <w:rsid w:val="00475B76"/>
    <w:rsid w:val="00475FA7"/>
    <w:rsid w:val="0047605A"/>
    <w:rsid w:val="00476160"/>
    <w:rsid w:val="00476262"/>
    <w:rsid w:val="004764A9"/>
    <w:rsid w:val="00476508"/>
    <w:rsid w:val="004765AD"/>
    <w:rsid w:val="00476C1A"/>
    <w:rsid w:val="004771CB"/>
    <w:rsid w:val="00477242"/>
    <w:rsid w:val="004772D5"/>
    <w:rsid w:val="00477363"/>
    <w:rsid w:val="00477612"/>
    <w:rsid w:val="004776D5"/>
    <w:rsid w:val="004778ED"/>
    <w:rsid w:val="00477915"/>
    <w:rsid w:val="004779C9"/>
    <w:rsid w:val="00477A78"/>
    <w:rsid w:val="00477AB9"/>
    <w:rsid w:val="00477C7F"/>
    <w:rsid w:val="00477EE9"/>
    <w:rsid w:val="0048002E"/>
    <w:rsid w:val="0048003A"/>
    <w:rsid w:val="004802DC"/>
    <w:rsid w:val="00480304"/>
    <w:rsid w:val="0048039F"/>
    <w:rsid w:val="00480413"/>
    <w:rsid w:val="0048043C"/>
    <w:rsid w:val="00480477"/>
    <w:rsid w:val="00480497"/>
    <w:rsid w:val="00480596"/>
    <w:rsid w:val="004808AB"/>
    <w:rsid w:val="00480A84"/>
    <w:rsid w:val="00480EFD"/>
    <w:rsid w:val="00480F4C"/>
    <w:rsid w:val="00480F70"/>
    <w:rsid w:val="004810C1"/>
    <w:rsid w:val="00481606"/>
    <w:rsid w:val="0048160E"/>
    <w:rsid w:val="004816A9"/>
    <w:rsid w:val="004816D3"/>
    <w:rsid w:val="00481A38"/>
    <w:rsid w:val="00481DA2"/>
    <w:rsid w:val="00481DF1"/>
    <w:rsid w:val="00481DF5"/>
    <w:rsid w:val="00481EDC"/>
    <w:rsid w:val="00481F41"/>
    <w:rsid w:val="00482185"/>
    <w:rsid w:val="00482433"/>
    <w:rsid w:val="004825AE"/>
    <w:rsid w:val="00482861"/>
    <w:rsid w:val="004828E9"/>
    <w:rsid w:val="00482B61"/>
    <w:rsid w:val="00482CF8"/>
    <w:rsid w:val="00482F6E"/>
    <w:rsid w:val="00482FA1"/>
    <w:rsid w:val="00483575"/>
    <w:rsid w:val="00483578"/>
    <w:rsid w:val="004835C9"/>
    <w:rsid w:val="00483915"/>
    <w:rsid w:val="00483988"/>
    <w:rsid w:val="00483AA1"/>
    <w:rsid w:val="00483B13"/>
    <w:rsid w:val="00483CCD"/>
    <w:rsid w:val="0048414E"/>
    <w:rsid w:val="00484186"/>
    <w:rsid w:val="004846D1"/>
    <w:rsid w:val="004848E9"/>
    <w:rsid w:val="004848F6"/>
    <w:rsid w:val="00484B2D"/>
    <w:rsid w:val="00484D8C"/>
    <w:rsid w:val="004850F1"/>
    <w:rsid w:val="004851B2"/>
    <w:rsid w:val="0048564E"/>
    <w:rsid w:val="00485753"/>
    <w:rsid w:val="00485916"/>
    <w:rsid w:val="00485986"/>
    <w:rsid w:val="004859CB"/>
    <w:rsid w:val="00485B5C"/>
    <w:rsid w:val="004860CF"/>
    <w:rsid w:val="00486144"/>
    <w:rsid w:val="004863CB"/>
    <w:rsid w:val="00486924"/>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5D2"/>
    <w:rsid w:val="0049096E"/>
    <w:rsid w:val="0049099C"/>
    <w:rsid w:val="004909AF"/>
    <w:rsid w:val="00490AB9"/>
    <w:rsid w:val="00490BB8"/>
    <w:rsid w:val="00490BD3"/>
    <w:rsid w:val="004910B8"/>
    <w:rsid w:val="004910F6"/>
    <w:rsid w:val="004913A3"/>
    <w:rsid w:val="00491427"/>
    <w:rsid w:val="00491514"/>
    <w:rsid w:val="0049153B"/>
    <w:rsid w:val="004916D8"/>
    <w:rsid w:val="0049172F"/>
    <w:rsid w:val="004917DB"/>
    <w:rsid w:val="004919EC"/>
    <w:rsid w:val="00491BAE"/>
    <w:rsid w:val="00491D66"/>
    <w:rsid w:val="00492006"/>
    <w:rsid w:val="00492019"/>
    <w:rsid w:val="004923F7"/>
    <w:rsid w:val="00492404"/>
    <w:rsid w:val="00492595"/>
    <w:rsid w:val="0049277C"/>
    <w:rsid w:val="00492964"/>
    <w:rsid w:val="00492BE4"/>
    <w:rsid w:val="00492CFC"/>
    <w:rsid w:val="00492E7B"/>
    <w:rsid w:val="004932DA"/>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5EF"/>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B16"/>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5CE"/>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4D0"/>
    <w:rsid w:val="004A6603"/>
    <w:rsid w:val="004A6A0B"/>
    <w:rsid w:val="004A6C34"/>
    <w:rsid w:val="004A6DE8"/>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0EA6"/>
    <w:rsid w:val="004B1258"/>
    <w:rsid w:val="004B13E0"/>
    <w:rsid w:val="004B148E"/>
    <w:rsid w:val="004B15CB"/>
    <w:rsid w:val="004B1855"/>
    <w:rsid w:val="004B190B"/>
    <w:rsid w:val="004B1CD2"/>
    <w:rsid w:val="004B1D3D"/>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3E5"/>
    <w:rsid w:val="004B450D"/>
    <w:rsid w:val="004B45AC"/>
    <w:rsid w:val="004B46DC"/>
    <w:rsid w:val="004B4B72"/>
    <w:rsid w:val="004B4BE3"/>
    <w:rsid w:val="004B4D20"/>
    <w:rsid w:val="004B4EBE"/>
    <w:rsid w:val="004B4F31"/>
    <w:rsid w:val="004B529A"/>
    <w:rsid w:val="004B5341"/>
    <w:rsid w:val="004B53C4"/>
    <w:rsid w:val="004B5D33"/>
    <w:rsid w:val="004B5E6A"/>
    <w:rsid w:val="004B61CD"/>
    <w:rsid w:val="004B6605"/>
    <w:rsid w:val="004B66E6"/>
    <w:rsid w:val="004B6BA6"/>
    <w:rsid w:val="004B6EE9"/>
    <w:rsid w:val="004B6F04"/>
    <w:rsid w:val="004B7019"/>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4AD"/>
    <w:rsid w:val="004C156B"/>
    <w:rsid w:val="004C164A"/>
    <w:rsid w:val="004C17D7"/>
    <w:rsid w:val="004C1A73"/>
    <w:rsid w:val="004C1C67"/>
    <w:rsid w:val="004C1D16"/>
    <w:rsid w:val="004C1F66"/>
    <w:rsid w:val="004C20C3"/>
    <w:rsid w:val="004C2414"/>
    <w:rsid w:val="004C27D8"/>
    <w:rsid w:val="004C27E5"/>
    <w:rsid w:val="004C2865"/>
    <w:rsid w:val="004C29C2"/>
    <w:rsid w:val="004C2AF6"/>
    <w:rsid w:val="004C2DC9"/>
    <w:rsid w:val="004C2FC7"/>
    <w:rsid w:val="004C317F"/>
    <w:rsid w:val="004C3284"/>
    <w:rsid w:val="004C330E"/>
    <w:rsid w:val="004C3604"/>
    <w:rsid w:val="004C3895"/>
    <w:rsid w:val="004C3BF5"/>
    <w:rsid w:val="004C3C98"/>
    <w:rsid w:val="004C3C9A"/>
    <w:rsid w:val="004C3CB5"/>
    <w:rsid w:val="004C3CF2"/>
    <w:rsid w:val="004C3EB8"/>
    <w:rsid w:val="004C3ED0"/>
    <w:rsid w:val="004C414D"/>
    <w:rsid w:val="004C4173"/>
    <w:rsid w:val="004C43F4"/>
    <w:rsid w:val="004C468E"/>
    <w:rsid w:val="004C46E8"/>
    <w:rsid w:val="004C4738"/>
    <w:rsid w:val="004C4992"/>
    <w:rsid w:val="004C4A63"/>
    <w:rsid w:val="004C4B00"/>
    <w:rsid w:val="004C4BC9"/>
    <w:rsid w:val="004C536E"/>
    <w:rsid w:val="004C568F"/>
    <w:rsid w:val="004C56E1"/>
    <w:rsid w:val="004C5722"/>
    <w:rsid w:val="004C57A5"/>
    <w:rsid w:val="004C581B"/>
    <w:rsid w:val="004C589E"/>
    <w:rsid w:val="004C592B"/>
    <w:rsid w:val="004C5985"/>
    <w:rsid w:val="004C5B06"/>
    <w:rsid w:val="004C5CFA"/>
    <w:rsid w:val="004C5DFC"/>
    <w:rsid w:val="004C604D"/>
    <w:rsid w:val="004C63F6"/>
    <w:rsid w:val="004C64F5"/>
    <w:rsid w:val="004C68BC"/>
    <w:rsid w:val="004C69D7"/>
    <w:rsid w:val="004C6A80"/>
    <w:rsid w:val="004C6CCA"/>
    <w:rsid w:val="004C6D7D"/>
    <w:rsid w:val="004C6FC1"/>
    <w:rsid w:val="004C7145"/>
    <w:rsid w:val="004C7214"/>
    <w:rsid w:val="004C72DD"/>
    <w:rsid w:val="004C7511"/>
    <w:rsid w:val="004C76D0"/>
    <w:rsid w:val="004C783F"/>
    <w:rsid w:val="004C7A7E"/>
    <w:rsid w:val="004C7C2C"/>
    <w:rsid w:val="004C7C5F"/>
    <w:rsid w:val="004C7D9E"/>
    <w:rsid w:val="004C7DC9"/>
    <w:rsid w:val="004C7F43"/>
    <w:rsid w:val="004D01A9"/>
    <w:rsid w:val="004D0288"/>
    <w:rsid w:val="004D0728"/>
    <w:rsid w:val="004D0798"/>
    <w:rsid w:val="004D0891"/>
    <w:rsid w:val="004D0AE0"/>
    <w:rsid w:val="004D0CD8"/>
    <w:rsid w:val="004D0DD0"/>
    <w:rsid w:val="004D11B3"/>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29E"/>
    <w:rsid w:val="004D43A0"/>
    <w:rsid w:val="004D4733"/>
    <w:rsid w:val="004D47E3"/>
    <w:rsid w:val="004D4AD5"/>
    <w:rsid w:val="004D4D13"/>
    <w:rsid w:val="004D503E"/>
    <w:rsid w:val="004D5244"/>
    <w:rsid w:val="004D52A2"/>
    <w:rsid w:val="004D5342"/>
    <w:rsid w:val="004D552E"/>
    <w:rsid w:val="004D555D"/>
    <w:rsid w:val="004D5670"/>
    <w:rsid w:val="004D5913"/>
    <w:rsid w:val="004D5ABA"/>
    <w:rsid w:val="004D5B77"/>
    <w:rsid w:val="004D5C53"/>
    <w:rsid w:val="004D5EF0"/>
    <w:rsid w:val="004D6207"/>
    <w:rsid w:val="004D62F2"/>
    <w:rsid w:val="004D6321"/>
    <w:rsid w:val="004D655E"/>
    <w:rsid w:val="004D674E"/>
    <w:rsid w:val="004D68FC"/>
    <w:rsid w:val="004D6B9C"/>
    <w:rsid w:val="004D6D03"/>
    <w:rsid w:val="004D6D6E"/>
    <w:rsid w:val="004D6F40"/>
    <w:rsid w:val="004D7052"/>
    <w:rsid w:val="004D7263"/>
    <w:rsid w:val="004D74CA"/>
    <w:rsid w:val="004D758C"/>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7EB"/>
    <w:rsid w:val="004E194F"/>
    <w:rsid w:val="004E19A4"/>
    <w:rsid w:val="004E1D34"/>
    <w:rsid w:val="004E1E1A"/>
    <w:rsid w:val="004E1E45"/>
    <w:rsid w:val="004E2087"/>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A7D"/>
    <w:rsid w:val="004E3B01"/>
    <w:rsid w:val="004E3B28"/>
    <w:rsid w:val="004E3E0C"/>
    <w:rsid w:val="004E3E86"/>
    <w:rsid w:val="004E3FB3"/>
    <w:rsid w:val="004E4164"/>
    <w:rsid w:val="004E41B4"/>
    <w:rsid w:val="004E433F"/>
    <w:rsid w:val="004E4367"/>
    <w:rsid w:val="004E4405"/>
    <w:rsid w:val="004E47A3"/>
    <w:rsid w:val="004E4D09"/>
    <w:rsid w:val="004E5018"/>
    <w:rsid w:val="004E5481"/>
    <w:rsid w:val="004E5C53"/>
    <w:rsid w:val="004E5C76"/>
    <w:rsid w:val="004E5F81"/>
    <w:rsid w:val="004E6034"/>
    <w:rsid w:val="004E611D"/>
    <w:rsid w:val="004E63E2"/>
    <w:rsid w:val="004E6444"/>
    <w:rsid w:val="004E6609"/>
    <w:rsid w:val="004E66EE"/>
    <w:rsid w:val="004E6853"/>
    <w:rsid w:val="004E6AA7"/>
    <w:rsid w:val="004E6B2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88"/>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CF"/>
    <w:rsid w:val="004F25D6"/>
    <w:rsid w:val="004F2BAF"/>
    <w:rsid w:val="004F2FA7"/>
    <w:rsid w:val="004F347D"/>
    <w:rsid w:val="004F34F4"/>
    <w:rsid w:val="004F36AE"/>
    <w:rsid w:val="004F3990"/>
    <w:rsid w:val="004F3AE8"/>
    <w:rsid w:val="004F3CDB"/>
    <w:rsid w:val="004F3D12"/>
    <w:rsid w:val="004F3DEE"/>
    <w:rsid w:val="004F3E47"/>
    <w:rsid w:val="004F3EB9"/>
    <w:rsid w:val="004F4073"/>
    <w:rsid w:val="004F43BC"/>
    <w:rsid w:val="004F43D6"/>
    <w:rsid w:val="004F465E"/>
    <w:rsid w:val="004F47E6"/>
    <w:rsid w:val="004F4889"/>
    <w:rsid w:val="004F4A5C"/>
    <w:rsid w:val="004F4B52"/>
    <w:rsid w:val="004F4C35"/>
    <w:rsid w:val="004F50D9"/>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5"/>
    <w:rsid w:val="004F709C"/>
    <w:rsid w:val="004F7595"/>
    <w:rsid w:val="004F7687"/>
    <w:rsid w:val="004F7915"/>
    <w:rsid w:val="004F7936"/>
    <w:rsid w:val="004F7AD6"/>
    <w:rsid w:val="004F7CFC"/>
    <w:rsid w:val="004F7E86"/>
    <w:rsid w:val="004F7F23"/>
    <w:rsid w:val="005005D5"/>
    <w:rsid w:val="005007F2"/>
    <w:rsid w:val="00500BF8"/>
    <w:rsid w:val="00500D51"/>
    <w:rsid w:val="00500D69"/>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C98"/>
    <w:rsid w:val="00503D15"/>
    <w:rsid w:val="00503DC0"/>
    <w:rsid w:val="00503F0D"/>
    <w:rsid w:val="00504098"/>
    <w:rsid w:val="005040B4"/>
    <w:rsid w:val="00504354"/>
    <w:rsid w:val="00504478"/>
    <w:rsid w:val="0050447D"/>
    <w:rsid w:val="005045C9"/>
    <w:rsid w:val="0050471C"/>
    <w:rsid w:val="0050494E"/>
    <w:rsid w:val="00504C6F"/>
    <w:rsid w:val="00504CD3"/>
    <w:rsid w:val="00505006"/>
    <w:rsid w:val="00505014"/>
    <w:rsid w:val="005051BD"/>
    <w:rsid w:val="005051F1"/>
    <w:rsid w:val="005053DC"/>
    <w:rsid w:val="005054A1"/>
    <w:rsid w:val="00505632"/>
    <w:rsid w:val="00505750"/>
    <w:rsid w:val="0050594E"/>
    <w:rsid w:val="00505A04"/>
    <w:rsid w:val="00505AA9"/>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05"/>
    <w:rsid w:val="00507C31"/>
    <w:rsid w:val="00510233"/>
    <w:rsid w:val="0051058B"/>
    <w:rsid w:val="00510C74"/>
    <w:rsid w:val="005111E9"/>
    <w:rsid w:val="0051149E"/>
    <w:rsid w:val="0051160C"/>
    <w:rsid w:val="005116AF"/>
    <w:rsid w:val="00511C03"/>
    <w:rsid w:val="00511CEE"/>
    <w:rsid w:val="00511D06"/>
    <w:rsid w:val="005124B0"/>
    <w:rsid w:val="005124C1"/>
    <w:rsid w:val="005124D4"/>
    <w:rsid w:val="00512717"/>
    <w:rsid w:val="005129F5"/>
    <w:rsid w:val="00512B65"/>
    <w:rsid w:val="00512BB1"/>
    <w:rsid w:val="00512C28"/>
    <w:rsid w:val="00512C65"/>
    <w:rsid w:val="0051321D"/>
    <w:rsid w:val="0051329D"/>
    <w:rsid w:val="005132B5"/>
    <w:rsid w:val="005133CF"/>
    <w:rsid w:val="005134B1"/>
    <w:rsid w:val="0051385B"/>
    <w:rsid w:val="00513AFF"/>
    <w:rsid w:val="00513C16"/>
    <w:rsid w:val="00513CA9"/>
    <w:rsid w:val="00513CD1"/>
    <w:rsid w:val="00513ED0"/>
    <w:rsid w:val="00513F91"/>
    <w:rsid w:val="005141C1"/>
    <w:rsid w:val="005144D5"/>
    <w:rsid w:val="005144F0"/>
    <w:rsid w:val="0051452B"/>
    <w:rsid w:val="005145E5"/>
    <w:rsid w:val="00514639"/>
    <w:rsid w:val="005147F4"/>
    <w:rsid w:val="00514A89"/>
    <w:rsid w:val="00514C38"/>
    <w:rsid w:val="00514DE5"/>
    <w:rsid w:val="00514E09"/>
    <w:rsid w:val="005150C2"/>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12"/>
    <w:rsid w:val="00517B45"/>
    <w:rsid w:val="00520171"/>
    <w:rsid w:val="005201EC"/>
    <w:rsid w:val="00520479"/>
    <w:rsid w:val="005206DD"/>
    <w:rsid w:val="00520809"/>
    <w:rsid w:val="00520C11"/>
    <w:rsid w:val="00520DCD"/>
    <w:rsid w:val="00520EF6"/>
    <w:rsid w:val="005210E8"/>
    <w:rsid w:val="0052116E"/>
    <w:rsid w:val="0052147D"/>
    <w:rsid w:val="005215AC"/>
    <w:rsid w:val="00521B25"/>
    <w:rsid w:val="00521BDF"/>
    <w:rsid w:val="00521CA7"/>
    <w:rsid w:val="00521D3B"/>
    <w:rsid w:val="005220BE"/>
    <w:rsid w:val="00522149"/>
    <w:rsid w:val="005226BD"/>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C47"/>
    <w:rsid w:val="00524ED2"/>
    <w:rsid w:val="00524F2A"/>
    <w:rsid w:val="0052506A"/>
    <w:rsid w:val="0052578C"/>
    <w:rsid w:val="0052593A"/>
    <w:rsid w:val="00525A19"/>
    <w:rsid w:val="00525B1D"/>
    <w:rsid w:val="00525C14"/>
    <w:rsid w:val="00525CC0"/>
    <w:rsid w:val="00525DE0"/>
    <w:rsid w:val="00525E66"/>
    <w:rsid w:val="005260A5"/>
    <w:rsid w:val="005260BE"/>
    <w:rsid w:val="00526499"/>
    <w:rsid w:val="005266C5"/>
    <w:rsid w:val="005267EB"/>
    <w:rsid w:val="00526994"/>
    <w:rsid w:val="005269A8"/>
    <w:rsid w:val="0052713A"/>
    <w:rsid w:val="005271B9"/>
    <w:rsid w:val="00527211"/>
    <w:rsid w:val="00527413"/>
    <w:rsid w:val="0052771C"/>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8EC"/>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62A"/>
    <w:rsid w:val="00533842"/>
    <w:rsid w:val="00533A7E"/>
    <w:rsid w:val="00533AA0"/>
    <w:rsid w:val="00533C2F"/>
    <w:rsid w:val="00533F42"/>
    <w:rsid w:val="00533FDF"/>
    <w:rsid w:val="00534253"/>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392"/>
    <w:rsid w:val="00536753"/>
    <w:rsid w:val="00536974"/>
    <w:rsid w:val="005369A9"/>
    <w:rsid w:val="005369EA"/>
    <w:rsid w:val="00536B17"/>
    <w:rsid w:val="00536B45"/>
    <w:rsid w:val="00536F90"/>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6B3"/>
    <w:rsid w:val="00541B4A"/>
    <w:rsid w:val="00541B76"/>
    <w:rsid w:val="00541CDE"/>
    <w:rsid w:val="00541FFA"/>
    <w:rsid w:val="005420EB"/>
    <w:rsid w:val="00542152"/>
    <w:rsid w:val="00542245"/>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843"/>
    <w:rsid w:val="0054492D"/>
    <w:rsid w:val="00544959"/>
    <w:rsid w:val="00544D51"/>
    <w:rsid w:val="00544DDA"/>
    <w:rsid w:val="005450E5"/>
    <w:rsid w:val="0054518D"/>
    <w:rsid w:val="005451AA"/>
    <w:rsid w:val="00545705"/>
    <w:rsid w:val="005457D8"/>
    <w:rsid w:val="00545866"/>
    <w:rsid w:val="005459FE"/>
    <w:rsid w:val="00545E3D"/>
    <w:rsid w:val="00545FBC"/>
    <w:rsid w:val="00546486"/>
    <w:rsid w:val="00546509"/>
    <w:rsid w:val="0054679A"/>
    <w:rsid w:val="00546905"/>
    <w:rsid w:val="00546D87"/>
    <w:rsid w:val="005470DA"/>
    <w:rsid w:val="00547154"/>
    <w:rsid w:val="0054716C"/>
    <w:rsid w:val="0054719D"/>
    <w:rsid w:val="005473C0"/>
    <w:rsid w:val="00547443"/>
    <w:rsid w:val="005474FB"/>
    <w:rsid w:val="005477B2"/>
    <w:rsid w:val="005479EC"/>
    <w:rsid w:val="00547CB2"/>
    <w:rsid w:val="00547DDA"/>
    <w:rsid w:val="00547DDD"/>
    <w:rsid w:val="00547E71"/>
    <w:rsid w:val="00547E8E"/>
    <w:rsid w:val="00547E97"/>
    <w:rsid w:val="00547EBC"/>
    <w:rsid w:val="00547EF2"/>
    <w:rsid w:val="005502A1"/>
    <w:rsid w:val="0055032C"/>
    <w:rsid w:val="00550347"/>
    <w:rsid w:val="0055038B"/>
    <w:rsid w:val="00550422"/>
    <w:rsid w:val="00550738"/>
    <w:rsid w:val="00550AD5"/>
    <w:rsid w:val="00550B5D"/>
    <w:rsid w:val="00550BC6"/>
    <w:rsid w:val="00550C05"/>
    <w:rsid w:val="00550E1B"/>
    <w:rsid w:val="00550F85"/>
    <w:rsid w:val="00551020"/>
    <w:rsid w:val="00551342"/>
    <w:rsid w:val="0055141E"/>
    <w:rsid w:val="0055143F"/>
    <w:rsid w:val="0055166A"/>
    <w:rsid w:val="0055169D"/>
    <w:rsid w:val="005516B5"/>
    <w:rsid w:val="00551963"/>
    <w:rsid w:val="00551A61"/>
    <w:rsid w:val="00551A78"/>
    <w:rsid w:val="00551D8A"/>
    <w:rsid w:val="00551E48"/>
    <w:rsid w:val="00551E70"/>
    <w:rsid w:val="00551FBC"/>
    <w:rsid w:val="0055203F"/>
    <w:rsid w:val="0055209A"/>
    <w:rsid w:val="005522DF"/>
    <w:rsid w:val="00552312"/>
    <w:rsid w:val="0055238C"/>
    <w:rsid w:val="00552428"/>
    <w:rsid w:val="005527A2"/>
    <w:rsid w:val="0055280F"/>
    <w:rsid w:val="00552A18"/>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57F16"/>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0FE"/>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7F3"/>
    <w:rsid w:val="00564838"/>
    <w:rsid w:val="00564913"/>
    <w:rsid w:val="00565147"/>
    <w:rsid w:val="005653B0"/>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651"/>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6B5"/>
    <w:rsid w:val="00570891"/>
    <w:rsid w:val="00570922"/>
    <w:rsid w:val="00570B1F"/>
    <w:rsid w:val="00570BCF"/>
    <w:rsid w:val="00570E39"/>
    <w:rsid w:val="00570E5D"/>
    <w:rsid w:val="00570E81"/>
    <w:rsid w:val="00570EBA"/>
    <w:rsid w:val="00571276"/>
    <w:rsid w:val="0057142C"/>
    <w:rsid w:val="00571790"/>
    <w:rsid w:val="005719C0"/>
    <w:rsid w:val="00571A2E"/>
    <w:rsid w:val="00571A9D"/>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21"/>
    <w:rsid w:val="00575871"/>
    <w:rsid w:val="00575907"/>
    <w:rsid w:val="00575BB7"/>
    <w:rsid w:val="00575D28"/>
    <w:rsid w:val="00575F18"/>
    <w:rsid w:val="00576174"/>
    <w:rsid w:val="00576A5D"/>
    <w:rsid w:val="00576B2E"/>
    <w:rsid w:val="00576B92"/>
    <w:rsid w:val="00576CD3"/>
    <w:rsid w:val="00576CFE"/>
    <w:rsid w:val="00576E85"/>
    <w:rsid w:val="005772B4"/>
    <w:rsid w:val="005774ED"/>
    <w:rsid w:val="0057750B"/>
    <w:rsid w:val="0057785B"/>
    <w:rsid w:val="00577A3B"/>
    <w:rsid w:val="00577B2B"/>
    <w:rsid w:val="00577BB0"/>
    <w:rsid w:val="00577CF8"/>
    <w:rsid w:val="00577DF2"/>
    <w:rsid w:val="00577EAE"/>
    <w:rsid w:val="00577F6A"/>
    <w:rsid w:val="00577FC3"/>
    <w:rsid w:val="00577FC7"/>
    <w:rsid w:val="005800FA"/>
    <w:rsid w:val="00580388"/>
    <w:rsid w:val="005803AA"/>
    <w:rsid w:val="00580524"/>
    <w:rsid w:val="00580624"/>
    <w:rsid w:val="00580724"/>
    <w:rsid w:val="005807C7"/>
    <w:rsid w:val="00580851"/>
    <w:rsid w:val="005809BB"/>
    <w:rsid w:val="00580A9D"/>
    <w:rsid w:val="00580EC2"/>
    <w:rsid w:val="00580EFF"/>
    <w:rsid w:val="005812F3"/>
    <w:rsid w:val="00581360"/>
    <w:rsid w:val="00581544"/>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9E6"/>
    <w:rsid w:val="00582B19"/>
    <w:rsid w:val="00582BAD"/>
    <w:rsid w:val="005831AB"/>
    <w:rsid w:val="00583306"/>
    <w:rsid w:val="0058351B"/>
    <w:rsid w:val="00583550"/>
    <w:rsid w:val="00583771"/>
    <w:rsid w:val="0058386C"/>
    <w:rsid w:val="00583975"/>
    <w:rsid w:val="005839CD"/>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064"/>
    <w:rsid w:val="0059110C"/>
    <w:rsid w:val="0059114A"/>
    <w:rsid w:val="0059125A"/>
    <w:rsid w:val="0059135C"/>
    <w:rsid w:val="00591607"/>
    <w:rsid w:val="005916AF"/>
    <w:rsid w:val="005917CF"/>
    <w:rsid w:val="00591C26"/>
    <w:rsid w:val="00591C9D"/>
    <w:rsid w:val="00591EE6"/>
    <w:rsid w:val="00592045"/>
    <w:rsid w:val="00592114"/>
    <w:rsid w:val="00592138"/>
    <w:rsid w:val="00592179"/>
    <w:rsid w:val="0059224F"/>
    <w:rsid w:val="00592398"/>
    <w:rsid w:val="00592487"/>
    <w:rsid w:val="0059285F"/>
    <w:rsid w:val="005928D8"/>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C26"/>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DDB"/>
    <w:rsid w:val="00596EB4"/>
    <w:rsid w:val="00596EDC"/>
    <w:rsid w:val="00596FCE"/>
    <w:rsid w:val="00597185"/>
    <w:rsid w:val="00597417"/>
    <w:rsid w:val="00597422"/>
    <w:rsid w:val="005974A0"/>
    <w:rsid w:val="0059764C"/>
    <w:rsid w:val="005976A1"/>
    <w:rsid w:val="005976BE"/>
    <w:rsid w:val="005976C3"/>
    <w:rsid w:val="005977DF"/>
    <w:rsid w:val="0059792E"/>
    <w:rsid w:val="00597BE1"/>
    <w:rsid w:val="005A0534"/>
    <w:rsid w:val="005A0808"/>
    <w:rsid w:val="005A0971"/>
    <w:rsid w:val="005A0A1B"/>
    <w:rsid w:val="005A0A78"/>
    <w:rsid w:val="005A0B20"/>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5C9"/>
    <w:rsid w:val="005A2643"/>
    <w:rsid w:val="005A29F8"/>
    <w:rsid w:val="005A2C42"/>
    <w:rsid w:val="005A2C6A"/>
    <w:rsid w:val="005A2FC7"/>
    <w:rsid w:val="005A3233"/>
    <w:rsid w:val="005A3259"/>
    <w:rsid w:val="005A33D5"/>
    <w:rsid w:val="005A36F9"/>
    <w:rsid w:val="005A391C"/>
    <w:rsid w:val="005A397A"/>
    <w:rsid w:val="005A3B5C"/>
    <w:rsid w:val="005A3B9E"/>
    <w:rsid w:val="005A3CA0"/>
    <w:rsid w:val="005A412B"/>
    <w:rsid w:val="005A447C"/>
    <w:rsid w:val="005A44C9"/>
    <w:rsid w:val="005A46EF"/>
    <w:rsid w:val="005A480B"/>
    <w:rsid w:val="005A480D"/>
    <w:rsid w:val="005A4831"/>
    <w:rsid w:val="005A4A6C"/>
    <w:rsid w:val="005A4ADD"/>
    <w:rsid w:val="005A501B"/>
    <w:rsid w:val="005A5067"/>
    <w:rsid w:val="005A51CB"/>
    <w:rsid w:val="005A52BF"/>
    <w:rsid w:val="005A5352"/>
    <w:rsid w:val="005A5447"/>
    <w:rsid w:val="005A564E"/>
    <w:rsid w:val="005A5795"/>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A992D"/>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B01"/>
    <w:rsid w:val="005B5C22"/>
    <w:rsid w:val="005B6162"/>
    <w:rsid w:val="005B6559"/>
    <w:rsid w:val="005B6796"/>
    <w:rsid w:val="005B67F7"/>
    <w:rsid w:val="005B68FB"/>
    <w:rsid w:val="005B697A"/>
    <w:rsid w:val="005B6D1E"/>
    <w:rsid w:val="005B706E"/>
    <w:rsid w:val="005B71A7"/>
    <w:rsid w:val="005B72AD"/>
    <w:rsid w:val="005B73BF"/>
    <w:rsid w:val="005B7448"/>
    <w:rsid w:val="005B755E"/>
    <w:rsid w:val="005B7717"/>
    <w:rsid w:val="005B7A9D"/>
    <w:rsid w:val="005B7BB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66"/>
    <w:rsid w:val="005C21D6"/>
    <w:rsid w:val="005C222A"/>
    <w:rsid w:val="005C25E9"/>
    <w:rsid w:val="005C27EB"/>
    <w:rsid w:val="005C2869"/>
    <w:rsid w:val="005C2A7F"/>
    <w:rsid w:val="005C2C71"/>
    <w:rsid w:val="005C2D66"/>
    <w:rsid w:val="005C2E27"/>
    <w:rsid w:val="005C2FD6"/>
    <w:rsid w:val="005C34A1"/>
    <w:rsid w:val="005C34C9"/>
    <w:rsid w:val="005C364A"/>
    <w:rsid w:val="005C3655"/>
    <w:rsid w:val="005C3858"/>
    <w:rsid w:val="005C3A33"/>
    <w:rsid w:val="005C3A9B"/>
    <w:rsid w:val="005C3C1B"/>
    <w:rsid w:val="005C3D34"/>
    <w:rsid w:val="005C3E9C"/>
    <w:rsid w:val="005C3F1B"/>
    <w:rsid w:val="005C40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931"/>
    <w:rsid w:val="005C7E52"/>
    <w:rsid w:val="005D00F8"/>
    <w:rsid w:val="005D0150"/>
    <w:rsid w:val="005D02E8"/>
    <w:rsid w:val="005D0734"/>
    <w:rsid w:val="005D080C"/>
    <w:rsid w:val="005D0836"/>
    <w:rsid w:val="005D08CC"/>
    <w:rsid w:val="005D0DE9"/>
    <w:rsid w:val="005D0FCA"/>
    <w:rsid w:val="005D1102"/>
    <w:rsid w:val="005D1413"/>
    <w:rsid w:val="005D1816"/>
    <w:rsid w:val="005D1891"/>
    <w:rsid w:val="005D19CC"/>
    <w:rsid w:val="005D1B9A"/>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3C1"/>
    <w:rsid w:val="005D54E1"/>
    <w:rsid w:val="005D56A0"/>
    <w:rsid w:val="005D57E6"/>
    <w:rsid w:val="005D59DF"/>
    <w:rsid w:val="005D5E14"/>
    <w:rsid w:val="005D5ED0"/>
    <w:rsid w:val="005D5ED8"/>
    <w:rsid w:val="005D5F97"/>
    <w:rsid w:val="005D5FC6"/>
    <w:rsid w:val="005D60F5"/>
    <w:rsid w:val="005D6887"/>
    <w:rsid w:val="005D6C19"/>
    <w:rsid w:val="005D6C62"/>
    <w:rsid w:val="005D6D1C"/>
    <w:rsid w:val="005D6E94"/>
    <w:rsid w:val="005D6FDB"/>
    <w:rsid w:val="005D709C"/>
    <w:rsid w:val="005D7291"/>
    <w:rsid w:val="005D72CB"/>
    <w:rsid w:val="005D7385"/>
    <w:rsid w:val="005D73A7"/>
    <w:rsid w:val="005D7437"/>
    <w:rsid w:val="005D7868"/>
    <w:rsid w:val="005D7874"/>
    <w:rsid w:val="005D7897"/>
    <w:rsid w:val="005D7EE2"/>
    <w:rsid w:val="005D7F8E"/>
    <w:rsid w:val="005D7FE0"/>
    <w:rsid w:val="005E03CA"/>
    <w:rsid w:val="005E0458"/>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1A6"/>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F0"/>
    <w:rsid w:val="005E37B0"/>
    <w:rsid w:val="005E3DAB"/>
    <w:rsid w:val="005E3DC0"/>
    <w:rsid w:val="005E405B"/>
    <w:rsid w:val="005E4222"/>
    <w:rsid w:val="005E4299"/>
    <w:rsid w:val="005E44B7"/>
    <w:rsid w:val="005E44EE"/>
    <w:rsid w:val="005E4648"/>
    <w:rsid w:val="005E475A"/>
    <w:rsid w:val="005E48A3"/>
    <w:rsid w:val="005E48DC"/>
    <w:rsid w:val="005E493C"/>
    <w:rsid w:val="005E4BE6"/>
    <w:rsid w:val="005E4C34"/>
    <w:rsid w:val="005E4E0B"/>
    <w:rsid w:val="005E56CD"/>
    <w:rsid w:val="005E5875"/>
    <w:rsid w:val="005E5A0E"/>
    <w:rsid w:val="005E5A8F"/>
    <w:rsid w:val="005E5B08"/>
    <w:rsid w:val="005E5BF1"/>
    <w:rsid w:val="005E5E06"/>
    <w:rsid w:val="005E6264"/>
    <w:rsid w:val="005E6856"/>
    <w:rsid w:val="005E6931"/>
    <w:rsid w:val="005E7200"/>
    <w:rsid w:val="005E724B"/>
    <w:rsid w:val="005E72D0"/>
    <w:rsid w:val="005E7304"/>
    <w:rsid w:val="005E777E"/>
    <w:rsid w:val="005E7978"/>
    <w:rsid w:val="005E7B44"/>
    <w:rsid w:val="005E7CDB"/>
    <w:rsid w:val="005E7DA9"/>
    <w:rsid w:val="005E7F1B"/>
    <w:rsid w:val="005F009B"/>
    <w:rsid w:val="005F00D1"/>
    <w:rsid w:val="005F02CE"/>
    <w:rsid w:val="005F04A6"/>
    <w:rsid w:val="005F0A46"/>
    <w:rsid w:val="005F0CE0"/>
    <w:rsid w:val="005F0CEF"/>
    <w:rsid w:val="005F0D2A"/>
    <w:rsid w:val="005F0D95"/>
    <w:rsid w:val="005F1152"/>
    <w:rsid w:val="005F11D7"/>
    <w:rsid w:val="005F11DE"/>
    <w:rsid w:val="005F153E"/>
    <w:rsid w:val="005F177F"/>
    <w:rsid w:val="005F18A7"/>
    <w:rsid w:val="005F1B3A"/>
    <w:rsid w:val="005F1DAD"/>
    <w:rsid w:val="005F1DD5"/>
    <w:rsid w:val="005F1E47"/>
    <w:rsid w:val="005F2263"/>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D8A"/>
    <w:rsid w:val="005F5EDB"/>
    <w:rsid w:val="005F61EC"/>
    <w:rsid w:val="005F6294"/>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5D7"/>
    <w:rsid w:val="00601633"/>
    <w:rsid w:val="006019DC"/>
    <w:rsid w:val="00601C64"/>
    <w:rsid w:val="00601D05"/>
    <w:rsid w:val="00601E4D"/>
    <w:rsid w:val="00601ED2"/>
    <w:rsid w:val="00602090"/>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917"/>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BB1"/>
    <w:rsid w:val="00604CE7"/>
    <w:rsid w:val="00604D2C"/>
    <w:rsid w:val="00604D5E"/>
    <w:rsid w:val="00604DCE"/>
    <w:rsid w:val="00604DE4"/>
    <w:rsid w:val="0060539A"/>
    <w:rsid w:val="00605999"/>
    <w:rsid w:val="00605D87"/>
    <w:rsid w:val="00605FEA"/>
    <w:rsid w:val="00606071"/>
    <w:rsid w:val="00606101"/>
    <w:rsid w:val="0060617C"/>
    <w:rsid w:val="006067D0"/>
    <w:rsid w:val="00606926"/>
    <w:rsid w:val="00606A2C"/>
    <w:rsid w:val="00606B9A"/>
    <w:rsid w:val="00607214"/>
    <w:rsid w:val="00607218"/>
    <w:rsid w:val="00607601"/>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3E3"/>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D1D"/>
    <w:rsid w:val="00611DB6"/>
    <w:rsid w:val="0061216F"/>
    <w:rsid w:val="0061219D"/>
    <w:rsid w:val="006125BA"/>
    <w:rsid w:val="0061262B"/>
    <w:rsid w:val="00612805"/>
    <w:rsid w:val="00612C96"/>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3D6"/>
    <w:rsid w:val="00617A94"/>
    <w:rsid w:val="00617B3D"/>
    <w:rsid w:val="00617BE0"/>
    <w:rsid w:val="00617E0D"/>
    <w:rsid w:val="006203C1"/>
    <w:rsid w:val="0062055F"/>
    <w:rsid w:val="0062066C"/>
    <w:rsid w:val="0062076B"/>
    <w:rsid w:val="006208DD"/>
    <w:rsid w:val="00620918"/>
    <w:rsid w:val="00620B1C"/>
    <w:rsid w:val="00620B3A"/>
    <w:rsid w:val="00620B3F"/>
    <w:rsid w:val="00620E86"/>
    <w:rsid w:val="00620F8D"/>
    <w:rsid w:val="00621040"/>
    <w:rsid w:val="00621143"/>
    <w:rsid w:val="006211F8"/>
    <w:rsid w:val="00621779"/>
    <w:rsid w:val="006218F2"/>
    <w:rsid w:val="00621981"/>
    <w:rsid w:val="006219A0"/>
    <w:rsid w:val="006219F9"/>
    <w:rsid w:val="00621BC8"/>
    <w:rsid w:val="00621C09"/>
    <w:rsid w:val="00621C96"/>
    <w:rsid w:val="00621E76"/>
    <w:rsid w:val="00621E8E"/>
    <w:rsid w:val="00621FDB"/>
    <w:rsid w:val="00622021"/>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C6B"/>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258"/>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6F"/>
    <w:rsid w:val="006336D0"/>
    <w:rsid w:val="006339C2"/>
    <w:rsid w:val="006339F6"/>
    <w:rsid w:val="00633A4F"/>
    <w:rsid w:val="00633ADF"/>
    <w:rsid w:val="00633D11"/>
    <w:rsid w:val="00633D1A"/>
    <w:rsid w:val="00633E7D"/>
    <w:rsid w:val="00633EB3"/>
    <w:rsid w:val="00633EB4"/>
    <w:rsid w:val="00633F34"/>
    <w:rsid w:val="00634171"/>
    <w:rsid w:val="0063418C"/>
    <w:rsid w:val="006341DB"/>
    <w:rsid w:val="00634869"/>
    <w:rsid w:val="0063498A"/>
    <w:rsid w:val="006349BE"/>
    <w:rsid w:val="00634A67"/>
    <w:rsid w:val="00634CDE"/>
    <w:rsid w:val="00634D04"/>
    <w:rsid w:val="00634E19"/>
    <w:rsid w:val="00635107"/>
    <w:rsid w:val="00635284"/>
    <w:rsid w:val="006353A5"/>
    <w:rsid w:val="006354C1"/>
    <w:rsid w:val="00635C54"/>
    <w:rsid w:val="00635D7A"/>
    <w:rsid w:val="00635E0D"/>
    <w:rsid w:val="00635F51"/>
    <w:rsid w:val="00635FF1"/>
    <w:rsid w:val="00636109"/>
    <w:rsid w:val="00636235"/>
    <w:rsid w:val="006363D4"/>
    <w:rsid w:val="00636559"/>
    <w:rsid w:val="006365C2"/>
    <w:rsid w:val="006367B7"/>
    <w:rsid w:val="006369FD"/>
    <w:rsid w:val="00636BC9"/>
    <w:rsid w:val="00636F26"/>
    <w:rsid w:val="00636FB3"/>
    <w:rsid w:val="006370B3"/>
    <w:rsid w:val="0063733E"/>
    <w:rsid w:val="006373B2"/>
    <w:rsid w:val="006374F9"/>
    <w:rsid w:val="00637586"/>
    <w:rsid w:val="0063766F"/>
    <w:rsid w:val="00637725"/>
    <w:rsid w:val="00637926"/>
    <w:rsid w:val="0064003E"/>
    <w:rsid w:val="00640581"/>
    <w:rsid w:val="00640606"/>
    <w:rsid w:val="0064062A"/>
    <w:rsid w:val="006407B5"/>
    <w:rsid w:val="00640A1F"/>
    <w:rsid w:val="00640B55"/>
    <w:rsid w:val="00640C9C"/>
    <w:rsid w:val="00640D19"/>
    <w:rsid w:val="00640DC5"/>
    <w:rsid w:val="00641021"/>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29"/>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A3A"/>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6B4"/>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4F"/>
    <w:rsid w:val="0065437B"/>
    <w:rsid w:val="00654398"/>
    <w:rsid w:val="00654655"/>
    <w:rsid w:val="00654767"/>
    <w:rsid w:val="006547A7"/>
    <w:rsid w:val="006547C2"/>
    <w:rsid w:val="00654B2F"/>
    <w:rsid w:val="00654C01"/>
    <w:rsid w:val="00654E97"/>
    <w:rsid w:val="006550A3"/>
    <w:rsid w:val="006553E9"/>
    <w:rsid w:val="00655564"/>
    <w:rsid w:val="006555D8"/>
    <w:rsid w:val="006555F5"/>
    <w:rsid w:val="00655758"/>
    <w:rsid w:val="006558B6"/>
    <w:rsid w:val="006558CE"/>
    <w:rsid w:val="00655D4C"/>
    <w:rsid w:val="00655FE5"/>
    <w:rsid w:val="0065600F"/>
    <w:rsid w:val="006560D9"/>
    <w:rsid w:val="00656207"/>
    <w:rsid w:val="00656246"/>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0F6"/>
    <w:rsid w:val="006612E4"/>
    <w:rsid w:val="006614A6"/>
    <w:rsid w:val="0066192C"/>
    <w:rsid w:val="00661C2C"/>
    <w:rsid w:val="00661E84"/>
    <w:rsid w:val="0066220C"/>
    <w:rsid w:val="0066235D"/>
    <w:rsid w:val="00662489"/>
    <w:rsid w:val="00662594"/>
    <w:rsid w:val="00662850"/>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49D"/>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02"/>
    <w:rsid w:val="006707D8"/>
    <w:rsid w:val="00670866"/>
    <w:rsid w:val="00670C76"/>
    <w:rsid w:val="00671387"/>
    <w:rsid w:val="006713C5"/>
    <w:rsid w:val="00671529"/>
    <w:rsid w:val="00671627"/>
    <w:rsid w:val="00671773"/>
    <w:rsid w:val="006717B5"/>
    <w:rsid w:val="006717DC"/>
    <w:rsid w:val="006719DA"/>
    <w:rsid w:val="00671BEA"/>
    <w:rsid w:val="00671E39"/>
    <w:rsid w:val="00671F2F"/>
    <w:rsid w:val="00671FFD"/>
    <w:rsid w:val="00672257"/>
    <w:rsid w:val="006723FB"/>
    <w:rsid w:val="00672641"/>
    <w:rsid w:val="006726B5"/>
    <w:rsid w:val="0067296E"/>
    <w:rsid w:val="0067299C"/>
    <w:rsid w:val="006729CE"/>
    <w:rsid w:val="00672B0B"/>
    <w:rsid w:val="00672BBD"/>
    <w:rsid w:val="00672CBB"/>
    <w:rsid w:val="00672D52"/>
    <w:rsid w:val="00672EFD"/>
    <w:rsid w:val="0067316F"/>
    <w:rsid w:val="00673212"/>
    <w:rsid w:val="006733F6"/>
    <w:rsid w:val="0067353D"/>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988"/>
    <w:rsid w:val="00684BC6"/>
    <w:rsid w:val="00684BFB"/>
    <w:rsid w:val="00684C6F"/>
    <w:rsid w:val="00684DA7"/>
    <w:rsid w:val="00684F76"/>
    <w:rsid w:val="006857DE"/>
    <w:rsid w:val="00685DB7"/>
    <w:rsid w:val="00685E32"/>
    <w:rsid w:val="006861AC"/>
    <w:rsid w:val="0068637E"/>
    <w:rsid w:val="0068643A"/>
    <w:rsid w:val="00686586"/>
    <w:rsid w:val="006866C3"/>
    <w:rsid w:val="0068694E"/>
    <w:rsid w:val="00686A67"/>
    <w:rsid w:val="00686D99"/>
    <w:rsid w:val="00686E33"/>
    <w:rsid w:val="00687280"/>
    <w:rsid w:val="00687807"/>
    <w:rsid w:val="0068781B"/>
    <w:rsid w:val="006878AF"/>
    <w:rsid w:val="006879D8"/>
    <w:rsid w:val="00687A4E"/>
    <w:rsid w:val="00687B4B"/>
    <w:rsid w:val="00687BCD"/>
    <w:rsid w:val="00687C36"/>
    <w:rsid w:val="00687C70"/>
    <w:rsid w:val="00687E0B"/>
    <w:rsid w:val="00690319"/>
    <w:rsid w:val="006903EF"/>
    <w:rsid w:val="00690583"/>
    <w:rsid w:val="006906A2"/>
    <w:rsid w:val="00690716"/>
    <w:rsid w:val="00690750"/>
    <w:rsid w:val="00690908"/>
    <w:rsid w:val="006909B9"/>
    <w:rsid w:val="00690CAB"/>
    <w:rsid w:val="00690D20"/>
    <w:rsid w:val="00690EBE"/>
    <w:rsid w:val="00690F53"/>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2DD"/>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6EA5"/>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33A"/>
    <w:rsid w:val="006A244C"/>
    <w:rsid w:val="006A25F7"/>
    <w:rsid w:val="006A2931"/>
    <w:rsid w:val="006A2BCA"/>
    <w:rsid w:val="006A2CA3"/>
    <w:rsid w:val="006A2D4F"/>
    <w:rsid w:val="006A2ECF"/>
    <w:rsid w:val="006A2FCA"/>
    <w:rsid w:val="006A2FDC"/>
    <w:rsid w:val="006A311B"/>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938"/>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AE9"/>
    <w:rsid w:val="006B6D19"/>
    <w:rsid w:val="006B6DB1"/>
    <w:rsid w:val="006B6DD9"/>
    <w:rsid w:val="006B712D"/>
    <w:rsid w:val="006B71C2"/>
    <w:rsid w:val="006B72B0"/>
    <w:rsid w:val="006B74DA"/>
    <w:rsid w:val="006B75B5"/>
    <w:rsid w:val="006B7915"/>
    <w:rsid w:val="006B7952"/>
    <w:rsid w:val="006B7E3E"/>
    <w:rsid w:val="006B7ED2"/>
    <w:rsid w:val="006B7F84"/>
    <w:rsid w:val="006BC929"/>
    <w:rsid w:val="006C0019"/>
    <w:rsid w:val="006C00F7"/>
    <w:rsid w:val="006C04A9"/>
    <w:rsid w:val="006C0589"/>
    <w:rsid w:val="006C06B8"/>
    <w:rsid w:val="006C0942"/>
    <w:rsid w:val="006C0B85"/>
    <w:rsid w:val="006C0C14"/>
    <w:rsid w:val="006C1120"/>
    <w:rsid w:val="006C123D"/>
    <w:rsid w:val="006C1344"/>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6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6ED8"/>
    <w:rsid w:val="006C6F1E"/>
    <w:rsid w:val="006C70AD"/>
    <w:rsid w:val="006C71F7"/>
    <w:rsid w:val="006C7317"/>
    <w:rsid w:val="006C73D2"/>
    <w:rsid w:val="006C7492"/>
    <w:rsid w:val="006C769B"/>
    <w:rsid w:val="006C7749"/>
    <w:rsid w:val="006C7758"/>
    <w:rsid w:val="006C77F2"/>
    <w:rsid w:val="006C79B0"/>
    <w:rsid w:val="006C7A27"/>
    <w:rsid w:val="006C7A46"/>
    <w:rsid w:val="006C7ADC"/>
    <w:rsid w:val="006C7E70"/>
    <w:rsid w:val="006CB2F5"/>
    <w:rsid w:val="006D0198"/>
    <w:rsid w:val="006D02E1"/>
    <w:rsid w:val="006D0681"/>
    <w:rsid w:val="006D0717"/>
    <w:rsid w:val="006D0726"/>
    <w:rsid w:val="006D0D54"/>
    <w:rsid w:val="006D0F4D"/>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5F4"/>
    <w:rsid w:val="006D37B3"/>
    <w:rsid w:val="006D37FE"/>
    <w:rsid w:val="006D3C05"/>
    <w:rsid w:val="006D3DC8"/>
    <w:rsid w:val="006D3F70"/>
    <w:rsid w:val="006D3FC5"/>
    <w:rsid w:val="006D41AB"/>
    <w:rsid w:val="006D4501"/>
    <w:rsid w:val="006D4544"/>
    <w:rsid w:val="006D4653"/>
    <w:rsid w:val="006D475A"/>
    <w:rsid w:val="006D47C0"/>
    <w:rsid w:val="006D47D5"/>
    <w:rsid w:val="006D4802"/>
    <w:rsid w:val="006D4959"/>
    <w:rsid w:val="006D4AB8"/>
    <w:rsid w:val="006D4C5A"/>
    <w:rsid w:val="006D4DA1"/>
    <w:rsid w:val="006D4F4F"/>
    <w:rsid w:val="006D4F8D"/>
    <w:rsid w:val="006D4FCD"/>
    <w:rsid w:val="006D5021"/>
    <w:rsid w:val="006D511C"/>
    <w:rsid w:val="006D5187"/>
    <w:rsid w:val="006D550D"/>
    <w:rsid w:val="006D564C"/>
    <w:rsid w:val="006D565F"/>
    <w:rsid w:val="006D5C4B"/>
    <w:rsid w:val="006D6245"/>
    <w:rsid w:val="006D633D"/>
    <w:rsid w:val="006D649C"/>
    <w:rsid w:val="006D6612"/>
    <w:rsid w:val="006D662F"/>
    <w:rsid w:val="006D66C1"/>
    <w:rsid w:val="006D6719"/>
    <w:rsid w:val="006D691F"/>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06C"/>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5EA"/>
    <w:rsid w:val="006E3971"/>
    <w:rsid w:val="006E3A12"/>
    <w:rsid w:val="006E3A6D"/>
    <w:rsid w:val="006E3AC4"/>
    <w:rsid w:val="006E3B5C"/>
    <w:rsid w:val="006E3D67"/>
    <w:rsid w:val="006E3FB0"/>
    <w:rsid w:val="006E44F1"/>
    <w:rsid w:val="006E453C"/>
    <w:rsid w:val="006E465D"/>
    <w:rsid w:val="006E470E"/>
    <w:rsid w:val="006E476A"/>
    <w:rsid w:val="006E493D"/>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5F1D"/>
    <w:rsid w:val="006E60BC"/>
    <w:rsid w:val="006E6121"/>
    <w:rsid w:val="006E619F"/>
    <w:rsid w:val="006E620B"/>
    <w:rsid w:val="006E68FE"/>
    <w:rsid w:val="006E6A73"/>
    <w:rsid w:val="006E6E44"/>
    <w:rsid w:val="006E7104"/>
    <w:rsid w:val="006E7150"/>
    <w:rsid w:val="006E7198"/>
    <w:rsid w:val="006E75ED"/>
    <w:rsid w:val="006E7719"/>
    <w:rsid w:val="006E7809"/>
    <w:rsid w:val="006E789F"/>
    <w:rsid w:val="006E7918"/>
    <w:rsid w:val="006E7967"/>
    <w:rsid w:val="006E7A74"/>
    <w:rsid w:val="006E7A86"/>
    <w:rsid w:val="006E7C4E"/>
    <w:rsid w:val="006E7E3D"/>
    <w:rsid w:val="006F0082"/>
    <w:rsid w:val="006F02CF"/>
    <w:rsid w:val="006F0459"/>
    <w:rsid w:val="006F04EA"/>
    <w:rsid w:val="006F0513"/>
    <w:rsid w:val="006F0536"/>
    <w:rsid w:val="006F056C"/>
    <w:rsid w:val="006F06F5"/>
    <w:rsid w:val="006F0703"/>
    <w:rsid w:val="006F0D11"/>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236"/>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D0"/>
    <w:rsid w:val="006F70EA"/>
    <w:rsid w:val="006F7230"/>
    <w:rsid w:val="006F7408"/>
    <w:rsid w:val="006F7562"/>
    <w:rsid w:val="006F756D"/>
    <w:rsid w:val="006F77BE"/>
    <w:rsid w:val="006F7B1A"/>
    <w:rsid w:val="006F7B8F"/>
    <w:rsid w:val="006F7CEE"/>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03"/>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07F1A"/>
    <w:rsid w:val="0071053B"/>
    <w:rsid w:val="00710937"/>
    <w:rsid w:val="00710A97"/>
    <w:rsid w:val="00710CC7"/>
    <w:rsid w:val="00711007"/>
    <w:rsid w:val="0071107E"/>
    <w:rsid w:val="007112FE"/>
    <w:rsid w:val="0071170B"/>
    <w:rsid w:val="00711813"/>
    <w:rsid w:val="007119C2"/>
    <w:rsid w:val="00711B97"/>
    <w:rsid w:val="00711BAB"/>
    <w:rsid w:val="00711C6C"/>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58"/>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6EA"/>
    <w:rsid w:val="0071597B"/>
    <w:rsid w:val="00715994"/>
    <w:rsid w:val="00715CA0"/>
    <w:rsid w:val="00715E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24B"/>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03E"/>
    <w:rsid w:val="007245EE"/>
    <w:rsid w:val="00724671"/>
    <w:rsid w:val="00724733"/>
    <w:rsid w:val="0072473E"/>
    <w:rsid w:val="00724755"/>
    <w:rsid w:val="007248B1"/>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2C86"/>
    <w:rsid w:val="007330E4"/>
    <w:rsid w:val="00733248"/>
    <w:rsid w:val="007334CE"/>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4FD"/>
    <w:rsid w:val="00735801"/>
    <w:rsid w:val="00735881"/>
    <w:rsid w:val="00735982"/>
    <w:rsid w:val="00735ABA"/>
    <w:rsid w:val="00735B56"/>
    <w:rsid w:val="00735B7E"/>
    <w:rsid w:val="00735F6D"/>
    <w:rsid w:val="00735F75"/>
    <w:rsid w:val="0073603E"/>
    <w:rsid w:val="00736716"/>
    <w:rsid w:val="00736893"/>
    <w:rsid w:val="0073692D"/>
    <w:rsid w:val="00736BD2"/>
    <w:rsid w:val="00736C14"/>
    <w:rsid w:val="00736C3A"/>
    <w:rsid w:val="00736CFE"/>
    <w:rsid w:val="00736D2D"/>
    <w:rsid w:val="00736F48"/>
    <w:rsid w:val="00736F94"/>
    <w:rsid w:val="0073708F"/>
    <w:rsid w:val="00737454"/>
    <w:rsid w:val="00737790"/>
    <w:rsid w:val="00737865"/>
    <w:rsid w:val="007378D3"/>
    <w:rsid w:val="00737AC5"/>
    <w:rsid w:val="00737BCE"/>
    <w:rsid w:val="00737C64"/>
    <w:rsid w:val="00737E89"/>
    <w:rsid w:val="007400A3"/>
    <w:rsid w:val="00740244"/>
    <w:rsid w:val="007405CB"/>
    <w:rsid w:val="00740A63"/>
    <w:rsid w:val="00740B19"/>
    <w:rsid w:val="00740B6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94"/>
    <w:rsid w:val="007445BE"/>
    <w:rsid w:val="007448D5"/>
    <w:rsid w:val="00744B1D"/>
    <w:rsid w:val="00744E93"/>
    <w:rsid w:val="00744F5A"/>
    <w:rsid w:val="00744F93"/>
    <w:rsid w:val="007451B3"/>
    <w:rsid w:val="00745332"/>
    <w:rsid w:val="007455D2"/>
    <w:rsid w:val="00745C69"/>
    <w:rsid w:val="00745CA6"/>
    <w:rsid w:val="00745D0E"/>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819"/>
    <w:rsid w:val="0075192D"/>
    <w:rsid w:val="00751981"/>
    <w:rsid w:val="00751BD8"/>
    <w:rsid w:val="00751C18"/>
    <w:rsid w:val="00751CF9"/>
    <w:rsid w:val="00751E9D"/>
    <w:rsid w:val="00752025"/>
    <w:rsid w:val="00752528"/>
    <w:rsid w:val="007527B9"/>
    <w:rsid w:val="00752927"/>
    <w:rsid w:val="00752B32"/>
    <w:rsid w:val="00752BA2"/>
    <w:rsid w:val="00752D1D"/>
    <w:rsid w:val="00752E6C"/>
    <w:rsid w:val="00752FF3"/>
    <w:rsid w:val="007531D1"/>
    <w:rsid w:val="007533B6"/>
    <w:rsid w:val="00753445"/>
    <w:rsid w:val="00753481"/>
    <w:rsid w:val="00753557"/>
    <w:rsid w:val="00753703"/>
    <w:rsid w:val="007537C7"/>
    <w:rsid w:val="007538CB"/>
    <w:rsid w:val="00753A39"/>
    <w:rsid w:val="00753E8E"/>
    <w:rsid w:val="00754183"/>
    <w:rsid w:val="007541F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1FDF"/>
    <w:rsid w:val="00762098"/>
    <w:rsid w:val="00762133"/>
    <w:rsid w:val="00762251"/>
    <w:rsid w:val="0076244A"/>
    <w:rsid w:val="0076289D"/>
    <w:rsid w:val="00762B00"/>
    <w:rsid w:val="00762D89"/>
    <w:rsid w:val="00762E35"/>
    <w:rsid w:val="00762F6F"/>
    <w:rsid w:val="00762FE0"/>
    <w:rsid w:val="00763340"/>
    <w:rsid w:val="0076365D"/>
    <w:rsid w:val="00763796"/>
    <w:rsid w:val="007637B2"/>
    <w:rsid w:val="0076399D"/>
    <w:rsid w:val="00763D60"/>
    <w:rsid w:val="00763DED"/>
    <w:rsid w:val="007641AE"/>
    <w:rsid w:val="00764200"/>
    <w:rsid w:val="007642CA"/>
    <w:rsid w:val="007643B9"/>
    <w:rsid w:val="00764554"/>
    <w:rsid w:val="00764759"/>
    <w:rsid w:val="007649B3"/>
    <w:rsid w:val="00764AD3"/>
    <w:rsid w:val="00764F1B"/>
    <w:rsid w:val="0076503F"/>
    <w:rsid w:val="007651B7"/>
    <w:rsid w:val="00765306"/>
    <w:rsid w:val="00765441"/>
    <w:rsid w:val="0076548A"/>
    <w:rsid w:val="007656F4"/>
    <w:rsid w:val="0076588B"/>
    <w:rsid w:val="0076590F"/>
    <w:rsid w:val="0076592E"/>
    <w:rsid w:val="00765A21"/>
    <w:rsid w:val="00765D15"/>
    <w:rsid w:val="007660A8"/>
    <w:rsid w:val="0076638C"/>
    <w:rsid w:val="007663BD"/>
    <w:rsid w:val="0076642D"/>
    <w:rsid w:val="00766506"/>
    <w:rsid w:val="007665BA"/>
    <w:rsid w:val="007666EF"/>
    <w:rsid w:val="00766825"/>
    <w:rsid w:val="00766858"/>
    <w:rsid w:val="00766874"/>
    <w:rsid w:val="007668B6"/>
    <w:rsid w:val="007668D5"/>
    <w:rsid w:val="00766A15"/>
    <w:rsid w:val="00766B32"/>
    <w:rsid w:val="00766E14"/>
    <w:rsid w:val="007674FF"/>
    <w:rsid w:val="00767537"/>
    <w:rsid w:val="00767867"/>
    <w:rsid w:val="00767A4D"/>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21E"/>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5E4"/>
    <w:rsid w:val="0078161E"/>
    <w:rsid w:val="00781853"/>
    <w:rsid w:val="00781A13"/>
    <w:rsid w:val="00781A73"/>
    <w:rsid w:val="00781B13"/>
    <w:rsid w:val="00781B9E"/>
    <w:rsid w:val="00781D2F"/>
    <w:rsid w:val="00781E98"/>
    <w:rsid w:val="00782073"/>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24"/>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80A"/>
    <w:rsid w:val="00785C7A"/>
    <w:rsid w:val="00785F8D"/>
    <w:rsid w:val="007860DF"/>
    <w:rsid w:val="0078613D"/>
    <w:rsid w:val="007861BA"/>
    <w:rsid w:val="0078625E"/>
    <w:rsid w:val="007863CB"/>
    <w:rsid w:val="00786408"/>
    <w:rsid w:val="0078641A"/>
    <w:rsid w:val="007864B5"/>
    <w:rsid w:val="007866DA"/>
    <w:rsid w:val="0078672B"/>
    <w:rsid w:val="007868D7"/>
    <w:rsid w:val="00786A1B"/>
    <w:rsid w:val="00786C54"/>
    <w:rsid w:val="00786CDA"/>
    <w:rsid w:val="00786DFA"/>
    <w:rsid w:val="00786E09"/>
    <w:rsid w:val="00786F2F"/>
    <w:rsid w:val="00786F87"/>
    <w:rsid w:val="00787206"/>
    <w:rsid w:val="00787443"/>
    <w:rsid w:val="0078746A"/>
    <w:rsid w:val="00787512"/>
    <w:rsid w:val="00787647"/>
    <w:rsid w:val="00787925"/>
    <w:rsid w:val="00787B82"/>
    <w:rsid w:val="00787FB9"/>
    <w:rsid w:val="00787FEA"/>
    <w:rsid w:val="007901CD"/>
    <w:rsid w:val="007901D1"/>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7C0"/>
    <w:rsid w:val="00791852"/>
    <w:rsid w:val="00791944"/>
    <w:rsid w:val="00791A3D"/>
    <w:rsid w:val="00791E43"/>
    <w:rsid w:val="00791E4E"/>
    <w:rsid w:val="00791F19"/>
    <w:rsid w:val="00791F3E"/>
    <w:rsid w:val="00791F5D"/>
    <w:rsid w:val="00792067"/>
    <w:rsid w:val="007921E1"/>
    <w:rsid w:val="007921E8"/>
    <w:rsid w:val="007921F4"/>
    <w:rsid w:val="00792603"/>
    <w:rsid w:val="007928EA"/>
    <w:rsid w:val="00792AA5"/>
    <w:rsid w:val="00792BF0"/>
    <w:rsid w:val="00792D45"/>
    <w:rsid w:val="00792EE3"/>
    <w:rsid w:val="007932CF"/>
    <w:rsid w:val="007932D2"/>
    <w:rsid w:val="00793368"/>
    <w:rsid w:val="00793393"/>
    <w:rsid w:val="00793431"/>
    <w:rsid w:val="00793545"/>
    <w:rsid w:val="007935EE"/>
    <w:rsid w:val="007938DF"/>
    <w:rsid w:val="00793970"/>
    <w:rsid w:val="00793D71"/>
    <w:rsid w:val="007945B2"/>
    <w:rsid w:val="007945C8"/>
    <w:rsid w:val="00794915"/>
    <w:rsid w:val="00794B7C"/>
    <w:rsid w:val="00794DCA"/>
    <w:rsid w:val="007950A2"/>
    <w:rsid w:val="007952F8"/>
    <w:rsid w:val="00795407"/>
    <w:rsid w:val="00795432"/>
    <w:rsid w:val="00795D0B"/>
    <w:rsid w:val="0079603B"/>
    <w:rsid w:val="00796190"/>
    <w:rsid w:val="0079619B"/>
    <w:rsid w:val="007961C8"/>
    <w:rsid w:val="0079632A"/>
    <w:rsid w:val="007965B5"/>
    <w:rsid w:val="0079690B"/>
    <w:rsid w:val="00796966"/>
    <w:rsid w:val="00796A99"/>
    <w:rsid w:val="00796B25"/>
    <w:rsid w:val="00796B44"/>
    <w:rsid w:val="00796ED8"/>
    <w:rsid w:val="0079706C"/>
    <w:rsid w:val="0079729A"/>
    <w:rsid w:val="0079740A"/>
    <w:rsid w:val="007975FE"/>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652"/>
    <w:rsid w:val="007A1855"/>
    <w:rsid w:val="007A18E5"/>
    <w:rsid w:val="007A19C0"/>
    <w:rsid w:val="007A1A67"/>
    <w:rsid w:val="007A1A9E"/>
    <w:rsid w:val="007A1CB1"/>
    <w:rsid w:val="007A1CDE"/>
    <w:rsid w:val="007A1D13"/>
    <w:rsid w:val="007A1EE2"/>
    <w:rsid w:val="007A2192"/>
    <w:rsid w:val="007A223E"/>
    <w:rsid w:val="007A2310"/>
    <w:rsid w:val="007A2570"/>
    <w:rsid w:val="007A26C5"/>
    <w:rsid w:val="007A27F7"/>
    <w:rsid w:val="007A2842"/>
    <w:rsid w:val="007A2970"/>
    <w:rsid w:val="007A2AA9"/>
    <w:rsid w:val="007A2B7E"/>
    <w:rsid w:val="007A2CB8"/>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2CF"/>
    <w:rsid w:val="007A7567"/>
    <w:rsid w:val="007A778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8D6"/>
    <w:rsid w:val="007B2AED"/>
    <w:rsid w:val="007B2D07"/>
    <w:rsid w:val="007B2D85"/>
    <w:rsid w:val="007B3306"/>
    <w:rsid w:val="007B33AE"/>
    <w:rsid w:val="007B3483"/>
    <w:rsid w:val="007B3499"/>
    <w:rsid w:val="007B3642"/>
    <w:rsid w:val="007B36D2"/>
    <w:rsid w:val="007B36E6"/>
    <w:rsid w:val="007B38C5"/>
    <w:rsid w:val="007B394D"/>
    <w:rsid w:val="007B398E"/>
    <w:rsid w:val="007B3DD9"/>
    <w:rsid w:val="007B3EE0"/>
    <w:rsid w:val="007B3EF5"/>
    <w:rsid w:val="007B3FAB"/>
    <w:rsid w:val="007B4036"/>
    <w:rsid w:val="007B4185"/>
    <w:rsid w:val="007B4375"/>
    <w:rsid w:val="007B44CE"/>
    <w:rsid w:val="007B467A"/>
    <w:rsid w:val="007B49F0"/>
    <w:rsid w:val="007B4A6C"/>
    <w:rsid w:val="007B4DC9"/>
    <w:rsid w:val="007B4DF7"/>
    <w:rsid w:val="007B4F8E"/>
    <w:rsid w:val="007B563B"/>
    <w:rsid w:val="007B584B"/>
    <w:rsid w:val="007B58F1"/>
    <w:rsid w:val="007B5A0D"/>
    <w:rsid w:val="007B5A39"/>
    <w:rsid w:val="007B5B39"/>
    <w:rsid w:val="007B5B65"/>
    <w:rsid w:val="007B65C7"/>
    <w:rsid w:val="007B689C"/>
    <w:rsid w:val="007B6964"/>
    <w:rsid w:val="007B6A84"/>
    <w:rsid w:val="007B6C1F"/>
    <w:rsid w:val="007B6C70"/>
    <w:rsid w:val="007B6EA6"/>
    <w:rsid w:val="007B6ED8"/>
    <w:rsid w:val="007B6F7B"/>
    <w:rsid w:val="007B6FC5"/>
    <w:rsid w:val="007B741F"/>
    <w:rsid w:val="007B7535"/>
    <w:rsid w:val="007B7879"/>
    <w:rsid w:val="007B7BFF"/>
    <w:rsid w:val="007B7E2F"/>
    <w:rsid w:val="007B7ED1"/>
    <w:rsid w:val="007B7F94"/>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1EDC"/>
    <w:rsid w:val="007C1F31"/>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1C"/>
    <w:rsid w:val="007C3E55"/>
    <w:rsid w:val="007C3E79"/>
    <w:rsid w:val="007C3ED3"/>
    <w:rsid w:val="007C429F"/>
    <w:rsid w:val="007C430E"/>
    <w:rsid w:val="007C4311"/>
    <w:rsid w:val="007C43A4"/>
    <w:rsid w:val="007C4437"/>
    <w:rsid w:val="007C44BD"/>
    <w:rsid w:val="007C4A20"/>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42"/>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78"/>
    <w:rsid w:val="007D2BA5"/>
    <w:rsid w:val="007D2FD7"/>
    <w:rsid w:val="007D3318"/>
    <w:rsid w:val="007D3491"/>
    <w:rsid w:val="007D3521"/>
    <w:rsid w:val="007D3A8D"/>
    <w:rsid w:val="007D3CC6"/>
    <w:rsid w:val="007D3E6A"/>
    <w:rsid w:val="007D3EBE"/>
    <w:rsid w:val="007D4038"/>
    <w:rsid w:val="007D412B"/>
    <w:rsid w:val="007D4289"/>
    <w:rsid w:val="007D4319"/>
    <w:rsid w:val="007D43EC"/>
    <w:rsid w:val="007D4457"/>
    <w:rsid w:val="007D45EF"/>
    <w:rsid w:val="007D471C"/>
    <w:rsid w:val="007D475D"/>
    <w:rsid w:val="007D4853"/>
    <w:rsid w:val="007D49BB"/>
    <w:rsid w:val="007D4ADD"/>
    <w:rsid w:val="007D5291"/>
    <w:rsid w:val="007D5462"/>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6B"/>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DCF"/>
    <w:rsid w:val="007E3E14"/>
    <w:rsid w:val="007E3E49"/>
    <w:rsid w:val="007E3F01"/>
    <w:rsid w:val="007E4085"/>
    <w:rsid w:val="007E417B"/>
    <w:rsid w:val="007E428F"/>
    <w:rsid w:val="007E4353"/>
    <w:rsid w:val="007E43B3"/>
    <w:rsid w:val="007E44B7"/>
    <w:rsid w:val="007E45E1"/>
    <w:rsid w:val="007E460D"/>
    <w:rsid w:val="007E4974"/>
    <w:rsid w:val="007E4DA1"/>
    <w:rsid w:val="007E52A5"/>
    <w:rsid w:val="007E5353"/>
    <w:rsid w:val="007E553D"/>
    <w:rsid w:val="007E554B"/>
    <w:rsid w:val="007E555A"/>
    <w:rsid w:val="007E5589"/>
    <w:rsid w:val="007E576C"/>
    <w:rsid w:val="007E57A3"/>
    <w:rsid w:val="007E5DDD"/>
    <w:rsid w:val="007E6269"/>
    <w:rsid w:val="007E630C"/>
    <w:rsid w:val="007E65BE"/>
    <w:rsid w:val="007E65D2"/>
    <w:rsid w:val="007E660A"/>
    <w:rsid w:val="007E66B2"/>
    <w:rsid w:val="007E67A6"/>
    <w:rsid w:val="007E6833"/>
    <w:rsid w:val="007E6875"/>
    <w:rsid w:val="007E68D6"/>
    <w:rsid w:val="007E693E"/>
    <w:rsid w:val="007E6943"/>
    <w:rsid w:val="007E6A93"/>
    <w:rsid w:val="007E6C12"/>
    <w:rsid w:val="007E6E26"/>
    <w:rsid w:val="007E6EA2"/>
    <w:rsid w:val="007E6FB5"/>
    <w:rsid w:val="007E6FF2"/>
    <w:rsid w:val="007E70C2"/>
    <w:rsid w:val="007E7114"/>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0C6"/>
    <w:rsid w:val="007F31D2"/>
    <w:rsid w:val="007F33AB"/>
    <w:rsid w:val="007F3751"/>
    <w:rsid w:val="007F38A6"/>
    <w:rsid w:val="007F38A8"/>
    <w:rsid w:val="007F38C2"/>
    <w:rsid w:val="007F39ED"/>
    <w:rsid w:val="007F3BCF"/>
    <w:rsid w:val="007F3EC7"/>
    <w:rsid w:val="007F3FB0"/>
    <w:rsid w:val="007F4095"/>
    <w:rsid w:val="007F40AA"/>
    <w:rsid w:val="007F40BF"/>
    <w:rsid w:val="007F431B"/>
    <w:rsid w:val="007F4332"/>
    <w:rsid w:val="007F4342"/>
    <w:rsid w:val="007F453D"/>
    <w:rsid w:val="007F4664"/>
    <w:rsid w:val="007F46F3"/>
    <w:rsid w:val="007F4767"/>
    <w:rsid w:val="007F48D3"/>
    <w:rsid w:val="007F5305"/>
    <w:rsid w:val="007F5592"/>
    <w:rsid w:val="007F55B4"/>
    <w:rsid w:val="007F569A"/>
    <w:rsid w:val="007F5760"/>
    <w:rsid w:val="007F5798"/>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6D"/>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697"/>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3F1"/>
    <w:rsid w:val="00810CC4"/>
    <w:rsid w:val="00810D7C"/>
    <w:rsid w:val="008110C0"/>
    <w:rsid w:val="008111A9"/>
    <w:rsid w:val="008114CE"/>
    <w:rsid w:val="008115CF"/>
    <w:rsid w:val="00811608"/>
    <w:rsid w:val="0081172E"/>
    <w:rsid w:val="0081189B"/>
    <w:rsid w:val="00811968"/>
    <w:rsid w:val="00811C3F"/>
    <w:rsid w:val="00811D9D"/>
    <w:rsid w:val="00811FB0"/>
    <w:rsid w:val="00812267"/>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5FD2"/>
    <w:rsid w:val="00816260"/>
    <w:rsid w:val="00816454"/>
    <w:rsid w:val="00816898"/>
    <w:rsid w:val="00816913"/>
    <w:rsid w:val="008169F0"/>
    <w:rsid w:val="00816B45"/>
    <w:rsid w:val="00816E7F"/>
    <w:rsid w:val="008172CD"/>
    <w:rsid w:val="008172E9"/>
    <w:rsid w:val="0081744B"/>
    <w:rsid w:val="00817597"/>
    <w:rsid w:val="0081763D"/>
    <w:rsid w:val="008176D5"/>
    <w:rsid w:val="00817837"/>
    <w:rsid w:val="00817D2E"/>
    <w:rsid w:val="00817E15"/>
    <w:rsid w:val="00817E1A"/>
    <w:rsid w:val="008202B3"/>
    <w:rsid w:val="0082041B"/>
    <w:rsid w:val="008206DD"/>
    <w:rsid w:val="008208A5"/>
    <w:rsid w:val="00820952"/>
    <w:rsid w:val="00820A48"/>
    <w:rsid w:val="00820CEF"/>
    <w:rsid w:val="00821010"/>
    <w:rsid w:val="008217F7"/>
    <w:rsid w:val="008218CE"/>
    <w:rsid w:val="00821A2E"/>
    <w:rsid w:val="00821D40"/>
    <w:rsid w:val="0082242C"/>
    <w:rsid w:val="0082247E"/>
    <w:rsid w:val="008224AF"/>
    <w:rsid w:val="008224FE"/>
    <w:rsid w:val="0082253E"/>
    <w:rsid w:val="0082290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5EE"/>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502"/>
    <w:rsid w:val="00830737"/>
    <w:rsid w:val="008307A5"/>
    <w:rsid w:val="00830868"/>
    <w:rsid w:val="008309FC"/>
    <w:rsid w:val="00830CBE"/>
    <w:rsid w:val="00830D1E"/>
    <w:rsid w:val="00830F8E"/>
    <w:rsid w:val="00831256"/>
    <w:rsid w:val="0083137C"/>
    <w:rsid w:val="0083150F"/>
    <w:rsid w:val="00831858"/>
    <w:rsid w:val="008318DB"/>
    <w:rsid w:val="00831CB2"/>
    <w:rsid w:val="00831D5C"/>
    <w:rsid w:val="00831E24"/>
    <w:rsid w:val="00831E34"/>
    <w:rsid w:val="00831F35"/>
    <w:rsid w:val="00832073"/>
    <w:rsid w:val="00832408"/>
    <w:rsid w:val="0083267A"/>
    <w:rsid w:val="00832897"/>
    <w:rsid w:val="008328E8"/>
    <w:rsid w:val="00832A21"/>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327"/>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28"/>
    <w:rsid w:val="00840A5E"/>
    <w:rsid w:val="00840B1D"/>
    <w:rsid w:val="00840DAF"/>
    <w:rsid w:val="00840E2D"/>
    <w:rsid w:val="0084160E"/>
    <w:rsid w:val="008417E4"/>
    <w:rsid w:val="008418D2"/>
    <w:rsid w:val="008419E3"/>
    <w:rsid w:val="00841DD7"/>
    <w:rsid w:val="00841E8E"/>
    <w:rsid w:val="00841EFE"/>
    <w:rsid w:val="00841FC3"/>
    <w:rsid w:val="0084204C"/>
    <w:rsid w:val="00842146"/>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2B7"/>
    <w:rsid w:val="00845689"/>
    <w:rsid w:val="0084583D"/>
    <w:rsid w:val="008459B0"/>
    <w:rsid w:val="008459C8"/>
    <w:rsid w:val="00845BB1"/>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13C"/>
    <w:rsid w:val="0084721E"/>
    <w:rsid w:val="00847222"/>
    <w:rsid w:val="0084732D"/>
    <w:rsid w:val="008473F6"/>
    <w:rsid w:val="00847479"/>
    <w:rsid w:val="008474CF"/>
    <w:rsid w:val="008476E4"/>
    <w:rsid w:val="0084771D"/>
    <w:rsid w:val="00847758"/>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5F"/>
    <w:rsid w:val="008519B4"/>
    <w:rsid w:val="00851AC6"/>
    <w:rsid w:val="00851FDD"/>
    <w:rsid w:val="0085214D"/>
    <w:rsid w:val="008521E6"/>
    <w:rsid w:val="00852382"/>
    <w:rsid w:val="00852715"/>
    <w:rsid w:val="00852AA4"/>
    <w:rsid w:val="00852B89"/>
    <w:rsid w:val="00852BFE"/>
    <w:rsid w:val="00852C3D"/>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77"/>
    <w:rsid w:val="00857285"/>
    <w:rsid w:val="0085729D"/>
    <w:rsid w:val="008574F8"/>
    <w:rsid w:val="00857676"/>
    <w:rsid w:val="008577E7"/>
    <w:rsid w:val="008577F9"/>
    <w:rsid w:val="008578CF"/>
    <w:rsid w:val="00857ACA"/>
    <w:rsid w:val="00857C02"/>
    <w:rsid w:val="00857C5F"/>
    <w:rsid w:val="00857EC7"/>
    <w:rsid w:val="00860337"/>
    <w:rsid w:val="0086059F"/>
    <w:rsid w:val="008605CD"/>
    <w:rsid w:val="008605D8"/>
    <w:rsid w:val="0086067C"/>
    <w:rsid w:val="0086084D"/>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75A"/>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9C0"/>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DF"/>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70B"/>
    <w:rsid w:val="00875870"/>
    <w:rsid w:val="008758E5"/>
    <w:rsid w:val="00875904"/>
    <w:rsid w:val="0087594B"/>
    <w:rsid w:val="00875A2D"/>
    <w:rsid w:val="00875A42"/>
    <w:rsid w:val="00875B11"/>
    <w:rsid w:val="00875B25"/>
    <w:rsid w:val="00875C56"/>
    <w:rsid w:val="00875E38"/>
    <w:rsid w:val="00875EC4"/>
    <w:rsid w:val="00876147"/>
    <w:rsid w:val="0087620A"/>
    <w:rsid w:val="0087659E"/>
    <w:rsid w:val="0087671F"/>
    <w:rsid w:val="008768BF"/>
    <w:rsid w:val="008768D2"/>
    <w:rsid w:val="0087699B"/>
    <w:rsid w:val="008769E2"/>
    <w:rsid w:val="00876A3F"/>
    <w:rsid w:val="00876B61"/>
    <w:rsid w:val="00876CEB"/>
    <w:rsid w:val="00877330"/>
    <w:rsid w:val="00877519"/>
    <w:rsid w:val="0087769E"/>
    <w:rsid w:val="0087779E"/>
    <w:rsid w:val="00877961"/>
    <w:rsid w:val="00877BA0"/>
    <w:rsid w:val="00877F1E"/>
    <w:rsid w:val="00877FA4"/>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1F7F"/>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E7"/>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8C3"/>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858"/>
    <w:rsid w:val="008A29DB"/>
    <w:rsid w:val="008A2BBF"/>
    <w:rsid w:val="008A2E80"/>
    <w:rsid w:val="008A3251"/>
    <w:rsid w:val="008A34FE"/>
    <w:rsid w:val="008A353D"/>
    <w:rsid w:val="008A354D"/>
    <w:rsid w:val="008A371D"/>
    <w:rsid w:val="008A393B"/>
    <w:rsid w:val="008A39E2"/>
    <w:rsid w:val="008A3A88"/>
    <w:rsid w:val="008A3E39"/>
    <w:rsid w:val="008A3E3B"/>
    <w:rsid w:val="008A3F17"/>
    <w:rsid w:val="008A40A4"/>
    <w:rsid w:val="008A4367"/>
    <w:rsid w:val="008A43FE"/>
    <w:rsid w:val="008A45A0"/>
    <w:rsid w:val="008A46E2"/>
    <w:rsid w:val="008A4A13"/>
    <w:rsid w:val="008A4A81"/>
    <w:rsid w:val="008A4B7D"/>
    <w:rsid w:val="008A4C1C"/>
    <w:rsid w:val="008A4CA2"/>
    <w:rsid w:val="008A4DF2"/>
    <w:rsid w:val="008A4DF3"/>
    <w:rsid w:val="008A5101"/>
    <w:rsid w:val="008A525C"/>
    <w:rsid w:val="008A52EA"/>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BF9"/>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C67"/>
    <w:rsid w:val="008B0CEE"/>
    <w:rsid w:val="008B0F5E"/>
    <w:rsid w:val="008B15E9"/>
    <w:rsid w:val="008B1609"/>
    <w:rsid w:val="008B16E6"/>
    <w:rsid w:val="008B1B33"/>
    <w:rsid w:val="008B1B71"/>
    <w:rsid w:val="008B1BF1"/>
    <w:rsid w:val="008B1CBF"/>
    <w:rsid w:val="008B2039"/>
    <w:rsid w:val="008B2114"/>
    <w:rsid w:val="008B2123"/>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081"/>
    <w:rsid w:val="008B4141"/>
    <w:rsid w:val="008B41FB"/>
    <w:rsid w:val="008B42B4"/>
    <w:rsid w:val="008B43EC"/>
    <w:rsid w:val="008B4471"/>
    <w:rsid w:val="008B48ED"/>
    <w:rsid w:val="008B4AA4"/>
    <w:rsid w:val="008B4AD7"/>
    <w:rsid w:val="008B4AED"/>
    <w:rsid w:val="008B4CD4"/>
    <w:rsid w:val="008B4E73"/>
    <w:rsid w:val="008B4F43"/>
    <w:rsid w:val="008B5171"/>
    <w:rsid w:val="008B51CA"/>
    <w:rsid w:val="008B5721"/>
    <w:rsid w:val="008B5893"/>
    <w:rsid w:val="008B5C4A"/>
    <w:rsid w:val="008B5D13"/>
    <w:rsid w:val="008B5DDB"/>
    <w:rsid w:val="008B5EAA"/>
    <w:rsid w:val="008B5F03"/>
    <w:rsid w:val="008B5F2A"/>
    <w:rsid w:val="008B64EC"/>
    <w:rsid w:val="008B6691"/>
    <w:rsid w:val="008B678C"/>
    <w:rsid w:val="008B67A2"/>
    <w:rsid w:val="008B69CD"/>
    <w:rsid w:val="008B6F64"/>
    <w:rsid w:val="008B70FF"/>
    <w:rsid w:val="008B71AA"/>
    <w:rsid w:val="008B7242"/>
    <w:rsid w:val="008B7647"/>
    <w:rsid w:val="008B76EF"/>
    <w:rsid w:val="008B7DFC"/>
    <w:rsid w:val="008B7EEB"/>
    <w:rsid w:val="008B7F15"/>
    <w:rsid w:val="008C00AA"/>
    <w:rsid w:val="008C0165"/>
    <w:rsid w:val="008C0959"/>
    <w:rsid w:val="008C0A31"/>
    <w:rsid w:val="008C0CB0"/>
    <w:rsid w:val="008C0F60"/>
    <w:rsid w:val="008C0FA5"/>
    <w:rsid w:val="008C102B"/>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C4E"/>
    <w:rsid w:val="008C3DFE"/>
    <w:rsid w:val="008C3F11"/>
    <w:rsid w:val="008C4023"/>
    <w:rsid w:val="008C4176"/>
    <w:rsid w:val="008C4220"/>
    <w:rsid w:val="008C42B7"/>
    <w:rsid w:val="008C4A07"/>
    <w:rsid w:val="008C4C59"/>
    <w:rsid w:val="008C4F16"/>
    <w:rsid w:val="008C56FE"/>
    <w:rsid w:val="008C5858"/>
    <w:rsid w:val="008C58E7"/>
    <w:rsid w:val="008C5DAE"/>
    <w:rsid w:val="008C5F1E"/>
    <w:rsid w:val="008C60F6"/>
    <w:rsid w:val="008C61C8"/>
    <w:rsid w:val="008C6320"/>
    <w:rsid w:val="008C68F9"/>
    <w:rsid w:val="008C696C"/>
    <w:rsid w:val="008C6DD6"/>
    <w:rsid w:val="008C6EBC"/>
    <w:rsid w:val="008C71AF"/>
    <w:rsid w:val="008C72B9"/>
    <w:rsid w:val="008C7705"/>
    <w:rsid w:val="008C7987"/>
    <w:rsid w:val="008C798C"/>
    <w:rsid w:val="008C7AE4"/>
    <w:rsid w:val="008C7B9F"/>
    <w:rsid w:val="008C7C75"/>
    <w:rsid w:val="008C7C7E"/>
    <w:rsid w:val="008C7CD0"/>
    <w:rsid w:val="008C7D51"/>
    <w:rsid w:val="008C7E63"/>
    <w:rsid w:val="008C7EB4"/>
    <w:rsid w:val="008D0163"/>
    <w:rsid w:val="008D0291"/>
    <w:rsid w:val="008D0295"/>
    <w:rsid w:val="008D031F"/>
    <w:rsid w:val="008D05D1"/>
    <w:rsid w:val="008D07F8"/>
    <w:rsid w:val="008D0B44"/>
    <w:rsid w:val="008D0BA6"/>
    <w:rsid w:val="008D0C03"/>
    <w:rsid w:val="008D0E06"/>
    <w:rsid w:val="008D1285"/>
    <w:rsid w:val="008D1494"/>
    <w:rsid w:val="008D1668"/>
    <w:rsid w:val="008D1934"/>
    <w:rsid w:val="008D1973"/>
    <w:rsid w:val="008D1CBF"/>
    <w:rsid w:val="008D1FA2"/>
    <w:rsid w:val="008D1FF1"/>
    <w:rsid w:val="008D2008"/>
    <w:rsid w:val="008D219E"/>
    <w:rsid w:val="008D2395"/>
    <w:rsid w:val="008D239A"/>
    <w:rsid w:val="008D23E2"/>
    <w:rsid w:val="008D251B"/>
    <w:rsid w:val="008D2588"/>
    <w:rsid w:val="008D2696"/>
    <w:rsid w:val="008D29DE"/>
    <w:rsid w:val="008D2F51"/>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C01"/>
    <w:rsid w:val="008D4E35"/>
    <w:rsid w:val="008D4F8A"/>
    <w:rsid w:val="008D5223"/>
    <w:rsid w:val="008D53C3"/>
    <w:rsid w:val="008D55B3"/>
    <w:rsid w:val="008D57EF"/>
    <w:rsid w:val="008D59B1"/>
    <w:rsid w:val="008D5CFE"/>
    <w:rsid w:val="008D5F0F"/>
    <w:rsid w:val="008D6027"/>
    <w:rsid w:val="008D60B5"/>
    <w:rsid w:val="008D6373"/>
    <w:rsid w:val="008D63C0"/>
    <w:rsid w:val="008D666D"/>
    <w:rsid w:val="008D6709"/>
    <w:rsid w:val="008D6730"/>
    <w:rsid w:val="008D678D"/>
    <w:rsid w:val="008D6E42"/>
    <w:rsid w:val="008D71BB"/>
    <w:rsid w:val="008D72EA"/>
    <w:rsid w:val="008D7379"/>
    <w:rsid w:val="008D75A4"/>
    <w:rsid w:val="008D77F3"/>
    <w:rsid w:val="008D7854"/>
    <w:rsid w:val="008D7DC9"/>
    <w:rsid w:val="008E010C"/>
    <w:rsid w:val="008E019A"/>
    <w:rsid w:val="008E0330"/>
    <w:rsid w:val="008E0A02"/>
    <w:rsid w:val="008E0B50"/>
    <w:rsid w:val="008E0EEA"/>
    <w:rsid w:val="008E0FB7"/>
    <w:rsid w:val="008E0FE5"/>
    <w:rsid w:val="008E0FFA"/>
    <w:rsid w:val="008E10FE"/>
    <w:rsid w:val="008E1164"/>
    <w:rsid w:val="008E1211"/>
    <w:rsid w:val="008E1220"/>
    <w:rsid w:val="008E12FC"/>
    <w:rsid w:val="008E175B"/>
    <w:rsid w:val="008E18CB"/>
    <w:rsid w:val="008E199F"/>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AC"/>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4C1"/>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5A2"/>
    <w:rsid w:val="008F0A94"/>
    <w:rsid w:val="008F0DCC"/>
    <w:rsid w:val="008F0EBF"/>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591"/>
    <w:rsid w:val="008F36E0"/>
    <w:rsid w:val="008F37F9"/>
    <w:rsid w:val="008F3A3F"/>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EDE"/>
    <w:rsid w:val="008F6FBB"/>
    <w:rsid w:val="008F73FB"/>
    <w:rsid w:val="008F7955"/>
    <w:rsid w:val="008F79AC"/>
    <w:rsid w:val="008F7BCB"/>
    <w:rsid w:val="008F7C90"/>
    <w:rsid w:val="008F7CBF"/>
    <w:rsid w:val="008F7DCC"/>
    <w:rsid w:val="008F7F54"/>
    <w:rsid w:val="008F7F8D"/>
    <w:rsid w:val="008F95B9"/>
    <w:rsid w:val="0090000B"/>
    <w:rsid w:val="0090019C"/>
    <w:rsid w:val="009001FB"/>
    <w:rsid w:val="00900266"/>
    <w:rsid w:val="00900658"/>
    <w:rsid w:val="009007CA"/>
    <w:rsid w:val="0090083C"/>
    <w:rsid w:val="00900879"/>
    <w:rsid w:val="009008CB"/>
    <w:rsid w:val="00900A7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93C"/>
    <w:rsid w:val="00903B74"/>
    <w:rsid w:val="00903ED7"/>
    <w:rsid w:val="00903FE0"/>
    <w:rsid w:val="0090405A"/>
    <w:rsid w:val="009041B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70"/>
    <w:rsid w:val="00905BC9"/>
    <w:rsid w:val="00906048"/>
    <w:rsid w:val="0090609B"/>
    <w:rsid w:val="009062C6"/>
    <w:rsid w:val="0090646B"/>
    <w:rsid w:val="00906582"/>
    <w:rsid w:val="009065FF"/>
    <w:rsid w:val="00906644"/>
    <w:rsid w:val="00906787"/>
    <w:rsid w:val="0090682F"/>
    <w:rsid w:val="00906830"/>
    <w:rsid w:val="00906A79"/>
    <w:rsid w:val="00906B50"/>
    <w:rsid w:val="00907205"/>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89"/>
    <w:rsid w:val="009118F9"/>
    <w:rsid w:val="00911902"/>
    <w:rsid w:val="00911A88"/>
    <w:rsid w:val="0091204C"/>
    <w:rsid w:val="00912151"/>
    <w:rsid w:val="009124E6"/>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620"/>
    <w:rsid w:val="009147CB"/>
    <w:rsid w:val="0091484D"/>
    <w:rsid w:val="0091484E"/>
    <w:rsid w:val="00914A75"/>
    <w:rsid w:val="00914CD0"/>
    <w:rsid w:val="00914F18"/>
    <w:rsid w:val="009150CC"/>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59E"/>
    <w:rsid w:val="009166C5"/>
    <w:rsid w:val="00916816"/>
    <w:rsid w:val="009168E0"/>
    <w:rsid w:val="00916B43"/>
    <w:rsid w:val="00916C0A"/>
    <w:rsid w:val="00916D42"/>
    <w:rsid w:val="00916E75"/>
    <w:rsid w:val="00916F23"/>
    <w:rsid w:val="00916FAF"/>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BA4"/>
    <w:rsid w:val="00922DD9"/>
    <w:rsid w:val="00923786"/>
    <w:rsid w:val="0092381F"/>
    <w:rsid w:val="0092385D"/>
    <w:rsid w:val="00923899"/>
    <w:rsid w:val="00923EDB"/>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4B7"/>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46"/>
    <w:rsid w:val="00930D6A"/>
    <w:rsid w:val="00930E23"/>
    <w:rsid w:val="009316BB"/>
    <w:rsid w:val="009319F7"/>
    <w:rsid w:val="00931D7A"/>
    <w:rsid w:val="00931DEA"/>
    <w:rsid w:val="00931E1A"/>
    <w:rsid w:val="00931E56"/>
    <w:rsid w:val="0093202C"/>
    <w:rsid w:val="0093218F"/>
    <w:rsid w:val="00932253"/>
    <w:rsid w:val="009322A5"/>
    <w:rsid w:val="00932435"/>
    <w:rsid w:val="0093255C"/>
    <w:rsid w:val="009327B1"/>
    <w:rsid w:val="009328F5"/>
    <w:rsid w:val="00932A83"/>
    <w:rsid w:val="00932BF8"/>
    <w:rsid w:val="00932F06"/>
    <w:rsid w:val="00932FFF"/>
    <w:rsid w:val="009331CD"/>
    <w:rsid w:val="009331FB"/>
    <w:rsid w:val="00933581"/>
    <w:rsid w:val="00933619"/>
    <w:rsid w:val="009339EC"/>
    <w:rsid w:val="00933A61"/>
    <w:rsid w:val="0093420C"/>
    <w:rsid w:val="009345E3"/>
    <w:rsid w:val="00934776"/>
    <w:rsid w:val="00934973"/>
    <w:rsid w:val="00934AA6"/>
    <w:rsid w:val="00934B2F"/>
    <w:rsid w:val="00934CB6"/>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2EE"/>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8B2"/>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859"/>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9B5"/>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B75"/>
    <w:rsid w:val="00956DC5"/>
    <w:rsid w:val="00956E21"/>
    <w:rsid w:val="00957218"/>
    <w:rsid w:val="0095765C"/>
    <w:rsid w:val="009577C8"/>
    <w:rsid w:val="0095796B"/>
    <w:rsid w:val="00957B83"/>
    <w:rsid w:val="0096013E"/>
    <w:rsid w:val="00960482"/>
    <w:rsid w:val="009604FF"/>
    <w:rsid w:val="00960A96"/>
    <w:rsid w:val="00960AA0"/>
    <w:rsid w:val="00960B0E"/>
    <w:rsid w:val="00960B63"/>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2F79"/>
    <w:rsid w:val="00963038"/>
    <w:rsid w:val="00963171"/>
    <w:rsid w:val="009631D5"/>
    <w:rsid w:val="0096329F"/>
    <w:rsid w:val="00963370"/>
    <w:rsid w:val="00963688"/>
    <w:rsid w:val="00963A9F"/>
    <w:rsid w:val="00963AC1"/>
    <w:rsid w:val="00963E11"/>
    <w:rsid w:val="00963F76"/>
    <w:rsid w:val="009640E9"/>
    <w:rsid w:val="009642E5"/>
    <w:rsid w:val="009643B9"/>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273"/>
    <w:rsid w:val="009673CF"/>
    <w:rsid w:val="009674F0"/>
    <w:rsid w:val="009676E6"/>
    <w:rsid w:val="00967AB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52"/>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E"/>
    <w:rsid w:val="0097403F"/>
    <w:rsid w:val="009741F9"/>
    <w:rsid w:val="00974325"/>
    <w:rsid w:val="009745E2"/>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7B"/>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CE"/>
    <w:rsid w:val="009808E5"/>
    <w:rsid w:val="00980BDF"/>
    <w:rsid w:val="00980BEB"/>
    <w:rsid w:val="00980C19"/>
    <w:rsid w:val="00980C55"/>
    <w:rsid w:val="0098105C"/>
    <w:rsid w:val="00981089"/>
    <w:rsid w:val="0098108A"/>
    <w:rsid w:val="009816FB"/>
    <w:rsid w:val="00981940"/>
    <w:rsid w:val="00981B4D"/>
    <w:rsid w:val="00981C13"/>
    <w:rsid w:val="00981C4B"/>
    <w:rsid w:val="00981E2A"/>
    <w:rsid w:val="00981EA2"/>
    <w:rsid w:val="00982317"/>
    <w:rsid w:val="009823FB"/>
    <w:rsid w:val="0098240C"/>
    <w:rsid w:val="00982605"/>
    <w:rsid w:val="0098263F"/>
    <w:rsid w:val="0098277F"/>
    <w:rsid w:val="009827E1"/>
    <w:rsid w:val="009829C5"/>
    <w:rsid w:val="00982CD4"/>
    <w:rsid w:val="00983407"/>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599"/>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0FC"/>
    <w:rsid w:val="00992276"/>
    <w:rsid w:val="00992541"/>
    <w:rsid w:val="00992687"/>
    <w:rsid w:val="0099271E"/>
    <w:rsid w:val="009927ED"/>
    <w:rsid w:val="009929FB"/>
    <w:rsid w:val="00992BDE"/>
    <w:rsid w:val="00992C6A"/>
    <w:rsid w:val="00992D30"/>
    <w:rsid w:val="00992F62"/>
    <w:rsid w:val="00993025"/>
    <w:rsid w:val="00993155"/>
    <w:rsid w:val="009932EA"/>
    <w:rsid w:val="009933BA"/>
    <w:rsid w:val="00993506"/>
    <w:rsid w:val="00993558"/>
    <w:rsid w:val="009936B2"/>
    <w:rsid w:val="00993838"/>
    <w:rsid w:val="0099389B"/>
    <w:rsid w:val="00993B1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84B"/>
    <w:rsid w:val="009A0986"/>
    <w:rsid w:val="009A0B65"/>
    <w:rsid w:val="009A0C4A"/>
    <w:rsid w:val="009A0E2C"/>
    <w:rsid w:val="009A0F05"/>
    <w:rsid w:val="009A0FDF"/>
    <w:rsid w:val="009A12D6"/>
    <w:rsid w:val="009A13EA"/>
    <w:rsid w:val="009A1516"/>
    <w:rsid w:val="009A1537"/>
    <w:rsid w:val="009A172A"/>
    <w:rsid w:val="009A1BB7"/>
    <w:rsid w:val="009A1BD0"/>
    <w:rsid w:val="009A1BF7"/>
    <w:rsid w:val="009A1CCE"/>
    <w:rsid w:val="009A1E41"/>
    <w:rsid w:val="009A1F14"/>
    <w:rsid w:val="009A1F27"/>
    <w:rsid w:val="009A226E"/>
    <w:rsid w:val="009A228E"/>
    <w:rsid w:val="009A22B4"/>
    <w:rsid w:val="009A2333"/>
    <w:rsid w:val="009A246F"/>
    <w:rsid w:val="009A287A"/>
    <w:rsid w:val="009A290B"/>
    <w:rsid w:val="009A2AA6"/>
    <w:rsid w:val="009A2B20"/>
    <w:rsid w:val="009A2D4B"/>
    <w:rsid w:val="009A2E32"/>
    <w:rsid w:val="009A2E36"/>
    <w:rsid w:val="009A2E82"/>
    <w:rsid w:val="009A2E93"/>
    <w:rsid w:val="009A332B"/>
    <w:rsid w:val="009A33A7"/>
    <w:rsid w:val="009A33D4"/>
    <w:rsid w:val="009A3499"/>
    <w:rsid w:val="009A37E2"/>
    <w:rsid w:val="009A3855"/>
    <w:rsid w:val="009A3B79"/>
    <w:rsid w:val="009A3C89"/>
    <w:rsid w:val="009A3CB4"/>
    <w:rsid w:val="009A3CE8"/>
    <w:rsid w:val="009A3EEB"/>
    <w:rsid w:val="009A41D1"/>
    <w:rsid w:val="009A42E3"/>
    <w:rsid w:val="009A4357"/>
    <w:rsid w:val="009A457F"/>
    <w:rsid w:val="009A46D8"/>
    <w:rsid w:val="009A4899"/>
    <w:rsid w:val="009A499B"/>
    <w:rsid w:val="009A4B05"/>
    <w:rsid w:val="009A5010"/>
    <w:rsid w:val="009A503D"/>
    <w:rsid w:val="009A5670"/>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06D"/>
    <w:rsid w:val="009A7118"/>
    <w:rsid w:val="009A7291"/>
    <w:rsid w:val="009A7523"/>
    <w:rsid w:val="009A7528"/>
    <w:rsid w:val="009A7731"/>
    <w:rsid w:val="009A7762"/>
    <w:rsid w:val="009A7C2E"/>
    <w:rsid w:val="009B0058"/>
    <w:rsid w:val="009B0118"/>
    <w:rsid w:val="009B019B"/>
    <w:rsid w:val="009B022E"/>
    <w:rsid w:val="009B024D"/>
    <w:rsid w:val="009B0279"/>
    <w:rsid w:val="009B0615"/>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84"/>
    <w:rsid w:val="009B1EB4"/>
    <w:rsid w:val="009B2108"/>
    <w:rsid w:val="009B227B"/>
    <w:rsid w:val="009B2289"/>
    <w:rsid w:val="009B276C"/>
    <w:rsid w:val="009B27A0"/>
    <w:rsid w:val="009B28B6"/>
    <w:rsid w:val="009B2CC8"/>
    <w:rsid w:val="009B2D20"/>
    <w:rsid w:val="009B2D99"/>
    <w:rsid w:val="009B2FA0"/>
    <w:rsid w:val="009B3076"/>
    <w:rsid w:val="009B3746"/>
    <w:rsid w:val="009B385D"/>
    <w:rsid w:val="009B3A01"/>
    <w:rsid w:val="009B3A6E"/>
    <w:rsid w:val="009B3D41"/>
    <w:rsid w:val="009B3DE7"/>
    <w:rsid w:val="009B3ED9"/>
    <w:rsid w:val="009B400A"/>
    <w:rsid w:val="009B44A5"/>
    <w:rsid w:val="009B45E4"/>
    <w:rsid w:val="009B4809"/>
    <w:rsid w:val="009B4A0B"/>
    <w:rsid w:val="009B4B17"/>
    <w:rsid w:val="009B4B7D"/>
    <w:rsid w:val="009B4C4B"/>
    <w:rsid w:val="009B5032"/>
    <w:rsid w:val="009B5434"/>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3DD"/>
    <w:rsid w:val="009D05D8"/>
    <w:rsid w:val="009D0ACC"/>
    <w:rsid w:val="009D0B01"/>
    <w:rsid w:val="009D0E83"/>
    <w:rsid w:val="009D0FB1"/>
    <w:rsid w:val="009D139E"/>
    <w:rsid w:val="009D185D"/>
    <w:rsid w:val="009D1A88"/>
    <w:rsid w:val="009D1ADB"/>
    <w:rsid w:val="009D1FAF"/>
    <w:rsid w:val="009D2135"/>
    <w:rsid w:val="009D229D"/>
    <w:rsid w:val="009D24B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9B"/>
    <w:rsid w:val="009D45A5"/>
    <w:rsid w:val="009D4C88"/>
    <w:rsid w:val="009D4CB6"/>
    <w:rsid w:val="009D4E37"/>
    <w:rsid w:val="009D512F"/>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8FA"/>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6E5"/>
    <w:rsid w:val="009E375B"/>
    <w:rsid w:val="009E379B"/>
    <w:rsid w:val="009E395D"/>
    <w:rsid w:val="009E39FB"/>
    <w:rsid w:val="009E3E79"/>
    <w:rsid w:val="009E43C0"/>
    <w:rsid w:val="009E4419"/>
    <w:rsid w:val="009E485A"/>
    <w:rsid w:val="009E4872"/>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E7E16"/>
    <w:rsid w:val="009F01BA"/>
    <w:rsid w:val="009F0230"/>
    <w:rsid w:val="009F04E8"/>
    <w:rsid w:val="009F084E"/>
    <w:rsid w:val="009F086B"/>
    <w:rsid w:val="009F0B49"/>
    <w:rsid w:val="009F0CAD"/>
    <w:rsid w:val="009F0D44"/>
    <w:rsid w:val="009F10B7"/>
    <w:rsid w:val="009F11C0"/>
    <w:rsid w:val="009F1319"/>
    <w:rsid w:val="009F17D7"/>
    <w:rsid w:val="009F1AC6"/>
    <w:rsid w:val="009F1ADE"/>
    <w:rsid w:val="009F1AF5"/>
    <w:rsid w:val="009F1FA8"/>
    <w:rsid w:val="009F2022"/>
    <w:rsid w:val="009F210C"/>
    <w:rsid w:val="009F2126"/>
    <w:rsid w:val="009F21D9"/>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A1"/>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8F6"/>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3E1A"/>
    <w:rsid w:val="00A04002"/>
    <w:rsid w:val="00A04018"/>
    <w:rsid w:val="00A0440F"/>
    <w:rsid w:val="00A047CB"/>
    <w:rsid w:val="00A04B95"/>
    <w:rsid w:val="00A04BE4"/>
    <w:rsid w:val="00A04C8D"/>
    <w:rsid w:val="00A04D82"/>
    <w:rsid w:val="00A04E4B"/>
    <w:rsid w:val="00A04F91"/>
    <w:rsid w:val="00A05087"/>
    <w:rsid w:val="00A05163"/>
    <w:rsid w:val="00A0525D"/>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CB2"/>
    <w:rsid w:val="00A07D58"/>
    <w:rsid w:val="00A07D7B"/>
    <w:rsid w:val="00A07E6F"/>
    <w:rsid w:val="00A07E82"/>
    <w:rsid w:val="00A07F40"/>
    <w:rsid w:val="00A10398"/>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661"/>
    <w:rsid w:val="00A12812"/>
    <w:rsid w:val="00A12999"/>
    <w:rsid w:val="00A12B7E"/>
    <w:rsid w:val="00A13023"/>
    <w:rsid w:val="00A134B8"/>
    <w:rsid w:val="00A1367F"/>
    <w:rsid w:val="00A137C9"/>
    <w:rsid w:val="00A13883"/>
    <w:rsid w:val="00A13EF3"/>
    <w:rsid w:val="00A13F3B"/>
    <w:rsid w:val="00A1406D"/>
    <w:rsid w:val="00A14242"/>
    <w:rsid w:val="00A14379"/>
    <w:rsid w:val="00A1443B"/>
    <w:rsid w:val="00A1467D"/>
    <w:rsid w:val="00A14819"/>
    <w:rsid w:val="00A14C57"/>
    <w:rsid w:val="00A14CEB"/>
    <w:rsid w:val="00A14D0F"/>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8A7"/>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D28"/>
    <w:rsid w:val="00A25F49"/>
    <w:rsid w:val="00A2642E"/>
    <w:rsid w:val="00A26475"/>
    <w:rsid w:val="00A26664"/>
    <w:rsid w:val="00A2684C"/>
    <w:rsid w:val="00A26A6B"/>
    <w:rsid w:val="00A26AFE"/>
    <w:rsid w:val="00A26B09"/>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6C4"/>
    <w:rsid w:val="00A3081D"/>
    <w:rsid w:val="00A30CA7"/>
    <w:rsid w:val="00A311C8"/>
    <w:rsid w:val="00A3123A"/>
    <w:rsid w:val="00A312DA"/>
    <w:rsid w:val="00A312E8"/>
    <w:rsid w:val="00A3133A"/>
    <w:rsid w:val="00A313AE"/>
    <w:rsid w:val="00A31B02"/>
    <w:rsid w:val="00A31E7A"/>
    <w:rsid w:val="00A31F5A"/>
    <w:rsid w:val="00A32360"/>
    <w:rsid w:val="00A324B7"/>
    <w:rsid w:val="00A3262A"/>
    <w:rsid w:val="00A3269C"/>
    <w:rsid w:val="00A32713"/>
    <w:rsid w:val="00A32868"/>
    <w:rsid w:val="00A3291A"/>
    <w:rsid w:val="00A32939"/>
    <w:rsid w:val="00A329C7"/>
    <w:rsid w:val="00A32B32"/>
    <w:rsid w:val="00A32C8B"/>
    <w:rsid w:val="00A32CBC"/>
    <w:rsid w:val="00A32EF3"/>
    <w:rsid w:val="00A33335"/>
    <w:rsid w:val="00A333FA"/>
    <w:rsid w:val="00A33924"/>
    <w:rsid w:val="00A33A41"/>
    <w:rsid w:val="00A33B3C"/>
    <w:rsid w:val="00A33BD8"/>
    <w:rsid w:val="00A33CD8"/>
    <w:rsid w:val="00A33F7E"/>
    <w:rsid w:val="00A3441B"/>
    <w:rsid w:val="00A3480B"/>
    <w:rsid w:val="00A34B4D"/>
    <w:rsid w:val="00A34BAE"/>
    <w:rsid w:val="00A34BE1"/>
    <w:rsid w:val="00A34D97"/>
    <w:rsid w:val="00A34F90"/>
    <w:rsid w:val="00A35440"/>
    <w:rsid w:val="00A354F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A56"/>
    <w:rsid w:val="00A37DC1"/>
    <w:rsid w:val="00A37EF2"/>
    <w:rsid w:val="00A40087"/>
    <w:rsid w:val="00A4041A"/>
    <w:rsid w:val="00A40437"/>
    <w:rsid w:val="00A404A3"/>
    <w:rsid w:val="00A404B5"/>
    <w:rsid w:val="00A407CD"/>
    <w:rsid w:val="00A40842"/>
    <w:rsid w:val="00A40AAA"/>
    <w:rsid w:val="00A40AF6"/>
    <w:rsid w:val="00A40C04"/>
    <w:rsid w:val="00A40D8C"/>
    <w:rsid w:val="00A40DA7"/>
    <w:rsid w:val="00A40EC0"/>
    <w:rsid w:val="00A40ECA"/>
    <w:rsid w:val="00A41115"/>
    <w:rsid w:val="00A411AA"/>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6F3"/>
    <w:rsid w:val="00A457D3"/>
    <w:rsid w:val="00A45816"/>
    <w:rsid w:val="00A45A72"/>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EC9"/>
    <w:rsid w:val="00A47F04"/>
    <w:rsid w:val="00A501FA"/>
    <w:rsid w:val="00A5073E"/>
    <w:rsid w:val="00A507F0"/>
    <w:rsid w:val="00A50A7F"/>
    <w:rsid w:val="00A50DC8"/>
    <w:rsid w:val="00A51017"/>
    <w:rsid w:val="00A51230"/>
    <w:rsid w:val="00A516A7"/>
    <w:rsid w:val="00A516AB"/>
    <w:rsid w:val="00A520F5"/>
    <w:rsid w:val="00A5251A"/>
    <w:rsid w:val="00A5264F"/>
    <w:rsid w:val="00A52857"/>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125"/>
    <w:rsid w:val="00A54292"/>
    <w:rsid w:val="00A542E7"/>
    <w:rsid w:val="00A54379"/>
    <w:rsid w:val="00A5442C"/>
    <w:rsid w:val="00A545A1"/>
    <w:rsid w:val="00A54724"/>
    <w:rsid w:val="00A54732"/>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298"/>
    <w:rsid w:val="00A6148D"/>
    <w:rsid w:val="00A614F7"/>
    <w:rsid w:val="00A6154D"/>
    <w:rsid w:val="00A6156D"/>
    <w:rsid w:val="00A61758"/>
    <w:rsid w:val="00A617BF"/>
    <w:rsid w:val="00A618D3"/>
    <w:rsid w:val="00A61F34"/>
    <w:rsid w:val="00A620C4"/>
    <w:rsid w:val="00A620E4"/>
    <w:rsid w:val="00A625A6"/>
    <w:rsid w:val="00A6277C"/>
    <w:rsid w:val="00A628AF"/>
    <w:rsid w:val="00A6297A"/>
    <w:rsid w:val="00A62BE9"/>
    <w:rsid w:val="00A62C63"/>
    <w:rsid w:val="00A62EC5"/>
    <w:rsid w:val="00A63051"/>
    <w:rsid w:val="00A6315A"/>
    <w:rsid w:val="00A6360A"/>
    <w:rsid w:val="00A636B4"/>
    <w:rsid w:val="00A637A8"/>
    <w:rsid w:val="00A6391D"/>
    <w:rsid w:val="00A63A1E"/>
    <w:rsid w:val="00A6428E"/>
    <w:rsid w:val="00A645C2"/>
    <w:rsid w:val="00A646A3"/>
    <w:rsid w:val="00A646DD"/>
    <w:rsid w:val="00A64811"/>
    <w:rsid w:val="00A64864"/>
    <w:rsid w:val="00A64A9D"/>
    <w:rsid w:val="00A64C60"/>
    <w:rsid w:val="00A64D34"/>
    <w:rsid w:val="00A64F37"/>
    <w:rsid w:val="00A650F5"/>
    <w:rsid w:val="00A650FC"/>
    <w:rsid w:val="00A6527D"/>
    <w:rsid w:val="00A658A6"/>
    <w:rsid w:val="00A65AF9"/>
    <w:rsid w:val="00A65BC8"/>
    <w:rsid w:val="00A66271"/>
    <w:rsid w:val="00A66342"/>
    <w:rsid w:val="00A6680F"/>
    <w:rsid w:val="00A66A53"/>
    <w:rsid w:val="00A66B03"/>
    <w:rsid w:val="00A66BC3"/>
    <w:rsid w:val="00A66E38"/>
    <w:rsid w:val="00A66E90"/>
    <w:rsid w:val="00A66EEF"/>
    <w:rsid w:val="00A6706B"/>
    <w:rsid w:val="00A6708F"/>
    <w:rsid w:val="00A6749F"/>
    <w:rsid w:val="00A675E0"/>
    <w:rsid w:val="00A6763B"/>
    <w:rsid w:val="00A6764E"/>
    <w:rsid w:val="00A67839"/>
    <w:rsid w:val="00A67890"/>
    <w:rsid w:val="00A67A0D"/>
    <w:rsid w:val="00A67C1A"/>
    <w:rsid w:val="00A67CFD"/>
    <w:rsid w:val="00A70107"/>
    <w:rsid w:val="00A70233"/>
    <w:rsid w:val="00A702CA"/>
    <w:rsid w:val="00A702D2"/>
    <w:rsid w:val="00A70425"/>
    <w:rsid w:val="00A704E8"/>
    <w:rsid w:val="00A70664"/>
    <w:rsid w:val="00A706CC"/>
    <w:rsid w:val="00A70763"/>
    <w:rsid w:val="00A707D5"/>
    <w:rsid w:val="00A70AB8"/>
    <w:rsid w:val="00A70B4F"/>
    <w:rsid w:val="00A70B85"/>
    <w:rsid w:val="00A70D26"/>
    <w:rsid w:val="00A70E55"/>
    <w:rsid w:val="00A70F73"/>
    <w:rsid w:val="00A710C3"/>
    <w:rsid w:val="00A712F2"/>
    <w:rsid w:val="00A71510"/>
    <w:rsid w:val="00A715B0"/>
    <w:rsid w:val="00A71768"/>
    <w:rsid w:val="00A71877"/>
    <w:rsid w:val="00A71A6C"/>
    <w:rsid w:val="00A71BF6"/>
    <w:rsid w:val="00A721C3"/>
    <w:rsid w:val="00A72495"/>
    <w:rsid w:val="00A72499"/>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9FE"/>
    <w:rsid w:val="00A74A15"/>
    <w:rsid w:val="00A74A55"/>
    <w:rsid w:val="00A74B70"/>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A16"/>
    <w:rsid w:val="00A81BC3"/>
    <w:rsid w:val="00A81D35"/>
    <w:rsid w:val="00A81E61"/>
    <w:rsid w:val="00A827FD"/>
    <w:rsid w:val="00A82801"/>
    <w:rsid w:val="00A8289C"/>
    <w:rsid w:val="00A828C4"/>
    <w:rsid w:val="00A82AF7"/>
    <w:rsid w:val="00A82D58"/>
    <w:rsid w:val="00A82E5B"/>
    <w:rsid w:val="00A83006"/>
    <w:rsid w:val="00A83364"/>
    <w:rsid w:val="00A8372F"/>
    <w:rsid w:val="00A83968"/>
    <w:rsid w:val="00A83B18"/>
    <w:rsid w:val="00A83E1C"/>
    <w:rsid w:val="00A83E75"/>
    <w:rsid w:val="00A84176"/>
    <w:rsid w:val="00A84201"/>
    <w:rsid w:val="00A842D2"/>
    <w:rsid w:val="00A845BA"/>
    <w:rsid w:val="00A84AE2"/>
    <w:rsid w:val="00A84F9A"/>
    <w:rsid w:val="00A8503A"/>
    <w:rsid w:val="00A85056"/>
    <w:rsid w:val="00A85074"/>
    <w:rsid w:val="00A853B4"/>
    <w:rsid w:val="00A857DF"/>
    <w:rsid w:val="00A85852"/>
    <w:rsid w:val="00A859B0"/>
    <w:rsid w:val="00A859E2"/>
    <w:rsid w:val="00A85C46"/>
    <w:rsid w:val="00A86342"/>
    <w:rsid w:val="00A86417"/>
    <w:rsid w:val="00A8642F"/>
    <w:rsid w:val="00A8663D"/>
    <w:rsid w:val="00A86827"/>
    <w:rsid w:val="00A86A38"/>
    <w:rsid w:val="00A86C29"/>
    <w:rsid w:val="00A86D95"/>
    <w:rsid w:val="00A86F5A"/>
    <w:rsid w:val="00A872CB"/>
    <w:rsid w:val="00A874A6"/>
    <w:rsid w:val="00A87742"/>
    <w:rsid w:val="00A878B8"/>
    <w:rsid w:val="00A87A98"/>
    <w:rsid w:val="00A87B07"/>
    <w:rsid w:val="00A87C7B"/>
    <w:rsid w:val="00A87D70"/>
    <w:rsid w:val="00A87DC9"/>
    <w:rsid w:val="00A900C5"/>
    <w:rsid w:val="00A902CF"/>
    <w:rsid w:val="00A90390"/>
    <w:rsid w:val="00A906E9"/>
    <w:rsid w:val="00A90B34"/>
    <w:rsid w:val="00A90BE9"/>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06"/>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248"/>
    <w:rsid w:val="00A958AA"/>
    <w:rsid w:val="00A95D4E"/>
    <w:rsid w:val="00A95DFC"/>
    <w:rsid w:val="00A95FEE"/>
    <w:rsid w:val="00A96107"/>
    <w:rsid w:val="00A96401"/>
    <w:rsid w:val="00A964A3"/>
    <w:rsid w:val="00A964E4"/>
    <w:rsid w:val="00A96593"/>
    <w:rsid w:val="00A965F4"/>
    <w:rsid w:val="00A96759"/>
    <w:rsid w:val="00A96B79"/>
    <w:rsid w:val="00A96BA3"/>
    <w:rsid w:val="00A96BDD"/>
    <w:rsid w:val="00A96C40"/>
    <w:rsid w:val="00A96E84"/>
    <w:rsid w:val="00A96E8A"/>
    <w:rsid w:val="00A97005"/>
    <w:rsid w:val="00A9706D"/>
    <w:rsid w:val="00A9709B"/>
    <w:rsid w:val="00A971F1"/>
    <w:rsid w:val="00A97247"/>
    <w:rsid w:val="00A972F2"/>
    <w:rsid w:val="00A977A4"/>
    <w:rsid w:val="00A9798B"/>
    <w:rsid w:val="00A979D7"/>
    <w:rsid w:val="00A97D07"/>
    <w:rsid w:val="00A97D5B"/>
    <w:rsid w:val="00A97E69"/>
    <w:rsid w:val="00A97EC4"/>
    <w:rsid w:val="00A97F15"/>
    <w:rsid w:val="00A97FB7"/>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9C0"/>
    <w:rsid w:val="00AA1A1C"/>
    <w:rsid w:val="00AA1A50"/>
    <w:rsid w:val="00AA1A70"/>
    <w:rsid w:val="00AA1AEE"/>
    <w:rsid w:val="00AA1ED6"/>
    <w:rsid w:val="00AA1F1B"/>
    <w:rsid w:val="00AA1F86"/>
    <w:rsid w:val="00AA20AA"/>
    <w:rsid w:val="00AA211E"/>
    <w:rsid w:val="00AA22EE"/>
    <w:rsid w:val="00AA2353"/>
    <w:rsid w:val="00AA24B4"/>
    <w:rsid w:val="00AA252A"/>
    <w:rsid w:val="00AA25D4"/>
    <w:rsid w:val="00AA26B1"/>
    <w:rsid w:val="00AA286F"/>
    <w:rsid w:val="00AA28E2"/>
    <w:rsid w:val="00AA2BB4"/>
    <w:rsid w:val="00AA2C84"/>
    <w:rsid w:val="00AA2CFB"/>
    <w:rsid w:val="00AA2DDF"/>
    <w:rsid w:val="00AA2E1D"/>
    <w:rsid w:val="00AA2E3E"/>
    <w:rsid w:val="00AA2F3D"/>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2DB"/>
    <w:rsid w:val="00AA4343"/>
    <w:rsid w:val="00AA4444"/>
    <w:rsid w:val="00AA457B"/>
    <w:rsid w:val="00AA4CCB"/>
    <w:rsid w:val="00AA4DC0"/>
    <w:rsid w:val="00AA4E0E"/>
    <w:rsid w:val="00AA4E14"/>
    <w:rsid w:val="00AA4EC9"/>
    <w:rsid w:val="00AA5072"/>
    <w:rsid w:val="00AA522F"/>
    <w:rsid w:val="00AA53D6"/>
    <w:rsid w:val="00AA5440"/>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2DC"/>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1"/>
    <w:rsid w:val="00AB14A7"/>
    <w:rsid w:val="00AB1A70"/>
    <w:rsid w:val="00AB1B5E"/>
    <w:rsid w:val="00AB1FED"/>
    <w:rsid w:val="00AB20E5"/>
    <w:rsid w:val="00AB21F3"/>
    <w:rsid w:val="00AB21F9"/>
    <w:rsid w:val="00AB27D5"/>
    <w:rsid w:val="00AB28A4"/>
    <w:rsid w:val="00AB2990"/>
    <w:rsid w:val="00AB2A70"/>
    <w:rsid w:val="00AB2E11"/>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00"/>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C3E"/>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5DF"/>
    <w:rsid w:val="00AC05FB"/>
    <w:rsid w:val="00AC064B"/>
    <w:rsid w:val="00AC0689"/>
    <w:rsid w:val="00AC0748"/>
    <w:rsid w:val="00AC0BD7"/>
    <w:rsid w:val="00AC0FD0"/>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C88"/>
    <w:rsid w:val="00AC503D"/>
    <w:rsid w:val="00AC53F0"/>
    <w:rsid w:val="00AC5456"/>
    <w:rsid w:val="00AC54F5"/>
    <w:rsid w:val="00AC554D"/>
    <w:rsid w:val="00AC5BB5"/>
    <w:rsid w:val="00AC5C40"/>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068A"/>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32C"/>
    <w:rsid w:val="00AD3469"/>
    <w:rsid w:val="00AD358A"/>
    <w:rsid w:val="00AD39BD"/>
    <w:rsid w:val="00AD3B30"/>
    <w:rsid w:val="00AD3BA3"/>
    <w:rsid w:val="00AD3EAB"/>
    <w:rsid w:val="00AD3FEA"/>
    <w:rsid w:val="00AD433F"/>
    <w:rsid w:val="00AD43EE"/>
    <w:rsid w:val="00AD4463"/>
    <w:rsid w:val="00AD44DB"/>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0E0"/>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C78"/>
    <w:rsid w:val="00AE12C2"/>
    <w:rsid w:val="00AE1AE6"/>
    <w:rsid w:val="00AE1BA9"/>
    <w:rsid w:val="00AE1C07"/>
    <w:rsid w:val="00AE2253"/>
    <w:rsid w:val="00AE27EE"/>
    <w:rsid w:val="00AE29D9"/>
    <w:rsid w:val="00AE29DA"/>
    <w:rsid w:val="00AE2B23"/>
    <w:rsid w:val="00AE34A2"/>
    <w:rsid w:val="00AE3605"/>
    <w:rsid w:val="00AE3667"/>
    <w:rsid w:val="00AE3676"/>
    <w:rsid w:val="00AE3798"/>
    <w:rsid w:val="00AE3905"/>
    <w:rsid w:val="00AE393E"/>
    <w:rsid w:val="00AE39C6"/>
    <w:rsid w:val="00AE3E76"/>
    <w:rsid w:val="00AE3EBC"/>
    <w:rsid w:val="00AE4078"/>
    <w:rsid w:val="00AE40CB"/>
    <w:rsid w:val="00AE40F5"/>
    <w:rsid w:val="00AE4261"/>
    <w:rsid w:val="00AE436D"/>
    <w:rsid w:val="00AE456B"/>
    <w:rsid w:val="00AE45DE"/>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978"/>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6FF3"/>
    <w:rsid w:val="00AF727C"/>
    <w:rsid w:val="00AF7328"/>
    <w:rsid w:val="00AF7592"/>
    <w:rsid w:val="00AF761B"/>
    <w:rsid w:val="00AF7664"/>
    <w:rsid w:val="00AF78B3"/>
    <w:rsid w:val="00AF7A14"/>
    <w:rsid w:val="00AF7A5F"/>
    <w:rsid w:val="00AF7BA7"/>
    <w:rsid w:val="00AF7EB1"/>
    <w:rsid w:val="00B0022B"/>
    <w:rsid w:val="00B00351"/>
    <w:rsid w:val="00B00519"/>
    <w:rsid w:val="00B00559"/>
    <w:rsid w:val="00B006CB"/>
    <w:rsid w:val="00B01106"/>
    <w:rsid w:val="00B01755"/>
    <w:rsid w:val="00B01DD8"/>
    <w:rsid w:val="00B01F15"/>
    <w:rsid w:val="00B01FED"/>
    <w:rsid w:val="00B0208A"/>
    <w:rsid w:val="00B0258F"/>
    <w:rsid w:val="00B025B4"/>
    <w:rsid w:val="00B0266F"/>
    <w:rsid w:val="00B026FC"/>
    <w:rsid w:val="00B02808"/>
    <w:rsid w:val="00B0289A"/>
    <w:rsid w:val="00B028C7"/>
    <w:rsid w:val="00B0295E"/>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4D6B"/>
    <w:rsid w:val="00B05036"/>
    <w:rsid w:val="00B05244"/>
    <w:rsid w:val="00B054C3"/>
    <w:rsid w:val="00B057FF"/>
    <w:rsid w:val="00B0591C"/>
    <w:rsid w:val="00B05E21"/>
    <w:rsid w:val="00B05F65"/>
    <w:rsid w:val="00B06249"/>
    <w:rsid w:val="00B0629A"/>
    <w:rsid w:val="00B06467"/>
    <w:rsid w:val="00B065F6"/>
    <w:rsid w:val="00B067A9"/>
    <w:rsid w:val="00B06B42"/>
    <w:rsid w:val="00B06B6A"/>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03"/>
    <w:rsid w:val="00B13122"/>
    <w:rsid w:val="00B1344A"/>
    <w:rsid w:val="00B135DC"/>
    <w:rsid w:val="00B136C6"/>
    <w:rsid w:val="00B136F1"/>
    <w:rsid w:val="00B13750"/>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09A"/>
    <w:rsid w:val="00B15172"/>
    <w:rsid w:val="00B1569E"/>
    <w:rsid w:val="00B15763"/>
    <w:rsid w:val="00B15A43"/>
    <w:rsid w:val="00B15A74"/>
    <w:rsid w:val="00B15AC4"/>
    <w:rsid w:val="00B15D69"/>
    <w:rsid w:val="00B1612D"/>
    <w:rsid w:val="00B1625C"/>
    <w:rsid w:val="00B162D9"/>
    <w:rsid w:val="00B164D6"/>
    <w:rsid w:val="00B166AA"/>
    <w:rsid w:val="00B167F8"/>
    <w:rsid w:val="00B169F9"/>
    <w:rsid w:val="00B16B2E"/>
    <w:rsid w:val="00B16D29"/>
    <w:rsid w:val="00B17576"/>
    <w:rsid w:val="00B1757C"/>
    <w:rsid w:val="00B177F3"/>
    <w:rsid w:val="00B178F9"/>
    <w:rsid w:val="00B17963"/>
    <w:rsid w:val="00B17974"/>
    <w:rsid w:val="00B17B53"/>
    <w:rsid w:val="00B17C2C"/>
    <w:rsid w:val="00B17D15"/>
    <w:rsid w:val="00B20400"/>
    <w:rsid w:val="00B204C1"/>
    <w:rsid w:val="00B205BF"/>
    <w:rsid w:val="00B206F9"/>
    <w:rsid w:val="00B20958"/>
    <w:rsid w:val="00B20981"/>
    <w:rsid w:val="00B20A04"/>
    <w:rsid w:val="00B212C8"/>
    <w:rsid w:val="00B217FA"/>
    <w:rsid w:val="00B218FA"/>
    <w:rsid w:val="00B2195D"/>
    <w:rsid w:val="00B219D0"/>
    <w:rsid w:val="00B21C0F"/>
    <w:rsid w:val="00B221AE"/>
    <w:rsid w:val="00B22255"/>
    <w:rsid w:val="00B2230D"/>
    <w:rsid w:val="00B224F3"/>
    <w:rsid w:val="00B228A0"/>
    <w:rsid w:val="00B228A2"/>
    <w:rsid w:val="00B22BA3"/>
    <w:rsid w:val="00B23072"/>
    <w:rsid w:val="00B23150"/>
    <w:rsid w:val="00B232A2"/>
    <w:rsid w:val="00B23347"/>
    <w:rsid w:val="00B23370"/>
    <w:rsid w:val="00B23568"/>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5A5"/>
    <w:rsid w:val="00B257AD"/>
    <w:rsid w:val="00B258DD"/>
    <w:rsid w:val="00B25951"/>
    <w:rsid w:val="00B25C31"/>
    <w:rsid w:val="00B26197"/>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9A"/>
    <w:rsid w:val="00B302B1"/>
    <w:rsid w:val="00B30400"/>
    <w:rsid w:val="00B30531"/>
    <w:rsid w:val="00B3086C"/>
    <w:rsid w:val="00B30935"/>
    <w:rsid w:val="00B30ADE"/>
    <w:rsid w:val="00B30C76"/>
    <w:rsid w:val="00B30F12"/>
    <w:rsid w:val="00B31287"/>
    <w:rsid w:val="00B31416"/>
    <w:rsid w:val="00B31681"/>
    <w:rsid w:val="00B316A2"/>
    <w:rsid w:val="00B318C1"/>
    <w:rsid w:val="00B31AA1"/>
    <w:rsid w:val="00B31B1D"/>
    <w:rsid w:val="00B31C87"/>
    <w:rsid w:val="00B31CC2"/>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BD9"/>
    <w:rsid w:val="00B33E9B"/>
    <w:rsid w:val="00B33FA0"/>
    <w:rsid w:val="00B34028"/>
    <w:rsid w:val="00B34199"/>
    <w:rsid w:val="00B34323"/>
    <w:rsid w:val="00B344F4"/>
    <w:rsid w:val="00B346E7"/>
    <w:rsid w:val="00B34AEE"/>
    <w:rsid w:val="00B34D28"/>
    <w:rsid w:val="00B3537B"/>
    <w:rsid w:val="00B3545E"/>
    <w:rsid w:val="00B3565C"/>
    <w:rsid w:val="00B356E6"/>
    <w:rsid w:val="00B3575C"/>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6F1"/>
    <w:rsid w:val="00B36F06"/>
    <w:rsid w:val="00B372C4"/>
    <w:rsid w:val="00B3732B"/>
    <w:rsid w:val="00B37352"/>
    <w:rsid w:val="00B374C2"/>
    <w:rsid w:val="00B3752C"/>
    <w:rsid w:val="00B3761E"/>
    <w:rsid w:val="00B37935"/>
    <w:rsid w:val="00B379B2"/>
    <w:rsid w:val="00B379C2"/>
    <w:rsid w:val="00B37A33"/>
    <w:rsid w:val="00B37C53"/>
    <w:rsid w:val="00B37F3A"/>
    <w:rsid w:val="00B40046"/>
    <w:rsid w:val="00B40213"/>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176"/>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CED"/>
    <w:rsid w:val="00B46E02"/>
    <w:rsid w:val="00B46F89"/>
    <w:rsid w:val="00B47001"/>
    <w:rsid w:val="00B470A0"/>
    <w:rsid w:val="00B47316"/>
    <w:rsid w:val="00B47341"/>
    <w:rsid w:val="00B47351"/>
    <w:rsid w:val="00B47393"/>
    <w:rsid w:val="00B47464"/>
    <w:rsid w:val="00B477B4"/>
    <w:rsid w:val="00B47AFA"/>
    <w:rsid w:val="00B47C34"/>
    <w:rsid w:val="00B47CEE"/>
    <w:rsid w:val="00B47DFD"/>
    <w:rsid w:val="00B47E63"/>
    <w:rsid w:val="00B50040"/>
    <w:rsid w:val="00B500B9"/>
    <w:rsid w:val="00B50113"/>
    <w:rsid w:val="00B5044D"/>
    <w:rsid w:val="00B507C2"/>
    <w:rsid w:val="00B50891"/>
    <w:rsid w:val="00B508E4"/>
    <w:rsid w:val="00B50C8E"/>
    <w:rsid w:val="00B50D5E"/>
    <w:rsid w:val="00B50ED3"/>
    <w:rsid w:val="00B5111D"/>
    <w:rsid w:val="00B51149"/>
    <w:rsid w:val="00B511D5"/>
    <w:rsid w:val="00B512E1"/>
    <w:rsid w:val="00B518F9"/>
    <w:rsid w:val="00B51B06"/>
    <w:rsid w:val="00B521B2"/>
    <w:rsid w:val="00B5235C"/>
    <w:rsid w:val="00B52381"/>
    <w:rsid w:val="00B5283D"/>
    <w:rsid w:val="00B52B87"/>
    <w:rsid w:val="00B52F08"/>
    <w:rsid w:val="00B530FD"/>
    <w:rsid w:val="00B533AE"/>
    <w:rsid w:val="00B533FD"/>
    <w:rsid w:val="00B535E0"/>
    <w:rsid w:val="00B536BD"/>
    <w:rsid w:val="00B53772"/>
    <w:rsid w:val="00B5387C"/>
    <w:rsid w:val="00B538A9"/>
    <w:rsid w:val="00B538C1"/>
    <w:rsid w:val="00B538F9"/>
    <w:rsid w:val="00B53925"/>
    <w:rsid w:val="00B539B8"/>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37"/>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13C"/>
    <w:rsid w:val="00B643E2"/>
    <w:rsid w:val="00B6446C"/>
    <w:rsid w:val="00B64900"/>
    <w:rsid w:val="00B64921"/>
    <w:rsid w:val="00B64AE2"/>
    <w:rsid w:val="00B64D63"/>
    <w:rsid w:val="00B64EB6"/>
    <w:rsid w:val="00B65021"/>
    <w:rsid w:val="00B6565A"/>
    <w:rsid w:val="00B65ABA"/>
    <w:rsid w:val="00B65C89"/>
    <w:rsid w:val="00B65CC3"/>
    <w:rsid w:val="00B65D4E"/>
    <w:rsid w:val="00B65E23"/>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DB0"/>
    <w:rsid w:val="00B67EB2"/>
    <w:rsid w:val="00B700F3"/>
    <w:rsid w:val="00B70119"/>
    <w:rsid w:val="00B7034A"/>
    <w:rsid w:val="00B703F9"/>
    <w:rsid w:val="00B707C4"/>
    <w:rsid w:val="00B70A0F"/>
    <w:rsid w:val="00B70AEC"/>
    <w:rsid w:val="00B70B82"/>
    <w:rsid w:val="00B70CE6"/>
    <w:rsid w:val="00B70D71"/>
    <w:rsid w:val="00B71009"/>
    <w:rsid w:val="00B711C6"/>
    <w:rsid w:val="00B71393"/>
    <w:rsid w:val="00B7140E"/>
    <w:rsid w:val="00B714A8"/>
    <w:rsid w:val="00B7188B"/>
    <w:rsid w:val="00B719C9"/>
    <w:rsid w:val="00B71AD4"/>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CA9"/>
    <w:rsid w:val="00B80006"/>
    <w:rsid w:val="00B80730"/>
    <w:rsid w:val="00B80826"/>
    <w:rsid w:val="00B8089F"/>
    <w:rsid w:val="00B80DCE"/>
    <w:rsid w:val="00B80E26"/>
    <w:rsid w:val="00B80E73"/>
    <w:rsid w:val="00B80F48"/>
    <w:rsid w:val="00B80F77"/>
    <w:rsid w:val="00B81054"/>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64"/>
    <w:rsid w:val="00B832B5"/>
    <w:rsid w:val="00B8343C"/>
    <w:rsid w:val="00B834B1"/>
    <w:rsid w:val="00B83676"/>
    <w:rsid w:val="00B8374F"/>
    <w:rsid w:val="00B839C4"/>
    <w:rsid w:val="00B83D44"/>
    <w:rsid w:val="00B83F7B"/>
    <w:rsid w:val="00B841C4"/>
    <w:rsid w:val="00B84454"/>
    <w:rsid w:val="00B845C2"/>
    <w:rsid w:val="00B8492C"/>
    <w:rsid w:val="00B84974"/>
    <w:rsid w:val="00B849B6"/>
    <w:rsid w:val="00B85121"/>
    <w:rsid w:val="00B85143"/>
    <w:rsid w:val="00B85549"/>
    <w:rsid w:val="00B8566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AF7"/>
    <w:rsid w:val="00B86CBE"/>
    <w:rsid w:val="00B86DFE"/>
    <w:rsid w:val="00B86E09"/>
    <w:rsid w:val="00B86EF4"/>
    <w:rsid w:val="00B870A0"/>
    <w:rsid w:val="00B872FE"/>
    <w:rsid w:val="00B87424"/>
    <w:rsid w:val="00B877C1"/>
    <w:rsid w:val="00B87C50"/>
    <w:rsid w:val="00B87F93"/>
    <w:rsid w:val="00B906E2"/>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6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0FC"/>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7A"/>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57D"/>
    <w:rsid w:val="00BA2816"/>
    <w:rsid w:val="00BA2898"/>
    <w:rsid w:val="00BA2C33"/>
    <w:rsid w:val="00BA2D6C"/>
    <w:rsid w:val="00BA300A"/>
    <w:rsid w:val="00BA3195"/>
    <w:rsid w:val="00BA31CD"/>
    <w:rsid w:val="00BA33FC"/>
    <w:rsid w:val="00BA3491"/>
    <w:rsid w:val="00BA354D"/>
    <w:rsid w:val="00BA3914"/>
    <w:rsid w:val="00BA39E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4D"/>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B98"/>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E9E"/>
    <w:rsid w:val="00BB3F6A"/>
    <w:rsid w:val="00BB414D"/>
    <w:rsid w:val="00BB4473"/>
    <w:rsid w:val="00BB4677"/>
    <w:rsid w:val="00BB47AF"/>
    <w:rsid w:val="00BB47CF"/>
    <w:rsid w:val="00BB4880"/>
    <w:rsid w:val="00BB4E55"/>
    <w:rsid w:val="00BB509C"/>
    <w:rsid w:val="00BB54D2"/>
    <w:rsid w:val="00BB59BA"/>
    <w:rsid w:val="00BB5A75"/>
    <w:rsid w:val="00BB5BB7"/>
    <w:rsid w:val="00BB5CFC"/>
    <w:rsid w:val="00BB5E92"/>
    <w:rsid w:val="00BB5EAD"/>
    <w:rsid w:val="00BB5F30"/>
    <w:rsid w:val="00BB60FD"/>
    <w:rsid w:val="00BB6446"/>
    <w:rsid w:val="00BB649F"/>
    <w:rsid w:val="00BB679E"/>
    <w:rsid w:val="00BB6816"/>
    <w:rsid w:val="00BB68AF"/>
    <w:rsid w:val="00BB6ADC"/>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4BF"/>
    <w:rsid w:val="00BC16EC"/>
    <w:rsid w:val="00BC19A5"/>
    <w:rsid w:val="00BC1ED2"/>
    <w:rsid w:val="00BC1FA5"/>
    <w:rsid w:val="00BC2027"/>
    <w:rsid w:val="00BC206A"/>
    <w:rsid w:val="00BC20CA"/>
    <w:rsid w:val="00BC2297"/>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3CA"/>
    <w:rsid w:val="00BC440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99E"/>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81D"/>
    <w:rsid w:val="00BD49FA"/>
    <w:rsid w:val="00BD4A16"/>
    <w:rsid w:val="00BD4BC8"/>
    <w:rsid w:val="00BD4C18"/>
    <w:rsid w:val="00BD4C6A"/>
    <w:rsid w:val="00BD4D66"/>
    <w:rsid w:val="00BD4DDD"/>
    <w:rsid w:val="00BD4E7C"/>
    <w:rsid w:val="00BD5071"/>
    <w:rsid w:val="00BD50D0"/>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90D"/>
    <w:rsid w:val="00BD7A1E"/>
    <w:rsid w:val="00BD7B6C"/>
    <w:rsid w:val="00BD7DCE"/>
    <w:rsid w:val="00BD7F9B"/>
    <w:rsid w:val="00BE00A4"/>
    <w:rsid w:val="00BE032B"/>
    <w:rsid w:val="00BE049F"/>
    <w:rsid w:val="00BE05D9"/>
    <w:rsid w:val="00BE067B"/>
    <w:rsid w:val="00BE0710"/>
    <w:rsid w:val="00BE0742"/>
    <w:rsid w:val="00BE08D3"/>
    <w:rsid w:val="00BE08ED"/>
    <w:rsid w:val="00BE098F"/>
    <w:rsid w:val="00BE09E9"/>
    <w:rsid w:val="00BE0BC6"/>
    <w:rsid w:val="00BE0C4E"/>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3DC"/>
    <w:rsid w:val="00BE26A5"/>
    <w:rsid w:val="00BE2753"/>
    <w:rsid w:val="00BE294B"/>
    <w:rsid w:val="00BE2AED"/>
    <w:rsid w:val="00BE2C1F"/>
    <w:rsid w:val="00BE2D4E"/>
    <w:rsid w:val="00BE2DD2"/>
    <w:rsid w:val="00BE2E26"/>
    <w:rsid w:val="00BE30FE"/>
    <w:rsid w:val="00BE31B0"/>
    <w:rsid w:val="00BE31B7"/>
    <w:rsid w:val="00BE3285"/>
    <w:rsid w:val="00BE33C4"/>
    <w:rsid w:val="00BE33DD"/>
    <w:rsid w:val="00BE361F"/>
    <w:rsid w:val="00BE36BB"/>
    <w:rsid w:val="00BE36FF"/>
    <w:rsid w:val="00BE37C0"/>
    <w:rsid w:val="00BE38ED"/>
    <w:rsid w:val="00BE3925"/>
    <w:rsid w:val="00BE3951"/>
    <w:rsid w:val="00BE3975"/>
    <w:rsid w:val="00BE3B95"/>
    <w:rsid w:val="00BE3BD7"/>
    <w:rsid w:val="00BE3BF9"/>
    <w:rsid w:val="00BE3EA8"/>
    <w:rsid w:val="00BE40B7"/>
    <w:rsid w:val="00BE4237"/>
    <w:rsid w:val="00BE495B"/>
    <w:rsid w:val="00BE49F3"/>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594"/>
    <w:rsid w:val="00BF3891"/>
    <w:rsid w:val="00BF3AF4"/>
    <w:rsid w:val="00BF3CE8"/>
    <w:rsid w:val="00BF3E01"/>
    <w:rsid w:val="00BF42AA"/>
    <w:rsid w:val="00BF44A6"/>
    <w:rsid w:val="00BF4529"/>
    <w:rsid w:val="00BF45EE"/>
    <w:rsid w:val="00BF46A8"/>
    <w:rsid w:val="00BF48A8"/>
    <w:rsid w:val="00BF4BC1"/>
    <w:rsid w:val="00BF4C4E"/>
    <w:rsid w:val="00BF5166"/>
    <w:rsid w:val="00BF55AA"/>
    <w:rsid w:val="00BF56BB"/>
    <w:rsid w:val="00BF5A18"/>
    <w:rsid w:val="00BF5C2E"/>
    <w:rsid w:val="00BF6641"/>
    <w:rsid w:val="00BF67AB"/>
    <w:rsid w:val="00BF6858"/>
    <w:rsid w:val="00BF68CF"/>
    <w:rsid w:val="00BF6C60"/>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A0D"/>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422"/>
    <w:rsid w:val="00C03843"/>
    <w:rsid w:val="00C038A6"/>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04"/>
    <w:rsid w:val="00C06FC0"/>
    <w:rsid w:val="00C072F5"/>
    <w:rsid w:val="00C074FD"/>
    <w:rsid w:val="00C07515"/>
    <w:rsid w:val="00C0767A"/>
    <w:rsid w:val="00C0791D"/>
    <w:rsid w:val="00C079AE"/>
    <w:rsid w:val="00C07B24"/>
    <w:rsid w:val="00C07E5E"/>
    <w:rsid w:val="00C10508"/>
    <w:rsid w:val="00C106ED"/>
    <w:rsid w:val="00C107E0"/>
    <w:rsid w:val="00C109CA"/>
    <w:rsid w:val="00C10C66"/>
    <w:rsid w:val="00C10D6C"/>
    <w:rsid w:val="00C10DB5"/>
    <w:rsid w:val="00C10E86"/>
    <w:rsid w:val="00C10EA4"/>
    <w:rsid w:val="00C111B2"/>
    <w:rsid w:val="00C1128C"/>
    <w:rsid w:val="00C112B5"/>
    <w:rsid w:val="00C113EB"/>
    <w:rsid w:val="00C1149B"/>
    <w:rsid w:val="00C114DB"/>
    <w:rsid w:val="00C1155B"/>
    <w:rsid w:val="00C115FE"/>
    <w:rsid w:val="00C117A8"/>
    <w:rsid w:val="00C117AE"/>
    <w:rsid w:val="00C11C75"/>
    <w:rsid w:val="00C11C9B"/>
    <w:rsid w:val="00C11F58"/>
    <w:rsid w:val="00C11F89"/>
    <w:rsid w:val="00C11FCB"/>
    <w:rsid w:val="00C1209E"/>
    <w:rsid w:val="00C1229F"/>
    <w:rsid w:val="00C1236E"/>
    <w:rsid w:val="00C12698"/>
    <w:rsid w:val="00C127C6"/>
    <w:rsid w:val="00C12908"/>
    <w:rsid w:val="00C12AC4"/>
    <w:rsid w:val="00C12B5B"/>
    <w:rsid w:val="00C12BC4"/>
    <w:rsid w:val="00C12C9A"/>
    <w:rsid w:val="00C12CFA"/>
    <w:rsid w:val="00C12E43"/>
    <w:rsid w:val="00C13133"/>
    <w:rsid w:val="00C13240"/>
    <w:rsid w:val="00C13415"/>
    <w:rsid w:val="00C136C9"/>
    <w:rsid w:val="00C14041"/>
    <w:rsid w:val="00C14124"/>
    <w:rsid w:val="00C14134"/>
    <w:rsid w:val="00C141B9"/>
    <w:rsid w:val="00C14321"/>
    <w:rsid w:val="00C1439E"/>
    <w:rsid w:val="00C1464A"/>
    <w:rsid w:val="00C1466E"/>
    <w:rsid w:val="00C146E5"/>
    <w:rsid w:val="00C148F3"/>
    <w:rsid w:val="00C1497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49"/>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932"/>
    <w:rsid w:val="00C24DA6"/>
    <w:rsid w:val="00C24F97"/>
    <w:rsid w:val="00C25129"/>
    <w:rsid w:val="00C25134"/>
    <w:rsid w:val="00C25297"/>
    <w:rsid w:val="00C254DA"/>
    <w:rsid w:val="00C254FD"/>
    <w:rsid w:val="00C257D5"/>
    <w:rsid w:val="00C25AB8"/>
    <w:rsid w:val="00C25AD5"/>
    <w:rsid w:val="00C25D7B"/>
    <w:rsid w:val="00C25F0A"/>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DDB"/>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34A"/>
    <w:rsid w:val="00C3364A"/>
    <w:rsid w:val="00C3368F"/>
    <w:rsid w:val="00C336ED"/>
    <w:rsid w:val="00C33775"/>
    <w:rsid w:val="00C338F1"/>
    <w:rsid w:val="00C33935"/>
    <w:rsid w:val="00C33AD0"/>
    <w:rsid w:val="00C33BDF"/>
    <w:rsid w:val="00C33C8F"/>
    <w:rsid w:val="00C33C94"/>
    <w:rsid w:val="00C33FBD"/>
    <w:rsid w:val="00C346B0"/>
    <w:rsid w:val="00C349D6"/>
    <w:rsid w:val="00C35046"/>
    <w:rsid w:val="00C3560B"/>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7E0"/>
    <w:rsid w:val="00C37876"/>
    <w:rsid w:val="00C37B74"/>
    <w:rsid w:val="00C37DC0"/>
    <w:rsid w:val="00C37F14"/>
    <w:rsid w:val="00C401C1"/>
    <w:rsid w:val="00C4023B"/>
    <w:rsid w:val="00C402A0"/>
    <w:rsid w:val="00C402F9"/>
    <w:rsid w:val="00C403B2"/>
    <w:rsid w:val="00C4050B"/>
    <w:rsid w:val="00C40B93"/>
    <w:rsid w:val="00C40E3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374"/>
    <w:rsid w:val="00C4463C"/>
    <w:rsid w:val="00C44775"/>
    <w:rsid w:val="00C4477C"/>
    <w:rsid w:val="00C44855"/>
    <w:rsid w:val="00C44A73"/>
    <w:rsid w:val="00C44AD7"/>
    <w:rsid w:val="00C44B0F"/>
    <w:rsid w:val="00C44F07"/>
    <w:rsid w:val="00C452DA"/>
    <w:rsid w:val="00C45376"/>
    <w:rsid w:val="00C45468"/>
    <w:rsid w:val="00C45643"/>
    <w:rsid w:val="00C4588F"/>
    <w:rsid w:val="00C45A48"/>
    <w:rsid w:val="00C45EA4"/>
    <w:rsid w:val="00C45EAF"/>
    <w:rsid w:val="00C4604C"/>
    <w:rsid w:val="00C46101"/>
    <w:rsid w:val="00C4618D"/>
    <w:rsid w:val="00C4634F"/>
    <w:rsid w:val="00C464FC"/>
    <w:rsid w:val="00C466B1"/>
    <w:rsid w:val="00C46845"/>
    <w:rsid w:val="00C4687A"/>
    <w:rsid w:val="00C46AC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CD1"/>
    <w:rsid w:val="00C50EE9"/>
    <w:rsid w:val="00C51133"/>
    <w:rsid w:val="00C5120A"/>
    <w:rsid w:val="00C513F9"/>
    <w:rsid w:val="00C514A1"/>
    <w:rsid w:val="00C518C4"/>
    <w:rsid w:val="00C51BF2"/>
    <w:rsid w:val="00C51CD7"/>
    <w:rsid w:val="00C51D34"/>
    <w:rsid w:val="00C51FF4"/>
    <w:rsid w:val="00C52362"/>
    <w:rsid w:val="00C523A1"/>
    <w:rsid w:val="00C523C0"/>
    <w:rsid w:val="00C52996"/>
    <w:rsid w:val="00C52A4F"/>
    <w:rsid w:val="00C52D23"/>
    <w:rsid w:val="00C52EE3"/>
    <w:rsid w:val="00C53146"/>
    <w:rsid w:val="00C53157"/>
    <w:rsid w:val="00C533C4"/>
    <w:rsid w:val="00C533D7"/>
    <w:rsid w:val="00C533E9"/>
    <w:rsid w:val="00C5341A"/>
    <w:rsid w:val="00C5348A"/>
    <w:rsid w:val="00C534DC"/>
    <w:rsid w:val="00C5385D"/>
    <w:rsid w:val="00C53954"/>
    <w:rsid w:val="00C53D1C"/>
    <w:rsid w:val="00C53D77"/>
    <w:rsid w:val="00C53E38"/>
    <w:rsid w:val="00C53EC7"/>
    <w:rsid w:val="00C53F59"/>
    <w:rsid w:val="00C542BD"/>
    <w:rsid w:val="00C542E4"/>
    <w:rsid w:val="00C543EE"/>
    <w:rsid w:val="00C54541"/>
    <w:rsid w:val="00C5496D"/>
    <w:rsid w:val="00C54BAF"/>
    <w:rsid w:val="00C54ED1"/>
    <w:rsid w:val="00C554C8"/>
    <w:rsid w:val="00C55951"/>
    <w:rsid w:val="00C55B58"/>
    <w:rsid w:val="00C55EAE"/>
    <w:rsid w:val="00C55F4D"/>
    <w:rsid w:val="00C55FF0"/>
    <w:rsid w:val="00C56013"/>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BB1"/>
    <w:rsid w:val="00C60C74"/>
    <w:rsid w:val="00C60DF3"/>
    <w:rsid w:val="00C61009"/>
    <w:rsid w:val="00C61064"/>
    <w:rsid w:val="00C611A8"/>
    <w:rsid w:val="00C613BE"/>
    <w:rsid w:val="00C614D9"/>
    <w:rsid w:val="00C6157F"/>
    <w:rsid w:val="00C6165E"/>
    <w:rsid w:val="00C6184F"/>
    <w:rsid w:val="00C6190E"/>
    <w:rsid w:val="00C61C23"/>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5F8"/>
    <w:rsid w:val="00C64603"/>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29"/>
    <w:rsid w:val="00C664E1"/>
    <w:rsid w:val="00C6653F"/>
    <w:rsid w:val="00C6663D"/>
    <w:rsid w:val="00C667D3"/>
    <w:rsid w:val="00C66870"/>
    <w:rsid w:val="00C66922"/>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1FF"/>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AA4"/>
    <w:rsid w:val="00C73BBD"/>
    <w:rsid w:val="00C73BEF"/>
    <w:rsid w:val="00C73E4E"/>
    <w:rsid w:val="00C73EF7"/>
    <w:rsid w:val="00C74029"/>
    <w:rsid w:val="00C74521"/>
    <w:rsid w:val="00C7460F"/>
    <w:rsid w:val="00C7478F"/>
    <w:rsid w:val="00C74984"/>
    <w:rsid w:val="00C74D7A"/>
    <w:rsid w:val="00C74DC1"/>
    <w:rsid w:val="00C74EA2"/>
    <w:rsid w:val="00C74F52"/>
    <w:rsid w:val="00C75014"/>
    <w:rsid w:val="00C7503B"/>
    <w:rsid w:val="00C751C2"/>
    <w:rsid w:val="00C75754"/>
    <w:rsid w:val="00C75770"/>
    <w:rsid w:val="00C7593F"/>
    <w:rsid w:val="00C75963"/>
    <w:rsid w:val="00C75A5F"/>
    <w:rsid w:val="00C75CCA"/>
    <w:rsid w:val="00C75E42"/>
    <w:rsid w:val="00C76309"/>
    <w:rsid w:val="00C76582"/>
    <w:rsid w:val="00C76829"/>
    <w:rsid w:val="00C76B37"/>
    <w:rsid w:val="00C76B63"/>
    <w:rsid w:val="00C76B67"/>
    <w:rsid w:val="00C76D20"/>
    <w:rsid w:val="00C770FE"/>
    <w:rsid w:val="00C77134"/>
    <w:rsid w:val="00C77477"/>
    <w:rsid w:val="00C77693"/>
    <w:rsid w:val="00C776CD"/>
    <w:rsid w:val="00C77741"/>
    <w:rsid w:val="00C779C3"/>
    <w:rsid w:val="00C77B25"/>
    <w:rsid w:val="00C77F27"/>
    <w:rsid w:val="00C77FE4"/>
    <w:rsid w:val="00C80060"/>
    <w:rsid w:val="00C8016C"/>
    <w:rsid w:val="00C803E4"/>
    <w:rsid w:val="00C809B1"/>
    <w:rsid w:val="00C80B2D"/>
    <w:rsid w:val="00C80B4B"/>
    <w:rsid w:val="00C80D6F"/>
    <w:rsid w:val="00C8110A"/>
    <w:rsid w:val="00C81238"/>
    <w:rsid w:val="00C81257"/>
    <w:rsid w:val="00C81499"/>
    <w:rsid w:val="00C81617"/>
    <w:rsid w:val="00C819D1"/>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575"/>
    <w:rsid w:val="00C846F1"/>
    <w:rsid w:val="00C8470F"/>
    <w:rsid w:val="00C848C9"/>
    <w:rsid w:val="00C84ABF"/>
    <w:rsid w:val="00C84B08"/>
    <w:rsid w:val="00C84CA3"/>
    <w:rsid w:val="00C84CCA"/>
    <w:rsid w:val="00C850CA"/>
    <w:rsid w:val="00C851BC"/>
    <w:rsid w:val="00C85325"/>
    <w:rsid w:val="00C854B3"/>
    <w:rsid w:val="00C85653"/>
    <w:rsid w:val="00C8566A"/>
    <w:rsid w:val="00C8569B"/>
    <w:rsid w:val="00C859D9"/>
    <w:rsid w:val="00C85C9B"/>
    <w:rsid w:val="00C85E23"/>
    <w:rsid w:val="00C85E65"/>
    <w:rsid w:val="00C86028"/>
    <w:rsid w:val="00C86113"/>
    <w:rsid w:val="00C861F0"/>
    <w:rsid w:val="00C86479"/>
    <w:rsid w:val="00C86666"/>
    <w:rsid w:val="00C86814"/>
    <w:rsid w:val="00C869F1"/>
    <w:rsid w:val="00C86A6B"/>
    <w:rsid w:val="00C86A91"/>
    <w:rsid w:val="00C86E6A"/>
    <w:rsid w:val="00C86E96"/>
    <w:rsid w:val="00C86FD7"/>
    <w:rsid w:val="00C871D4"/>
    <w:rsid w:val="00C87A6A"/>
    <w:rsid w:val="00C87E2C"/>
    <w:rsid w:val="00C901D7"/>
    <w:rsid w:val="00C905C2"/>
    <w:rsid w:val="00C90624"/>
    <w:rsid w:val="00C907AD"/>
    <w:rsid w:val="00C90BCA"/>
    <w:rsid w:val="00C90DB0"/>
    <w:rsid w:val="00C90EC2"/>
    <w:rsid w:val="00C9126E"/>
    <w:rsid w:val="00C912EF"/>
    <w:rsid w:val="00C9136B"/>
    <w:rsid w:val="00C91655"/>
    <w:rsid w:val="00C91680"/>
    <w:rsid w:val="00C9170A"/>
    <w:rsid w:val="00C918DC"/>
    <w:rsid w:val="00C91B55"/>
    <w:rsid w:val="00C91B76"/>
    <w:rsid w:val="00C91D1F"/>
    <w:rsid w:val="00C91DBC"/>
    <w:rsid w:val="00C91E3E"/>
    <w:rsid w:val="00C91EAC"/>
    <w:rsid w:val="00C91FBC"/>
    <w:rsid w:val="00C922C9"/>
    <w:rsid w:val="00C92315"/>
    <w:rsid w:val="00C9254C"/>
    <w:rsid w:val="00C92600"/>
    <w:rsid w:val="00C92721"/>
    <w:rsid w:val="00C92882"/>
    <w:rsid w:val="00C9293C"/>
    <w:rsid w:val="00C92A0F"/>
    <w:rsid w:val="00C92AA0"/>
    <w:rsid w:val="00C92B1B"/>
    <w:rsid w:val="00C92B8C"/>
    <w:rsid w:val="00C934A5"/>
    <w:rsid w:val="00C934AA"/>
    <w:rsid w:val="00C9356C"/>
    <w:rsid w:val="00C935BD"/>
    <w:rsid w:val="00C93838"/>
    <w:rsid w:val="00C939A6"/>
    <w:rsid w:val="00C93DCE"/>
    <w:rsid w:val="00C93F2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028"/>
    <w:rsid w:val="00C97448"/>
    <w:rsid w:val="00C97558"/>
    <w:rsid w:val="00C975AD"/>
    <w:rsid w:val="00C97643"/>
    <w:rsid w:val="00C97665"/>
    <w:rsid w:val="00C97863"/>
    <w:rsid w:val="00C978C6"/>
    <w:rsid w:val="00C978E3"/>
    <w:rsid w:val="00C97B29"/>
    <w:rsid w:val="00C97CE0"/>
    <w:rsid w:val="00C97F6F"/>
    <w:rsid w:val="00CA0176"/>
    <w:rsid w:val="00CA043C"/>
    <w:rsid w:val="00CA0444"/>
    <w:rsid w:val="00CA04E6"/>
    <w:rsid w:val="00CA063E"/>
    <w:rsid w:val="00CA069B"/>
    <w:rsid w:val="00CA0958"/>
    <w:rsid w:val="00CA0A3B"/>
    <w:rsid w:val="00CA0A5F"/>
    <w:rsid w:val="00CA0EA4"/>
    <w:rsid w:val="00CA0F75"/>
    <w:rsid w:val="00CA0F97"/>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298"/>
    <w:rsid w:val="00CA33B1"/>
    <w:rsid w:val="00CA358A"/>
    <w:rsid w:val="00CA35DC"/>
    <w:rsid w:val="00CA36EF"/>
    <w:rsid w:val="00CA37BF"/>
    <w:rsid w:val="00CA382F"/>
    <w:rsid w:val="00CA38F1"/>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7CB"/>
    <w:rsid w:val="00CB19DA"/>
    <w:rsid w:val="00CB19E5"/>
    <w:rsid w:val="00CB1B4F"/>
    <w:rsid w:val="00CB1BBC"/>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4EE"/>
    <w:rsid w:val="00CB4540"/>
    <w:rsid w:val="00CB459A"/>
    <w:rsid w:val="00CB482D"/>
    <w:rsid w:val="00CB4BF8"/>
    <w:rsid w:val="00CB4D39"/>
    <w:rsid w:val="00CB4E3F"/>
    <w:rsid w:val="00CB4E75"/>
    <w:rsid w:val="00CB511F"/>
    <w:rsid w:val="00CB51B0"/>
    <w:rsid w:val="00CB5290"/>
    <w:rsid w:val="00CB538A"/>
    <w:rsid w:val="00CB5439"/>
    <w:rsid w:val="00CB56A7"/>
    <w:rsid w:val="00CB594B"/>
    <w:rsid w:val="00CB5B62"/>
    <w:rsid w:val="00CB5E9C"/>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67B"/>
    <w:rsid w:val="00CB787D"/>
    <w:rsid w:val="00CB79A7"/>
    <w:rsid w:val="00CB7A50"/>
    <w:rsid w:val="00CB7A60"/>
    <w:rsid w:val="00CB7CA4"/>
    <w:rsid w:val="00CB7E34"/>
    <w:rsid w:val="00CB7EC3"/>
    <w:rsid w:val="00CB7F5E"/>
    <w:rsid w:val="00CC009B"/>
    <w:rsid w:val="00CC00EA"/>
    <w:rsid w:val="00CC0573"/>
    <w:rsid w:val="00CC062E"/>
    <w:rsid w:val="00CC07BC"/>
    <w:rsid w:val="00CC07E6"/>
    <w:rsid w:val="00CC0872"/>
    <w:rsid w:val="00CC0A0A"/>
    <w:rsid w:val="00CC0A5C"/>
    <w:rsid w:val="00CC0B26"/>
    <w:rsid w:val="00CC0C3A"/>
    <w:rsid w:val="00CC0E50"/>
    <w:rsid w:val="00CC0EB3"/>
    <w:rsid w:val="00CC0F6A"/>
    <w:rsid w:val="00CC0FE2"/>
    <w:rsid w:val="00CC1106"/>
    <w:rsid w:val="00CC11B2"/>
    <w:rsid w:val="00CC1302"/>
    <w:rsid w:val="00CC1446"/>
    <w:rsid w:val="00CC168A"/>
    <w:rsid w:val="00CC16A8"/>
    <w:rsid w:val="00CC1827"/>
    <w:rsid w:val="00CC1D16"/>
    <w:rsid w:val="00CC1D1B"/>
    <w:rsid w:val="00CC1F03"/>
    <w:rsid w:val="00CC1FB1"/>
    <w:rsid w:val="00CC202B"/>
    <w:rsid w:val="00CC204D"/>
    <w:rsid w:val="00CC2252"/>
    <w:rsid w:val="00CC2369"/>
    <w:rsid w:val="00CC24EE"/>
    <w:rsid w:val="00CC262F"/>
    <w:rsid w:val="00CC27E8"/>
    <w:rsid w:val="00CC2E4F"/>
    <w:rsid w:val="00CC3257"/>
    <w:rsid w:val="00CC325F"/>
    <w:rsid w:val="00CC332A"/>
    <w:rsid w:val="00CC335E"/>
    <w:rsid w:val="00CC3472"/>
    <w:rsid w:val="00CC34E6"/>
    <w:rsid w:val="00CC35B3"/>
    <w:rsid w:val="00CC35DF"/>
    <w:rsid w:val="00CC3665"/>
    <w:rsid w:val="00CC3747"/>
    <w:rsid w:val="00CC378C"/>
    <w:rsid w:val="00CC39D1"/>
    <w:rsid w:val="00CC3ADD"/>
    <w:rsid w:val="00CC3B66"/>
    <w:rsid w:val="00CC3F8F"/>
    <w:rsid w:val="00CC412E"/>
    <w:rsid w:val="00CC4343"/>
    <w:rsid w:val="00CC46E7"/>
    <w:rsid w:val="00CC4CCC"/>
    <w:rsid w:val="00CC4FA0"/>
    <w:rsid w:val="00CC50EE"/>
    <w:rsid w:val="00CC5180"/>
    <w:rsid w:val="00CC51BC"/>
    <w:rsid w:val="00CC54D3"/>
    <w:rsid w:val="00CC56C6"/>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AE9"/>
    <w:rsid w:val="00CC6BFF"/>
    <w:rsid w:val="00CC7039"/>
    <w:rsid w:val="00CC72DF"/>
    <w:rsid w:val="00CC7545"/>
    <w:rsid w:val="00CC76A0"/>
    <w:rsid w:val="00CC778F"/>
    <w:rsid w:val="00CC7926"/>
    <w:rsid w:val="00CC7A39"/>
    <w:rsid w:val="00CC7C31"/>
    <w:rsid w:val="00CC7C9B"/>
    <w:rsid w:val="00CC7D5E"/>
    <w:rsid w:val="00CC7F15"/>
    <w:rsid w:val="00CC7F8B"/>
    <w:rsid w:val="00CD01EA"/>
    <w:rsid w:val="00CD065F"/>
    <w:rsid w:val="00CD070B"/>
    <w:rsid w:val="00CD079E"/>
    <w:rsid w:val="00CD08C4"/>
    <w:rsid w:val="00CD08D4"/>
    <w:rsid w:val="00CD0953"/>
    <w:rsid w:val="00CD0B81"/>
    <w:rsid w:val="00CD0BC5"/>
    <w:rsid w:val="00CD0C1E"/>
    <w:rsid w:val="00CD1077"/>
    <w:rsid w:val="00CD12A7"/>
    <w:rsid w:val="00CD12AD"/>
    <w:rsid w:val="00CD12CB"/>
    <w:rsid w:val="00CD12EC"/>
    <w:rsid w:val="00CD1371"/>
    <w:rsid w:val="00CD1675"/>
    <w:rsid w:val="00CD1A77"/>
    <w:rsid w:val="00CD1AAE"/>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71B"/>
    <w:rsid w:val="00CD4A3E"/>
    <w:rsid w:val="00CD4B1F"/>
    <w:rsid w:val="00CD4B27"/>
    <w:rsid w:val="00CD4C2F"/>
    <w:rsid w:val="00CD4E96"/>
    <w:rsid w:val="00CD501C"/>
    <w:rsid w:val="00CD517F"/>
    <w:rsid w:val="00CD524D"/>
    <w:rsid w:val="00CD5312"/>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279"/>
    <w:rsid w:val="00CD7542"/>
    <w:rsid w:val="00CD774A"/>
    <w:rsid w:val="00CD78AB"/>
    <w:rsid w:val="00CD7920"/>
    <w:rsid w:val="00CD7B50"/>
    <w:rsid w:val="00CD7E50"/>
    <w:rsid w:val="00CDCAD7"/>
    <w:rsid w:val="00CE0253"/>
    <w:rsid w:val="00CE02EC"/>
    <w:rsid w:val="00CE03B6"/>
    <w:rsid w:val="00CE0831"/>
    <w:rsid w:val="00CE0A14"/>
    <w:rsid w:val="00CE0E85"/>
    <w:rsid w:val="00CE122A"/>
    <w:rsid w:val="00CE1245"/>
    <w:rsid w:val="00CE125E"/>
    <w:rsid w:val="00CE15C4"/>
    <w:rsid w:val="00CE17B4"/>
    <w:rsid w:val="00CE196F"/>
    <w:rsid w:val="00CE1993"/>
    <w:rsid w:val="00CE1A2D"/>
    <w:rsid w:val="00CE1A70"/>
    <w:rsid w:val="00CE1B11"/>
    <w:rsid w:val="00CE1BF0"/>
    <w:rsid w:val="00CE1CEE"/>
    <w:rsid w:val="00CE20A5"/>
    <w:rsid w:val="00CE211B"/>
    <w:rsid w:val="00CE21DD"/>
    <w:rsid w:val="00CE231C"/>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CB7"/>
    <w:rsid w:val="00CE3D74"/>
    <w:rsid w:val="00CE3FF6"/>
    <w:rsid w:val="00CE408C"/>
    <w:rsid w:val="00CE4328"/>
    <w:rsid w:val="00CE451E"/>
    <w:rsid w:val="00CE470F"/>
    <w:rsid w:val="00CE472E"/>
    <w:rsid w:val="00CE479D"/>
    <w:rsid w:val="00CE48F0"/>
    <w:rsid w:val="00CE4A35"/>
    <w:rsid w:val="00CE4A54"/>
    <w:rsid w:val="00CE500F"/>
    <w:rsid w:val="00CE53E8"/>
    <w:rsid w:val="00CE53F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B6"/>
    <w:rsid w:val="00CE7CF4"/>
    <w:rsid w:val="00CE7E59"/>
    <w:rsid w:val="00CE7F44"/>
    <w:rsid w:val="00CE7F67"/>
    <w:rsid w:val="00CF0531"/>
    <w:rsid w:val="00CF0AC6"/>
    <w:rsid w:val="00CF0C05"/>
    <w:rsid w:val="00CF0E13"/>
    <w:rsid w:val="00CF0F22"/>
    <w:rsid w:val="00CF0F46"/>
    <w:rsid w:val="00CF1370"/>
    <w:rsid w:val="00CF159F"/>
    <w:rsid w:val="00CF1661"/>
    <w:rsid w:val="00CF16AB"/>
    <w:rsid w:val="00CF17E2"/>
    <w:rsid w:val="00CF19E6"/>
    <w:rsid w:val="00CF1B69"/>
    <w:rsid w:val="00CF1D94"/>
    <w:rsid w:val="00CF1E00"/>
    <w:rsid w:val="00CF20A4"/>
    <w:rsid w:val="00CF2252"/>
    <w:rsid w:val="00CF2608"/>
    <w:rsid w:val="00CF26EE"/>
    <w:rsid w:val="00CF287F"/>
    <w:rsid w:val="00CF2AFB"/>
    <w:rsid w:val="00CF2D32"/>
    <w:rsid w:val="00CF2EE8"/>
    <w:rsid w:val="00CF34AF"/>
    <w:rsid w:val="00CF3529"/>
    <w:rsid w:val="00CF38ED"/>
    <w:rsid w:val="00CF3941"/>
    <w:rsid w:val="00CF39C1"/>
    <w:rsid w:val="00CF3A82"/>
    <w:rsid w:val="00CF402B"/>
    <w:rsid w:val="00CF406C"/>
    <w:rsid w:val="00CF407B"/>
    <w:rsid w:val="00CF41B8"/>
    <w:rsid w:val="00CF4297"/>
    <w:rsid w:val="00CF43F8"/>
    <w:rsid w:val="00CF4493"/>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7CD"/>
    <w:rsid w:val="00D009B7"/>
    <w:rsid w:val="00D00B8F"/>
    <w:rsid w:val="00D00BAC"/>
    <w:rsid w:val="00D00EB1"/>
    <w:rsid w:val="00D00EBB"/>
    <w:rsid w:val="00D00F23"/>
    <w:rsid w:val="00D01170"/>
    <w:rsid w:val="00D01228"/>
    <w:rsid w:val="00D01242"/>
    <w:rsid w:val="00D013F6"/>
    <w:rsid w:val="00D0156F"/>
    <w:rsid w:val="00D016C8"/>
    <w:rsid w:val="00D01B3A"/>
    <w:rsid w:val="00D01B97"/>
    <w:rsid w:val="00D01D5F"/>
    <w:rsid w:val="00D01DA0"/>
    <w:rsid w:val="00D01DFF"/>
    <w:rsid w:val="00D01F51"/>
    <w:rsid w:val="00D02660"/>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952"/>
    <w:rsid w:val="00D04ACB"/>
    <w:rsid w:val="00D04AE4"/>
    <w:rsid w:val="00D04EF6"/>
    <w:rsid w:val="00D04FB0"/>
    <w:rsid w:val="00D04FBE"/>
    <w:rsid w:val="00D05023"/>
    <w:rsid w:val="00D0507E"/>
    <w:rsid w:val="00D051B5"/>
    <w:rsid w:val="00D053D2"/>
    <w:rsid w:val="00D0542E"/>
    <w:rsid w:val="00D0547B"/>
    <w:rsid w:val="00D05656"/>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3"/>
    <w:rsid w:val="00D076C8"/>
    <w:rsid w:val="00D07782"/>
    <w:rsid w:val="00D07A0C"/>
    <w:rsid w:val="00D07A25"/>
    <w:rsid w:val="00D07A59"/>
    <w:rsid w:val="00D07D3E"/>
    <w:rsid w:val="00D0A8B9"/>
    <w:rsid w:val="00D0E5AD"/>
    <w:rsid w:val="00D10013"/>
    <w:rsid w:val="00D1002D"/>
    <w:rsid w:val="00D105A7"/>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8D5"/>
    <w:rsid w:val="00D12D49"/>
    <w:rsid w:val="00D12DCD"/>
    <w:rsid w:val="00D132AF"/>
    <w:rsid w:val="00D13391"/>
    <w:rsid w:val="00D133F7"/>
    <w:rsid w:val="00D13455"/>
    <w:rsid w:val="00D134A0"/>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0CD"/>
    <w:rsid w:val="00D141D9"/>
    <w:rsid w:val="00D14313"/>
    <w:rsid w:val="00D1432A"/>
    <w:rsid w:val="00D1452D"/>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31F"/>
    <w:rsid w:val="00D164E7"/>
    <w:rsid w:val="00D16540"/>
    <w:rsid w:val="00D166A5"/>
    <w:rsid w:val="00D16899"/>
    <w:rsid w:val="00D16934"/>
    <w:rsid w:val="00D16EBC"/>
    <w:rsid w:val="00D16EF4"/>
    <w:rsid w:val="00D170E4"/>
    <w:rsid w:val="00D171F7"/>
    <w:rsid w:val="00D17B6A"/>
    <w:rsid w:val="00D17CCF"/>
    <w:rsid w:val="00D17D45"/>
    <w:rsid w:val="00D17FAC"/>
    <w:rsid w:val="00D202D7"/>
    <w:rsid w:val="00D204EE"/>
    <w:rsid w:val="00D2064D"/>
    <w:rsid w:val="00D20915"/>
    <w:rsid w:val="00D20954"/>
    <w:rsid w:val="00D209F9"/>
    <w:rsid w:val="00D20AB6"/>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DDF"/>
    <w:rsid w:val="00D24E54"/>
    <w:rsid w:val="00D25151"/>
    <w:rsid w:val="00D25203"/>
    <w:rsid w:val="00D25361"/>
    <w:rsid w:val="00D2546D"/>
    <w:rsid w:val="00D2552A"/>
    <w:rsid w:val="00D259F6"/>
    <w:rsid w:val="00D26475"/>
    <w:rsid w:val="00D264F4"/>
    <w:rsid w:val="00D26658"/>
    <w:rsid w:val="00D26B61"/>
    <w:rsid w:val="00D26B92"/>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2F3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B2C"/>
    <w:rsid w:val="00D36E18"/>
    <w:rsid w:val="00D36E5B"/>
    <w:rsid w:val="00D36EAD"/>
    <w:rsid w:val="00D36FAC"/>
    <w:rsid w:val="00D3763E"/>
    <w:rsid w:val="00D37712"/>
    <w:rsid w:val="00D378FD"/>
    <w:rsid w:val="00D37962"/>
    <w:rsid w:val="00D3799B"/>
    <w:rsid w:val="00D37B74"/>
    <w:rsid w:val="00D37C6C"/>
    <w:rsid w:val="00D37C72"/>
    <w:rsid w:val="00D37CD9"/>
    <w:rsid w:val="00D4006A"/>
    <w:rsid w:val="00D402EE"/>
    <w:rsid w:val="00D4044F"/>
    <w:rsid w:val="00D40676"/>
    <w:rsid w:val="00D40729"/>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2C02"/>
    <w:rsid w:val="00D431A7"/>
    <w:rsid w:val="00D431E7"/>
    <w:rsid w:val="00D431E8"/>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6A"/>
    <w:rsid w:val="00D459F8"/>
    <w:rsid w:val="00D45A52"/>
    <w:rsid w:val="00D45A58"/>
    <w:rsid w:val="00D45B14"/>
    <w:rsid w:val="00D45CAD"/>
    <w:rsid w:val="00D4607F"/>
    <w:rsid w:val="00D46116"/>
    <w:rsid w:val="00D4621E"/>
    <w:rsid w:val="00D46246"/>
    <w:rsid w:val="00D464B3"/>
    <w:rsid w:val="00D4662B"/>
    <w:rsid w:val="00D4667C"/>
    <w:rsid w:val="00D466AB"/>
    <w:rsid w:val="00D4699F"/>
    <w:rsid w:val="00D46CCB"/>
    <w:rsid w:val="00D46D21"/>
    <w:rsid w:val="00D46DBD"/>
    <w:rsid w:val="00D46DDB"/>
    <w:rsid w:val="00D47052"/>
    <w:rsid w:val="00D472C0"/>
    <w:rsid w:val="00D4747E"/>
    <w:rsid w:val="00D4773C"/>
    <w:rsid w:val="00D4793B"/>
    <w:rsid w:val="00D47993"/>
    <w:rsid w:val="00D47E96"/>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5F"/>
    <w:rsid w:val="00D531DC"/>
    <w:rsid w:val="00D53394"/>
    <w:rsid w:val="00D535EE"/>
    <w:rsid w:val="00D536D2"/>
    <w:rsid w:val="00D536E9"/>
    <w:rsid w:val="00D53762"/>
    <w:rsid w:val="00D53948"/>
    <w:rsid w:val="00D53960"/>
    <w:rsid w:val="00D53A32"/>
    <w:rsid w:val="00D53A4E"/>
    <w:rsid w:val="00D53A89"/>
    <w:rsid w:val="00D53AE8"/>
    <w:rsid w:val="00D53D06"/>
    <w:rsid w:val="00D53E25"/>
    <w:rsid w:val="00D53F38"/>
    <w:rsid w:val="00D54086"/>
    <w:rsid w:val="00D54280"/>
    <w:rsid w:val="00D54552"/>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D5F"/>
    <w:rsid w:val="00D57F16"/>
    <w:rsid w:val="00D57FF6"/>
    <w:rsid w:val="00D60125"/>
    <w:rsid w:val="00D60494"/>
    <w:rsid w:val="00D605D2"/>
    <w:rsid w:val="00D606F9"/>
    <w:rsid w:val="00D60864"/>
    <w:rsid w:val="00D6099B"/>
    <w:rsid w:val="00D60BE1"/>
    <w:rsid w:val="00D60CCB"/>
    <w:rsid w:val="00D60D01"/>
    <w:rsid w:val="00D6153C"/>
    <w:rsid w:val="00D61947"/>
    <w:rsid w:val="00D61A37"/>
    <w:rsid w:val="00D61DEB"/>
    <w:rsid w:val="00D61FB7"/>
    <w:rsid w:val="00D62242"/>
    <w:rsid w:val="00D62349"/>
    <w:rsid w:val="00D624DB"/>
    <w:rsid w:val="00D6253B"/>
    <w:rsid w:val="00D62830"/>
    <w:rsid w:val="00D6289C"/>
    <w:rsid w:val="00D62938"/>
    <w:rsid w:val="00D62B48"/>
    <w:rsid w:val="00D62B98"/>
    <w:rsid w:val="00D62BE9"/>
    <w:rsid w:val="00D62C75"/>
    <w:rsid w:val="00D62CC5"/>
    <w:rsid w:val="00D62CEE"/>
    <w:rsid w:val="00D62D4B"/>
    <w:rsid w:val="00D62E43"/>
    <w:rsid w:val="00D62F3F"/>
    <w:rsid w:val="00D62F61"/>
    <w:rsid w:val="00D630F7"/>
    <w:rsid w:val="00D63109"/>
    <w:rsid w:val="00D6324D"/>
    <w:rsid w:val="00D6325D"/>
    <w:rsid w:val="00D6331C"/>
    <w:rsid w:val="00D6336C"/>
    <w:rsid w:val="00D633F4"/>
    <w:rsid w:val="00D63417"/>
    <w:rsid w:val="00D63546"/>
    <w:rsid w:val="00D6381C"/>
    <w:rsid w:val="00D63977"/>
    <w:rsid w:val="00D63ACF"/>
    <w:rsid w:val="00D63BC2"/>
    <w:rsid w:val="00D63C15"/>
    <w:rsid w:val="00D63F79"/>
    <w:rsid w:val="00D6409F"/>
    <w:rsid w:val="00D640F5"/>
    <w:rsid w:val="00D64281"/>
    <w:rsid w:val="00D64FBE"/>
    <w:rsid w:val="00D656D2"/>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726"/>
    <w:rsid w:val="00D73AC7"/>
    <w:rsid w:val="00D73CE8"/>
    <w:rsid w:val="00D73D58"/>
    <w:rsid w:val="00D74246"/>
    <w:rsid w:val="00D74553"/>
    <w:rsid w:val="00D745A6"/>
    <w:rsid w:val="00D7462C"/>
    <w:rsid w:val="00D747BD"/>
    <w:rsid w:val="00D749EA"/>
    <w:rsid w:val="00D74C27"/>
    <w:rsid w:val="00D74EB6"/>
    <w:rsid w:val="00D74F92"/>
    <w:rsid w:val="00D7513A"/>
    <w:rsid w:val="00D75221"/>
    <w:rsid w:val="00D75367"/>
    <w:rsid w:val="00D755A6"/>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AF1"/>
    <w:rsid w:val="00D76BB8"/>
    <w:rsid w:val="00D76E54"/>
    <w:rsid w:val="00D76F8F"/>
    <w:rsid w:val="00D7722F"/>
    <w:rsid w:val="00D77798"/>
    <w:rsid w:val="00D7796B"/>
    <w:rsid w:val="00D77A79"/>
    <w:rsid w:val="00D77B32"/>
    <w:rsid w:val="00D77BF7"/>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15"/>
    <w:rsid w:val="00D80C2C"/>
    <w:rsid w:val="00D8106C"/>
    <w:rsid w:val="00D81226"/>
    <w:rsid w:val="00D81333"/>
    <w:rsid w:val="00D81393"/>
    <w:rsid w:val="00D81489"/>
    <w:rsid w:val="00D8163E"/>
    <w:rsid w:val="00D8175D"/>
    <w:rsid w:val="00D81CE8"/>
    <w:rsid w:val="00D81DF5"/>
    <w:rsid w:val="00D820D2"/>
    <w:rsid w:val="00D820F4"/>
    <w:rsid w:val="00D8224E"/>
    <w:rsid w:val="00D82340"/>
    <w:rsid w:val="00D82A94"/>
    <w:rsid w:val="00D82C2D"/>
    <w:rsid w:val="00D82C4C"/>
    <w:rsid w:val="00D82EEE"/>
    <w:rsid w:val="00D82FA7"/>
    <w:rsid w:val="00D83021"/>
    <w:rsid w:val="00D83424"/>
    <w:rsid w:val="00D835C4"/>
    <w:rsid w:val="00D83736"/>
    <w:rsid w:val="00D83756"/>
    <w:rsid w:val="00D837C3"/>
    <w:rsid w:val="00D838CF"/>
    <w:rsid w:val="00D839D1"/>
    <w:rsid w:val="00D83C11"/>
    <w:rsid w:val="00D83E3D"/>
    <w:rsid w:val="00D83E42"/>
    <w:rsid w:val="00D83E76"/>
    <w:rsid w:val="00D83FEA"/>
    <w:rsid w:val="00D83FF2"/>
    <w:rsid w:val="00D84048"/>
    <w:rsid w:val="00D84092"/>
    <w:rsid w:val="00D8415D"/>
    <w:rsid w:val="00D84325"/>
    <w:rsid w:val="00D844BA"/>
    <w:rsid w:val="00D846CB"/>
    <w:rsid w:val="00D84B62"/>
    <w:rsid w:val="00D8503E"/>
    <w:rsid w:val="00D85218"/>
    <w:rsid w:val="00D85694"/>
    <w:rsid w:val="00D85753"/>
    <w:rsid w:val="00D8576E"/>
    <w:rsid w:val="00D85912"/>
    <w:rsid w:val="00D85A4E"/>
    <w:rsid w:val="00D85AD4"/>
    <w:rsid w:val="00D85E36"/>
    <w:rsid w:val="00D85E5A"/>
    <w:rsid w:val="00D85F00"/>
    <w:rsid w:val="00D85F3F"/>
    <w:rsid w:val="00D86159"/>
    <w:rsid w:val="00D8651B"/>
    <w:rsid w:val="00D8651F"/>
    <w:rsid w:val="00D8661A"/>
    <w:rsid w:val="00D867C7"/>
    <w:rsid w:val="00D868C2"/>
    <w:rsid w:val="00D86B41"/>
    <w:rsid w:val="00D86B71"/>
    <w:rsid w:val="00D86CA7"/>
    <w:rsid w:val="00D86D19"/>
    <w:rsid w:val="00D86E2B"/>
    <w:rsid w:val="00D86EBA"/>
    <w:rsid w:val="00D86EDD"/>
    <w:rsid w:val="00D87022"/>
    <w:rsid w:val="00D87124"/>
    <w:rsid w:val="00D87135"/>
    <w:rsid w:val="00D8713C"/>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6"/>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687"/>
    <w:rsid w:val="00D977A4"/>
    <w:rsid w:val="00D97B21"/>
    <w:rsid w:val="00D97BAF"/>
    <w:rsid w:val="00D97BDB"/>
    <w:rsid w:val="00D97CC3"/>
    <w:rsid w:val="00D97DD0"/>
    <w:rsid w:val="00D97FAA"/>
    <w:rsid w:val="00DA0127"/>
    <w:rsid w:val="00DA018F"/>
    <w:rsid w:val="00DA01AA"/>
    <w:rsid w:val="00DA01B4"/>
    <w:rsid w:val="00DA05E0"/>
    <w:rsid w:val="00DA0977"/>
    <w:rsid w:val="00DA0B6B"/>
    <w:rsid w:val="00DA0EEB"/>
    <w:rsid w:val="00DA1164"/>
    <w:rsid w:val="00DA127A"/>
    <w:rsid w:val="00DA12FC"/>
    <w:rsid w:val="00DA1423"/>
    <w:rsid w:val="00DA180B"/>
    <w:rsid w:val="00DA18C9"/>
    <w:rsid w:val="00DA193D"/>
    <w:rsid w:val="00DA1A4A"/>
    <w:rsid w:val="00DA1B86"/>
    <w:rsid w:val="00DA1D9D"/>
    <w:rsid w:val="00DA2025"/>
    <w:rsid w:val="00DA20B6"/>
    <w:rsid w:val="00DA24CA"/>
    <w:rsid w:val="00DA2A38"/>
    <w:rsid w:val="00DA2BCB"/>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28"/>
    <w:rsid w:val="00DA473C"/>
    <w:rsid w:val="00DA4792"/>
    <w:rsid w:val="00DA47D8"/>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1CC"/>
    <w:rsid w:val="00DB034B"/>
    <w:rsid w:val="00DB03F5"/>
    <w:rsid w:val="00DB04D6"/>
    <w:rsid w:val="00DB0767"/>
    <w:rsid w:val="00DB0800"/>
    <w:rsid w:val="00DB0B68"/>
    <w:rsid w:val="00DB0B74"/>
    <w:rsid w:val="00DB0C07"/>
    <w:rsid w:val="00DB0D47"/>
    <w:rsid w:val="00DB114B"/>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9F9"/>
    <w:rsid w:val="00DB2F51"/>
    <w:rsid w:val="00DB3051"/>
    <w:rsid w:val="00DB320C"/>
    <w:rsid w:val="00DB32D4"/>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9DF"/>
    <w:rsid w:val="00DB7A6B"/>
    <w:rsid w:val="00DB7AD2"/>
    <w:rsid w:val="00DB7DC4"/>
    <w:rsid w:val="00DC0051"/>
    <w:rsid w:val="00DC0093"/>
    <w:rsid w:val="00DC011C"/>
    <w:rsid w:val="00DC0207"/>
    <w:rsid w:val="00DC03EF"/>
    <w:rsid w:val="00DC0715"/>
    <w:rsid w:val="00DC083D"/>
    <w:rsid w:val="00DC0A56"/>
    <w:rsid w:val="00DC0AA3"/>
    <w:rsid w:val="00DC0B1F"/>
    <w:rsid w:val="00DC0D44"/>
    <w:rsid w:val="00DC0F19"/>
    <w:rsid w:val="00DC1214"/>
    <w:rsid w:val="00DC1231"/>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94F"/>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CB1"/>
    <w:rsid w:val="00DC4F0A"/>
    <w:rsid w:val="00DC50AB"/>
    <w:rsid w:val="00DC5203"/>
    <w:rsid w:val="00DC5417"/>
    <w:rsid w:val="00DC546E"/>
    <w:rsid w:val="00DC54D2"/>
    <w:rsid w:val="00DC56B9"/>
    <w:rsid w:val="00DC5FC9"/>
    <w:rsid w:val="00DC604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A1"/>
    <w:rsid w:val="00DD02FF"/>
    <w:rsid w:val="00DD04C9"/>
    <w:rsid w:val="00DD071C"/>
    <w:rsid w:val="00DD075E"/>
    <w:rsid w:val="00DD0A16"/>
    <w:rsid w:val="00DD0C2F"/>
    <w:rsid w:val="00DD0D19"/>
    <w:rsid w:val="00DD0FF1"/>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AE9"/>
    <w:rsid w:val="00DD2BA5"/>
    <w:rsid w:val="00DD2DE5"/>
    <w:rsid w:val="00DD2F10"/>
    <w:rsid w:val="00DD30EE"/>
    <w:rsid w:val="00DD327B"/>
    <w:rsid w:val="00DD32F1"/>
    <w:rsid w:val="00DD34F0"/>
    <w:rsid w:val="00DD36A3"/>
    <w:rsid w:val="00DD372B"/>
    <w:rsid w:val="00DD3DE5"/>
    <w:rsid w:val="00DD40EC"/>
    <w:rsid w:val="00DD419F"/>
    <w:rsid w:val="00DD46E2"/>
    <w:rsid w:val="00DD49C8"/>
    <w:rsid w:val="00DD49D2"/>
    <w:rsid w:val="00DD4B51"/>
    <w:rsid w:val="00DD4B67"/>
    <w:rsid w:val="00DD4D16"/>
    <w:rsid w:val="00DD4F34"/>
    <w:rsid w:val="00DD511D"/>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CBA"/>
    <w:rsid w:val="00DE5E86"/>
    <w:rsid w:val="00DE5FF1"/>
    <w:rsid w:val="00DE61FD"/>
    <w:rsid w:val="00DE671D"/>
    <w:rsid w:val="00DE6826"/>
    <w:rsid w:val="00DE690F"/>
    <w:rsid w:val="00DE696C"/>
    <w:rsid w:val="00DE69A8"/>
    <w:rsid w:val="00DE6D1E"/>
    <w:rsid w:val="00DE6D4F"/>
    <w:rsid w:val="00DE72DD"/>
    <w:rsid w:val="00DE7739"/>
    <w:rsid w:val="00DE7BF9"/>
    <w:rsid w:val="00DE7F0B"/>
    <w:rsid w:val="00DE7F59"/>
    <w:rsid w:val="00DF05CB"/>
    <w:rsid w:val="00DF070D"/>
    <w:rsid w:val="00DF0750"/>
    <w:rsid w:val="00DF0821"/>
    <w:rsid w:val="00DF088B"/>
    <w:rsid w:val="00DF0A78"/>
    <w:rsid w:val="00DF0B1A"/>
    <w:rsid w:val="00DF0DF6"/>
    <w:rsid w:val="00DF0E3C"/>
    <w:rsid w:val="00DF0E72"/>
    <w:rsid w:val="00DF0ED4"/>
    <w:rsid w:val="00DF0F61"/>
    <w:rsid w:val="00DF1269"/>
    <w:rsid w:val="00DF1270"/>
    <w:rsid w:val="00DF137F"/>
    <w:rsid w:val="00DF14A4"/>
    <w:rsid w:val="00DF153F"/>
    <w:rsid w:val="00DF15EE"/>
    <w:rsid w:val="00DF1943"/>
    <w:rsid w:val="00DF1C02"/>
    <w:rsid w:val="00DF1CDA"/>
    <w:rsid w:val="00DF1F12"/>
    <w:rsid w:val="00DF23A3"/>
    <w:rsid w:val="00DF267E"/>
    <w:rsid w:val="00DF284C"/>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078"/>
    <w:rsid w:val="00DF518A"/>
    <w:rsid w:val="00DF5461"/>
    <w:rsid w:val="00DF5634"/>
    <w:rsid w:val="00DF5725"/>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714"/>
    <w:rsid w:val="00E02AC6"/>
    <w:rsid w:val="00E02B59"/>
    <w:rsid w:val="00E02D94"/>
    <w:rsid w:val="00E03224"/>
    <w:rsid w:val="00E0355A"/>
    <w:rsid w:val="00E035FB"/>
    <w:rsid w:val="00E03618"/>
    <w:rsid w:val="00E03747"/>
    <w:rsid w:val="00E03781"/>
    <w:rsid w:val="00E03936"/>
    <w:rsid w:val="00E03C08"/>
    <w:rsid w:val="00E03C37"/>
    <w:rsid w:val="00E04135"/>
    <w:rsid w:val="00E0413B"/>
    <w:rsid w:val="00E04465"/>
    <w:rsid w:val="00E04693"/>
    <w:rsid w:val="00E04703"/>
    <w:rsid w:val="00E047A0"/>
    <w:rsid w:val="00E048D7"/>
    <w:rsid w:val="00E049B7"/>
    <w:rsid w:val="00E04C61"/>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7ED"/>
    <w:rsid w:val="00E06A7C"/>
    <w:rsid w:val="00E06B58"/>
    <w:rsid w:val="00E06EEB"/>
    <w:rsid w:val="00E06F75"/>
    <w:rsid w:val="00E0707B"/>
    <w:rsid w:val="00E07297"/>
    <w:rsid w:val="00E072CC"/>
    <w:rsid w:val="00E0741E"/>
    <w:rsid w:val="00E075C7"/>
    <w:rsid w:val="00E07638"/>
    <w:rsid w:val="00E0777C"/>
    <w:rsid w:val="00E0778A"/>
    <w:rsid w:val="00E079B1"/>
    <w:rsid w:val="00E07B6D"/>
    <w:rsid w:val="00E07D26"/>
    <w:rsid w:val="00E07E30"/>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2F25"/>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5EF"/>
    <w:rsid w:val="00E14E8F"/>
    <w:rsid w:val="00E15085"/>
    <w:rsid w:val="00E150C0"/>
    <w:rsid w:val="00E151DE"/>
    <w:rsid w:val="00E15948"/>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DE5"/>
    <w:rsid w:val="00E17EA5"/>
    <w:rsid w:val="00E201C4"/>
    <w:rsid w:val="00E201E1"/>
    <w:rsid w:val="00E20381"/>
    <w:rsid w:val="00E2039C"/>
    <w:rsid w:val="00E20696"/>
    <w:rsid w:val="00E207B2"/>
    <w:rsid w:val="00E207FE"/>
    <w:rsid w:val="00E2096B"/>
    <w:rsid w:val="00E20CF7"/>
    <w:rsid w:val="00E20EC5"/>
    <w:rsid w:val="00E21149"/>
    <w:rsid w:val="00E2121E"/>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442"/>
    <w:rsid w:val="00E2353E"/>
    <w:rsid w:val="00E2354D"/>
    <w:rsid w:val="00E237DA"/>
    <w:rsid w:val="00E23887"/>
    <w:rsid w:val="00E2391F"/>
    <w:rsid w:val="00E23AA1"/>
    <w:rsid w:val="00E23AEC"/>
    <w:rsid w:val="00E23B00"/>
    <w:rsid w:val="00E23C9A"/>
    <w:rsid w:val="00E23DA9"/>
    <w:rsid w:val="00E23E6E"/>
    <w:rsid w:val="00E24017"/>
    <w:rsid w:val="00E242F0"/>
    <w:rsid w:val="00E24598"/>
    <w:rsid w:val="00E24620"/>
    <w:rsid w:val="00E24B03"/>
    <w:rsid w:val="00E24B6E"/>
    <w:rsid w:val="00E24B83"/>
    <w:rsid w:val="00E24CCC"/>
    <w:rsid w:val="00E24D7C"/>
    <w:rsid w:val="00E24EBE"/>
    <w:rsid w:val="00E2515E"/>
    <w:rsid w:val="00E2548D"/>
    <w:rsid w:val="00E25D0D"/>
    <w:rsid w:val="00E25E0B"/>
    <w:rsid w:val="00E25EEB"/>
    <w:rsid w:val="00E26035"/>
    <w:rsid w:val="00E268C4"/>
    <w:rsid w:val="00E26CE6"/>
    <w:rsid w:val="00E26E18"/>
    <w:rsid w:val="00E26F14"/>
    <w:rsid w:val="00E26FAF"/>
    <w:rsid w:val="00E272F2"/>
    <w:rsid w:val="00E27378"/>
    <w:rsid w:val="00E277FC"/>
    <w:rsid w:val="00E2788A"/>
    <w:rsid w:val="00E27A36"/>
    <w:rsid w:val="00E27A74"/>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A0E"/>
    <w:rsid w:val="00E30D81"/>
    <w:rsid w:val="00E30EE6"/>
    <w:rsid w:val="00E30F85"/>
    <w:rsid w:val="00E3104C"/>
    <w:rsid w:val="00E31233"/>
    <w:rsid w:val="00E3156D"/>
    <w:rsid w:val="00E315EF"/>
    <w:rsid w:val="00E316A8"/>
    <w:rsid w:val="00E31DC9"/>
    <w:rsid w:val="00E32296"/>
    <w:rsid w:val="00E3235B"/>
    <w:rsid w:val="00E32454"/>
    <w:rsid w:val="00E32491"/>
    <w:rsid w:val="00E32737"/>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3E59"/>
    <w:rsid w:val="00E34218"/>
    <w:rsid w:val="00E3426C"/>
    <w:rsid w:val="00E34359"/>
    <w:rsid w:val="00E3496D"/>
    <w:rsid w:val="00E34A42"/>
    <w:rsid w:val="00E34CB1"/>
    <w:rsid w:val="00E34CD8"/>
    <w:rsid w:val="00E35375"/>
    <w:rsid w:val="00E359DD"/>
    <w:rsid w:val="00E36343"/>
    <w:rsid w:val="00E363BD"/>
    <w:rsid w:val="00E36754"/>
    <w:rsid w:val="00E36911"/>
    <w:rsid w:val="00E3698E"/>
    <w:rsid w:val="00E369DB"/>
    <w:rsid w:val="00E36BBC"/>
    <w:rsid w:val="00E36CA3"/>
    <w:rsid w:val="00E36F7B"/>
    <w:rsid w:val="00E37096"/>
    <w:rsid w:val="00E371C3"/>
    <w:rsid w:val="00E3764C"/>
    <w:rsid w:val="00E37862"/>
    <w:rsid w:val="00E37946"/>
    <w:rsid w:val="00E379B3"/>
    <w:rsid w:val="00E37CD5"/>
    <w:rsid w:val="00E37DE9"/>
    <w:rsid w:val="00E37E46"/>
    <w:rsid w:val="00E37F79"/>
    <w:rsid w:val="00E4014B"/>
    <w:rsid w:val="00E403CE"/>
    <w:rsid w:val="00E40A97"/>
    <w:rsid w:val="00E40B68"/>
    <w:rsid w:val="00E40D01"/>
    <w:rsid w:val="00E40E20"/>
    <w:rsid w:val="00E40FCB"/>
    <w:rsid w:val="00E413CA"/>
    <w:rsid w:val="00E41804"/>
    <w:rsid w:val="00E41B15"/>
    <w:rsid w:val="00E41C36"/>
    <w:rsid w:val="00E42048"/>
    <w:rsid w:val="00E42087"/>
    <w:rsid w:val="00E424AD"/>
    <w:rsid w:val="00E4284C"/>
    <w:rsid w:val="00E42BFB"/>
    <w:rsid w:val="00E42CF5"/>
    <w:rsid w:val="00E42FDD"/>
    <w:rsid w:val="00E42FDF"/>
    <w:rsid w:val="00E43089"/>
    <w:rsid w:val="00E43251"/>
    <w:rsid w:val="00E4326F"/>
    <w:rsid w:val="00E4327A"/>
    <w:rsid w:val="00E4327D"/>
    <w:rsid w:val="00E43409"/>
    <w:rsid w:val="00E43532"/>
    <w:rsid w:val="00E437D9"/>
    <w:rsid w:val="00E4393B"/>
    <w:rsid w:val="00E43A5F"/>
    <w:rsid w:val="00E43C3E"/>
    <w:rsid w:val="00E43E02"/>
    <w:rsid w:val="00E44242"/>
    <w:rsid w:val="00E4432D"/>
    <w:rsid w:val="00E4437A"/>
    <w:rsid w:val="00E445E6"/>
    <w:rsid w:val="00E449C5"/>
    <w:rsid w:val="00E44E29"/>
    <w:rsid w:val="00E45085"/>
    <w:rsid w:val="00E45229"/>
    <w:rsid w:val="00E453B7"/>
    <w:rsid w:val="00E4546B"/>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C92"/>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641"/>
    <w:rsid w:val="00E5375D"/>
    <w:rsid w:val="00E5377D"/>
    <w:rsid w:val="00E5378C"/>
    <w:rsid w:val="00E538FD"/>
    <w:rsid w:val="00E53A12"/>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786"/>
    <w:rsid w:val="00E55A53"/>
    <w:rsid w:val="00E55A59"/>
    <w:rsid w:val="00E55FC9"/>
    <w:rsid w:val="00E55FF5"/>
    <w:rsid w:val="00E562FA"/>
    <w:rsid w:val="00E564FF"/>
    <w:rsid w:val="00E567C8"/>
    <w:rsid w:val="00E568DE"/>
    <w:rsid w:val="00E569E9"/>
    <w:rsid w:val="00E56A3C"/>
    <w:rsid w:val="00E56A52"/>
    <w:rsid w:val="00E56C54"/>
    <w:rsid w:val="00E56D79"/>
    <w:rsid w:val="00E56DEA"/>
    <w:rsid w:val="00E570C5"/>
    <w:rsid w:val="00E571AA"/>
    <w:rsid w:val="00E571B0"/>
    <w:rsid w:val="00E571CC"/>
    <w:rsid w:val="00E5785B"/>
    <w:rsid w:val="00E579C3"/>
    <w:rsid w:val="00E579EB"/>
    <w:rsid w:val="00E57D2D"/>
    <w:rsid w:val="00E57EEF"/>
    <w:rsid w:val="00E57F7A"/>
    <w:rsid w:val="00E60185"/>
    <w:rsid w:val="00E601BD"/>
    <w:rsid w:val="00E604FD"/>
    <w:rsid w:val="00E60521"/>
    <w:rsid w:val="00E6054C"/>
    <w:rsid w:val="00E60580"/>
    <w:rsid w:val="00E605B7"/>
    <w:rsid w:val="00E60782"/>
    <w:rsid w:val="00E60806"/>
    <w:rsid w:val="00E609B4"/>
    <w:rsid w:val="00E609D7"/>
    <w:rsid w:val="00E60ACC"/>
    <w:rsid w:val="00E60C45"/>
    <w:rsid w:val="00E60DE5"/>
    <w:rsid w:val="00E60E12"/>
    <w:rsid w:val="00E6102A"/>
    <w:rsid w:val="00E61511"/>
    <w:rsid w:val="00E61A1B"/>
    <w:rsid w:val="00E61BA9"/>
    <w:rsid w:val="00E61BB9"/>
    <w:rsid w:val="00E61BDA"/>
    <w:rsid w:val="00E61C24"/>
    <w:rsid w:val="00E61C82"/>
    <w:rsid w:val="00E61FEF"/>
    <w:rsid w:val="00E620ED"/>
    <w:rsid w:val="00E621C6"/>
    <w:rsid w:val="00E6236F"/>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A8C"/>
    <w:rsid w:val="00E63B1D"/>
    <w:rsid w:val="00E63B71"/>
    <w:rsid w:val="00E63BD1"/>
    <w:rsid w:val="00E63D66"/>
    <w:rsid w:val="00E63F22"/>
    <w:rsid w:val="00E642F2"/>
    <w:rsid w:val="00E6439F"/>
    <w:rsid w:val="00E644D5"/>
    <w:rsid w:val="00E64587"/>
    <w:rsid w:val="00E646C3"/>
    <w:rsid w:val="00E64D23"/>
    <w:rsid w:val="00E6559F"/>
    <w:rsid w:val="00E655D5"/>
    <w:rsid w:val="00E656FC"/>
    <w:rsid w:val="00E65731"/>
    <w:rsid w:val="00E658EE"/>
    <w:rsid w:val="00E65ACF"/>
    <w:rsid w:val="00E66073"/>
    <w:rsid w:val="00E664C1"/>
    <w:rsid w:val="00E6652E"/>
    <w:rsid w:val="00E667F8"/>
    <w:rsid w:val="00E668D1"/>
    <w:rsid w:val="00E66ABA"/>
    <w:rsid w:val="00E66FDB"/>
    <w:rsid w:val="00E671FD"/>
    <w:rsid w:val="00E674D7"/>
    <w:rsid w:val="00E67518"/>
    <w:rsid w:val="00E675FA"/>
    <w:rsid w:val="00E6763D"/>
    <w:rsid w:val="00E676AB"/>
    <w:rsid w:val="00E67B64"/>
    <w:rsid w:val="00E67B95"/>
    <w:rsid w:val="00E67CC9"/>
    <w:rsid w:val="00E67FC4"/>
    <w:rsid w:val="00E7013C"/>
    <w:rsid w:val="00E7018A"/>
    <w:rsid w:val="00E7028D"/>
    <w:rsid w:val="00E7032F"/>
    <w:rsid w:val="00E70576"/>
    <w:rsid w:val="00E7069C"/>
    <w:rsid w:val="00E707FD"/>
    <w:rsid w:val="00E70856"/>
    <w:rsid w:val="00E70A74"/>
    <w:rsid w:val="00E70BFA"/>
    <w:rsid w:val="00E70E6D"/>
    <w:rsid w:val="00E70F54"/>
    <w:rsid w:val="00E714D0"/>
    <w:rsid w:val="00E716FA"/>
    <w:rsid w:val="00E71808"/>
    <w:rsid w:val="00E71CDF"/>
    <w:rsid w:val="00E71F08"/>
    <w:rsid w:val="00E71F2D"/>
    <w:rsid w:val="00E71F85"/>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5FA"/>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1C8"/>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5EF"/>
    <w:rsid w:val="00E83769"/>
    <w:rsid w:val="00E83B94"/>
    <w:rsid w:val="00E83D3C"/>
    <w:rsid w:val="00E841E5"/>
    <w:rsid w:val="00E84259"/>
    <w:rsid w:val="00E842A5"/>
    <w:rsid w:val="00E842C4"/>
    <w:rsid w:val="00E844FF"/>
    <w:rsid w:val="00E8464D"/>
    <w:rsid w:val="00E84B18"/>
    <w:rsid w:val="00E84D8D"/>
    <w:rsid w:val="00E84DD1"/>
    <w:rsid w:val="00E85224"/>
    <w:rsid w:val="00E8524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1"/>
    <w:rsid w:val="00E867AC"/>
    <w:rsid w:val="00E867B2"/>
    <w:rsid w:val="00E867D6"/>
    <w:rsid w:val="00E86AB4"/>
    <w:rsid w:val="00E86B17"/>
    <w:rsid w:val="00E87061"/>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CFB"/>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741"/>
    <w:rsid w:val="00E92969"/>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48F"/>
    <w:rsid w:val="00E97554"/>
    <w:rsid w:val="00E975DE"/>
    <w:rsid w:val="00E9761D"/>
    <w:rsid w:val="00E97728"/>
    <w:rsid w:val="00E9775C"/>
    <w:rsid w:val="00E977FF"/>
    <w:rsid w:val="00E9781B"/>
    <w:rsid w:val="00E97A56"/>
    <w:rsid w:val="00E97E1D"/>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D3C"/>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6A3"/>
    <w:rsid w:val="00EA38D7"/>
    <w:rsid w:val="00EA3B07"/>
    <w:rsid w:val="00EA3B5E"/>
    <w:rsid w:val="00EA3B81"/>
    <w:rsid w:val="00EA3D95"/>
    <w:rsid w:val="00EA3DB2"/>
    <w:rsid w:val="00EA3E97"/>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9D"/>
    <w:rsid w:val="00EB34A8"/>
    <w:rsid w:val="00EB34D4"/>
    <w:rsid w:val="00EB353C"/>
    <w:rsid w:val="00EB384C"/>
    <w:rsid w:val="00EB3EB6"/>
    <w:rsid w:val="00EB3ED5"/>
    <w:rsid w:val="00EB411A"/>
    <w:rsid w:val="00EB4905"/>
    <w:rsid w:val="00EB4A5E"/>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8E"/>
    <w:rsid w:val="00EC1FC1"/>
    <w:rsid w:val="00EC2059"/>
    <w:rsid w:val="00EC2199"/>
    <w:rsid w:val="00EC2397"/>
    <w:rsid w:val="00EC2757"/>
    <w:rsid w:val="00EC28CF"/>
    <w:rsid w:val="00EC3137"/>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184"/>
    <w:rsid w:val="00EC722C"/>
    <w:rsid w:val="00EC74B3"/>
    <w:rsid w:val="00EC7763"/>
    <w:rsid w:val="00EC77AA"/>
    <w:rsid w:val="00EC7808"/>
    <w:rsid w:val="00EC782E"/>
    <w:rsid w:val="00EC783F"/>
    <w:rsid w:val="00EC7971"/>
    <w:rsid w:val="00EC797E"/>
    <w:rsid w:val="00EC79BE"/>
    <w:rsid w:val="00EC7CF0"/>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D53"/>
    <w:rsid w:val="00ED2F16"/>
    <w:rsid w:val="00ED3020"/>
    <w:rsid w:val="00ED31F4"/>
    <w:rsid w:val="00ED3402"/>
    <w:rsid w:val="00ED3587"/>
    <w:rsid w:val="00ED368D"/>
    <w:rsid w:val="00ED370A"/>
    <w:rsid w:val="00ED38C1"/>
    <w:rsid w:val="00ED3A8C"/>
    <w:rsid w:val="00ED3A99"/>
    <w:rsid w:val="00ED3B59"/>
    <w:rsid w:val="00ED3E63"/>
    <w:rsid w:val="00ED3FC6"/>
    <w:rsid w:val="00ED4221"/>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3B1"/>
    <w:rsid w:val="00ED770D"/>
    <w:rsid w:val="00ED77BF"/>
    <w:rsid w:val="00ED790F"/>
    <w:rsid w:val="00ED7D00"/>
    <w:rsid w:val="00ED7E17"/>
    <w:rsid w:val="00EE0379"/>
    <w:rsid w:val="00EE05D5"/>
    <w:rsid w:val="00EE06D3"/>
    <w:rsid w:val="00EE087F"/>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009"/>
    <w:rsid w:val="00EE51B4"/>
    <w:rsid w:val="00EE551C"/>
    <w:rsid w:val="00EE55D6"/>
    <w:rsid w:val="00EE5911"/>
    <w:rsid w:val="00EE6036"/>
    <w:rsid w:val="00EE603A"/>
    <w:rsid w:val="00EE659C"/>
    <w:rsid w:val="00EE6764"/>
    <w:rsid w:val="00EE68C6"/>
    <w:rsid w:val="00EE6993"/>
    <w:rsid w:val="00EE6994"/>
    <w:rsid w:val="00EE6A83"/>
    <w:rsid w:val="00EE6B66"/>
    <w:rsid w:val="00EE714A"/>
    <w:rsid w:val="00EE72BA"/>
    <w:rsid w:val="00EE733D"/>
    <w:rsid w:val="00EE73EA"/>
    <w:rsid w:val="00EE741D"/>
    <w:rsid w:val="00EE7530"/>
    <w:rsid w:val="00EE7851"/>
    <w:rsid w:val="00EE785D"/>
    <w:rsid w:val="00EF0064"/>
    <w:rsid w:val="00EF00DA"/>
    <w:rsid w:val="00EF0115"/>
    <w:rsid w:val="00EF04BD"/>
    <w:rsid w:val="00EF04DB"/>
    <w:rsid w:val="00EF0716"/>
    <w:rsid w:val="00EF0C39"/>
    <w:rsid w:val="00EF0F0E"/>
    <w:rsid w:val="00EF0F37"/>
    <w:rsid w:val="00EF105B"/>
    <w:rsid w:val="00EF1074"/>
    <w:rsid w:val="00EF10EF"/>
    <w:rsid w:val="00EF11AF"/>
    <w:rsid w:val="00EF11EE"/>
    <w:rsid w:val="00EF1254"/>
    <w:rsid w:val="00EF12B3"/>
    <w:rsid w:val="00EF15A1"/>
    <w:rsid w:val="00EF1636"/>
    <w:rsid w:val="00EF1C2A"/>
    <w:rsid w:val="00EF1D2E"/>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0B"/>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8B0"/>
    <w:rsid w:val="00EF5949"/>
    <w:rsid w:val="00EF5953"/>
    <w:rsid w:val="00EF595C"/>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A67"/>
    <w:rsid w:val="00F01BBE"/>
    <w:rsid w:val="00F01C4B"/>
    <w:rsid w:val="00F01DE1"/>
    <w:rsid w:val="00F02390"/>
    <w:rsid w:val="00F0242E"/>
    <w:rsid w:val="00F024A4"/>
    <w:rsid w:val="00F0268C"/>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584"/>
    <w:rsid w:val="00F047CF"/>
    <w:rsid w:val="00F04FD1"/>
    <w:rsid w:val="00F05060"/>
    <w:rsid w:val="00F0510E"/>
    <w:rsid w:val="00F0519D"/>
    <w:rsid w:val="00F051E6"/>
    <w:rsid w:val="00F053AF"/>
    <w:rsid w:val="00F053D3"/>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1E6"/>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9DF"/>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159"/>
    <w:rsid w:val="00F15404"/>
    <w:rsid w:val="00F155F3"/>
    <w:rsid w:val="00F15642"/>
    <w:rsid w:val="00F158D6"/>
    <w:rsid w:val="00F15916"/>
    <w:rsid w:val="00F15D36"/>
    <w:rsid w:val="00F15DCE"/>
    <w:rsid w:val="00F15EAC"/>
    <w:rsid w:val="00F16074"/>
    <w:rsid w:val="00F1611A"/>
    <w:rsid w:val="00F162BA"/>
    <w:rsid w:val="00F16347"/>
    <w:rsid w:val="00F164B0"/>
    <w:rsid w:val="00F16786"/>
    <w:rsid w:val="00F16BC5"/>
    <w:rsid w:val="00F16CC9"/>
    <w:rsid w:val="00F16D12"/>
    <w:rsid w:val="00F16E0E"/>
    <w:rsid w:val="00F16FAC"/>
    <w:rsid w:val="00F1707A"/>
    <w:rsid w:val="00F170D7"/>
    <w:rsid w:val="00F17164"/>
    <w:rsid w:val="00F17237"/>
    <w:rsid w:val="00F172E9"/>
    <w:rsid w:val="00F175F1"/>
    <w:rsid w:val="00F176E1"/>
    <w:rsid w:val="00F176E4"/>
    <w:rsid w:val="00F1786F"/>
    <w:rsid w:val="00F179BD"/>
    <w:rsid w:val="00F17FA7"/>
    <w:rsid w:val="00F204D3"/>
    <w:rsid w:val="00F20661"/>
    <w:rsid w:val="00F20A14"/>
    <w:rsid w:val="00F20A46"/>
    <w:rsid w:val="00F20AFE"/>
    <w:rsid w:val="00F20F43"/>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43B"/>
    <w:rsid w:val="00F2253F"/>
    <w:rsid w:val="00F226D3"/>
    <w:rsid w:val="00F22893"/>
    <w:rsid w:val="00F228E4"/>
    <w:rsid w:val="00F22A38"/>
    <w:rsid w:val="00F22C08"/>
    <w:rsid w:val="00F22C5E"/>
    <w:rsid w:val="00F22F0E"/>
    <w:rsid w:val="00F23062"/>
    <w:rsid w:val="00F23338"/>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7E"/>
    <w:rsid w:val="00F257CA"/>
    <w:rsid w:val="00F25822"/>
    <w:rsid w:val="00F25D10"/>
    <w:rsid w:val="00F261E1"/>
    <w:rsid w:val="00F26390"/>
    <w:rsid w:val="00F2666E"/>
    <w:rsid w:val="00F269C2"/>
    <w:rsid w:val="00F26A11"/>
    <w:rsid w:val="00F26B36"/>
    <w:rsid w:val="00F26D84"/>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9C"/>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2AD"/>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2EC"/>
    <w:rsid w:val="00F36354"/>
    <w:rsid w:val="00F36834"/>
    <w:rsid w:val="00F36B6E"/>
    <w:rsid w:val="00F36CFF"/>
    <w:rsid w:val="00F36F4D"/>
    <w:rsid w:val="00F37107"/>
    <w:rsid w:val="00F373E0"/>
    <w:rsid w:val="00F375E6"/>
    <w:rsid w:val="00F37681"/>
    <w:rsid w:val="00F3795E"/>
    <w:rsid w:val="00F37CE1"/>
    <w:rsid w:val="00F37D1B"/>
    <w:rsid w:val="00F37EE6"/>
    <w:rsid w:val="00F37EFD"/>
    <w:rsid w:val="00F40107"/>
    <w:rsid w:val="00F4025B"/>
    <w:rsid w:val="00F4035E"/>
    <w:rsid w:val="00F403A2"/>
    <w:rsid w:val="00F40964"/>
    <w:rsid w:val="00F40ABF"/>
    <w:rsid w:val="00F40C8A"/>
    <w:rsid w:val="00F40F83"/>
    <w:rsid w:val="00F4101E"/>
    <w:rsid w:val="00F41052"/>
    <w:rsid w:val="00F41107"/>
    <w:rsid w:val="00F4132E"/>
    <w:rsid w:val="00F41340"/>
    <w:rsid w:val="00F4153D"/>
    <w:rsid w:val="00F41A56"/>
    <w:rsid w:val="00F41D19"/>
    <w:rsid w:val="00F41E20"/>
    <w:rsid w:val="00F41E81"/>
    <w:rsid w:val="00F41F16"/>
    <w:rsid w:val="00F4266D"/>
    <w:rsid w:val="00F42863"/>
    <w:rsid w:val="00F42AE7"/>
    <w:rsid w:val="00F42B71"/>
    <w:rsid w:val="00F42C04"/>
    <w:rsid w:val="00F42C2F"/>
    <w:rsid w:val="00F42CA1"/>
    <w:rsid w:val="00F42CE8"/>
    <w:rsid w:val="00F42E5E"/>
    <w:rsid w:val="00F42FE4"/>
    <w:rsid w:val="00F4304C"/>
    <w:rsid w:val="00F430FD"/>
    <w:rsid w:val="00F43363"/>
    <w:rsid w:val="00F433A2"/>
    <w:rsid w:val="00F4345C"/>
    <w:rsid w:val="00F43742"/>
    <w:rsid w:val="00F4387F"/>
    <w:rsid w:val="00F43A3A"/>
    <w:rsid w:val="00F43A82"/>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422"/>
    <w:rsid w:val="00F467AA"/>
    <w:rsid w:val="00F469C9"/>
    <w:rsid w:val="00F469D6"/>
    <w:rsid w:val="00F469EB"/>
    <w:rsid w:val="00F46A20"/>
    <w:rsid w:val="00F46A27"/>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28A"/>
    <w:rsid w:val="00F5030B"/>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721"/>
    <w:rsid w:val="00F568EA"/>
    <w:rsid w:val="00F56AFA"/>
    <w:rsid w:val="00F56E15"/>
    <w:rsid w:val="00F56E77"/>
    <w:rsid w:val="00F572B4"/>
    <w:rsid w:val="00F5744F"/>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094"/>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91"/>
    <w:rsid w:val="00F63FC0"/>
    <w:rsid w:val="00F64068"/>
    <w:rsid w:val="00F644B9"/>
    <w:rsid w:val="00F6466A"/>
    <w:rsid w:val="00F64684"/>
    <w:rsid w:val="00F646AA"/>
    <w:rsid w:val="00F6478C"/>
    <w:rsid w:val="00F64E08"/>
    <w:rsid w:val="00F64E23"/>
    <w:rsid w:val="00F6509B"/>
    <w:rsid w:val="00F65372"/>
    <w:rsid w:val="00F6564C"/>
    <w:rsid w:val="00F65696"/>
    <w:rsid w:val="00F65777"/>
    <w:rsid w:val="00F658FF"/>
    <w:rsid w:val="00F65921"/>
    <w:rsid w:val="00F65A4D"/>
    <w:rsid w:val="00F65C7C"/>
    <w:rsid w:val="00F6617A"/>
    <w:rsid w:val="00F661CA"/>
    <w:rsid w:val="00F66216"/>
    <w:rsid w:val="00F66560"/>
    <w:rsid w:val="00F668B4"/>
    <w:rsid w:val="00F669BD"/>
    <w:rsid w:val="00F67029"/>
    <w:rsid w:val="00F67045"/>
    <w:rsid w:val="00F67231"/>
    <w:rsid w:val="00F672D2"/>
    <w:rsid w:val="00F673BA"/>
    <w:rsid w:val="00F6780F"/>
    <w:rsid w:val="00F6781B"/>
    <w:rsid w:val="00F67949"/>
    <w:rsid w:val="00F67A97"/>
    <w:rsid w:val="00F67EA3"/>
    <w:rsid w:val="00F67F86"/>
    <w:rsid w:val="00F70234"/>
    <w:rsid w:val="00F70520"/>
    <w:rsid w:val="00F706D2"/>
    <w:rsid w:val="00F7072C"/>
    <w:rsid w:val="00F70844"/>
    <w:rsid w:val="00F708B7"/>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3AC"/>
    <w:rsid w:val="00F7444E"/>
    <w:rsid w:val="00F744D3"/>
    <w:rsid w:val="00F745C4"/>
    <w:rsid w:val="00F745C7"/>
    <w:rsid w:val="00F748BD"/>
    <w:rsid w:val="00F749B2"/>
    <w:rsid w:val="00F74B74"/>
    <w:rsid w:val="00F74CA2"/>
    <w:rsid w:val="00F74CAA"/>
    <w:rsid w:val="00F74DDE"/>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95A"/>
    <w:rsid w:val="00F77F00"/>
    <w:rsid w:val="00F77F6F"/>
    <w:rsid w:val="00F80100"/>
    <w:rsid w:val="00F8038D"/>
    <w:rsid w:val="00F8042F"/>
    <w:rsid w:val="00F80482"/>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B71"/>
    <w:rsid w:val="00F83C38"/>
    <w:rsid w:val="00F83E08"/>
    <w:rsid w:val="00F83E35"/>
    <w:rsid w:val="00F83F68"/>
    <w:rsid w:val="00F840FF"/>
    <w:rsid w:val="00F84617"/>
    <w:rsid w:val="00F848BC"/>
    <w:rsid w:val="00F84B5E"/>
    <w:rsid w:val="00F84D84"/>
    <w:rsid w:val="00F84E8B"/>
    <w:rsid w:val="00F84FB0"/>
    <w:rsid w:val="00F853F1"/>
    <w:rsid w:val="00F85446"/>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484"/>
    <w:rsid w:val="00F8766B"/>
    <w:rsid w:val="00F87861"/>
    <w:rsid w:val="00F8796E"/>
    <w:rsid w:val="00F87AD1"/>
    <w:rsid w:val="00F87B97"/>
    <w:rsid w:val="00F87CBC"/>
    <w:rsid w:val="00F87F56"/>
    <w:rsid w:val="00F90133"/>
    <w:rsid w:val="00F901E7"/>
    <w:rsid w:val="00F90246"/>
    <w:rsid w:val="00F9040C"/>
    <w:rsid w:val="00F90603"/>
    <w:rsid w:val="00F9067A"/>
    <w:rsid w:val="00F909E8"/>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CE5"/>
    <w:rsid w:val="00F91D85"/>
    <w:rsid w:val="00F91DE5"/>
    <w:rsid w:val="00F91E2F"/>
    <w:rsid w:val="00F9232D"/>
    <w:rsid w:val="00F92521"/>
    <w:rsid w:val="00F925F7"/>
    <w:rsid w:val="00F925FE"/>
    <w:rsid w:val="00F927E7"/>
    <w:rsid w:val="00F9292F"/>
    <w:rsid w:val="00F92D8E"/>
    <w:rsid w:val="00F92EAD"/>
    <w:rsid w:val="00F92F4B"/>
    <w:rsid w:val="00F931A7"/>
    <w:rsid w:val="00F933A8"/>
    <w:rsid w:val="00F935AC"/>
    <w:rsid w:val="00F93670"/>
    <w:rsid w:val="00F9368B"/>
    <w:rsid w:val="00F9375F"/>
    <w:rsid w:val="00F93A23"/>
    <w:rsid w:val="00F93B23"/>
    <w:rsid w:val="00F93DEB"/>
    <w:rsid w:val="00F93ECC"/>
    <w:rsid w:val="00F9404A"/>
    <w:rsid w:val="00F9412B"/>
    <w:rsid w:val="00F94695"/>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2FF"/>
    <w:rsid w:val="00F9638B"/>
    <w:rsid w:val="00F96545"/>
    <w:rsid w:val="00F965E9"/>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610"/>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3AE"/>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8CD"/>
    <w:rsid w:val="00FB0E68"/>
    <w:rsid w:val="00FB1084"/>
    <w:rsid w:val="00FB11BC"/>
    <w:rsid w:val="00FB1245"/>
    <w:rsid w:val="00FB127D"/>
    <w:rsid w:val="00FB1535"/>
    <w:rsid w:val="00FB1687"/>
    <w:rsid w:val="00FB16E8"/>
    <w:rsid w:val="00FB1705"/>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5F"/>
    <w:rsid w:val="00FB51B8"/>
    <w:rsid w:val="00FB529B"/>
    <w:rsid w:val="00FB5710"/>
    <w:rsid w:val="00FB581B"/>
    <w:rsid w:val="00FB5961"/>
    <w:rsid w:val="00FB59C3"/>
    <w:rsid w:val="00FB5D9B"/>
    <w:rsid w:val="00FB5F0C"/>
    <w:rsid w:val="00FB6217"/>
    <w:rsid w:val="00FB62E5"/>
    <w:rsid w:val="00FB636A"/>
    <w:rsid w:val="00FB64BC"/>
    <w:rsid w:val="00FB64E8"/>
    <w:rsid w:val="00FB65B3"/>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44"/>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7DC"/>
    <w:rsid w:val="00FC2B5C"/>
    <w:rsid w:val="00FC2CCB"/>
    <w:rsid w:val="00FC2E09"/>
    <w:rsid w:val="00FC2F16"/>
    <w:rsid w:val="00FC2F1E"/>
    <w:rsid w:val="00FC306B"/>
    <w:rsid w:val="00FC31B9"/>
    <w:rsid w:val="00FC33F2"/>
    <w:rsid w:val="00FC37E8"/>
    <w:rsid w:val="00FC38D5"/>
    <w:rsid w:val="00FC3992"/>
    <w:rsid w:val="00FC3AC7"/>
    <w:rsid w:val="00FC3BBF"/>
    <w:rsid w:val="00FC3E72"/>
    <w:rsid w:val="00FC3FB2"/>
    <w:rsid w:val="00FC4398"/>
    <w:rsid w:val="00FC46A6"/>
    <w:rsid w:val="00FC47B0"/>
    <w:rsid w:val="00FC4B1E"/>
    <w:rsid w:val="00FC4C16"/>
    <w:rsid w:val="00FC4C2F"/>
    <w:rsid w:val="00FC4C92"/>
    <w:rsid w:val="00FC4D18"/>
    <w:rsid w:val="00FC4D68"/>
    <w:rsid w:val="00FC4DAB"/>
    <w:rsid w:val="00FC4DD2"/>
    <w:rsid w:val="00FC4F40"/>
    <w:rsid w:val="00FC53F2"/>
    <w:rsid w:val="00FC5635"/>
    <w:rsid w:val="00FC58CB"/>
    <w:rsid w:val="00FC5A04"/>
    <w:rsid w:val="00FC5B3C"/>
    <w:rsid w:val="00FC5B81"/>
    <w:rsid w:val="00FC5DDB"/>
    <w:rsid w:val="00FC5F62"/>
    <w:rsid w:val="00FC644B"/>
    <w:rsid w:val="00FC6692"/>
    <w:rsid w:val="00FC6795"/>
    <w:rsid w:val="00FC6804"/>
    <w:rsid w:val="00FC6BD0"/>
    <w:rsid w:val="00FC6CC1"/>
    <w:rsid w:val="00FC6CF1"/>
    <w:rsid w:val="00FC7397"/>
    <w:rsid w:val="00FC73EB"/>
    <w:rsid w:val="00FC7A3A"/>
    <w:rsid w:val="00FC7B0C"/>
    <w:rsid w:val="00FC7FC5"/>
    <w:rsid w:val="00FD004D"/>
    <w:rsid w:val="00FD009D"/>
    <w:rsid w:val="00FD05C9"/>
    <w:rsid w:val="00FD076B"/>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3E72"/>
    <w:rsid w:val="00FD4005"/>
    <w:rsid w:val="00FD40B9"/>
    <w:rsid w:val="00FD4583"/>
    <w:rsid w:val="00FD4C4A"/>
    <w:rsid w:val="00FD4E16"/>
    <w:rsid w:val="00FD5094"/>
    <w:rsid w:val="00FD5117"/>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425"/>
    <w:rsid w:val="00FD750F"/>
    <w:rsid w:val="00FD77DA"/>
    <w:rsid w:val="00FD78D5"/>
    <w:rsid w:val="00FD7E82"/>
    <w:rsid w:val="00FD7F97"/>
    <w:rsid w:val="00FE000C"/>
    <w:rsid w:val="00FE001E"/>
    <w:rsid w:val="00FE00F7"/>
    <w:rsid w:val="00FE030C"/>
    <w:rsid w:val="00FE0739"/>
    <w:rsid w:val="00FE0788"/>
    <w:rsid w:val="00FE08A6"/>
    <w:rsid w:val="00FE0A58"/>
    <w:rsid w:val="00FE0F4D"/>
    <w:rsid w:val="00FE101A"/>
    <w:rsid w:val="00FE113D"/>
    <w:rsid w:val="00FE12B5"/>
    <w:rsid w:val="00FE12FA"/>
    <w:rsid w:val="00FE13CC"/>
    <w:rsid w:val="00FE1478"/>
    <w:rsid w:val="00FE176D"/>
    <w:rsid w:val="00FE1B46"/>
    <w:rsid w:val="00FE1BA9"/>
    <w:rsid w:val="00FE1C5B"/>
    <w:rsid w:val="00FE1EE5"/>
    <w:rsid w:val="00FE1FC4"/>
    <w:rsid w:val="00FE2118"/>
    <w:rsid w:val="00FE2262"/>
    <w:rsid w:val="00FE22A0"/>
    <w:rsid w:val="00FE2407"/>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D95"/>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0B7"/>
    <w:rsid w:val="00FF11CA"/>
    <w:rsid w:val="00FF12DF"/>
    <w:rsid w:val="00FF1523"/>
    <w:rsid w:val="00FF16B4"/>
    <w:rsid w:val="00FF1768"/>
    <w:rsid w:val="00FF17DB"/>
    <w:rsid w:val="00FF1F45"/>
    <w:rsid w:val="00FF20EF"/>
    <w:rsid w:val="00FF255D"/>
    <w:rsid w:val="00FF2633"/>
    <w:rsid w:val="00FF2648"/>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89"/>
    <w:rsid w:val="00FF5DE2"/>
    <w:rsid w:val="00FF5F81"/>
    <w:rsid w:val="00FF61F7"/>
    <w:rsid w:val="00FF62C8"/>
    <w:rsid w:val="00FF6311"/>
    <w:rsid w:val="00FF6387"/>
    <w:rsid w:val="00FF6481"/>
    <w:rsid w:val="00FF6551"/>
    <w:rsid w:val="00FF6674"/>
    <w:rsid w:val="00FF668C"/>
    <w:rsid w:val="00FF6773"/>
    <w:rsid w:val="00FF6B48"/>
    <w:rsid w:val="00FF6C68"/>
    <w:rsid w:val="00FF6FB2"/>
    <w:rsid w:val="00FF6FD3"/>
    <w:rsid w:val="00FF7206"/>
    <w:rsid w:val="00FF7286"/>
    <w:rsid w:val="00FF72D6"/>
    <w:rsid w:val="00FF7349"/>
    <w:rsid w:val="00FF73BE"/>
    <w:rsid w:val="00FF7494"/>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DFBAF"/>
    <w:rsid w:val="017F2278"/>
    <w:rsid w:val="01818818"/>
    <w:rsid w:val="0186C75C"/>
    <w:rsid w:val="018ABC22"/>
    <w:rsid w:val="018CE85C"/>
    <w:rsid w:val="0190501B"/>
    <w:rsid w:val="0190F0B7"/>
    <w:rsid w:val="019E6371"/>
    <w:rsid w:val="01B28C64"/>
    <w:rsid w:val="01B35B55"/>
    <w:rsid w:val="01B56C3D"/>
    <w:rsid w:val="01B73B38"/>
    <w:rsid w:val="01C0488F"/>
    <w:rsid w:val="01C9F0E4"/>
    <w:rsid w:val="01D08F0D"/>
    <w:rsid w:val="01D39012"/>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13A4C"/>
    <w:rsid w:val="02673C63"/>
    <w:rsid w:val="0269DB92"/>
    <w:rsid w:val="026AFBCC"/>
    <w:rsid w:val="02784F1F"/>
    <w:rsid w:val="0283659E"/>
    <w:rsid w:val="02869B72"/>
    <w:rsid w:val="028C2908"/>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AFCA4"/>
    <w:rsid w:val="032EC252"/>
    <w:rsid w:val="0330B1CE"/>
    <w:rsid w:val="0345541B"/>
    <w:rsid w:val="0345912D"/>
    <w:rsid w:val="034B461F"/>
    <w:rsid w:val="034FA74C"/>
    <w:rsid w:val="0352E4E3"/>
    <w:rsid w:val="035CEED3"/>
    <w:rsid w:val="03701063"/>
    <w:rsid w:val="037DD2BB"/>
    <w:rsid w:val="0382EA2E"/>
    <w:rsid w:val="038CD6E9"/>
    <w:rsid w:val="03903764"/>
    <w:rsid w:val="03917686"/>
    <w:rsid w:val="0396A1FC"/>
    <w:rsid w:val="039A6285"/>
    <w:rsid w:val="03A4FA1F"/>
    <w:rsid w:val="03A924D6"/>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AB163"/>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57E64"/>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655FFC"/>
    <w:rsid w:val="057234A5"/>
    <w:rsid w:val="05770A9B"/>
    <w:rsid w:val="058BF8D5"/>
    <w:rsid w:val="058CCD86"/>
    <w:rsid w:val="05949830"/>
    <w:rsid w:val="05A299D3"/>
    <w:rsid w:val="05A7A838"/>
    <w:rsid w:val="05AFB658"/>
    <w:rsid w:val="05CEFA5D"/>
    <w:rsid w:val="05D52B5E"/>
    <w:rsid w:val="05E61D7A"/>
    <w:rsid w:val="05EBA427"/>
    <w:rsid w:val="05F18FF4"/>
    <w:rsid w:val="05F5F06C"/>
    <w:rsid w:val="0605A52C"/>
    <w:rsid w:val="060ED2F1"/>
    <w:rsid w:val="06153348"/>
    <w:rsid w:val="06158219"/>
    <w:rsid w:val="06169CB2"/>
    <w:rsid w:val="06193FE4"/>
    <w:rsid w:val="0624ABE0"/>
    <w:rsid w:val="062EDA36"/>
    <w:rsid w:val="063DBD6A"/>
    <w:rsid w:val="0643604A"/>
    <w:rsid w:val="064B3A45"/>
    <w:rsid w:val="0650E1CD"/>
    <w:rsid w:val="065265D3"/>
    <w:rsid w:val="0655EA1B"/>
    <w:rsid w:val="06644D56"/>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18B67"/>
    <w:rsid w:val="071659D8"/>
    <w:rsid w:val="07185E7B"/>
    <w:rsid w:val="0721C1DF"/>
    <w:rsid w:val="0724560C"/>
    <w:rsid w:val="072AE63A"/>
    <w:rsid w:val="072BF4AA"/>
    <w:rsid w:val="072C6BB7"/>
    <w:rsid w:val="0732B0F0"/>
    <w:rsid w:val="0734999D"/>
    <w:rsid w:val="0736D313"/>
    <w:rsid w:val="073C7353"/>
    <w:rsid w:val="075CDF44"/>
    <w:rsid w:val="0762B902"/>
    <w:rsid w:val="077090C4"/>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A875F"/>
    <w:rsid w:val="086734E4"/>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0D6680"/>
    <w:rsid w:val="0918A5FF"/>
    <w:rsid w:val="091F3D67"/>
    <w:rsid w:val="0920E2F7"/>
    <w:rsid w:val="0923118A"/>
    <w:rsid w:val="0926356D"/>
    <w:rsid w:val="092FBEB1"/>
    <w:rsid w:val="09303F4F"/>
    <w:rsid w:val="09309ACC"/>
    <w:rsid w:val="0933CE69"/>
    <w:rsid w:val="09346565"/>
    <w:rsid w:val="093FD2CF"/>
    <w:rsid w:val="09554A3A"/>
    <w:rsid w:val="095CF06E"/>
    <w:rsid w:val="095F156D"/>
    <w:rsid w:val="0960C8F2"/>
    <w:rsid w:val="0969A004"/>
    <w:rsid w:val="097058D3"/>
    <w:rsid w:val="09738A1B"/>
    <w:rsid w:val="0976F394"/>
    <w:rsid w:val="0986F6EA"/>
    <w:rsid w:val="0987A7AC"/>
    <w:rsid w:val="0989B906"/>
    <w:rsid w:val="098FA368"/>
    <w:rsid w:val="09945775"/>
    <w:rsid w:val="099F68E0"/>
    <w:rsid w:val="09A7DCDA"/>
    <w:rsid w:val="09BD51AA"/>
    <w:rsid w:val="09BD85B8"/>
    <w:rsid w:val="09C96E13"/>
    <w:rsid w:val="09D721F8"/>
    <w:rsid w:val="09DC9AA3"/>
    <w:rsid w:val="09F20488"/>
    <w:rsid w:val="09F4D3B6"/>
    <w:rsid w:val="09F7AC9D"/>
    <w:rsid w:val="09FC34C7"/>
    <w:rsid w:val="09FCAF0B"/>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54600"/>
    <w:rsid w:val="0A7110AE"/>
    <w:rsid w:val="0A7657B2"/>
    <w:rsid w:val="0A7A37FA"/>
    <w:rsid w:val="0A7AC28C"/>
    <w:rsid w:val="0A80F24E"/>
    <w:rsid w:val="0A8E064F"/>
    <w:rsid w:val="0A932F4A"/>
    <w:rsid w:val="0AA0F833"/>
    <w:rsid w:val="0AA3D4F5"/>
    <w:rsid w:val="0AA6A8E8"/>
    <w:rsid w:val="0AA71B8E"/>
    <w:rsid w:val="0AAF48EA"/>
    <w:rsid w:val="0ACAF8E7"/>
    <w:rsid w:val="0AD6CDC6"/>
    <w:rsid w:val="0AD88E21"/>
    <w:rsid w:val="0AD9CDCD"/>
    <w:rsid w:val="0AE5AAC1"/>
    <w:rsid w:val="0AE64EA8"/>
    <w:rsid w:val="0AE7F545"/>
    <w:rsid w:val="0AE98A44"/>
    <w:rsid w:val="0AEAA189"/>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51055"/>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61D84"/>
    <w:rsid w:val="0BCB21E3"/>
    <w:rsid w:val="0BD0DB1E"/>
    <w:rsid w:val="0BD4B248"/>
    <w:rsid w:val="0BDF04A5"/>
    <w:rsid w:val="0BE13B88"/>
    <w:rsid w:val="0BE1583E"/>
    <w:rsid w:val="0BE4DECC"/>
    <w:rsid w:val="0BFD37D2"/>
    <w:rsid w:val="0BFE129D"/>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E4B6"/>
    <w:rsid w:val="0C5C96A1"/>
    <w:rsid w:val="0C5FBDBD"/>
    <w:rsid w:val="0C5FD4B2"/>
    <w:rsid w:val="0C62A699"/>
    <w:rsid w:val="0C6E1965"/>
    <w:rsid w:val="0C725E68"/>
    <w:rsid w:val="0C7F470D"/>
    <w:rsid w:val="0C8E01DC"/>
    <w:rsid w:val="0C948F1E"/>
    <w:rsid w:val="0C9EB478"/>
    <w:rsid w:val="0C9FDCDE"/>
    <w:rsid w:val="0CA68C5F"/>
    <w:rsid w:val="0CAC0A5D"/>
    <w:rsid w:val="0CAEEA11"/>
    <w:rsid w:val="0CB3A7B9"/>
    <w:rsid w:val="0CB5A0AC"/>
    <w:rsid w:val="0CB8C64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10F46"/>
    <w:rsid w:val="0D469EE1"/>
    <w:rsid w:val="0D49325F"/>
    <w:rsid w:val="0D4E21B5"/>
    <w:rsid w:val="0D4E688E"/>
    <w:rsid w:val="0D5C1103"/>
    <w:rsid w:val="0D682948"/>
    <w:rsid w:val="0D747DFD"/>
    <w:rsid w:val="0D80F31D"/>
    <w:rsid w:val="0D81C482"/>
    <w:rsid w:val="0D83F751"/>
    <w:rsid w:val="0D848BB5"/>
    <w:rsid w:val="0D8858B0"/>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2700F"/>
    <w:rsid w:val="0E33A8E3"/>
    <w:rsid w:val="0E36F533"/>
    <w:rsid w:val="0E3B73EA"/>
    <w:rsid w:val="0E4F3377"/>
    <w:rsid w:val="0E552B17"/>
    <w:rsid w:val="0E5DDA0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87AAA"/>
    <w:rsid w:val="0EE63C30"/>
    <w:rsid w:val="0EE7B7DC"/>
    <w:rsid w:val="0EED6BBF"/>
    <w:rsid w:val="0EEDC674"/>
    <w:rsid w:val="0EF00FDF"/>
    <w:rsid w:val="0EF14346"/>
    <w:rsid w:val="0F0411EE"/>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7C0642"/>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EAA2B"/>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0D2E5"/>
    <w:rsid w:val="11274D90"/>
    <w:rsid w:val="112BE689"/>
    <w:rsid w:val="112D94AC"/>
    <w:rsid w:val="11317950"/>
    <w:rsid w:val="113254B3"/>
    <w:rsid w:val="11325676"/>
    <w:rsid w:val="11369CE4"/>
    <w:rsid w:val="113BE5C3"/>
    <w:rsid w:val="11470A91"/>
    <w:rsid w:val="11516086"/>
    <w:rsid w:val="1153C13B"/>
    <w:rsid w:val="115A7EBC"/>
    <w:rsid w:val="115AB1AE"/>
    <w:rsid w:val="116CF79D"/>
    <w:rsid w:val="1179D884"/>
    <w:rsid w:val="1182041D"/>
    <w:rsid w:val="11839F20"/>
    <w:rsid w:val="11912135"/>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AAEA4"/>
    <w:rsid w:val="11FBCE4D"/>
    <w:rsid w:val="11FFE896"/>
    <w:rsid w:val="120DA2F3"/>
    <w:rsid w:val="1212D50F"/>
    <w:rsid w:val="121D0441"/>
    <w:rsid w:val="12222ABC"/>
    <w:rsid w:val="12280D2C"/>
    <w:rsid w:val="122E5746"/>
    <w:rsid w:val="1230C4E5"/>
    <w:rsid w:val="1230EEC0"/>
    <w:rsid w:val="12315478"/>
    <w:rsid w:val="12327B83"/>
    <w:rsid w:val="1236F2E2"/>
    <w:rsid w:val="12438292"/>
    <w:rsid w:val="1243B3F7"/>
    <w:rsid w:val="1245C75E"/>
    <w:rsid w:val="1246200D"/>
    <w:rsid w:val="12519CC6"/>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2FB6C21"/>
    <w:rsid w:val="1309BA8B"/>
    <w:rsid w:val="131889D8"/>
    <w:rsid w:val="131AEA9F"/>
    <w:rsid w:val="131CC704"/>
    <w:rsid w:val="132783E8"/>
    <w:rsid w:val="1327F958"/>
    <w:rsid w:val="1334CF72"/>
    <w:rsid w:val="133E324A"/>
    <w:rsid w:val="13412589"/>
    <w:rsid w:val="1342327D"/>
    <w:rsid w:val="1356821B"/>
    <w:rsid w:val="135B0680"/>
    <w:rsid w:val="1367CA0F"/>
    <w:rsid w:val="1369FBC4"/>
    <w:rsid w:val="1376FCA8"/>
    <w:rsid w:val="1378D193"/>
    <w:rsid w:val="1384E4A3"/>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8486D"/>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7FFFE3"/>
    <w:rsid w:val="1487BDA7"/>
    <w:rsid w:val="148ABEA1"/>
    <w:rsid w:val="148EA4B2"/>
    <w:rsid w:val="148FCC16"/>
    <w:rsid w:val="14912453"/>
    <w:rsid w:val="1495F12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452AF"/>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8D31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0D2B3"/>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EC999B"/>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9F6701"/>
    <w:rsid w:val="18A1D5A2"/>
    <w:rsid w:val="18A88AD3"/>
    <w:rsid w:val="18AD2C46"/>
    <w:rsid w:val="18B089F0"/>
    <w:rsid w:val="18BA0AA8"/>
    <w:rsid w:val="18BBC397"/>
    <w:rsid w:val="18C825D2"/>
    <w:rsid w:val="18CA8367"/>
    <w:rsid w:val="18CC8CC4"/>
    <w:rsid w:val="18D1A6D9"/>
    <w:rsid w:val="18D52F66"/>
    <w:rsid w:val="18DA3269"/>
    <w:rsid w:val="18DB091F"/>
    <w:rsid w:val="18E09407"/>
    <w:rsid w:val="18E830C4"/>
    <w:rsid w:val="18E8CBA7"/>
    <w:rsid w:val="18F3B8CE"/>
    <w:rsid w:val="190E3574"/>
    <w:rsid w:val="191439EC"/>
    <w:rsid w:val="1918DA16"/>
    <w:rsid w:val="19200BCC"/>
    <w:rsid w:val="1923CF2F"/>
    <w:rsid w:val="1925E7B4"/>
    <w:rsid w:val="19318746"/>
    <w:rsid w:val="19404E9D"/>
    <w:rsid w:val="194A2D9E"/>
    <w:rsid w:val="1956FAC0"/>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C451E1"/>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07D5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49F39"/>
    <w:rsid w:val="1AF7D21E"/>
    <w:rsid w:val="1AF8C552"/>
    <w:rsid w:val="1AF92734"/>
    <w:rsid w:val="1AF95F56"/>
    <w:rsid w:val="1AFADBEA"/>
    <w:rsid w:val="1B0601D4"/>
    <w:rsid w:val="1B0AB052"/>
    <w:rsid w:val="1B0AD151"/>
    <w:rsid w:val="1B11BDA0"/>
    <w:rsid w:val="1B1B20CD"/>
    <w:rsid w:val="1B1EBC62"/>
    <w:rsid w:val="1B20B43F"/>
    <w:rsid w:val="1B249933"/>
    <w:rsid w:val="1B255651"/>
    <w:rsid w:val="1B3003A4"/>
    <w:rsid w:val="1B48839A"/>
    <w:rsid w:val="1B4A3C92"/>
    <w:rsid w:val="1B4E266B"/>
    <w:rsid w:val="1B4FDB53"/>
    <w:rsid w:val="1B50FA9A"/>
    <w:rsid w:val="1B56E69F"/>
    <w:rsid w:val="1B5978E5"/>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1F298"/>
    <w:rsid w:val="1C48393F"/>
    <w:rsid w:val="1C4DF169"/>
    <w:rsid w:val="1C50F6FC"/>
    <w:rsid w:val="1C537205"/>
    <w:rsid w:val="1C57C18A"/>
    <w:rsid w:val="1C5AAF42"/>
    <w:rsid w:val="1C6847D3"/>
    <w:rsid w:val="1C6C53E0"/>
    <w:rsid w:val="1C760252"/>
    <w:rsid w:val="1C807AB3"/>
    <w:rsid w:val="1C82117A"/>
    <w:rsid w:val="1C8405BD"/>
    <w:rsid w:val="1C840D72"/>
    <w:rsid w:val="1C8C7669"/>
    <w:rsid w:val="1C928190"/>
    <w:rsid w:val="1C944FBC"/>
    <w:rsid w:val="1CA17A2F"/>
    <w:rsid w:val="1CAB5E38"/>
    <w:rsid w:val="1CAC38E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35BD6"/>
    <w:rsid w:val="1D3D6F80"/>
    <w:rsid w:val="1D40107D"/>
    <w:rsid w:val="1D467182"/>
    <w:rsid w:val="1D4731B8"/>
    <w:rsid w:val="1D4C20D7"/>
    <w:rsid w:val="1D50DB03"/>
    <w:rsid w:val="1D52A125"/>
    <w:rsid w:val="1D56281A"/>
    <w:rsid w:val="1D5D7F59"/>
    <w:rsid w:val="1D5F7C2E"/>
    <w:rsid w:val="1D6FBA50"/>
    <w:rsid w:val="1D775A3B"/>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A3C03"/>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D6BD5A"/>
    <w:rsid w:val="1EE3A42A"/>
    <w:rsid w:val="1EE57F4C"/>
    <w:rsid w:val="1EE8AA6C"/>
    <w:rsid w:val="1EE9C65E"/>
    <w:rsid w:val="1EEA9534"/>
    <w:rsid w:val="1EEDA857"/>
    <w:rsid w:val="1EF0436A"/>
    <w:rsid w:val="1EF105A3"/>
    <w:rsid w:val="1EF236CE"/>
    <w:rsid w:val="1EF3F83D"/>
    <w:rsid w:val="1EF4FD43"/>
    <w:rsid w:val="1EF7290A"/>
    <w:rsid w:val="1EF959DC"/>
    <w:rsid w:val="1EFBC8B4"/>
    <w:rsid w:val="1F07C6BE"/>
    <w:rsid w:val="1F0D584A"/>
    <w:rsid w:val="1F1A7447"/>
    <w:rsid w:val="1F211DD6"/>
    <w:rsid w:val="1F232174"/>
    <w:rsid w:val="1F27EB6F"/>
    <w:rsid w:val="1F2E6424"/>
    <w:rsid w:val="1F2EA7E0"/>
    <w:rsid w:val="1F38789F"/>
    <w:rsid w:val="1F3EFC02"/>
    <w:rsid w:val="1F4995F5"/>
    <w:rsid w:val="1F5762DC"/>
    <w:rsid w:val="1F62CA94"/>
    <w:rsid w:val="1F716DB2"/>
    <w:rsid w:val="1F74BD64"/>
    <w:rsid w:val="1F76C101"/>
    <w:rsid w:val="1F784EC9"/>
    <w:rsid w:val="1F7AA52A"/>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7CD39C"/>
    <w:rsid w:val="207EA0B2"/>
    <w:rsid w:val="2082A3BB"/>
    <w:rsid w:val="20891A80"/>
    <w:rsid w:val="208B8171"/>
    <w:rsid w:val="209D54AD"/>
    <w:rsid w:val="20A8DE77"/>
    <w:rsid w:val="20AAF4BB"/>
    <w:rsid w:val="20BAAC6A"/>
    <w:rsid w:val="20BDEE86"/>
    <w:rsid w:val="20C5B569"/>
    <w:rsid w:val="20C6C1BD"/>
    <w:rsid w:val="20CB86D6"/>
    <w:rsid w:val="20D90047"/>
    <w:rsid w:val="20E653F4"/>
    <w:rsid w:val="20ED170B"/>
    <w:rsid w:val="20EFC372"/>
    <w:rsid w:val="20F887F2"/>
    <w:rsid w:val="20FBB230"/>
    <w:rsid w:val="20FEEFCA"/>
    <w:rsid w:val="21026EC0"/>
    <w:rsid w:val="21078CB9"/>
    <w:rsid w:val="210CCE64"/>
    <w:rsid w:val="211301C9"/>
    <w:rsid w:val="2119C804"/>
    <w:rsid w:val="211E1A18"/>
    <w:rsid w:val="21211598"/>
    <w:rsid w:val="21238350"/>
    <w:rsid w:val="2128D1D4"/>
    <w:rsid w:val="212E4939"/>
    <w:rsid w:val="21300E6E"/>
    <w:rsid w:val="2140CB13"/>
    <w:rsid w:val="2147C97A"/>
    <w:rsid w:val="21489B85"/>
    <w:rsid w:val="215052AA"/>
    <w:rsid w:val="2150A56C"/>
    <w:rsid w:val="2151B106"/>
    <w:rsid w:val="215FB713"/>
    <w:rsid w:val="216226CD"/>
    <w:rsid w:val="2165FF28"/>
    <w:rsid w:val="21690AAA"/>
    <w:rsid w:val="216FBA7D"/>
    <w:rsid w:val="2177794A"/>
    <w:rsid w:val="2183EA5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40C24"/>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7C7ED3"/>
    <w:rsid w:val="22861AC5"/>
    <w:rsid w:val="2289C2DF"/>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9BC739"/>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AD849"/>
    <w:rsid w:val="24ED8D27"/>
    <w:rsid w:val="24F36EB1"/>
    <w:rsid w:val="24F56938"/>
    <w:rsid w:val="24F61A9C"/>
    <w:rsid w:val="24F9F113"/>
    <w:rsid w:val="24FF0CF8"/>
    <w:rsid w:val="25182FAA"/>
    <w:rsid w:val="25210B75"/>
    <w:rsid w:val="25212BFD"/>
    <w:rsid w:val="25282C85"/>
    <w:rsid w:val="25341103"/>
    <w:rsid w:val="254B9ECF"/>
    <w:rsid w:val="2552571C"/>
    <w:rsid w:val="2552A48B"/>
    <w:rsid w:val="255EF3F5"/>
    <w:rsid w:val="25603AC3"/>
    <w:rsid w:val="2561B98E"/>
    <w:rsid w:val="256220CB"/>
    <w:rsid w:val="2566724F"/>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2DE0C6"/>
    <w:rsid w:val="2636325A"/>
    <w:rsid w:val="263A5CC8"/>
    <w:rsid w:val="263AA9E3"/>
    <w:rsid w:val="263ED2F2"/>
    <w:rsid w:val="264B86DE"/>
    <w:rsid w:val="264F36F7"/>
    <w:rsid w:val="26563137"/>
    <w:rsid w:val="265E65B3"/>
    <w:rsid w:val="2675B4AD"/>
    <w:rsid w:val="2676A6A7"/>
    <w:rsid w:val="267ED3C7"/>
    <w:rsid w:val="26809D0F"/>
    <w:rsid w:val="268293D3"/>
    <w:rsid w:val="26840AD9"/>
    <w:rsid w:val="268414C7"/>
    <w:rsid w:val="26888F55"/>
    <w:rsid w:val="268E4C3B"/>
    <w:rsid w:val="26916828"/>
    <w:rsid w:val="26A8AA80"/>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6171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7ECCC3"/>
    <w:rsid w:val="278761B7"/>
    <w:rsid w:val="2791A586"/>
    <w:rsid w:val="279C2174"/>
    <w:rsid w:val="27A3CD14"/>
    <w:rsid w:val="27AADD42"/>
    <w:rsid w:val="27AD636A"/>
    <w:rsid w:val="27B25F42"/>
    <w:rsid w:val="27B47239"/>
    <w:rsid w:val="27B5E0EB"/>
    <w:rsid w:val="27C0DD7A"/>
    <w:rsid w:val="27C65389"/>
    <w:rsid w:val="27CB7B6F"/>
    <w:rsid w:val="27CE4B22"/>
    <w:rsid w:val="27D6DDA6"/>
    <w:rsid w:val="27F04574"/>
    <w:rsid w:val="27F2587A"/>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4A09C4"/>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9F9639C"/>
    <w:rsid w:val="2A0B0719"/>
    <w:rsid w:val="2A1A2788"/>
    <w:rsid w:val="2A2469F3"/>
    <w:rsid w:val="2A355EEE"/>
    <w:rsid w:val="2A3E7A80"/>
    <w:rsid w:val="2A40568E"/>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4CC82"/>
    <w:rsid w:val="2B37A67E"/>
    <w:rsid w:val="2B40C49A"/>
    <w:rsid w:val="2B44ABF7"/>
    <w:rsid w:val="2B465BBA"/>
    <w:rsid w:val="2B584861"/>
    <w:rsid w:val="2B5DFDCA"/>
    <w:rsid w:val="2B5FB6ED"/>
    <w:rsid w:val="2B60F514"/>
    <w:rsid w:val="2B6577E2"/>
    <w:rsid w:val="2B6B17E4"/>
    <w:rsid w:val="2B6B3691"/>
    <w:rsid w:val="2B6C2921"/>
    <w:rsid w:val="2B702B7E"/>
    <w:rsid w:val="2B712CEC"/>
    <w:rsid w:val="2B751436"/>
    <w:rsid w:val="2B78F86A"/>
    <w:rsid w:val="2B84CD68"/>
    <w:rsid w:val="2B93E4D5"/>
    <w:rsid w:val="2B947667"/>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BEDFCB4"/>
    <w:rsid w:val="2C023A2A"/>
    <w:rsid w:val="2C13B15C"/>
    <w:rsid w:val="2C17B5F3"/>
    <w:rsid w:val="2C1A0021"/>
    <w:rsid w:val="2C1BE03F"/>
    <w:rsid w:val="2C24217A"/>
    <w:rsid w:val="2C3A424E"/>
    <w:rsid w:val="2C463F24"/>
    <w:rsid w:val="2C4E59D8"/>
    <w:rsid w:val="2C5BF76F"/>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05B216"/>
    <w:rsid w:val="2D1659F1"/>
    <w:rsid w:val="2D1B5919"/>
    <w:rsid w:val="2D22351C"/>
    <w:rsid w:val="2D24700F"/>
    <w:rsid w:val="2D3EA500"/>
    <w:rsid w:val="2D47B17E"/>
    <w:rsid w:val="2D4B939A"/>
    <w:rsid w:val="2D500368"/>
    <w:rsid w:val="2D56A0ED"/>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78C0"/>
    <w:rsid w:val="2DD7B8FF"/>
    <w:rsid w:val="2DD87228"/>
    <w:rsid w:val="2DE6A56E"/>
    <w:rsid w:val="2DEED7EB"/>
    <w:rsid w:val="2DEEDCFE"/>
    <w:rsid w:val="2DF0D28E"/>
    <w:rsid w:val="2DF5252F"/>
    <w:rsid w:val="2E1D4C0B"/>
    <w:rsid w:val="2E2670AE"/>
    <w:rsid w:val="2E300717"/>
    <w:rsid w:val="2E42D3DB"/>
    <w:rsid w:val="2E478524"/>
    <w:rsid w:val="2E47E456"/>
    <w:rsid w:val="2E4BA64B"/>
    <w:rsid w:val="2E557D5D"/>
    <w:rsid w:val="2E5D10B3"/>
    <w:rsid w:val="2E5DD906"/>
    <w:rsid w:val="2E60D77A"/>
    <w:rsid w:val="2E6B39C3"/>
    <w:rsid w:val="2E72C9F7"/>
    <w:rsid w:val="2E76336D"/>
    <w:rsid w:val="2E78429C"/>
    <w:rsid w:val="2E7B4905"/>
    <w:rsid w:val="2E7D6484"/>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26480"/>
    <w:rsid w:val="30046FFD"/>
    <w:rsid w:val="3004872F"/>
    <w:rsid w:val="30053BA4"/>
    <w:rsid w:val="30118B8C"/>
    <w:rsid w:val="301B504F"/>
    <w:rsid w:val="3024507C"/>
    <w:rsid w:val="303D8C07"/>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4C972"/>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AA17C7"/>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4A3E5"/>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267B9"/>
    <w:rsid w:val="333485FD"/>
    <w:rsid w:val="3336A46D"/>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2E660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67993"/>
    <w:rsid w:val="34D83078"/>
    <w:rsid w:val="34DAC722"/>
    <w:rsid w:val="34DFA4A6"/>
    <w:rsid w:val="34E6361F"/>
    <w:rsid w:val="34EA86E7"/>
    <w:rsid w:val="34EC0116"/>
    <w:rsid w:val="35079B86"/>
    <w:rsid w:val="3507D716"/>
    <w:rsid w:val="350E06A2"/>
    <w:rsid w:val="351228E0"/>
    <w:rsid w:val="35142C5B"/>
    <w:rsid w:val="35152EF8"/>
    <w:rsid w:val="353E1F1D"/>
    <w:rsid w:val="3556AE9D"/>
    <w:rsid w:val="355EFE6C"/>
    <w:rsid w:val="3563C6B7"/>
    <w:rsid w:val="356CBF43"/>
    <w:rsid w:val="356FCD4C"/>
    <w:rsid w:val="357D56D0"/>
    <w:rsid w:val="358570E0"/>
    <w:rsid w:val="35893C0D"/>
    <w:rsid w:val="359AC6A0"/>
    <w:rsid w:val="35A163E8"/>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5C123"/>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430DC"/>
    <w:rsid w:val="36799CAF"/>
    <w:rsid w:val="367C297A"/>
    <w:rsid w:val="36863223"/>
    <w:rsid w:val="36892A50"/>
    <w:rsid w:val="36979D93"/>
    <w:rsid w:val="36A78198"/>
    <w:rsid w:val="36AB98CE"/>
    <w:rsid w:val="36ABEE97"/>
    <w:rsid w:val="36AC33CD"/>
    <w:rsid w:val="36B56A5E"/>
    <w:rsid w:val="36C99DC2"/>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55E14"/>
    <w:rsid w:val="37E90E8E"/>
    <w:rsid w:val="37EBC86A"/>
    <w:rsid w:val="37EDA173"/>
    <w:rsid w:val="37EDF99D"/>
    <w:rsid w:val="37F29DFC"/>
    <w:rsid w:val="37FBFB58"/>
    <w:rsid w:val="3801C0BE"/>
    <w:rsid w:val="3804CF5D"/>
    <w:rsid w:val="3805A54F"/>
    <w:rsid w:val="380C7C53"/>
    <w:rsid w:val="380EB371"/>
    <w:rsid w:val="381744D6"/>
    <w:rsid w:val="381A3552"/>
    <w:rsid w:val="382E2887"/>
    <w:rsid w:val="3838CD51"/>
    <w:rsid w:val="38396B9C"/>
    <w:rsid w:val="38475D89"/>
    <w:rsid w:val="384E20C0"/>
    <w:rsid w:val="38540E5E"/>
    <w:rsid w:val="385C8A2E"/>
    <w:rsid w:val="386374A6"/>
    <w:rsid w:val="386510C8"/>
    <w:rsid w:val="386719CE"/>
    <w:rsid w:val="386C5572"/>
    <w:rsid w:val="38702FBF"/>
    <w:rsid w:val="3874E9CC"/>
    <w:rsid w:val="3876DA2D"/>
    <w:rsid w:val="387929C2"/>
    <w:rsid w:val="387A6BC4"/>
    <w:rsid w:val="387A771C"/>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914EE"/>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B77295"/>
    <w:rsid w:val="39C5EA72"/>
    <w:rsid w:val="39C84A4F"/>
    <w:rsid w:val="39CB95C5"/>
    <w:rsid w:val="39D72B7E"/>
    <w:rsid w:val="39D8117A"/>
    <w:rsid w:val="39D911AB"/>
    <w:rsid w:val="39DB7F5C"/>
    <w:rsid w:val="39E63BC3"/>
    <w:rsid w:val="39E6DE0C"/>
    <w:rsid w:val="39E77A95"/>
    <w:rsid w:val="39ED51C9"/>
    <w:rsid w:val="39F03FFA"/>
    <w:rsid w:val="39F64355"/>
    <w:rsid w:val="39F8B8A4"/>
    <w:rsid w:val="3A0E8ABF"/>
    <w:rsid w:val="3A146DAD"/>
    <w:rsid w:val="3A14A315"/>
    <w:rsid w:val="3A1DE1CA"/>
    <w:rsid w:val="3A22132B"/>
    <w:rsid w:val="3A2FE4BF"/>
    <w:rsid w:val="3A33C1D5"/>
    <w:rsid w:val="3A352C53"/>
    <w:rsid w:val="3A380161"/>
    <w:rsid w:val="3A3C4021"/>
    <w:rsid w:val="3A3EC7E4"/>
    <w:rsid w:val="3A40BA39"/>
    <w:rsid w:val="3A49D74C"/>
    <w:rsid w:val="3A68E4BA"/>
    <w:rsid w:val="3A70A601"/>
    <w:rsid w:val="3A743883"/>
    <w:rsid w:val="3A785D7E"/>
    <w:rsid w:val="3A903CD4"/>
    <w:rsid w:val="3A9F5701"/>
    <w:rsid w:val="3AA169E0"/>
    <w:rsid w:val="3AA1AF74"/>
    <w:rsid w:val="3AA8D4A7"/>
    <w:rsid w:val="3AB983FC"/>
    <w:rsid w:val="3ABB6BA0"/>
    <w:rsid w:val="3AC96828"/>
    <w:rsid w:val="3ACA6815"/>
    <w:rsid w:val="3ACBE2A8"/>
    <w:rsid w:val="3ACE7AA8"/>
    <w:rsid w:val="3AD4B8C2"/>
    <w:rsid w:val="3AD5E608"/>
    <w:rsid w:val="3AD665D9"/>
    <w:rsid w:val="3AD6A431"/>
    <w:rsid w:val="3ADDDA38"/>
    <w:rsid w:val="3AE90B29"/>
    <w:rsid w:val="3AFE12AF"/>
    <w:rsid w:val="3B018E8C"/>
    <w:rsid w:val="3B05306B"/>
    <w:rsid w:val="3B0DED35"/>
    <w:rsid w:val="3B0F05D3"/>
    <w:rsid w:val="3B165A92"/>
    <w:rsid w:val="3B17ADAE"/>
    <w:rsid w:val="3B232D15"/>
    <w:rsid w:val="3B238C70"/>
    <w:rsid w:val="3B2CF02E"/>
    <w:rsid w:val="3B2DD742"/>
    <w:rsid w:val="3B33419F"/>
    <w:rsid w:val="3B3719C5"/>
    <w:rsid w:val="3B4911EA"/>
    <w:rsid w:val="3B4FBC1C"/>
    <w:rsid w:val="3B5A304B"/>
    <w:rsid w:val="3B61FFF1"/>
    <w:rsid w:val="3B6D7111"/>
    <w:rsid w:val="3B6FE153"/>
    <w:rsid w:val="3B7026DB"/>
    <w:rsid w:val="3B7560EE"/>
    <w:rsid w:val="3B7BFD7D"/>
    <w:rsid w:val="3B7CD3B7"/>
    <w:rsid w:val="3B7FD27C"/>
    <w:rsid w:val="3B87BB9B"/>
    <w:rsid w:val="3B8823A1"/>
    <w:rsid w:val="3B88C668"/>
    <w:rsid w:val="3B8D6FCC"/>
    <w:rsid w:val="3B95B60C"/>
    <w:rsid w:val="3B97196A"/>
    <w:rsid w:val="3B9932DA"/>
    <w:rsid w:val="3B9F1129"/>
    <w:rsid w:val="3BA12EA8"/>
    <w:rsid w:val="3BA6FF64"/>
    <w:rsid w:val="3BA7BF18"/>
    <w:rsid w:val="3BAC1500"/>
    <w:rsid w:val="3BB2095A"/>
    <w:rsid w:val="3BB2D234"/>
    <w:rsid w:val="3BB7181C"/>
    <w:rsid w:val="3BD938B1"/>
    <w:rsid w:val="3BDFA090"/>
    <w:rsid w:val="3BE167D6"/>
    <w:rsid w:val="3BE50BA4"/>
    <w:rsid w:val="3BF3D186"/>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7DD66"/>
    <w:rsid w:val="3C5F65F7"/>
    <w:rsid w:val="3C5FAF96"/>
    <w:rsid w:val="3C663608"/>
    <w:rsid w:val="3C6AE95C"/>
    <w:rsid w:val="3C6D6C75"/>
    <w:rsid w:val="3C76412D"/>
    <w:rsid w:val="3C769C67"/>
    <w:rsid w:val="3C86362E"/>
    <w:rsid w:val="3C866F7B"/>
    <w:rsid w:val="3C8AC9BD"/>
    <w:rsid w:val="3C8C40B4"/>
    <w:rsid w:val="3C8C844D"/>
    <w:rsid w:val="3C90626E"/>
    <w:rsid w:val="3C963925"/>
    <w:rsid w:val="3CA4C34E"/>
    <w:rsid w:val="3CAA3ABE"/>
    <w:rsid w:val="3CAB8F16"/>
    <w:rsid w:val="3CB10A02"/>
    <w:rsid w:val="3CB20077"/>
    <w:rsid w:val="3CB8C819"/>
    <w:rsid w:val="3CC6B88D"/>
    <w:rsid w:val="3CC6DCEF"/>
    <w:rsid w:val="3CD25381"/>
    <w:rsid w:val="3CD31248"/>
    <w:rsid w:val="3CD736AC"/>
    <w:rsid w:val="3CE5DDD6"/>
    <w:rsid w:val="3CF2AA31"/>
    <w:rsid w:val="3D01A550"/>
    <w:rsid w:val="3D030C5B"/>
    <w:rsid w:val="3D0B2875"/>
    <w:rsid w:val="3D11DDAC"/>
    <w:rsid w:val="3D12C46C"/>
    <w:rsid w:val="3D16F67B"/>
    <w:rsid w:val="3D1806AA"/>
    <w:rsid w:val="3D18C748"/>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08C065"/>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4F4DC"/>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97F00"/>
    <w:rsid w:val="3F5B726E"/>
    <w:rsid w:val="3F5BB5B8"/>
    <w:rsid w:val="3F5F4576"/>
    <w:rsid w:val="3F69DC7A"/>
    <w:rsid w:val="3F6EA2BA"/>
    <w:rsid w:val="3F752C10"/>
    <w:rsid w:val="3F782C1A"/>
    <w:rsid w:val="3F7D8502"/>
    <w:rsid w:val="3F852CF5"/>
    <w:rsid w:val="3F86BB74"/>
    <w:rsid w:val="3F886400"/>
    <w:rsid w:val="3F8A2AAC"/>
    <w:rsid w:val="3F98E51C"/>
    <w:rsid w:val="3F9B0D02"/>
    <w:rsid w:val="3F9E51F3"/>
    <w:rsid w:val="3FA2D170"/>
    <w:rsid w:val="3FA38711"/>
    <w:rsid w:val="3FA5D7E9"/>
    <w:rsid w:val="3FA6F7D5"/>
    <w:rsid w:val="3FAED9FB"/>
    <w:rsid w:val="3FB58A78"/>
    <w:rsid w:val="3FBF49F1"/>
    <w:rsid w:val="3FBF6D59"/>
    <w:rsid w:val="3FCB2E5A"/>
    <w:rsid w:val="3FD7DF58"/>
    <w:rsid w:val="3FD7E257"/>
    <w:rsid w:val="3FDB34F7"/>
    <w:rsid w:val="3FDB8529"/>
    <w:rsid w:val="3FDD238E"/>
    <w:rsid w:val="3FDF161E"/>
    <w:rsid w:val="3FE3D918"/>
    <w:rsid w:val="3FE75F15"/>
    <w:rsid w:val="3FE9C6EB"/>
    <w:rsid w:val="3FEF2075"/>
    <w:rsid w:val="3FF74A50"/>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004B8"/>
    <w:rsid w:val="4035A5C0"/>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0FF04E1"/>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DFA50"/>
    <w:rsid w:val="419EF5B8"/>
    <w:rsid w:val="41A869E7"/>
    <w:rsid w:val="41B78F1A"/>
    <w:rsid w:val="41DCE69B"/>
    <w:rsid w:val="41DDD097"/>
    <w:rsid w:val="41DEAA74"/>
    <w:rsid w:val="41ED805E"/>
    <w:rsid w:val="41EDAF4E"/>
    <w:rsid w:val="41EE7E5D"/>
    <w:rsid w:val="41F1471B"/>
    <w:rsid w:val="41F6AA67"/>
    <w:rsid w:val="41F8AE9E"/>
    <w:rsid w:val="41FA2FA7"/>
    <w:rsid w:val="41FB37A7"/>
    <w:rsid w:val="420F54DD"/>
    <w:rsid w:val="4226E9C3"/>
    <w:rsid w:val="422702F9"/>
    <w:rsid w:val="422CC296"/>
    <w:rsid w:val="4237972D"/>
    <w:rsid w:val="42400862"/>
    <w:rsid w:val="4247D61F"/>
    <w:rsid w:val="42531CB0"/>
    <w:rsid w:val="425AA49C"/>
    <w:rsid w:val="426189E7"/>
    <w:rsid w:val="42660885"/>
    <w:rsid w:val="426B50D8"/>
    <w:rsid w:val="4272FF38"/>
    <w:rsid w:val="42737281"/>
    <w:rsid w:val="427C61A4"/>
    <w:rsid w:val="427C724F"/>
    <w:rsid w:val="427ED938"/>
    <w:rsid w:val="427FB9B0"/>
    <w:rsid w:val="4285C2C1"/>
    <w:rsid w:val="4297F33B"/>
    <w:rsid w:val="42A9F3DF"/>
    <w:rsid w:val="42B8A20B"/>
    <w:rsid w:val="42BD2AA2"/>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CF412"/>
    <w:rsid w:val="431F620C"/>
    <w:rsid w:val="4321AFD8"/>
    <w:rsid w:val="43368825"/>
    <w:rsid w:val="43375555"/>
    <w:rsid w:val="4338C33D"/>
    <w:rsid w:val="433B90BA"/>
    <w:rsid w:val="4340F4C8"/>
    <w:rsid w:val="43502DB9"/>
    <w:rsid w:val="4350CD33"/>
    <w:rsid w:val="435F4623"/>
    <w:rsid w:val="435F7FF1"/>
    <w:rsid w:val="4360C50D"/>
    <w:rsid w:val="43631DF4"/>
    <w:rsid w:val="4365084F"/>
    <w:rsid w:val="4365B50A"/>
    <w:rsid w:val="436A6412"/>
    <w:rsid w:val="436A78B5"/>
    <w:rsid w:val="437C3884"/>
    <w:rsid w:val="437CB30B"/>
    <w:rsid w:val="437EF422"/>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185B4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AA112"/>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92BDB"/>
    <w:rsid w:val="44ABA25B"/>
    <w:rsid w:val="44AC2CA1"/>
    <w:rsid w:val="44B16244"/>
    <w:rsid w:val="44B60CEC"/>
    <w:rsid w:val="44BBDA42"/>
    <w:rsid w:val="44BF8C5A"/>
    <w:rsid w:val="44C04530"/>
    <w:rsid w:val="44C161DA"/>
    <w:rsid w:val="44C26E2D"/>
    <w:rsid w:val="44C4E9D3"/>
    <w:rsid w:val="44CC7665"/>
    <w:rsid w:val="44E60F4B"/>
    <w:rsid w:val="44E7CF26"/>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2C043"/>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77062"/>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2309F"/>
    <w:rsid w:val="47432462"/>
    <w:rsid w:val="47476E1D"/>
    <w:rsid w:val="4747DCAF"/>
    <w:rsid w:val="476B7816"/>
    <w:rsid w:val="4771728E"/>
    <w:rsid w:val="4773997D"/>
    <w:rsid w:val="4773CC5A"/>
    <w:rsid w:val="47741EB7"/>
    <w:rsid w:val="477644D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EDB052"/>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6B391"/>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127BE"/>
    <w:rsid w:val="48D2B1F3"/>
    <w:rsid w:val="48D337F5"/>
    <w:rsid w:val="48D8BB90"/>
    <w:rsid w:val="48D8E500"/>
    <w:rsid w:val="48D9E824"/>
    <w:rsid w:val="48DA64FD"/>
    <w:rsid w:val="48E93212"/>
    <w:rsid w:val="48EE0172"/>
    <w:rsid w:val="48FA4D9D"/>
    <w:rsid w:val="49016B59"/>
    <w:rsid w:val="4906842C"/>
    <w:rsid w:val="49075B43"/>
    <w:rsid w:val="490E3AA9"/>
    <w:rsid w:val="4910F5FB"/>
    <w:rsid w:val="4916CEB6"/>
    <w:rsid w:val="492152FF"/>
    <w:rsid w:val="492F5F25"/>
    <w:rsid w:val="49363909"/>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0E501"/>
    <w:rsid w:val="49F4CD89"/>
    <w:rsid w:val="49FA6EB3"/>
    <w:rsid w:val="49FD1CB4"/>
    <w:rsid w:val="4A03539F"/>
    <w:rsid w:val="4A03DF65"/>
    <w:rsid w:val="4A05336B"/>
    <w:rsid w:val="4A05763D"/>
    <w:rsid w:val="4A1C8378"/>
    <w:rsid w:val="4A21AC16"/>
    <w:rsid w:val="4A240D22"/>
    <w:rsid w:val="4A34FB9A"/>
    <w:rsid w:val="4A3503E4"/>
    <w:rsid w:val="4A3DBF09"/>
    <w:rsid w:val="4A3EE36B"/>
    <w:rsid w:val="4A42F855"/>
    <w:rsid w:val="4A4C52BF"/>
    <w:rsid w:val="4A4D0D9A"/>
    <w:rsid w:val="4A4EB647"/>
    <w:rsid w:val="4A5A8898"/>
    <w:rsid w:val="4A5CAE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C6C4A"/>
    <w:rsid w:val="4B5DFB97"/>
    <w:rsid w:val="4B6040CA"/>
    <w:rsid w:val="4B6CE4DE"/>
    <w:rsid w:val="4B6E9394"/>
    <w:rsid w:val="4B6ED579"/>
    <w:rsid w:val="4B7160FF"/>
    <w:rsid w:val="4B748E2D"/>
    <w:rsid w:val="4B76D4B4"/>
    <w:rsid w:val="4B7CF95F"/>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0DA65"/>
    <w:rsid w:val="4C4B150E"/>
    <w:rsid w:val="4C55109F"/>
    <w:rsid w:val="4C57A5D9"/>
    <w:rsid w:val="4C59F532"/>
    <w:rsid w:val="4C5B92C9"/>
    <w:rsid w:val="4C7481D2"/>
    <w:rsid w:val="4C7A8627"/>
    <w:rsid w:val="4C80A10F"/>
    <w:rsid w:val="4C899508"/>
    <w:rsid w:val="4C89B430"/>
    <w:rsid w:val="4CA157CC"/>
    <w:rsid w:val="4CA300EF"/>
    <w:rsid w:val="4CB4E135"/>
    <w:rsid w:val="4CB5CDA7"/>
    <w:rsid w:val="4CC1CD6C"/>
    <w:rsid w:val="4CC87FEC"/>
    <w:rsid w:val="4CCB03F0"/>
    <w:rsid w:val="4CCEB497"/>
    <w:rsid w:val="4CDF0E29"/>
    <w:rsid w:val="4CEA5828"/>
    <w:rsid w:val="4CEFDE7E"/>
    <w:rsid w:val="4CF3DD5C"/>
    <w:rsid w:val="4CF41449"/>
    <w:rsid w:val="4CFEA4A6"/>
    <w:rsid w:val="4D02AE77"/>
    <w:rsid w:val="4D05F36F"/>
    <w:rsid w:val="4D080637"/>
    <w:rsid w:val="4D11CC1D"/>
    <w:rsid w:val="4D189755"/>
    <w:rsid w:val="4D19E95D"/>
    <w:rsid w:val="4D1A1C56"/>
    <w:rsid w:val="4D2183F6"/>
    <w:rsid w:val="4D24B1AC"/>
    <w:rsid w:val="4D273816"/>
    <w:rsid w:val="4D2C7154"/>
    <w:rsid w:val="4D3CA781"/>
    <w:rsid w:val="4D424E47"/>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34080"/>
    <w:rsid w:val="4DB82F6A"/>
    <w:rsid w:val="4DBF63CF"/>
    <w:rsid w:val="4DC0DFBA"/>
    <w:rsid w:val="4DC36DF0"/>
    <w:rsid w:val="4DC86FE7"/>
    <w:rsid w:val="4DC88CDE"/>
    <w:rsid w:val="4DCD13FF"/>
    <w:rsid w:val="4DD23059"/>
    <w:rsid w:val="4DD61780"/>
    <w:rsid w:val="4DDD4A82"/>
    <w:rsid w:val="4DDF1E1A"/>
    <w:rsid w:val="4DE3D2FA"/>
    <w:rsid w:val="4DE86E74"/>
    <w:rsid w:val="4DEDED32"/>
    <w:rsid w:val="4DF342B8"/>
    <w:rsid w:val="4DF82E69"/>
    <w:rsid w:val="4DF95EC4"/>
    <w:rsid w:val="4E0399F9"/>
    <w:rsid w:val="4E03ACEA"/>
    <w:rsid w:val="4E03CB10"/>
    <w:rsid w:val="4E108350"/>
    <w:rsid w:val="4E14B961"/>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57BC"/>
    <w:rsid w:val="4EE96877"/>
    <w:rsid w:val="4EEEB905"/>
    <w:rsid w:val="4EF49982"/>
    <w:rsid w:val="4EF6F220"/>
    <w:rsid w:val="4EF7F882"/>
    <w:rsid w:val="4EFD6B56"/>
    <w:rsid w:val="4F007B02"/>
    <w:rsid w:val="4F01B120"/>
    <w:rsid w:val="4F061965"/>
    <w:rsid w:val="4F07A8CF"/>
    <w:rsid w:val="4F08EA0B"/>
    <w:rsid w:val="4F0DC51B"/>
    <w:rsid w:val="4F1135C6"/>
    <w:rsid w:val="4F1E6763"/>
    <w:rsid w:val="4F20E839"/>
    <w:rsid w:val="4F29CFF9"/>
    <w:rsid w:val="4F307BEF"/>
    <w:rsid w:val="4F3ED8AC"/>
    <w:rsid w:val="4F4DFF25"/>
    <w:rsid w:val="4F505D98"/>
    <w:rsid w:val="4F55C274"/>
    <w:rsid w:val="4F5E6F6A"/>
    <w:rsid w:val="4F672669"/>
    <w:rsid w:val="4F6D96F9"/>
    <w:rsid w:val="4F7809DC"/>
    <w:rsid w:val="4F7A20F2"/>
    <w:rsid w:val="4F7C03A0"/>
    <w:rsid w:val="4F7C3CE6"/>
    <w:rsid w:val="4F827284"/>
    <w:rsid w:val="4F9D1E6E"/>
    <w:rsid w:val="4FA5AFE6"/>
    <w:rsid w:val="4FA9EE4C"/>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2A47D"/>
    <w:rsid w:val="5036C946"/>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60EED"/>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5E5C6"/>
    <w:rsid w:val="52F8F41E"/>
    <w:rsid w:val="52F9E013"/>
    <w:rsid w:val="52FA7C9D"/>
    <w:rsid w:val="52FE6DDF"/>
    <w:rsid w:val="531101FC"/>
    <w:rsid w:val="53175337"/>
    <w:rsid w:val="53189138"/>
    <w:rsid w:val="531FD776"/>
    <w:rsid w:val="532A8066"/>
    <w:rsid w:val="532AA9AF"/>
    <w:rsid w:val="532BBD02"/>
    <w:rsid w:val="532ECCDB"/>
    <w:rsid w:val="5334042A"/>
    <w:rsid w:val="534032F1"/>
    <w:rsid w:val="5341904B"/>
    <w:rsid w:val="534A36AE"/>
    <w:rsid w:val="53512952"/>
    <w:rsid w:val="53549102"/>
    <w:rsid w:val="535747F2"/>
    <w:rsid w:val="535AB3C5"/>
    <w:rsid w:val="5369FD2E"/>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38E0"/>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42D0"/>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3BAC6"/>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47574"/>
    <w:rsid w:val="574B1888"/>
    <w:rsid w:val="57502FD6"/>
    <w:rsid w:val="5753E100"/>
    <w:rsid w:val="57556503"/>
    <w:rsid w:val="575783CB"/>
    <w:rsid w:val="575B7DA9"/>
    <w:rsid w:val="57655A79"/>
    <w:rsid w:val="5768C718"/>
    <w:rsid w:val="576FC33C"/>
    <w:rsid w:val="577B3CF6"/>
    <w:rsid w:val="577E9753"/>
    <w:rsid w:val="5787DB1E"/>
    <w:rsid w:val="579042E7"/>
    <w:rsid w:val="5791D020"/>
    <w:rsid w:val="57983233"/>
    <w:rsid w:val="57988C5C"/>
    <w:rsid w:val="57A2C4CB"/>
    <w:rsid w:val="57AE8E4D"/>
    <w:rsid w:val="57B14A08"/>
    <w:rsid w:val="57C3C9E4"/>
    <w:rsid w:val="57C936B9"/>
    <w:rsid w:val="57CC0D0B"/>
    <w:rsid w:val="57D1017F"/>
    <w:rsid w:val="57D7A723"/>
    <w:rsid w:val="57E152F1"/>
    <w:rsid w:val="57E2F3C8"/>
    <w:rsid w:val="57EA95CE"/>
    <w:rsid w:val="57FC7B6D"/>
    <w:rsid w:val="5810B9F9"/>
    <w:rsid w:val="58114D5A"/>
    <w:rsid w:val="5813310C"/>
    <w:rsid w:val="58197E64"/>
    <w:rsid w:val="5819EDD3"/>
    <w:rsid w:val="581F8E12"/>
    <w:rsid w:val="58271A6E"/>
    <w:rsid w:val="583485D0"/>
    <w:rsid w:val="583E97C5"/>
    <w:rsid w:val="58414270"/>
    <w:rsid w:val="5842393D"/>
    <w:rsid w:val="584500C2"/>
    <w:rsid w:val="5852ADA4"/>
    <w:rsid w:val="5853E608"/>
    <w:rsid w:val="5854150E"/>
    <w:rsid w:val="5859D720"/>
    <w:rsid w:val="58608AB9"/>
    <w:rsid w:val="5860ECAB"/>
    <w:rsid w:val="586AA551"/>
    <w:rsid w:val="5882DE9D"/>
    <w:rsid w:val="588BD9F0"/>
    <w:rsid w:val="588ECE48"/>
    <w:rsid w:val="5890B1EE"/>
    <w:rsid w:val="58928FEE"/>
    <w:rsid w:val="589905BC"/>
    <w:rsid w:val="589DDDC5"/>
    <w:rsid w:val="58A9ADB8"/>
    <w:rsid w:val="58AA6134"/>
    <w:rsid w:val="58B0162D"/>
    <w:rsid w:val="58B65AC9"/>
    <w:rsid w:val="58B68650"/>
    <w:rsid w:val="58B6918F"/>
    <w:rsid w:val="58B9E232"/>
    <w:rsid w:val="58BDD5FC"/>
    <w:rsid w:val="58C6B6DB"/>
    <w:rsid w:val="58CE2B90"/>
    <w:rsid w:val="58D0DB4D"/>
    <w:rsid w:val="58D1152F"/>
    <w:rsid w:val="58D9D352"/>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3F06FB"/>
    <w:rsid w:val="59459ED5"/>
    <w:rsid w:val="59487B1F"/>
    <w:rsid w:val="594DCAF0"/>
    <w:rsid w:val="594F795F"/>
    <w:rsid w:val="594FDF8E"/>
    <w:rsid w:val="59567D0A"/>
    <w:rsid w:val="59580AC2"/>
    <w:rsid w:val="595D6ADA"/>
    <w:rsid w:val="595E3087"/>
    <w:rsid w:val="595FD414"/>
    <w:rsid w:val="59611357"/>
    <w:rsid w:val="596D136E"/>
    <w:rsid w:val="596D56B3"/>
    <w:rsid w:val="596D8512"/>
    <w:rsid w:val="596FB8E5"/>
    <w:rsid w:val="59734886"/>
    <w:rsid w:val="5976E2A1"/>
    <w:rsid w:val="59774644"/>
    <w:rsid w:val="5978327F"/>
    <w:rsid w:val="597F63D9"/>
    <w:rsid w:val="5982F894"/>
    <w:rsid w:val="59895BF1"/>
    <w:rsid w:val="59923E10"/>
    <w:rsid w:val="599B89ED"/>
    <w:rsid w:val="59AE164A"/>
    <w:rsid w:val="59B5CB4E"/>
    <w:rsid w:val="59BE8E75"/>
    <w:rsid w:val="59C8E8A4"/>
    <w:rsid w:val="59CA57E3"/>
    <w:rsid w:val="59CBB725"/>
    <w:rsid w:val="59D35679"/>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4F4AD"/>
    <w:rsid w:val="5A35FD31"/>
    <w:rsid w:val="5A3BCF5D"/>
    <w:rsid w:val="5A3BEB62"/>
    <w:rsid w:val="5A3D7770"/>
    <w:rsid w:val="5A4C1536"/>
    <w:rsid w:val="5A65C83D"/>
    <w:rsid w:val="5A6D4EB2"/>
    <w:rsid w:val="5A6E7221"/>
    <w:rsid w:val="5A75AA06"/>
    <w:rsid w:val="5A781930"/>
    <w:rsid w:val="5A82DFD9"/>
    <w:rsid w:val="5A83C9AE"/>
    <w:rsid w:val="5A921A22"/>
    <w:rsid w:val="5AB57BB5"/>
    <w:rsid w:val="5AB6C586"/>
    <w:rsid w:val="5AB9C6FA"/>
    <w:rsid w:val="5AC55B89"/>
    <w:rsid w:val="5AD6FC2D"/>
    <w:rsid w:val="5AE25CBB"/>
    <w:rsid w:val="5AEA3DE6"/>
    <w:rsid w:val="5AEBC2FD"/>
    <w:rsid w:val="5AEFD41E"/>
    <w:rsid w:val="5AF999DD"/>
    <w:rsid w:val="5AFFBBD1"/>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6B942C"/>
    <w:rsid w:val="5B7B9D41"/>
    <w:rsid w:val="5B804980"/>
    <w:rsid w:val="5B8071AC"/>
    <w:rsid w:val="5B8BBF97"/>
    <w:rsid w:val="5B8BE76C"/>
    <w:rsid w:val="5B8DDA68"/>
    <w:rsid w:val="5B908893"/>
    <w:rsid w:val="5B97BCF0"/>
    <w:rsid w:val="5B9D6BF4"/>
    <w:rsid w:val="5BA46317"/>
    <w:rsid w:val="5BAD68F3"/>
    <w:rsid w:val="5BB00B95"/>
    <w:rsid w:val="5BB01A40"/>
    <w:rsid w:val="5BB0778A"/>
    <w:rsid w:val="5BCD36B2"/>
    <w:rsid w:val="5BD0B6A9"/>
    <w:rsid w:val="5BD22AF2"/>
    <w:rsid w:val="5BD8E133"/>
    <w:rsid w:val="5BDB99B9"/>
    <w:rsid w:val="5BDC365A"/>
    <w:rsid w:val="5BE35BFF"/>
    <w:rsid w:val="5BEB8546"/>
    <w:rsid w:val="5BEBCA3F"/>
    <w:rsid w:val="5BF00EEE"/>
    <w:rsid w:val="5BF32055"/>
    <w:rsid w:val="5BFBDDAB"/>
    <w:rsid w:val="5BFD5B95"/>
    <w:rsid w:val="5C11270C"/>
    <w:rsid w:val="5C1BBC1B"/>
    <w:rsid w:val="5C26F77A"/>
    <w:rsid w:val="5C27A16E"/>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23401"/>
    <w:rsid w:val="5CDF47DD"/>
    <w:rsid w:val="5CF729A6"/>
    <w:rsid w:val="5CFD194A"/>
    <w:rsid w:val="5D07BF4D"/>
    <w:rsid w:val="5D203903"/>
    <w:rsid w:val="5D24C42D"/>
    <w:rsid w:val="5D339BCC"/>
    <w:rsid w:val="5D3643E5"/>
    <w:rsid w:val="5D39681B"/>
    <w:rsid w:val="5D3B47C4"/>
    <w:rsid w:val="5D3C6153"/>
    <w:rsid w:val="5D3D04E5"/>
    <w:rsid w:val="5D3D4474"/>
    <w:rsid w:val="5D40D2B7"/>
    <w:rsid w:val="5D463CC1"/>
    <w:rsid w:val="5D5F4D6A"/>
    <w:rsid w:val="5D6469C5"/>
    <w:rsid w:val="5D66F9BC"/>
    <w:rsid w:val="5D791B25"/>
    <w:rsid w:val="5D80572B"/>
    <w:rsid w:val="5D82EB16"/>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1E67C"/>
    <w:rsid w:val="5DD4E631"/>
    <w:rsid w:val="5DDDC4D1"/>
    <w:rsid w:val="5DE084C0"/>
    <w:rsid w:val="5DE1FA25"/>
    <w:rsid w:val="5DE9DBE2"/>
    <w:rsid w:val="5DEE473B"/>
    <w:rsid w:val="5DF8B46B"/>
    <w:rsid w:val="5E01FC74"/>
    <w:rsid w:val="5E151509"/>
    <w:rsid w:val="5E28E410"/>
    <w:rsid w:val="5E303D66"/>
    <w:rsid w:val="5E35B78E"/>
    <w:rsid w:val="5E3718F8"/>
    <w:rsid w:val="5E3D7565"/>
    <w:rsid w:val="5E43D378"/>
    <w:rsid w:val="5E4AC700"/>
    <w:rsid w:val="5E5ACEBB"/>
    <w:rsid w:val="5E5B016A"/>
    <w:rsid w:val="5E5EEEE9"/>
    <w:rsid w:val="5E66891A"/>
    <w:rsid w:val="5E761BDE"/>
    <w:rsid w:val="5E85C8A9"/>
    <w:rsid w:val="5E87B8FD"/>
    <w:rsid w:val="5E8BF9BD"/>
    <w:rsid w:val="5E8F1515"/>
    <w:rsid w:val="5E8FDB60"/>
    <w:rsid w:val="5E9138D5"/>
    <w:rsid w:val="5E95DDBE"/>
    <w:rsid w:val="5E9A1707"/>
    <w:rsid w:val="5E9D4D8E"/>
    <w:rsid w:val="5E9F6D90"/>
    <w:rsid w:val="5EA929AE"/>
    <w:rsid w:val="5EAE4335"/>
    <w:rsid w:val="5EB7E275"/>
    <w:rsid w:val="5EC12C55"/>
    <w:rsid w:val="5EC2C104"/>
    <w:rsid w:val="5EC4E29B"/>
    <w:rsid w:val="5ECC2D0C"/>
    <w:rsid w:val="5ED779A6"/>
    <w:rsid w:val="5EDC6B32"/>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E28DA"/>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0A98A"/>
    <w:rsid w:val="5FFF25EF"/>
    <w:rsid w:val="60100ED4"/>
    <w:rsid w:val="6010313A"/>
    <w:rsid w:val="601510EE"/>
    <w:rsid w:val="601FD9BA"/>
    <w:rsid w:val="602666C0"/>
    <w:rsid w:val="602908D5"/>
    <w:rsid w:val="603145DA"/>
    <w:rsid w:val="60359DEB"/>
    <w:rsid w:val="603A9692"/>
    <w:rsid w:val="603FC28B"/>
    <w:rsid w:val="603FD6E8"/>
    <w:rsid w:val="60405ABC"/>
    <w:rsid w:val="6041E3EF"/>
    <w:rsid w:val="604B20B1"/>
    <w:rsid w:val="60577057"/>
    <w:rsid w:val="605D6A23"/>
    <w:rsid w:val="605F5F9A"/>
    <w:rsid w:val="6062A888"/>
    <w:rsid w:val="606BDA57"/>
    <w:rsid w:val="606F4B84"/>
    <w:rsid w:val="6076C151"/>
    <w:rsid w:val="607A6472"/>
    <w:rsid w:val="607AF922"/>
    <w:rsid w:val="60832FCE"/>
    <w:rsid w:val="6086EC62"/>
    <w:rsid w:val="60924118"/>
    <w:rsid w:val="60980C1D"/>
    <w:rsid w:val="60AEEF07"/>
    <w:rsid w:val="60B1FBDB"/>
    <w:rsid w:val="60B3CF70"/>
    <w:rsid w:val="60BC4A33"/>
    <w:rsid w:val="60BDA3EE"/>
    <w:rsid w:val="60C13A58"/>
    <w:rsid w:val="60C4AA01"/>
    <w:rsid w:val="60C79E02"/>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C593A9"/>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DFC948"/>
    <w:rsid w:val="62E33B2C"/>
    <w:rsid w:val="62EBC43F"/>
    <w:rsid w:val="62F9FE94"/>
    <w:rsid w:val="6302E18C"/>
    <w:rsid w:val="631736A6"/>
    <w:rsid w:val="6326198C"/>
    <w:rsid w:val="632D89AD"/>
    <w:rsid w:val="632E0942"/>
    <w:rsid w:val="63306B37"/>
    <w:rsid w:val="63389335"/>
    <w:rsid w:val="63394892"/>
    <w:rsid w:val="633B7667"/>
    <w:rsid w:val="633EEE55"/>
    <w:rsid w:val="6341FA39"/>
    <w:rsid w:val="634261D8"/>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CAA04"/>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3AE433"/>
    <w:rsid w:val="643C123E"/>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9D64"/>
    <w:rsid w:val="64A8611A"/>
    <w:rsid w:val="64A9158A"/>
    <w:rsid w:val="64B94C0A"/>
    <w:rsid w:val="64C63087"/>
    <w:rsid w:val="64E44D40"/>
    <w:rsid w:val="64E51983"/>
    <w:rsid w:val="64EA87E4"/>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24950"/>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5710D"/>
    <w:rsid w:val="661D7ED8"/>
    <w:rsid w:val="6621D76C"/>
    <w:rsid w:val="66263066"/>
    <w:rsid w:val="662A3C6B"/>
    <w:rsid w:val="662D7C71"/>
    <w:rsid w:val="662F01F0"/>
    <w:rsid w:val="663695FF"/>
    <w:rsid w:val="663A0C01"/>
    <w:rsid w:val="66431B1C"/>
    <w:rsid w:val="6650F4AD"/>
    <w:rsid w:val="665CFA50"/>
    <w:rsid w:val="665F75BB"/>
    <w:rsid w:val="6662B4E9"/>
    <w:rsid w:val="6662C9A7"/>
    <w:rsid w:val="6672500B"/>
    <w:rsid w:val="6674253D"/>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0D56A"/>
    <w:rsid w:val="66D2C0F7"/>
    <w:rsid w:val="66D34851"/>
    <w:rsid w:val="66DA4119"/>
    <w:rsid w:val="66DDC219"/>
    <w:rsid w:val="66E16E58"/>
    <w:rsid w:val="66EAE5CA"/>
    <w:rsid w:val="66F671FA"/>
    <w:rsid w:val="670115E0"/>
    <w:rsid w:val="670D878B"/>
    <w:rsid w:val="6715FAFE"/>
    <w:rsid w:val="671BF8BD"/>
    <w:rsid w:val="6726120B"/>
    <w:rsid w:val="673000ED"/>
    <w:rsid w:val="67478863"/>
    <w:rsid w:val="674BC5E0"/>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5A448"/>
    <w:rsid w:val="67C7CB52"/>
    <w:rsid w:val="67E1832B"/>
    <w:rsid w:val="67F30C78"/>
    <w:rsid w:val="67F5C17C"/>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ED8182"/>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7D618"/>
    <w:rsid w:val="696AEC6F"/>
    <w:rsid w:val="696E4D2C"/>
    <w:rsid w:val="6971A9A2"/>
    <w:rsid w:val="6972B439"/>
    <w:rsid w:val="697CCC10"/>
    <w:rsid w:val="697FAC94"/>
    <w:rsid w:val="697FF3FE"/>
    <w:rsid w:val="6986B311"/>
    <w:rsid w:val="698CE305"/>
    <w:rsid w:val="69A4328F"/>
    <w:rsid w:val="69A75498"/>
    <w:rsid w:val="69B00EC1"/>
    <w:rsid w:val="69B090BC"/>
    <w:rsid w:val="69B8E187"/>
    <w:rsid w:val="69C240B1"/>
    <w:rsid w:val="69CC6368"/>
    <w:rsid w:val="69D10171"/>
    <w:rsid w:val="69D72676"/>
    <w:rsid w:val="69EE030E"/>
    <w:rsid w:val="69EE0FDA"/>
    <w:rsid w:val="69EF68FF"/>
    <w:rsid w:val="69F4B115"/>
    <w:rsid w:val="6A000CC1"/>
    <w:rsid w:val="6A0815E8"/>
    <w:rsid w:val="6A0F116D"/>
    <w:rsid w:val="6A100679"/>
    <w:rsid w:val="6A144B53"/>
    <w:rsid w:val="6A1D693F"/>
    <w:rsid w:val="6A2B031C"/>
    <w:rsid w:val="6A311AC1"/>
    <w:rsid w:val="6A4023C4"/>
    <w:rsid w:val="6A43472C"/>
    <w:rsid w:val="6A4843C9"/>
    <w:rsid w:val="6A4877B3"/>
    <w:rsid w:val="6A4CA04E"/>
    <w:rsid w:val="6A4F3214"/>
    <w:rsid w:val="6A680543"/>
    <w:rsid w:val="6A68EB26"/>
    <w:rsid w:val="6A6C9C0D"/>
    <w:rsid w:val="6A73CE4B"/>
    <w:rsid w:val="6A754563"/>
    <w:rsid w:val="6A768761"/>
    <w:rsid w:val="6A7C49C3"/>
    <w:rsid w:val="6A7DF91D"/>
    <w:rsid w:val="6A7F01FF"/>
    <w:rsid w:val="6A813D35"/>
    <w:rsid w:val="6A8FD983"/>
    <w:rsid w:val="6A941639"/>
    <w:rsid w:val="6A9C9DEA"/>
    <w:rsid w:val="6A9E19DF"/>
    <w:rsid w:val="6AAAEDF0"/>
    <w:rsid w:val="6AAFAEE8"/>
    <w:rsid w:val="6AB146FC"/>
    <w:rsid w:val="6AB3B248"/>
    <w:rsid w:val="6AB81DA6"/>
    <w:rsid w:val="6AB99E09"/>
    <w:rsid w:val="6ABF6E2A"/>
    <w:rsid w:val="6AC02621"/>
    <w:rsid w:val="6AC10FFA"/>
    <w:rsid w:val="6AC3E17E"/>
    <w:rsid w:val="6ACE10FD"/>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8F481"/>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4DFE87"/>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193C6"/>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1587D"/>
    <w:rsid w:val="6D7808FB"/>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24ACD"/>
    <w:rsid w:val="6E5A5843"/>
    <w:rsid w:val="6E5CC20D"/>
    <w:rsid w:val="6E5FA770"/>
    <w:rsid w:val="6E609CA3"/>
    <w:rsid w:val="6E6A8CDA"/>
    <w:rsid w:val="6E87CA18"/>
    <w:rsid w:val="6E8FAC8A"/>
    <w:rsid w:val="6E91FEA0"/>
    <w:rsid w:val="6E98F6F4"/>
    <w:rsid w:val="6E9B2A77"/>
    <w:rsid w:val="6EABA8C9"/>
    <w:rsid w:val="6EB51A78"/>
    <w:rsid w:val="6EB59FAD"/>
    <w:rsid w:val="6EBCDE79"/>
    <w:rsid w:val="6EBF4455"/>
    <w:rsid w:val="6EC3F3B3"/>
    <w:rsid w:val="6ED2BA00"/>
    <w:rsid w:val="6ED3A1F3"/>
    <w:rsid w:val="6EDA231A"/>
    <w:rsid w:val="6EE7B5CC"/>
    <w:rsid w:val="6EEF2746"/>
    <w:rsid w:val="6EF276BA"/>
    <w:rsid w:val="6EFFD1A0"/>
    <w:rsid w:val="6F0BD6F7"/>
    <w:rsid w:val="6F16FD67"/>
    <w:rsid w:val="6F1825C4"/>
    <w:rsid w:val="6F1DD6A8"/>
    <w:rsid w:val="6F32283C"/>
    <w:rsid w:val="6F3DEC1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3DBF2"/>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3F8362"/>
    <w:rsid w:val="71409A60"/>
    <w:rsid w:val="71454289"/>
    <w:rsid w:val="714A11F4"/>
    <w:rsid w:val="714F3EC8"/>
    <w:rsid w:val="71513A57"/>
    <w:rsid w:val="715EB00D"/>
    <w:rsid w:val="715F3395"/>
    <w:rsid w:val="716049F5"/>
    <w:rsid w:val="7166562F"/>
    <w:rsid w:val="717004FA"/>
    <w:rsid w:val="71737A9D"/>
    <w:rsid w:val="71741C53"/>
    <w:rsid w:val="71776C6D"/>
    <w:rsid w:val="717F6763"/>
    <w:rsid w:val="717F9948"/>
    <w:rsid w:val="718631BD"/>
    <w:rsid w:val="71A33B59"/>
    <w:rsid w:val="71A48179"/>
    <w:rsid w:val="71A7CD99"/>
    <w:rsid w:val="71B47EE9"/>
    <w:rsid w:val="71BF27D9"/>
    <w:rsid w:val="71C2878E"/>
    <w:rsid w:val="71C38FEB"/>
    <w:rsid w:val="71D5C257"/>
    <w:rsid w:val="71D68358"/>
    <w:rsid w:val="71D68CF6"/>
    <w:rsid w:val="71D83AEC"/>
    <w:rsid w:val="71DA7F47"/>
    <w:rsid w:val="71DB3C58"/>
    <w:rsid w:val="71DD8095"/>
    <w:rsid w:val="71DDBC48"/>
    <w:rsid w:val="71F51DBC"/>
    <w:rsid w:val="71F6A8BA"/>
    <w:rsid w:val="71FA8B4E"/>
    <w:rsid w:val="71FDA412"/>
    <w:rsid w:val="71FDBC6A"/>
    <w:rsid w:val="7206B944"/>
    <w:rsid w:val="720F6812"/>
    <w:rsid w:val="72178178"/>
    <w:rsid w:val="722004E2"/>
    <w:rsid w:val="7226278E"/>
    <w:rsid w:val="72309518"/>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AFF9EE"/>
    <w:rsid w:val="72B223D5"/>
    <w:rsid w:val="72B99975"/>
    <w:rsid w:val="72D0DAB1"/>
    <w:rsid w:val="72D5359C"/>
    <w:rsid w:val="72D93A36"/>
    <w:rsid w:val="72DF03FA"/>
    <w:rsid w:val="72F92C38"/>
    <w:rsid w:val="7308EC48"/>
    <w:rsid w:val="7317615B"/>
    <w:rsid w:val="7327632B"/>
    <w:rsid w:val="7327AABE"/>
    <w:rsid w:val="7331D7CE"/>
    <w:rsid w:val="7333E239"/>
    <w:rsid w:val="7339DC00"/>
    <w:rsid w:val="733C470D"/>
    <w:rsid w:val="733C6AC4"/>
    <w:rsid w:val="733D23D7"/>
    <w:rsid w:val="733F1049"/>
    <w:rsid w:val="734C380A"/>
    <w:rsid w:val="734EB17D"/>
    <w:rsid w:val="734F1979"/>
    <w:rsid w:val="73548945"/>
    <w:rsid w:val="73588D8E"/>
    <w:rsid w:val="735DB077"/>
    <w:rsid w:val="736506BB"/>
    <w:rsid w:val="737763E1"/>
    <w:rsid w:val="737BB389"/>
    <w:rsid w:val="737F9162"/>
    <w:rsid w:val="73815551"/>
    <w:rsid w:val="73843E01"/>
    <w:rsid w:val="7385ED64"/>
    <w:rsid w:val="73899EF4"/>
    <w:rsid w:val="738B0A25"/>
    <w:rsid w:val="738CC37A"/>
    <w:rsid w:val="738FDC56"/>
    <w:rsid w:val="739204B7"/>
    <w:rsid w:val="7393879F"/>
    <w:rsid w:val="73971016"/>
    <w:rsid w:val="739A6B35"/>
    <w:rsid w:val="739DCD90"/>
    <w:rsid w:val="73A3862D"/>
    <w:rsid w:val="73A43C36"/>
    <w:rsid w:val="73A63047"/>
    <w:rsid w:val="73AA2762"/>
    <w:rsid w:val="73AB3838"/>
    <w:rsid w:val="73AC8CD6"/>
    <w:rsid w:val="73B9651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741C34"/>
    <w:rsid w:val="74805197"/>
    <w:rsid w:val="748593D0"/>
    <w:rsid w:val="748A7DE6"/>
    <w:rsid w:val="749171C3"/>
    <w:rsid w:val="74995F6B"/>
    <w:rsid w:val="7499F6DC"/>
    <w:rsid w:val="74A2BFD1"/>
    <w:rsid w:val="74A3600B"/>
    <w:rsid w:val="74A9337E"/>
    <w:rsid w:val="74AA5459"/>
    <w:rsid w:val="74AAA1AE"/>
    <w:rsid w:val="74AED168"/>
    <w:rsid w:val="74B9F2BD"/>
    <w:rsid w:val="74C37192"/>
    <w:rsid w:val="74C6423C"/>
    <w:rsid w:val="74CAFACF"/>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32EEA"/>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7D6ADB"/>
    <w:rsid w:val="76802EC2"/>
    <w:rsid w:val="768403E5"/>
    <w:rsid w:val="768447F2"/>
    <w:rsid w:val="768A9042"/>
    <w:rsid w:val="76989CFD"/>
    <w:rsid w:val="769C6993"/>
    <w:rsid w:val="769E1831"/>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3B2A3"/>
    <w:rsid w:val="77B4B826"/>
    <w:rsid w:val="77B7D9E2"/>
    <w:rsid w:val="77C9F831"/>
    <w:rsid w:val="77D50ED7"/>
    <w:rsid w:val="77DEA546"/>
    <w:rsid w:val="77DF5220"/>
    <w:rsid w:val="77DF9A35"/>
    <w:rsid w:val="77E37D61"/>
    <w:rsid w:val="77EFBBE9"/>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8A6E1"/>
    <w:rsid w:val="78BA039C"/>
    <w:rsid w:val="78CD8AFF"/>
    <w:rsid w:val="78D13552"/>
    <w:rsid w:val="78D3B675"/>
    <w:rsid w:val="78D5365F"/>
    <w:rsid w:val="78DA27D3"/>
    <w:rsid w:val="78E03D64"/>
    <w:rsid w:val="78E43501"/>
    <w:rsid w:val="78EC9C08"/>
    <w:rsid w:val="78ED8E31"/>
    <w:rsid w:val="78F64841"/>
    <w:rsid w:val="78F7E8CD"/>
    <w:rsid w:val="7904557D"/>
    <w:rsid w:val="7906973F"/>
    <w:rsid w:val="791212D4"/>
    <w:rsid w:val="79127A33"/>
    <w:rsid w:val="79225C34"/>
    <w:rsid w:val="79256DE9"/>
    <w:rsid w:val="7925EABC"/>
    <w:rsid w:val="792C0CFA"/>
    <w:rsid w:val="793055EB"/>
    <w:rsid w:val="793282D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3B42E"/>
    <w:rsid w:val="79DD00E0"/>
    <w:rsid w:val="79F2AB8D"/>
    <w:rsid w:val="79F63668"/>
    <w:rsid w:val="79F6399B"/>
    <w:rsid w:val="79FA43F0"/>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5E20D1"/>
    <w:rsid w:val="7A653793"/>
    <w:rsid w:val="7A67EA28"/>
    <w:rsid w:val="7A68A1CE"/>
    <w:rsid w:val="7A6F43C3"/>
    <w:rsid w:val="7A82C1E1"/>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D190"/>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D8E8B"/>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BFAB85"/>
    <w:rsid w:val="7EC0651F"/>
    <w:rsid w:val="7ECBE4C9"/>
    <w:rsid w:val="7ED07ABD"/>
    <w:rsid w:val="7ED26757"/>
    <w:rsid w:val="7ED4CAA7"/>
    <w:rsid w:val="7EDC5AF7"/>
    <w:rsid w:val="7EE909B2"/>
    <w:rsid w:val="7EF9C7BF"/>
    <w:rsid w:val="7F014936"/>
    <w:rsid w:val="7F053D18"/>
    <w:rsid w:val="7F0B9E69"/>
    <w:rsid w:val="7F10C82D"/>
    <w:rsid w:val="7F1508E1"/>
    <w:rsid w:val="7F18B354"/>
    <w:rsid w:val="7F1A0928"/>
    <w:rsid w:val="7F1AF2E7"/>
    <w:rsid w:val="7F1C6D5E"/>
    <w:rsid w:val="7F1FB3E2"/>
    <w:rsid w:val="7F24B33C"/>
    <w:rsid w:val="7F264E16"/>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420E5"/>
    <w:rsid w:val="7F7711BF"/>
    <w:rsid w:val="7F846AE4"/>
    <w:rsid w:val="7F882CCF"/>
    <w:rsid w:val="7F9F27E1"/>
    <w:rsid w:val="7F9F6247"/>
    <w:rsid w:val="7FA41B93"/>
    <w:rsid w:val="7FADFA13"/>
    <w:rsid w:val="7FC864BB"/>
    <w:rsid w:val="7FD1716D"/>
    <w:rsid w:val="7FD58840"/>
    <w:rsid w:val="7FE58861"/>
    <w:rsid w:val="7FF0069B"/>
    <w:rsid w:val="7FF42804"/>
    <w:rsid w:val="7FF61F42"/>
    <w:rsid w:val="7FF80D1C"/>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8AED41-EDB4-4906-9B91-368B960D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9933BA"/>
    <w:rPr>
      <w:rFonts w:ascii="Times New Roman" w:hAnsi="Times New Roman" w:cs="Times New Roman"/>
      <w:sz w:val="24"/>
      <w:lang w:val="fr-FR"/>
    </w:rPr>
  </w:style>
  <w:style w:type="character" w:customStyle="1" w:styleId="FooterChar">
    <w:name w:val="Footer Char"/>
    <w:basedOn w:val="DefaultParagraphFont"/>
    <w:link w:val="Footer"/>
    <w:uiPriority w:val="99"/>
    <w:rsid w:val="009933B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933B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933BA"/>
    <w:pPr>
      <w:spacing w:before="0"/>
      <w:jc w:val="right"/>
    </w:pPr>
    <w:rPr>
      <w:sz w:val="28"/>
    </w:rPr>
  </w:style>
  <w:style w:type="paragraph" w:customStyle="1" w:styleId="FooterSensitivity">
    <w:name w:val="Footer Sensitivity"/>
    <w:basedOn w:val="Normal"/>
    <w:rsid w:val="009933B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933BA"/>
    <w:pPr>
      <w:tabs>
        <w:tab w:val="center" w:pos="4535"/>
        <w:tab w:val="right" w:pos="9071"/>
      </w:tabs>
      <w:spacing w:before="0"/>
    </w:pPr>
  </w:style>
  <w:style w:type="paragraph" w:customStyle="1" w:styleId="HeaderLandscape">
    <w:name w:val="HeaderLandscape"/>
    <w:basedOn w:val="Normal"/>
    <w:rsid w:val="009933BA"/>
    <w:pPr>
      <w:tabs>
        <w:tab w:val="center" w:pos="7285"/>
        <w:tab w:val="right" w:pos="14003"/>
      </w:tabs>
      <w:spacing w:before="0"/>
    </w:pPr>
  </w:style>
  <w:style w:type="paragraph" w:styleId="Footer">
    <w:name w:val="footer"/>
    <w:basedOn w:val="Normal"/>
    <w:link w:val="FooterChar"/>
    <w:uiPriority w:val="99"/>
    <w:unhideWhenUsed/>
    <w:rsid w:val="009933B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933B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29498266">
      <w:bodyDiv w:val="1"/>
      <w:marLeft w:val="0"/>
      <w:marRight w:val="0"/>
      <w:marTop w:val="0"/>
      <w:marBottom w:val="0"/>
      <w:divBdr>
        <w:top w:val="none" w:sz="0" w:space="0" w:color="auto"/>
        <w:left w:val="none" w:sz="0" w:space="0" w:color="auto"/>
        <w:bottom w:val="none" w:sz="0" w:space="0" w:color="auto"/>
        <w:right w:val="none" w:sz="0" w:space="0" w:color="auto"/>
      </w:divBdr>
      <w:divsChild>
        <w:div w:id="845561493">
          <w:marLeft w:val="0"/>
          <w:marRight w:val="0"/>
          <w:marTop w:val="0"/>
          <w:marBottom w:val="0"/>
          <w:divBdr>
            <w:top w:val="none" w:sz="0" w:space="0" w:color="auto"/>
            <w:left w:val="none" w:sz="0" w:space="0" w:color="auto"/>
            <w:bottom w:val="none" w:sz="0" w:space="0" w:color="auto"/>
            <w:right w:val="none" w:sz="0" w:space="0" w:color="auto"/>
          </w:divBdr>
        </w:div>
      </w:divsChild>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87047806">
      <w:bodyDiv w:val="1"/>
      <w:marLeft w:val="0"/>
      <w:marRight w:val="0"/>
      <w:marTop w:val="0"/>
      <w:marBottom w:val="0"/>
      <w:divBdr>
        <w:top w:val="none" w:sz="0" w:space="0" w:color="auto"/>
        <w:left w:val="none" w:sz="0" w:space="0" w:color="auto"/>
        <w:bottom w:val="none" w:sz="0" w:space="0" w:color="auto"/>
        <w:right w:val="none" w:sz="0" w:space="0" w:color="auto"/>
      </w:divBdr>
      <w:divsChild>
        <w:div w:id="120928877">
          <w:marLeft w:val="0"/>
          <w:marRight w:val="0"/>
          <w:marTop w:val="0"/>
          <w:marBottom w:val="0"/>
          <w:divBdr>
            <w:top w:val="none" w:sz="0" w:space="0" w:color="auto"/>
            <w:left w:val="none" w:sz="0" w:space="0" w:color="auto"/>
            <w:bottom w:val="none" w:sz="0" w:space="0" w:color="auto"/>
            <w:right w:val="none" w:sz="0" w:space="0" w:color="auto"/>
          </w:divBdr>
        </w:div>
      </w:divsChild>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3642928">
      <w:bodyDiv w:val="1"/>
      <w:marLeft w:val="0"/>
      <w:marRight w:val="0"/>
      <w:marTop w:val="0"/>
      <w:marBottom w:val="0"/>
      <w:divBdr>
        <w:top w:val="none" w:sz="0" w:space="0" w:color="auto"/>
        <w:left w:val="none" w:sz="0" w:space="0" w:color="auto"/>
        <w:bottom w:val="none" w:sz="0" w:space="0" w:color="auto"/>
        <w:right w:val="none" w:sz="0" w:space="0" w:color="auto"/>
      </w:divBdr>
      <w:divsChild>
        <w:div w:id="956837929">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486746477">
      <w:bodyDiv w:val="1"/>
      <w:marLeft w:val="0"/>
      <w:marRight w:val="0"/>
      <w:marTop w:val="0"/>
      <w:marBottom w:val="0"/>
      <w:divBdr>
        <w:top w:val="none" w:sz="0" w:space="0" w:color="auto"/>
        <w:left w:val="none" w:sz="0" w:space="0" w:color="auto"/>
        <w:bottom w:val="none" w:sz="0" w:space="0" w:color="auto"/>
        <w:right w:val="none" w:sz="0" w:space="0" w:color="auto"/>
      </w:divBdr>
      <w:divsChild>
        <w:div w:id="2096241043">
          <w:marLeft w:val="0"/>
          <w:marRight w:val="0"/>
          <w:marTop w:val="0"/>
          <w:marBottom w:val="0"/>
          <w:divBdr>
            <w:top w:val="none" w:sz="0" w:space="0" w:color="auto"/>
            <w:left w:val="none" w:sz="0" w:space="0" w:color="auto"/>
            <w:bottom w:val="none" w:sz="0" w:space="0" w:color="auto"/>
            <w:right w:val="none" w:sz="0" w:space="0" w:color="auto"/>
          </w:divBdr>
        </w:div>
      </w:divsChild>
    </w:div>
    <w:div w:id="578516526">
      <w:bodyDiv w:val="1"/>
      <w:marLeft w:val="0"/>
      <w:marRight w:val="0"/>
      <w:marTop w:val="0"/>
      <w:marBottom w:val="0"/>
      <w:divBdr>
        <w:top w:val="none" w:sz="0" w:space="0" w:color="auto"/>
        <w:left w:val="none" w:sz="0" w:space="0" w:color="auto"/>
        <w:bottom w:val="none" w:sz="0" w:space="0" w:color="auto"/>
        <w:right w:val="none" w:sz="0" w:space="0" w:color="auto"/>
      </w:divBdr>
      <w:divsChild>
        <w:div w:id="1059286208">
          <w:marLeft w:val="0"/>
          <w:marRight w:val="0"/>
          <w:marTop w:val="0"/>
          <w:marBottom w:val="0"/>
          <w:divBdr>
            <w:top w:val="none" w:sz="0" w:space="0" w:color="auto"/>
            <w:left w:val="none" w:sz="0" w:space="0" w:color="auto"/>
            <w:bottom w:val="none" w:sz="0" w:space="0" w:color="auto"/>
            <w:right w:val="none" w:sz="0" w:space="0" w:color="auto"/>
          </w:divBdr>
        </w:div>
      </w:divsChild>
    </w:div>
    <w:div w:id="596255622">
      <w:bodyDiv w:val="1"/>
      <w:marLeft w:val="0"/>
      <w:marRight w:val="0"/>
      <w:marTop w:val="0"/>
      <w:marBottom w:val="0"/>
      <w:divBdr>
        <w:top w:val="none" w:sz="0" w:space="0" w:color="auto"/>
        <w:left w:val="none" w:sz="0" w:space="0" w:color="auto"/>
        <w:bottom w:val="none" w:sz="0" w:space="0" w:color="auto"/>
        <w:right w:val="none" w:sz="0" w:space="0" w:color="auto"/>
      </w:divBdr>
      <w:divsChild>
        <w:div w:id="1578437220">
          <w:marLeft w:val="0"/>
          <w:marRight w:val="0"/>
          <w:marTop w:val="0"/>
          <w:marBottom w:val="0"/>
          <w:divBdr>
            <w:top w:val="none" w:sz="0" w:space="0" w:color="auto"/>
            <w:left w:val="none" w:sz="0" w:space="0" w:color="auto"/>
            <w:bottom w:val="none" w:sz="0" w:space="0" w:color="auto"/>
            <w:right w:val="none" w:sz="0" w:space="0" w:color="auto"/>
          </w:divBdr>
        </w:div>
      </w:divsChild>
    </w:div>
    <w:div w:id="602034471">
      <w:bodyDiv w:val="1"/>
      <w:marLeft w:val="0"/>
      <w:marRight w:val="0"/>
      <w:marTop w:val="0"/>
      <w:marBottom w:val="0"/>
      <w:divBdr>
        <w:top w:val="none" w:sz="0" w:space="0" w:color="auto"/>
        <w:left w:val="none" w:sz="0" w:space="0" w:color="auto"/>
        <w:bottom w:val="none" w:sz="0" w:space="0" w:color="auto"/>
        <w:right w:val="none" w:sz="0" w:space="0" w:color="auto"/>
      </w:divBdr>
      <w:divsChild>
        <w:div w:id="1836602348">
          <w:marLeft w:val="0"/>
          <w:marRight w:val="0"/>
          <w:marTop w:val="0"/>
          <w:marBottom w:val="0"/>
          <w:divBdr>
            <w:top w:val="none" w:sz="0" w:space="0" w:color="auto"/>
            <w:left w:val="none" w:sz="0" w:space="0" w:color="auto"/>
            <w:bottom w:val="none" w:sz="0" w:space="0" w:color="auto"/>
            <w:right w:val="none" w:sz="0" w:space="0" w:color="auto"/>
          </w:divBdr>
        </w:div>
      </w:divsChild>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22270872">
      <w:bodyDiv w:val="1"/>
      <w:marLeft w:val="0"/>
      <w:marRight w:val="0"/>
      <w:marTop w:val="0"/>
      <w:marBottom w:val="0"/>
      <w:divBdr>
        <w:top w:val="none" w:sz="0" w:space="0" w:color="auto"/>
        <w:left w:val="none" w:sz="0" w:space="0" w:color="auto"/>
        <w:bottom w:val="none" w:sz="0" w:space="0" w:color="auto"/>
        <w:right w:val="none" w:sz="0" w:space="0" w:color="auto"/>
      </w:divBdr>
      <w:divsChild>
        <w:div w:id="1456757060">
          <w:marLeft w:val="0"/>
          <w:marRight w:val="0"/>
          <w:marTop w:val="0"/>
          <w:marBottom w:val="0"/>
          <w:divBdr>
            <w:top w:val="none" w:sz="0" w:space="0" w:color="auto"/>
            <w:left w:val="none" w:sz="0" w:space="0" w:color="auto"/>
            <w:bottom w:val="none" w:sz="0" w:space="0" w:color="auto"/>
            <w:right w:val="none" w:sz="0" w:space="0" w:color="auto"/>
          </w:divBdr>
        </w:div>
      </w:divsChild>
    </w:div>
    <w:div w:id="669599778">
      <w:bodyDiv w:val="1"/>
      <w:marLeft w:val="0"/>
      <w:marRight w:val="0"/>
      <w:marTop w:val="0"/>
      <w:marBottom w:val="0"/>
      <w:divBdr>
        <w:top w:val="none" w:sz="0" w:space="0" w:color="auto"/>
        <w:left w:val="none" w:sz="0" w:space="0" w:color="auto"/>
        <w:bottom w:val="none" w:sz="0" w:space="0" w:color="auto"/>
        <w:right w:val="none" w:sz="0" w:space="0" w:color="auto"/>
      </w:divBdr>
      <w:divsChild>
        <w:div w:id="1719086154">
          <w:marLeft w:val="0"/>
          <w:marRight w:val="0"/>
          <w:marTop w:val="0"/>
          <w:marBottom w:val="0"/>
          <w:divBdr>
            <w:top w:val="none" w:sz="0" w:space="0" w:color="auto"/>
            <w:left w:val="none" w:sz="0" w:space="0" w:color="auto"/>
            <w:bottom w:val="none" w:sz="0" w:space="0" w:color="auto"/>
            <w:right w:val="none" w:sz="0" w:space="0" w:color="auto"/>
          </w:divBdr>
        </w:div>
      </w:divsChild>
    </w:div>
    <w:div w:id="676881230">
      <w:bodyDiv w:val="1"/>
      <w:marLeft w:val="0"/>
      <w:marRight w:val="0"/>
      <w:marTop w:val="0"/>
      <w:marBottom w:val="0"/>
      <w:divBdr>
        <w:top w:val="none" w:sz="0" w:space="0" w:color="auto"/>
        <w:left w:val="none" w:sz="0" w:space="0" w:color="auto"/>
        <w:bottom w:val="none" w:sz="0" w:space="0" w:color="auto"/>
        <w:right w:val="none" w:sz="0" w:space="0" w:color="auto"/>
      </w:divBdr>
      <w:divsChild>
        <w:div w:id="2033727249">
          <w:marLeft w:val="0"/>
          <w:marRight w:val="0"/>
          <w:marTop w:val="0"/>
          <w:marBottom w:val="0"/>
          <w:divBdr>
            <w:top w:val="none" w:sz="0" w:space="0" w:color="auto"/>
            <w:left w:val="none" w:sz="0" w:space="0" w:color="auto"/>
            <w:bottom w:val="none" w:sz="0" w:space="0" w:color="auto"/>
            <w:right w:val="none" w:sz="0" w:space="0" w:color="auto"/>
          </w:divBdr>
        </w:div>
      </w:divsChild>
    </w:div>
    <w:div w:id="696468496">
      <w:bodyDiv w:val="1"/>
      <w:marLeft w:val="0"/>
      <w:marRight w:val="0"/>
      <w:marTop w:val="0"/>
      <w:marBottom w:val="0"/>
      <w:divBdr>
        <w:top w:val="none" w:sz="0" w:space="0" w:color="auto"/>
        <w:left w:val="none" w:sz="0" w:space="0" w:color="auto"/>
        <w:bottom w:val="none" w:sz="0" w:space="0" w:color="auto"/>
        <w:right w:val="none" w:sz="0" w:space="0" w:color="auto"/>
      </w:divBdr>
      <w:divsChild>
        <w:div w:id="1357190567">
          <w:marLeft w:val="0"/>
          <w:marRight w:val="0"/>
          <w:marTop w:val="0"/>
          <w:marBottom w:val="0"/>
          <w:divBdr>
            <w:top w:val="none" w:sz="0" w:space="0" w:color="auto"/>
            <w:left w:val="none" w:sz="0" w:space="0" w:color="auto"/>
            <w:bottom w:val="none" w:sz="0" w:space="0" w:color="auto"/>
            <w:right w:val="none" w:sz="0" w:space="0" w:color="auto"/>
          </w:divBdr>
        </w:div>
      </w:divsChild>
    </w:div>
    <w:div w:id="698356270">
      <w:bodyDiv w:val="1"/>
      <w:marLeft w:val="0"/>
      <w:marRight w:val="0"/>
      <w:marTop w:val="0"/>
      <w:marBottom w:val="0"/>
      <w:divBdr>
        <w:top w:val="none" w:sz="0" w:space="0" w:color="auto"/>
        <w:left w:val="none" w:sz="0" w:space="0" w:color="auto"/>
        <w:bottom w:val="none" w:sz="0" w:space="0" w:color="auto"/>
        <w:right w:val="none" w:sz="0" w:space="0" w:color="auto"/>
      </w:divBdr>
      <w:divsChild>
        <w:div w:id="709452541">
          <w:marLeft w:val="0"/>
          <w:marRight w:val="0"/>
          <w:marTop w:val="0"/>
          <w:marBottom w:val="0"/>
          <w:divBdr>
            <w:top w:val="none" w:sz="0" w:space="0" w:color="auto"/>
            <w:left w:val="none" w:sz="0" w:space="0" w:color="auto"/>
            <w:bottom w:val="none" w:sz="0" w:space="0" w:color="auto"/>
            <w:right w:val="none" w:sz="0" w:space="0" w:color="auto"/>
          </w:divBdr>
        </w:div>
      </w:divsChild>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74715338">
      <w:bodyDiv w:val="1"/>
      <w:marLeft w:val="0"/>
      <w:marRight w:val="0"/>
      <w:marTop w:val="0"/>
      <w:marBottom w:val="0"/>
      <w:divBdr>
        <w:top w:val="none" w:sz="0" w:space="0" w:color="auto"/>
        <w:left w:val="none" w:sz="0" w:space="0" w:color="auto"/>
        <w:bottom w:val="none" w:sz="0" w:space="0" w:color="auto"/>
        <w:right w:val="none" w:sz="0" w:space="0" w:color="auto"/>
      </w:divBdr>
      <w:divsChild>
        <w:div w:id="81536417">
          <w:marLeft w:val="0"/>
          <w:marRight w:val="0"/>
          <w:marTop w:val="0"/>
          <w:marBottom w:val="0"/>
          <w:divBdr>
            <w:top w:val="none" w:sz="0" w:space="0" w:color="auto"/>
            <w:left w:val="none" w:sz="0" w:space="0" w:color="auto"/>
            <w:bottom w:val="none" w:sz="0" w:space="0" w:color="auto"/>
            <w:right w:val="none" w:sz="0" w:space="0" w:color="auto"/>
          </w:divBdr>
        </w:div>
      </w:divsChild>
    </w:div>
    <w:div w:id="778452536">
      <w:bodyDiv w:val="1"/>
      <w:marLeft w:val="0"/>
      <w:marRight w:val="0"/>
      <w:marTop w:val="0"/>
      <w:marBottom w:val="0"/>
      <w:divBdr>
        <w:top w:val="none" w:sz="0" w:space="0" w:color="auto"/>
        <w:left w:val="none" w:sz="0" w:space="0" w:color="auto"/>
        <w:bottom w:val="none" w:sz="0" w:space="0" w:color="auto"/>
        <w:right w:val="none" w:sz="0" w:space="0" w:color="auto"/>
      </w:divBdr>
      <w:divsChild>
        <w:div w:id="253516507">
          <w:marLeft w:val="0"/>
          <w:marRight w:val="0"/>
          <w:marTop w:val="0"/>
          <w:marBottom w:val="0"/>
          <w:divBdr>
            <w:top w:val="none" w:sz="0" w:space="0" w:color="auto"/>
            <w:left w:val="none" w:sz="0" w:space="0" w:color="auto"/>
            <w:bottom w:val="none" w:sz="0" w:space="0" w:color="auto"/>
            <w:right w:val="none" w:sz="0" w:space="0" w:color="auto"/>
          </w:divBdr>
        </w:div>
      </w:divsChild>
    </w:div>
    <w:div w:id="869488171">
      <w:bodyDiv w:val="1"/>
      <w:marLeft w:val="0"/>
      <w:marRight w:val="0"/>
      <w:marTop w:val="0"/>
      <w:marBottom w:val="0"/>
      <w:divBdr>
        <w:top w:val="none" w:sz="0" w:space="0" w:color="auto"/>
        <w:left w:val="none" w:sz="0" w:space="0" w:color="auto"/>
        <w:bottom w:val="none" w:sz="0" w:space="0" w:color="auto"/>
        <w:right w:val="none" w:sz="0" w:space="0" w:color="auto"/>
      </w:divBdr>
      <w:divsChild>
        <w:div w:id="907307934">
          <w:marLeft w:val="0"/>
          <w:marRight w:val="0"/>
          <w:marTop w:val="0"/>
          <w:marBottom w:val="0"/>
          <w:divBdr>
            <w:top w:val="none" w:sz="0" w:space="0" w:color="auto"/>
            <w:left w:val="none" w:sz="0" w:space="0" w:color="auto"/>
            <w:bottom w:val="none" w:sz="0" w:space="0" w:color="auto"/>
            <w:right w:val="none" w:sz="0" w:space="0" w:color="auto"/>
          </w:divBdr>
        </w:div>
      </w:divsChild>
    </w:div>
    <w:div w:id="901253228">
      <w:bodyDiv w:val="1"/>
      <w:marLeft w:val="0"/>
      <w:marRight w:val="0"/>
      <w:marTop w:val="0"/>
      <w:marBottom w:val="0"/>
      <w:divBdr>
        <w:top w:val="none" w:sz="0" w:space="0" w:color="auto"/>
        <w:left w:val="none" w:sz="0" w:space="0" w:color="auto"/>
        <w:bottom w:val="none" w:sz="0" w:space="0" w:color="auto"/>
        <w:right w:val="none" w:sz="0" w:space="0" w:color="auto"/>
      </w:divBdr>
      <w:divsChild>
        <w:div w:id="1517573734">
          <w:marLeft w:val="0"/>
          <w:marRight w:val="0"/>
          <w:marTop w:val="0"/>
          <w:marBottom w:val="0"/>
          <w:divBdr>
            <w:top w:val="none" w:sz="0" w:space="0" w:color="auto"/>
            <w:left w:val="none" w:sz="0" w:space="0" w:color="auto"/>
            <w:bottom w:val="none" w:sz="0" w:space="0" w:color="auto"/>
            <w:right w:val="none" w:sz="0" w:space="0" w:color="auto"/>
          </w:divBdr>
        </w:div>
      </w:divsChild>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34020597">
      <w:bodyDiv w:val="1"/>
      <w:marLeft w:val="0"/>
      <w:marRight w:val="0"/>
      <w:marTop w:val="0"/>
      <w:marBottom w:val="0"/>
      <w:divBdr>
        <w:top w:val="none" w:sz="0" w:space="0" w:color="auto"/>
        <w:left w:val="none" w:sz="0" w:space="0" w:color="auto"/>
        <w:bottom w:val="none" w:sz="0" w:space="0" w:color="auto"/>
        <w:right w:val="none" w:sz="0" w:space="0" w:color="auto"/>
      </w:divBdr>
      <w:divsChild>
        <w:div w:id="579825159">
          <w:marLeft w:val="0"/>
          <w:marRight w:val="0"/>
          <w:marTop w:val="0"/>
          <w:marBottom w:val="0"/>
          <w:divBdr>
            <w:top w:val="none" w:sz="0" w:space="0" w:color="auto"/>
            <w:left w:val="none" w:sz="0" w:space="0" w:color="auto"/>
            <w:bottom w:val="none" w:sz="0" w:space="0" w:color="auto"/>
            <w:right w:val="none" w:sz="0" w:space="0" w:color="auto"/>
          </w:divBdr>
        </w:div>
      </w:divsChild>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967517747">
      <w:bodyDiv w:val="1"/>
      <w:marLeft w:val="0"/>
      <w:marRight w:val="0"/>
      <w:marTop w:val="0"/>
      <w:marBottom w:val="0"/>
      <w:divBdr>
        <w:top w:val="none" w:sz="0" w:space="0" w:color="auto"/>
        <w:left w:val="none" w:sz="0" w:space="0" w:color="auto"/>
        <w:bottom w:val="none" w:sz="0" w:space="0" w:color="auto"/>
        <w:right w:val="none" w:sz="0" w:space="0" w:color="auto"/>
      </w:divBdr>
    </w:div>
    <w:div w:id="1002587737">
      <w:bodyDiv w:val="1"/>
      <w:marLeft w:val="0"/>
      <w:marRight w:val="0"/>
      <w:marTop w:val="0"/>
      <w:marBottom w:val="0"/>
      <w:divBdr>
        <w:top w:val="none" w:sz="0" w:space="0" w:color="auto"/>
        <w:left w:val="none" w:sz="0" w:space="0" w:color="auto"/>
        <w:bottom w:val="none" w:sz="0" w:space="0" w:color="auto"/>
        <w:right w:val="none" w:sz="0" w:space="0" w:color="auto"/>
      </w:divBdr>
      <w:divsChild>
        <w:div w:id="848831122">
          <w:marLeft w:val="0"/>
          <w:marRight w:val="0"/>
          <w:marTop w:val="0"/>
          <w:marBottom w:val="0"/>
          <w:divBdr>
            <w:top w:val="none" w:sz="0" w:space="0" w:color="auto"/>
            <w:left w:val="none" w:sz="0" w:space="0" w:color="auto"/>
            <w:bottom w:val="none" w:sz="0" w:space="0" w:color="auto"/>
            <w:right w:val="none" w:sz="0" w:space="0" w:color="auto"/>
          </w:divBdr>
        </w:div>
      </w:divsChild>
    </w:div>
    <w:div w:id="1097284769">
      <w:bodyDiv w:val="1"/>
      <w:marLeft w:val="0"/>
      <w:marRight w:val="0"/>
      <w:marTop w:val="0"/>
      <w:marBottom w:val="0"/>
      <w:divBdr>
        <w:top w:val="none" w:sz="0" w:space="0" w:color="auto"/>
        <w:left w:val="none" w:sz="0" w:space="0" w:color="auto"/>
        <w:bottom w:val="none" w:sz="0" w:space="0" w:color="auto"/>
        <w:right w:val="none" w:sz="0" w:space="0" w:color="auto"/>
      </w:divBdr>
      <w:divsChild>
        <w:div w:id="281346330">
          <w:marLeft w:val="0"/>
          <w:marRight w:val="0"/>
          <w:marTop w:val="0"/>
          <w:marBottom w:val="0"/>
          <w:divBdr>
            <w:top w:val="none" w:sz="0" w:space="0" w:color="auto"/>
            <w:left w:val="none" w:sz="0" w:space="0" w:color="auto"/>
            <w:bottom w:val="none" w:sz="0" w:space="0" w:color="auto"/>
            <w:right w:val="none" w:sz="0" w:space="0" w:color="auto"/>
          </w:divBdr>
        </w:div>
      </w:divsChild>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29481865">
      <w:bodyDiv w:val="1"/>
      <w:marLeft w:val="0"/>
      <w:marRight w:val="0"/>
      <w:marTop w:val="0"/>
      <w:marBottom w:val="0"/>
      <w:divBdr>
        <w:top w:val="none" w:sz="0" w:space="0" w:color="auto"/>
        <w:left w:val="none" w:sz="0" w:space="0" w:color="auto"/>
        <w:bottom w:val="none" w:sz="0" w:space="0" w:color="auto"/>
        <w:right w:val="none" w:sz="0" w:space="0" w:color="auto"/>
      </w:divBdr>
      <w:divsChild>
        <w:div w:id="1358312053">
          <w:marLeft w:val="0"/>
          <w:marRight w:val="0"/>
          <w:marTop w:val="0"/>
          <w:marBottom w:val="0"/>
          <w:divBdr>
            <w:top w:val="none" w:sz="0" w:space="0" w:color="auto"/>
            <w:left w:val="none" w:sz="0" w:space="0" w:color="auto"/>
            <w:bottom w:val="none" w:sz="0" w:space="0" w:color="auto"/>
            <w:right w:val="none" w:sz="0" w:space="0" w:color="auto"/>
          </w:divBdr>
        </w:div>
      </w:divsChild>
    </w:div>
    <w:div w:id="1372143870">
      <w:bodyDiv w:val="1"/>
      <w:marLeft w:val="0"/>
      <w:marRight w:val="0"/>
      <w:marTop w:val="0"/>
      <w:marBottom w:val="0"/>
      <w:divBdr>
        <w:top w:val="none" w:sz="0" w:space="0" w:color="auto"/>
        <w:left w:val="none" w:sz="0" w:space="0" w:color="auto"/>
        <w:bottom w:val="none" w:sz="0" w:space="0" w:color="auto"/>
        <w:right w:val="none" w:sz="0" w:space="0" w:color="auto"/>
      </w:divBdr>
      <w:divsChild>
        <w:div w:id="34234210">
          <w:marLeft w:val="0"/>
          <w:marRight w:val="0"/>
          <w:marTop w:val="0"/>
          <w:marBottom w:val="0"/>
          <w:divBdr>
            <w:top w:val="none" w:sz="0" w:space="0" w:color="auto"/>
            <w:left w:val="none" w:sz="0" w:space="0" w:color="auto"/>
            <w:bottom w:val="none" w:sz="0" w:space="0" w:color="auto"/>
            <w:right w:val="none" w:sz="0" w:space="0" w:color="auto"/>
          </w:divBdr>
        </w:div>
      </w:divsChild>
    </w:div>
    <w:div w:id="1454903367">
      <w:bodyDiv w:val="1"/>
      <w:marLeft w:val="0"/>
      <w:marRight w:val="0"/>
      <w:marTop w:val="0"/>
      <w:marBottom w:val="0"/>
      <w:divBdr>
        <w:top w:val="none" w:sz="0" w:space="0" w:color="auto"/>
        <w:left w:val="none" w:sz="0" w:space="0" w:color="auto"/>
        <w:bottom w:val="none" w:sz="0" w:space="0" w:color="auto"/>
        <w:right w:val="none" w:sz="0" w:space="0" w:color="auto"/>
      </w:divBdr>
      <w:divsChild>
        <w:div w:id="1535192770">
          <w:marLeft w:val="0"/>
          <w:marRight w:val="0"/>
          <w:marTop w:val="0"/>
          <w:marBottom w:val="0"/>
          <w:divBdr>
            <w:top w:val="none" w:sz="0" w:space="0" w:color="auto"/>
            <w:left w:val="none" w:sz="0" w:space="0" w:color="auto"/>
            <w:bottom w:val="none" w:sz="0" w:space="0" w:color="auto"/>
            <w:right w:val="none" w:sz="0" w:space="0" w:color="auto"/>
          </w:divBdr>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593318242">
      <w:bodyDiv w:val="1"/>
      <w:marLeft w:val="0"/>
      <w:marRight w:val="0"/>
      <w:marTop w:val="0"/>
      <w:marBottom w:val="0"/>
      <w:divBdr>
        <w:top w:val="none" w:sz="0" w:space="0" w:color="auto"/>
        <w:left w:val="none" w:sz="0" w:space="0" w:color="auto"/>
        <w:bottom w:val="none" w:sz="0" w:space="0" w:color="auto"/>
        <w:right w:val="none" w:sz="0" w:space="0" w:color="auto"/>
      </w:divBdr>
      <w:divsChild>
        <w:div w:id="1354334079">
          <w:marLeft w:val="0"/>
          <w:marRight w:val="0"/>
          <w:marTop w:val="0"/>
          <w:marBottom w:val="0"/>
          <w:divBdr>
            <w:top w:val="none" w:sz="0" w:space="0" w:color="auto"/>
            <w:left w:val="none" w:sz="0" w:space="0" w:color="auto"/>
            <w:bottom w:val="none" w:sz="0" w:space="0" w:color="auto"/>
            <w:right w:val="none" w:sz="0" w:space="0" w:color="auto"/>
          </w:divBdr>
        </w:div>
      </w:divsChild>
    </w:div>
    <w:div w:id="1594166517">
      <w:bodyDiv w:val="1"/>
      <w:marLeft w:val="0"/>
      <w:marRight w:val="0"/>
      <w:marTop w:val="0"/>
      <w:marBottom w:val="0"/>
      <w:divBdr>
        <w:top w:val="none" w:sz="0" w:space="0" w:color="auto"/>
        <w:left w:val="none" w:sz="0" w:space="0" w:color="auto"/>
        <w:bottom w:val="none" w:sz="0" w:space="0" w:color="auto"/>
        <w:right w:val="none" w:sz="0" w:space="0" w:color="auto"/>
      </w:divBdr>
      <w:divsChild>
        <w:div w:id="2052800075">
          <w:marLeft w:val="0"/>
          <w:marRight w:val="0"/>
          <w:marTop w:val="0"/>
          <w:marBottom w:val="0"/>
          <w:divBdr>
            <w:top w:val="none" w:sz="0" w:space="0" w:color="auto"/>
            <w:left w:val="none" w:sz="0" w:space="0" w:color="auto"/>
            <w:bottom w:val="none" w:sz="0" w:space="0" w:color="auto"/>
            <w:right w:val="none" w:sz="0" w:space="0" w:color="auto"/>
          </w:divBdr>
        </w:div>
      </w:divsChild>
    </w:div>
    <w:div w:id="1635521995">
      <w:bodyDiv w:val="1"/>
      <w:marLeft w:val="0"/>
      <w:marRight w:val="0"/>
      <w:marTop w:val="0"/>
      <w:marBottom w:val="0"/>
      <w:divBdr>
        <w:top w:val="none" w:sz="0" w:space="0" w:color="auto"/>
        <w:left w:val="none" w:sz="0" w:space="0" w:color="auto"/>
        <w:bottom w:val="none" w:sz="0" w:space="0" w:color="auto"/>
        <w:right w:val="none" w:sz="0" w:space="0" w:color="auto"/>
      </w:divBdr>
      <w:divsChild>
        <w:div w:id="962928241">
          <w:marLeft w:val="0"/>
          <w:marRight w:val="0"/>
          <w:marTop w:val="0"/>
          <w:marBottom w:val="0"/>
          <w:divBdr>
            <w:top w:val="none" w:sz="0" w:space="0" w:color="auto"/>
            <w:left w:val="none" w:sz="0" w:space="0" w:color="auto"/>
            <w:bottom w:val="none" w:sz="0" w:space="0" w:color="auto"/>
            <w:right w:val="none" w:sz="0" w:space="0" w:color="auto"/>
          </w:divBdr>
        </w:div>
      </w:divsChild>
    </w:div>
    <w:div w:id="1670937014">
      <w:bodyDiv w:val="1"/>
      <w:marLeft w:val="0"/>
      <w:marRight w:val="0"/>
      <w:marTop w:val="0"/>
      <w:marBottom w:val="0"/>
      <w:divBdr>
        <w:top w:val="none" w:sz="0" w:space="0" w:color="auto"/>
        <w:left w:val="none" w:sz="0" w:space="0" w:color="auto"/>
        <w:bottom w:val="none" w:sz="0" w:space="0" w:color="auto"/>
        <w:right w:val="none" w:sz="0" w:space="0" w:color="auto"/>
      </w:divBdr>
      <w:divsChild>
        <w:div w:id="1134057564">
          <w:marLeft w:val="0"/>
          <w:marRight w:val="0"/>
          <w:marTop w:val="0"/>
          <w:marBottom w:val="0"/>
          <w:divBdr>
            <w:top w:val="none" w:sz="0" w:space="0" w:color="auto"/>
            <w:left w:val="none" w:sz="0" w:space="0" w:color="auto"/>
            <w:bottom w:val="none" w:sz="0" w:space="0" w:color="auto"/>
            <w:right w:val="none" w:sz="0" w:space="0" w:color="auto"/>
          </w:divBdr>
        </w:div>
      </w:divsChild>
    </w:div>
    <w:div w:id="1742602266">
      <w:bodyDiv w:val="1"/>
      <w:marLeft w:val="0"/>
      <w:marRight w:val="0"/>
      <w:marTop w:val="0"/>
      <w:marBottom w:val="0"/>
      <w:divBdr>
        <w:top w:val="none" w:sz="0" w:space="0" w:color="auto"/>
        <w:left w:val="none" w:sz="0" w:space="0" w:color="auto"/>
        <w:bottom w:val="none" w:sz="0" w:space="0" w:color="auto"/>
        <w:right w:val="none" w:sz="0" w:space="0" w:color="auto"/>
      </w:divBdr>
      <w:divsChild>
        <w:div w:id="525368094">
          <w:marLeft w:val="0"/>
          <w:marRight w:val="0"/>
          <w:marTop w:val="0"/>
          <w:marBottom w:val="0"/>
          <w:divBdr>
            <w:top w:val="none" w:sz="0" w:space="0" w:color="auto"/>
            <w:left w:val="none" w:sz="0" w:space="0" w:color="auto"/>
            <w:bottom w:val="none" w:sz="0" w:space="0" w:color="auto"/>
            <w:right w:val="none" w:sz="0" w:space="0" w:color="auto"/>
          </w:divBdr>
        </w:div>
      </w:divsChild>
    </w:div>
    <w:div w:id="1767077251">
      <w:bodyDiv w:val="1"/>
      <w:marLeft w:val="0"/>
      <w:marRight w:val="0"/>
      <w:marTop w:val="0"/>
      <w:marBottom w:val="0"/>
      <w:divBdr>
        <w:top w:val="none" w:sz="0" w:space="0" w:color="auto"/>
        <w:left w:val="none" w:sz="0" w:space="0" w:color="auto"/>
        <w:bottom w:val="none" w:sz="0" w:space="0" w:color="auto"/>
        <w:right w:val="none" w:sz="0" w:space="0" w:color="auto"/>
      </w:divBdr>
      <w:divsChild>
        <w:div w:id="86247642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890342563">
      <w:bodyDiv w:val="1"/>
      <w:marLeft w:val="0"/>
      <w:marRight w:val="0"/>
      <w:marTop w:val="0"/>
      <w:marBottom w:val="0"/>
      <w:divBdr>
        <w:top w:val="none" w:sz="0" w:space="0" w:color="auto"/>
        <w:left w:val="none" w:sz="0" w:space="0" w:color="auto"/>
        <w:bottom w:val="none" w:sz="0" w:space="0" w:color="auto"/>
        <w:right w:val="none" w:sz="0" w:space="0" w:color="auto"/>
      </w:divBdr>
      <w:divsChild>
        <w:div w:id="863445608">
          <w:marLeft w:val="0"/>
          <w:marRight w:val="0"/>
          <w:marTop w:val="0"/>
          <w:marBottom w:val="0"/>
          <w:divBdr>
            <w:top w:val="none" w:sz="0" w:space="0" w:color="auto"/>
            <w:left w:val="none" w:sz="0" w:space="0" w:color="auto"/>
            <w:bottom w:val="none" w:sz="0" w:space="0" w:color="auto"/>
            <w:right w:val="none" w:sz="0" w:space="0" w:color="auto"/>
          </w:divBdr>
        </w:div>
      </w:divsChild>
    </w:div>
    <w:div w:id="1916815045">
      <w:bodyDiv w:val="1"/>
      <w:marLeft w:val="0"/>
      <w:marRight w:val="0"/>
      <w:marTop w:val="0"/>
      <w:marBottom w:val="0"/>
      <w:divBdr>
        <w:top w:val="none" w:sz="0" w:space="0" w:color="auto"/>
        <w:left w:val="none" w:sz="0" w:space="0" w:color="auto"/>
        <w:bottom w:val="none" w:sz="0" w:space="0" w:color="auto"/>
        <w:right w:val="none" w:sz="0" w:space="0" w:color="auto"/>
      </w:divBdr>
      <w:divsChild>
        <w:div w:id="1128934126">
          <w:marLeft w:val="0"/>
          <w:marRight w:val="0"/>
          <w:marTop w:val="0"/>
          <w:marBottom w:val="0"/>
          <w:divBdr>
            <w:top w:val="none" w:sz="0" w:space="0" w:color="auto"/>
            <w:left w:val="none" w:sz="0" w:space="0" w:color="auto"/>
            <w:bottom w:val="none" w:sz="0" w:space="0" w:color="auto"/>
            <w:right w:val="none" w:sz="0" w:space="0" w:color="auto"/>
          </w:divBdr>
        </w:div>
      </w:divsChild>
    </w:div>
    <w:div w:id="1936667396">
      <w:bodyDiv w:val="1"/>
      <w:marLeft w:val="0"/>
      <w:marRight w:val="0"/>
      <w:marTop w:val="0"/>
      <w:marBottom w:val="0"/>
      <w:divBdr>
        <w:top w:val="none" w:sz="0" w:space="0" w:color="auto"/>
        <w:left w:val="none" w:sz="0" w:space="0" w:color="auto"/>
        <w:bottom w:val="none" w:sz="0" w:space="0" w:color="auto"/>
        <w:right w:val="none" w:sz="0" w:space="0" w:color="auto"/>
      </w:divBdr>
      <w:divsChild>
        <w:div w:id="2077627396">
          <w:marLeft w:val="0"/>
          <w:marRight w:val="0"/>
          <w:marTop w:val="0"/>
          <w:marBottom w:val="0"/>
          <w:divBdr>
            <w:top w:val="none" w:sz="0" w:space="0" w:color="auto"/>
            <w:left w:val="none" w:sz="0" w:space="0" w:color="auto"/>
            <w:bottom w:val="none" w:sz="0" w:space="0" w:color="auto"/>
            <w:right w:val="none" w:sz="0" w:space="0" w:color="auto"/>
          </w:divBdr>
        </w:div>
      </w:divsChild>
    </w:div>
    <w:div w:id="1937862652">
      <w:bodyDiv w:val="1"/>
      <w:marLeft w:val="0"/>
      <w:marRight w:val="0"/>
      <w:marTop w:val="0"/>
      <w:marBottom w:val="0"/>
      <w:divBdr>
        <w:top w:val="none" w:sz="0" w:space="0" w:color="auto"/>
        <w:left w:val="none" w:sz="0" w:space="0" w:color="auto"/>
        <w:bottom w:val="none" w:sz="0" w:space="0" w:color="auto"/>
        <w:right w:val="none" w:sz="0" w:space="0" w:color="auto"/>
      </w:divBdr>
      <w:divsChild>
        <w:div w:id="123936993">
          <w:marLeft w:val="0"/>
          <w:marRight w:val="0"/>
          <w:marTop w:val="0"/>
          <w:marBottom w:val="0"/>
          <w:divBdr>
            <w:top w:val="none" w:sz="0" w:space="0" w:color="auto"/>
            <w:left w:val="none" w:sz="0" w:space="0" w:color="auto"/>
            <w:bottom w:val="none" w:sz="0" w:space="0" w:color="auto"/>
            <w:right w:val="none" w:sz="0" w:space="0" w:color="auto"/>
          </w:divBdr>
        </w:div>
      </w:divsChild>
    </w:div>
    <w:div w:id="1991866288">
      <w:bodyDiv w:val="1"/>
      <w:marLeft w:val="0"/>
      <w:marRight w:val="0"/>
      <w:marTop w:val="0"/>
      <w:marBottom w:val="0"/>
      <w:divBdr>
        <w:top w:val="none" w:sz="0" w:space="0" w:color="auto"/>
        <w:left w:val="none" w:sz="0" w:space="0" w:color="auto"/>
        <w:bottom w:val="none" w:sz="0" w:space="0" w:color="auto"/>
        <w:right w:val="none" w:sz="0" w:space="0" w:color="auto"/>
      </w:divBdr>
      <w:divsChild>
        <w:div w:id="140468160">
          <w:marLeft w:val="0"/>
          <w:marRight w:val="0"/>
          <w:marTop w:val="0"/>
          <w:marBottom w:val="0"/>
          <w:divBdr>
            <w:top w:val="none" w:sz="0" w:space="0" w:color="auto"/>
            <w:left w:val="none" w:sz="0" w:space="0" w:color="auto"/>
            <w:bottom w:val="none" w:sz="0" w:space="0" w:color="auto"/>
            <w:right w:val="none" w:sz="0" w:space="0" w:color="auto"/>
          </w:divBdr>
        </w:div>
      </w:divsChild>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05357144">
      <w:bodyDiv w:val="1"/>
      <w:marLeft w:val="0"/>
      <w:marRight w:val="0"/>
      <w:marTop w:val="0"/>
      <w:marBottom w:val="0"/>
      <w:divBdr>
        <w:top w:val="none" w:sz="0" w:space="0" w:color="auto"/>
        <w:left w:val="none" w:sz="0" w:space="0" w:color="auto"/>
        <w:bottom w:val="none" w:sz="0" w:space="0" w:color="auto"/>
        <w:right w:val="none" w:sz="0" w:space="0" w:color="auto"/>
      </w:divBdr>
      <w:divsChild>
        <w:div w:id="142048982">
          <w:marLeft w:val="0"/>
          <w:marRight w:val="0"/>
          <w:marTop w:val="0"/>
          <w:marBottom w:val="0"/>
          <w:divBdr>
            <w:top w:val="none" w:sz="0" w:space="0" w:color="auto"/>
            <w:left w:val="none" w:sz="0" w:space="0" w:color="auto"/>
            <w:bottom w:val="none" w:sz="0" w:space="0" w:color="auto"/>
            <w:right w:val="none" w:sz="0" w:space="0" w:color="auto"/>
          </w:divBdr>
        </w:div>
      </w:divsChild>
    </w:div>
    <w:div w:id="2021588998">
      <w:bodyDiv w:val="1"/>
      <w:marLeft w:val="0"/>
      <w:marRight w:val="0"/>
      <w:marTop w:val="0"/>
      <w:marBottom w:val="0"/>
      <w:divBdr>
        <w:top w:val="none" w:sz="0" w:space="0" w:color="auto"/>
        <w:left w:val="none" w:sz="0" w:space="0" w:color="auto"/>
        <w:bottom w:val="none" w:sz="0" w:space="0" w:color="auto"/>
        <w:right w:val="none" w:sz="0" w:space="0" w:color="auto"/>
      </w:divBdr>
      <w:divsChild>
        <w:div w:id="1468475681">
          <w:marLeft w:val="0"/>
          <w:marRight w:val="0"/>
          <w:marTop w:val="0"/>
          <w:marBottom w:val="0"/>
          <w:divBdr>
            <w:top w:val="none" w:sz="0" w:space="0" w:color="auto"/>
            <w:left w:val="none" w:sz="0" w:space="0" w:color="auto"/>
            <w:bottom w:val="none" w:sz="0" w:space="0" w:color="auto"/>
            <w:right w:val="none" w:sz="0" w:space="0" w:color="auto"/>
          </w:divBdr>
        </w:div>
      </w:divsChild>
    </w:div>
    <w:div w:id="2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1348865692">
          <w:marLeft w:val="0"/>
          <w:marRight w:val="0"/>
          <w:marTop w:val="0"/>
          <w:marBottom w:val="0"/>
          <w:divBdr>
            <w:top w:val="none" w:sz="0" w:space="0" w:color="auto"/>
            <w:left w:val="none" w:sz="0" w:space="0" w:color="auto"/>
            <w:bottom w:val="none" w:sz="0" w:space="0" w:color="auto"/>
            <w:right w:val="none" w:sz="0" w:space="0" w:color="auto"/>
          </w:divBdr>
        </w:div>
      </w:divsChild>
    </w:div>
    <w:div w:id="21339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number xmlns="1700ab43-7395-48ff-866c-657c86ba7f4e" xsi:nil="true"/>
    <_ip_UnifiedCompliancePolicyUIAction xmlns="http://schemas.microsoft.com/sharepoint/v3" xsi:nil="true"/>
    <ISCreferencenumber xmlns="1700ab43-7395-48ff-866c-657c86ba7f4e" xsi:nil="true"/>
    <Status xmlns="1700ab43-7395-48ff-866c-657c86ba7f4e" xsi:nil="true"/>
    <Whoneedstoanswer xmlns="1700ab43-7395-48ff-866c-657c86ba7f4e" xsi:nil="true"/>
    <Stage xmlns="1700ab43-7395-48ff-866c-657c86ba7f4e" xsi:nil="true"/>
    <_ip_UnifiedCompliancePolicyProperties xmlns="http://schemas.microsoft.com/sharepoint/v3" xsi:nil="true"/>
    <Level xmlns="1700ab43-7395-48ff-866c-657c86ba7f4e" xsi:nil="true"/>
    <Deadline xmlns="1700ab43-7395-48ff-866c-657c86ba7f4e" xsi:nil="true"/>
    <Answersent xmlns="1700ab43-7395-48ff-866c-657c86ba7f4e">false</Answersent>
    <Scope xmlns="1700ab43-7395-48ff-866c-657c86ba7f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9" ma:contentTypeDescription="Create a new document." ma:contentTypeScope="" ma:versionID="a8abed3de76f650ec2e097b772562ee0">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ea221ede56f7a8339eeb8a06816169e"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Status" minOccurs="0"/>
                <xsd:element ref="ns2:Deadline" minOccurs="0"/>
                <xsd:element ref="ns2:ISCreferencenumber" minOccurs="0"/>
                <xsd:element ref="ns2:Answersent" minOccurs="0"/>
                <xsd:element ref="ns2:Whoneedstoanswer" minOccurs="0"/>
                <xsd:element ref="ns2:Stage" minOccurs="0"/>
                <xsd:element ref="ns2:Level" minOccurs="0"/>
                <xsd:element ref="ns2:Scope" minOccurs="0"/>
                <xsd:element ref="ns2:Aresnumber" minOccurs="0"/>
                <xsd:element ref="ns3:SharedWithUsers" minOccurs="0"/>
                <xsd:element ref="ns3:SharedWithDetails" minOccurs="0"/>
                <xsd:element ref="ns2:MediaServiceMetadata" minOccurs="0"/>
                <xsd:element ref="ns2:MediaServiceFastMetadata" minOccurs="0"/>
                <xsd:element ref="ns2:MediaServiceAutoKeyPoints" minOccurs="0"/>
                <xsd:element ref="ns1:_ip_UnifiedCompliancePolicyProperties" minOccurs="0"/>
                <xsd:element ref="ns1:_ip_UnifiedCompliancePolicyUIAction"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ma:readOnly="false">
      <xsd:simpleType>
        <xsd:restriction base="dms:Choice">
          <xsd:enumeration value="Ongoing"/>
          <xsd:enumeration value="Closed"/>
        </xsd:restriction>
      </xsd:simpleType>
    </xsd:element>
    <xsd:element name="Deadline" ma:index="3" nillable="true" ma:displayName="Deadline" ma:format="DateOnly" ma:internalName="Deadline" ma:readOnly="false">
      <xsd:simpleType>
        <xsd:restriction base="dms:DateTime"/>
      </xsd:simpleType>
    </xsd:element>
    <xsd:element name="ISCreferencenumber" ma:index="4" nillable="true" ma:displayName="ISC reference number" ma:format="Dropdown" ma:internalName="ISCreferencenumber" ma:readOnly="false">
      <xsd:simpleType>
        <xsd:restriction base="dms:Text">
          <xsd:maxLength value="255"/>
        </xsd:restriction>
      </xsd:simpleType>
    </xsd:element>
    <xsd:element name="Answersent" ma:index="5" nillable="true" ma:displayName="Answer sent" ma:default="0" ma:format="Dropdown" ma:internalName="Answersent" ma:readOnly="false">
      <xsd:simpleType>
        <xsd:restriction base="dms:Boolean"/>
      </xsd:simpleType>
    </xsd:element>
    <xsd:element name="Whoneedstoanswer" ma:index="6" nillable="true" ma:displayName="Who needs to answer" ma:description="please indicate who received the ISC" ma:format="Dropdown" ma:internalName="Whoneedstoanswer" ma:readOnly="false">
      <xsd:simpleType>
        <xsd:restriction base="dms:Choice">
          <xsd:enumeration value="ECFIN"/>
          <xsd:enumeration value="SG RECOVER"/>
          <xsd:enumeration value="Both"/>
        </xsd:restriction>
      </xsd:simpleType>
    </xsd:element>
    <xsd:element name="Stage" ma:index="7" nillable="true" ma:displayName="Phase" ma:format="Dropdown" ma:internalName="Stage">
      <xsd:complexType>
        <xsd:complexContent>
          <xsd:extension base="dms:MultiChoice">
            <xsd:sequence>
              <xsd:element name="Value" maxOccurs="unbounded" minOccurs="0" nillable="true">
                <xsd:simpleType>
                  <xsd:restriction base="dms:Choice">
                    <xsd:enumeration value="Preparation"/>
                    <xsd:enumeration value="1st payment request"/>
                    <xsd:enumeration value="3rd Payment request"/>
                    <xsd:enumeration value="4th Payment request"/>
                    <xsd:enumeration value="5th Payment request"/>
                    <xsd:enumeration value="6th Payment request"/>
                    <xsd:enumeration value="2nd payment request"/>
                    <xsd:enumeration value="7th Payment request"/>
                    <xsd:enumeration value="8th Payment request"/>
                  </xsd:restriction>
                </xsd:simpleType>
              </xsd:element>
            </xsd:sequence>
          </xsd:extension>
        </xsd:complexContent>
      </xsd:complexType>
    </xsd:element>
    <xsd:element name="Level" ma:index="8" nillable="true" ma:displayName="Level" ma:description="depending if E&amp;D attended" ma:format="Dropdown" ma:internalName="Level" ma:readOnly="false">
      <xsd:simpleType>
        <xsd:restriction base="dms:Choice">
          <xsd:enumeration value="Principals"/>
          <xsd:enumeration value="Technical"/>
        </xsd:restriction>
      </xsd:simpleType>
    </xsd:element>
    <xsd:element name="Scope" ma:index="9" nillable="true" ma:displayName="Scope" ma:format="Dropdown" ma:internalName="Scope" ma:readOnly="false">
      <xsd:simpleType>
        <xsd:restriction base="dms:Choice">
          <xsd:enumeration value="General"/>
          <xsd:enumeration value="Thematic"/>
        </xsd:restriction>
      </xsd:simpleType>
    </xsd:element>
    <xsd:element name="Aresnumber" ma:index="10" nillable="true" ma:displayName="Ares number" ma:format="Dropdown" ma:internalName="Aresnumber"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OCR" ma:index="32" nillable="true" ma:displayName="Extracted Text" ma:hidden="true" ma:internalName="MediaServiceOCR" ma:readOnly="true">
      <xsd:simpleType>
        <xsd:restriction base="dms:Note"/>
      </xsd:simpleType>
    </xsd:element>
    <xsd:element name="MediaServiceLocation" ma:index="33" nillable="true" ma:displayName="Location" ma:hidden="true" ma:indexed="true" ma:internalName="MediaServiceLocation"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da955a7-c319-4d68-acea-690316db2eb1}" ma:internalName="TaxCatchAll" ma:readOnly="false"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2.xml><?xml version="1.0" encoding="utf-8"?>
<ds:datastoreItem xmlns:ds="http://schemas.openxmlformats.org/officeDocument/2006/customXml" ds:itemID="{6CA82E0D-6297-4C47-8CC0-FF284FE7E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6A4080F0-10F7-4EE2-AE45-C37E985A4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160</TotalTime>
  <Pages>12</Pages>
  <Words>5347</Words>
  <Characters>30481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2026-07-31T11:25:00Z</dcterms:created>
  <dcterms:modified xsi:type="dcterms:W3CDTF">2026-08-14T09:39:00Z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