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A48790-54BA-4E64-AE83-C28F95B0F553" style="width:455.25pt;height:421.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Rfrenceinterinstitutionnelle"/>
        <w:rPr>
          <w:noProof/>
        </w:rPr>
      </w:pPr>
      <w:r>
        <w:rPr>
          <w:noProof/>
        </w:rPr>
        <w:lastRenderedPageBreak/>
        <w:t>2023/0156 (COD)</w:t>
      </w:r>
    </w:p>
    <w:p>
      <w:pPr>
        <w:pStyle w:val="Typedudocument"/>
        <w:rPr>
          <w:noProof/>
        </w:rPr>
      </w:pPr>
      <w:r>
        <w:rPr>
          <w:noProof/>
        </w:rPr>
        <w:t>COMUNICARE A COMISIEI CĂTRE PARLAMENTUL EUROPEAN</w:t>
      </w:r>
      <w:r>
        <w:rPr>
          <w:noProof/>
        </w:rPr>
        <w:br/>
      </w:r>
      <w:r>
        <w:rPr>
          <w:noProof/>
        </w:rPr>
        <w:br/>
        <w:t>în conformitate cu articolul 294 alineatul (6) din Tratatul privind funcționarea Uniunii Europene</w:t>
      </w:r>
      <w:r>
        <w:rPr>
          <w:noProof/>
        </w:rPr>
        <w:br/>
      </w:r>
      <w:r>
        <w:rPr>
          <w:noProof/>
        </w:rPr>
        <w:br/>
        <w:t>privind</w:t>
      </w:r>
    </w:p>
    <w:p>
      <w:pPr>
        <w:pStyle w:val="Titreobjet"/>
        <w:rPr>
          <w:noProof/>
        </w:rPr>
      </w:pPr>
      <w:r>
        <w:rPr>
          <w:noProof/>
        </w:rPr>
        <w:t>poziția Consiliului referitoare la adoptarea unui Regulament al Parlamentului European și al Consiliului de instituire a Codului vamal al Uniunii, de înființare a Autorității vamale a Uniunii Europene și de abrogare a Regulamentului (UE) nr. 952/2013</w:t>
      </w:r>
    </w:p>
    <w:p>
      <w:pPr>
        <w:pStyle w:val="IntrtEEE"/>
        <w:rPr>
          <w:noProof/>
        </w:rPr>
      </w:pPr>
      <w:r>
        <w:rPr>
          <w:noProof/>
        </w:rPr>
        <w:t>(Text cu relevanță pentru SEE)</w:t>
      </w:r>
    </w:p>
    <w:p>
      <w:pPr>
        <w:pStyle w:val="ManualHeading1"/>
        <w:rPr>
          <w:noProof/>
          <w:sz w:val="22"/>
        </w:rPr>
      </w:pPr>
      <w:r>
        <w:rPr>
          <w:noProof/>
        </w:rPr>
        <w:t>1.</w:t>
      </w:r>
      <w:r>
        <w:rPr>
          <w:noProof/>
        </w:rPr>
        <w:tab/>
        <w:t>Istoricul dosarului</w:t>
      </w:r>
    </w:p>
    <w:tbl>
      <w:tblPr>
        <w:tblW w:w="0" w:type="auto"/>
        <w:tblLayout w:type="fixed"/>
        <w:tblLook w:val="0000" w:firstRow="0" w:lastRow="0" w:firstColumn="0" w:lastColumn="0" w:noHBand="0" w:noVBand="0"/>
      </w:tblPr>
      <w:tblGrid>
        <w:gridCol w:w="6804"/>
        <w:gridCol w:w="2483"/>
      </w:tblGrid>
      <w:tr>
        <w:tc>
          <w:tcPr>
            <w:tcW w:w="6804" w:type="dxa"/>
          </w:tcPr>
          <w:p>
            <w:pPr>
              <w:jc w:val="left"/>
              <w:rPr>
                <w:noProof/>
              </w:rPr>
            </w:pPr>
            <w:r>
              <w:rPr>
                <w:noProof/>
              </w:rPr>
              <w:t>Data transmiterii propunerii către Parlamentul European și Consiliu [documentul COM(2023)258 final – 2023/0156/COD]:</w:t>
            </w:r>
          </w:p>
        </w:tc>
        <w:tc>
          <w:tcPr>
            <w:tcW w:w="2483" w:type="dxa"/>
          </w:tcPr>
          <w:p>
            <w:pPr>
              <w:jc w:val="left"/>
              <w:rPr>
                <w:noProof/>
              </w:rPr>
            </w:pPr>
            <w:r>
              <w:rPr>
                <w:noProof/>
              </w:rPr>
              <w:t>17 mai 2023</w:t>
            </w:r>
          </w:p>
        </w:tc>
      </w:tr>
      <w:tr>
        <w:tc>
          <w:tcPr>
            <w:tcW w:w="6804" w:type="dxa"/>
          </w:tcPr>
          <w:p>
            <w:pPr>
              <w:rPr>
                <w:noProof/>
              </w:rPr>
            </w:pPr>
            <w:r>
              <w:rPr>
                <w:noProof/>
              </w:rPr>
              <w:t>Data avizului Comitetului Economic și Social European:</w:t>
            </w:r>
          </w:p>
        </w:tc>
        <w:tc>
          <w:tcPr>
            <w:tcW w:w="2483" w:type="dxa"/>
          </w:tcPr>
          <w:p>
            <w:pPr>
              <w:jc w:val="left"/>
              <w:rPr>
                <w:noProof/>
              </w:rPr>
            </w:pPr>
            <w:r>
              <w:rPr>
                <w:noProof/>
              </w:rPr>
              <w:t>20 septembrie 2023</w:t>
            </w:r>
          </w:p>
        </w:tc>
      </w:tr>
      <w:tr>
        <w:tc>
          <w:tcPr>
            <w:tcW w:w="6804" w:type="dxa"/>
          </w:tcPr>
          <w:p>
            <w:pPr>
              <w:rPr>
                <w:noProof/>
              </w:rPr>
            </w:pPr>
            <w:r>
              <w:rPr>
                <w:noProof/>
              </w:rPr>
              <w:t>Data poziției Parlamentului European în primă lectură:</w:t>
            </w:r>
          </w:p>
        </w:tc>
        <w:tc>
          <w:tcPr>
            <w:tcW w:w="2483" w:type="dxa"/>
          </w:tcPr>
          <w:p>
            <w:pPr>
              <w:jc w:val="left"/>
              <w:rPr>
                <w:noProof/>
              </w:rPr>
            </w:pPr>
            <w:r>
              <w:rPr>
                <w:noProof/>
              </w:rPr>
              <w:t>13 martie 2024</w:t>
            </w:r>
          </w:p>
        </w:tc>
      </w:tr>
      <w:tr>
        <w:tc>
          <w:tcPr>
            <w:tcW w:w="6804" w:type="dxa"/>
          </w:tcPr>
          <w:p>
            <w:pPr>
              <w:rPr>
                <w:noProof/>
              </w:rPr>
            </w:pPr>
            <w:r>
              <w:rPr>
                <w:noProof/>
              </w:rPr>
              <w:t>Data transmiterii propunerii modificate:</w:t>
            </w:r>
          </w:p>
        </w:tc>
        <w:tc>
          <w:tcPr>
            <w:tcW w:w="2483" w:type="dxa"/>
          </w:tcPr>
          <w:p>
            <w:pPr>
              <w:jc w:val="left"/>
              <w:rPr>
                <w:noProof/>
              </w:rPr>
            </w:pPr>
            <w:r>
              <w:rPr>
                <w:noProof/>
              </w:rPr>
              <w:t>Nu se aplică.</w:t>
            </w:r>
          </w:p>
        </w:tc>
      </w:tr>
      <w:tr>
        <w:tc>
          <w:tcPr>
            <w:tcW w:w="6804" w:type="dxa"/>
          </w:tcPr>
          <w:p>
            <w:pPr>
              <w:rPr>
                <w:noProof/>
              </w:rPr>
            </w:pPr>
            <w:r>
              <w:rPr>
                <w:noProof/>
              </w:rPr>
              <w:t>Data adoptării poziției Consiliului:</w:t>
            </w:r>
          </w:p>
        </w:tc>
        <w:tc>
          <w:tcPr>
            <w:tcW w:w="2483" w:type="dxa"/>
          </w:tcPr>
          <w:p>
            <w:pPr>
              <w:jc w:val="left"/>
              <w:rPr>
                <w:noProof/>
              </w:rPr>
            </w:pPr>
            <w:r>
              <w:rPr>
                <w:noProof/>
              </w:rPr>
              <w:t>3 septembrie 2026</w:t>
            </w:r>
          </w:p>
        </w:tc>
      </w:tr>
    </w:tbl>
    <w:p>
      <w:pPr>
        <w:pStyle w:val="ManualHeading1"/>
        <w:rPr>
          <w:noProof/>
        </w:rPr>
      </w:pPr>
      <w:r>
        <w:rPr>
          <w:noProof/>
        </w:rPr>
        <w:t>2.</w:t>
      </w:r>
      <w:r>
        <w:rPr>
          <w:noProof/>
        </w:rPr>
        <w:tab/>
        <w:t>Obiectivul propunerii Comisiei</w:t>
      </w:r>
    </w:p>
    <w:p>
      <w:pPr>
        <w:pStyle w:val="paragraph"/>
        <w:spacing w:before="240" w:beforeAutospacing="0" w:after="240" w:afterAutospacing="0"/>
        <w:jc w:val="both"/>
        <w:textAlignment w:val="baseline"/>
        <w:rPr>
          <w:noProof/>
        </w:rPr>
      </w:pPr>
      <w:r>
        <w:rPr>
          <w:rStyle w:val="normaltextrun"/>
          <w:noProof/>
        </w:rPr>
        <w:t>Obiectivele propunerii privind reforma vamală sunt: i) o uniune vamală mai simplă, cu o sarcină administrativă mai mică și mai multe simplificări pentru comerțul legitim și ii) o uniune vamală mai puternică, cu o mai bună protecție a pieței unice și a intereselor financiare și nefinanciare ale UE.</w:t>
      </w:r>
    </w:p>
    <w:p>
      <w:pPr>
        <w:pStyle w:val="paragraph"/>
        <w:spacing w:before="240" w:beforeAutospacing="0" w:after="240" w:afterAutospacing="0"/>
        <w:jc w:val="both"/>
        <w:textAlignment w:val="baseline"/>
        <w:rPr>
          <w:noProof/>
        </w:rPr>
      </w:pPr>
      <w:r>
        <w:rPr>
          <w:rStyle w:val="normaltextrun"/>
          <w:noProof/>
        </w:rPr>
        <w:t xml:space="preserve">Pentru a atinge aceste obiective, reforma vamală instituie, în noul Cod vamal al Uniunii, </w:t>
      </w:r>
      <w:r>
        <w:rPr>
          <w:rStyle w:val="normaltextrun"/>
          <w:b/>
          <w:noProof/>
        </w:rPr>
        <w:t>Autoritatea Vamală a UE (EUCA)</w:t>
      </w:r>
      <w:r>
        <w:rPr>
          <w:rStyle w:val="normaltextrun"/>
          <w:noProof/>
        </w:rPr>
        <w:t xml:space="preserve">, o agenție descentralizată a UE care va crea </w:t>
      </w:r>
      <w:r>
        <w:rPr>
          <w:rStyle w:val="normaltextrun"/>
          <w:b/>
          <w:noProof/>
        </w:rPr>
        <w:t>Platforma de date vamale a UE</w:t>
      </w:r>
      <w:r>
        <w:rPr>
          <w:rStyle w:val="normaltextrun"/>
          <w:noProof/>
        </w:rPr>
        <w:t xml:space="preserve"> pentru a înlocui cele 111 sisteme informatice vamale actuale. Reforma vamală vizează, de asemenea, </w:t>
      </w:r>
      <w:r>
        <w:rPr>
          <w:rStyle w:val="normaltextrun"/>
          <w:b/>
          <w:noProof/>
        </w:rPr>
        <w:t>simplificarea proceselor vamale</w:t>
      </w:r>
      <w:r>
        <w:rPr>
          <w:rStyle w:val="normaltextrun"/>
          <w:noProof/>
        </w:rPr>
        <w:t xml:space="preserve"> prin reutilizarea datelor și introducerea unei noi categorii de comercianți de încredere [„comerciant «încredere și control»” („Trust and Check”)], precum și instituirea unui </w:t>
      </w:r>
      <w:r>
        <w:rPr>
          <w:rStyle w:val="normaltextrun"/>
          <w:b/>
          <w:noProof/>
        </w:rPr>
        <w:t>regim specific pentru tranzacțiile de comerț electronic</w:t>
      </w:r>
      <w:r>
        <w:rPr>
          <w:rStyle w:val="normaltextrun"/>
          <w:noProof/>
        </w:rPr>
        <w:t>.</w:t>
      </w:r>
    </w:p>
    <w:p>
      <w:pPr>
        <w:pStyle w:val="ManualHeading1"/>
        <w:rPr>
          <w:noProof/>
        </w:rPr>
      </w:pPr>
      <w:r>
        <w:rPr>
          <w:noProof/>
        </w:rPr>
        <w:t>3.</w:t>
      </w:r>
      <w:r>
        <w:rPr>
          <w:noProof/>
        </w:rPr>
        <w:tab/>
        <w:t>Observații privind poziția Consiliului</w:t>
      </w:r>
    </w:p>
    <w:p>
      <w:pPr>
        <w:widowControl w:val="0"/>
        <w:rPr>
          <w:noProof/>
        </w:rPr>
      </w:pPr>
      <w:r>
        <w:rPr>
          <w:noProof/>
        </w:rPr>
        <w:t xml:space="preserve">Poziția Consiliului adoptată în primă lectură reflectă pe deplin acordul politic la care s-a ajuns între Parlamentul European și Consiliu la 26 martie 2026. Comisia sprijină acest acord. Principalele puncte ale acordului sunt următoarele: </w:t>
      </w:r>
    </w:p>
    <w:p>
      <w:pPr>
        <w:pStyle w:val="ManualNumPar1"/>
        <w:rPr>
          <w:noProof/>
          <w:color w:val="000000"/>
          <w:bdr w:val="none" w:sz="0" w:space="0" w:color="auto" w:frame="1"/>
        </w:rPr>
      </w:pPr>
      <w:r>
        <w:rPr>
          <w:noProof/>
        </w:rPr>
        <w:lastRenderedPageBreak/>
        <w:t>1.</w:t>
      </w:r>
      <w:r>
        <w:rPr>
          <w:noProof/>
        </w:rPr>
        <w:tab/>
      </w:r>
      <w:r>
        <w:rPr>
          <w:b/>
          <w:noProof/>
        </w:rPr>
        <w:t xml:space="preserve">Comerțul electronic: </w:t>
      </w:r>
      <w:r>
        <w:rPr>
          <w:noProof/>
        </w:rPr>
        <w:t xml:space="preserve">Conceptul de „importator pentru vânzări la distanță” a fost introdus pentru a reflecta faptul că furnizorul (vânzătorul) sau facilitatorul (platforma) vânzării la distanță are posibilitatea de a decide cine acționează în calitate de importator. Toți importatorii, inclusiv importatorii pentru vânzări la distanță, vor fi obligați să notifice autorităților vamale orice informații privind deplasările suspecte de mărfuri sau manipularea neautorizată a mărfurilor de care au cunoștință. </w:t>
      </w:r>
      <w:r>
        <w:rPr>
          <w:noProof/>
          <w:color w:val="000000" w:themeColor="text1"/>
        </w:rPr>
        <w:t xml:space="preserve">În legislație au fost introduse noi modele pentru comerțul electronic, și anume (i) posibilitatea ca importatorul pentru vânzări la distanță să devină comerciant „încredere și control” („Trust and Check”) și (ii) ca acesta să opereze un antrepozit vamal specific pentru vânzările la distanță. </w:t>
      </w:r>
    </w:p>
    <w:p>
      <w:pPr>
        <w:pStyle w:val="ManualNumPar1"/>
        <w:rPr>
          <w:noProof/>
          <w:color w:val="000000"/>
          <w:bdr w:val="none" w:sz="0" w:space="0" w:color="auto" w:frame="1"/>
        </w:rPr>
      </w:pPr>
      <w:r>
        <w:rPr>
          <w:noProof/>
        </w:rPr>
        <w:t>2.</w:t>
      </w:r>
      <w:r>
        <w:rPr>
          <w:noProof/>
        </w:rPr>
        <w:tab/>
        <w:t xml:space="preserve">Se introduce o </w:t>
      </w:r>
      <w:r>
        <w:rPr>
          <w:b/>
          <w:noProof/>
        </w:rPr>
        <w:t>taxă de procesare</w:t>
      </w:r>
      <w:r>
        <w:rPr>
          <w:noProof/>
        </w:rPr>
        <w:t xml:space="preserve"> </w:t>
      </w:r>
      <w:r>
        <w:rPr>
          <w:b/>
          <w:noProof/>
        </w:rPr>
        <w:t>la nivelul Uniunii</w:t>
      </w:r>
      <w:r>
        <w:rPr>
          <w:noProof/>
        </w:rPr>
        <w:t xml:space="preserve"> proporțională cu costul aproximativ al serviciilor prestate pentru punerea în liberă circulație a mărfurilor vândute la distanță, al cărei cuantum urmează să fie stabilit de Comisie într-un act delegat.</w:t>
      </w:r>
    </w:p>
    <w:p>
      <w:pPr>
        <w:pStyle w:val="ManualNumPar1"/>
        <w:rPr>
          <w:noProof/>
        </w:rPr>
      </w:pPr>
      <w:r>
        <w:rPr>
          <w:noProof/>
        </w:rPr>
        <w:t>3.</w:t>
      </w:r>
      <w:r>
        <w:rPr>
          <w:noProof/>
        </w:rPr>
        <w:tab/>
        <w:t xml:space="preserve">Spre deosebire de propunerea Comisiei, care prevedea înlocuirea </w:t>
      </w:r>
      <w:r>
        <w:rPr>
          <w:b/>
          <w:noProof/>
        </w:rPr>
        <w:t>operatorului economic autorizat cu noul sistem al comercianților „încredere și control” („Trust and Check”) (T&amp;C)</w:t>
      </w:r>
      <w:r>
        <w:rPr>
          <w:noProof/>
        </w:rPr>
        <w:t>, sunt menținute ambele sisteme, dar comercianții T&amp;C vor beneficia de mai multe avantaje. La cererea Comisiei, va fi posibil ca un singur operator să dețină ambele statute în același timp. În plus, EUCA va fi în măsură să verifice respectarea criteriilor pertinente de către operatori T&amp;C specifici și să recomande suspendarea sau revocarea statutului în caz de nerespectare. În cazul în care nu se dă curs recomandării, Comisia poate acționa printr-o decizie de punere în aplicare.</w:t>
      </w:r>
    </w:p>
    <w:p>
      <w:pPr>
        <w:pStyle w:val="ManualNumPar1"/>
        <w:rPr>
          <w:noProof/>
        </w:rPr>
      </w:pPr>
      <w:r>
        <w:rPr>
          <w:noProof/>
        </w:rPr>
        <w:t>4.</w:t>
      </w:r>
      <w:r>
        <w:rPr>
          <w:noProof/>
        </w:rPr>
        <w:tab/>
        <w:t xml:space="preserve">Consiliul a modificat responsabilitățile </w:t>
      </w:r>
      <w:r>
        <w:rPr>
          <w:b/>
          <w:noProof/>
        </w:rPr>
        <w:t>reprezentanților vamali</w:t>
      </w:r>
      <w:r>
        <w:rPr>
          <w:noProof/>
        </w:rPr>
        <w:t xml:space="preserve">: cei care reprezintă operatori stabiliți în UE vor fi răspunzători în solidar cu clienții lor, în timp ce, astfel cum a propus Comisia, cei care reprezintă operatori care nu sunt stabiliți își vor asuma rolul de importator sau exportator al clienților lor, ceea ce corespunde propunerii Comisiei pentru toți reprezentanții. </w:t>
      </w:r>
    </w:p>
    <w:p>
      <w:pPr>
        <w:pStyle w:val="ManualNumPar1"/>
        <w:rPr>
          <w:noProof/>
        </w:rPr>
      </w:pPr>
      <w:r>
        <w:rPr>
          <w:noProof/>
        </w:rPr>
        <w:t>5.</w:t>
      </w:r>
      <w:r>
        <w:rPr>
          <w:noProof/>
        </w:rPr>
        <w:tab/>
        <w:t xml:space="preserve">Cele trei instituții au convenit asupra importanței </w:t>
      </w:r>
      <w:r>
        <w:rPr>
          <w:b/>
          <w:noProof/>
        </w:rPr>
        <w:t>suveranității digitale</w:t>
      </w:r>
      <w:r>
        <w:rPr>
          <w:noProof/>
        </w:rPr>
        <w:t xml:space="preserve"> pentru a asigura faptul că datele din platforma de date sunt protejate împotriva accesului neautorizat al țărilor terțe și că infrastructura și serviciile prin intermediul cărora funcționează platforma de date sunt supuse unor condiții specifice care vizează prevenirea influenței țărilor terțe. Autoritatea contractantă poate solicita dovezi ale independenței și poate lua măsuri corective în cazul în care acestea nu sunt satisfăcătoare.</w:t>
      </w:r>
    </w:p>
    <w:p>
      <w:pPr>
        <w:pStyle w:val="ManualNumPar1"/>
        <w:rPr>
          <w:noProof/>
        </w:rPr>
      </w:pPr>
      <w:r>
        <w:rPr>
          <w:noProof/>
        </w:rPr>
        <w:t>6.</w:t>
      </w:r>
      <w:r>
        <w:rPr>
          <w:noProof/>
        </w:rPr>
        <w:tab/>
        <w:t xml:space="preserve">În ceea ce privește </w:t>
      </w:r>
      <w:r>
        <w:rPr>
          <w:b/>
          <w:noProof/>
        </w:rPr>
        <w:t>drepturile de acces la datele din Platforma de date vamale a UE</w:t>
      </w:r>
      <w:r>
        <w:rPr>
          <w:noProof/>
        </w:rPr>
        <w:t>, colegiuitorii au convenit să se acorde acces direct (și anume, nu vor fi stabilite condiții într-un act de punere în aplicare) Comisiei, EUCA și OLAF, astfel cum se prevede în propunerea Comisiei, în timp ce condițiile de acces pentru autoritățile vamale naționale vor fi reglementate printr-un act de punere în aplicare. Parchetul European (EPPO), Europol și Frontex vor avea acces în urma unei cereri adresate EUCA, în conformitate cu mandatul lor și în anumite condiții.</w:t>
      </w:r>
    </w:p>
    <w:p>
      <w:pPr>
        <w:pStyle w:val="ManualNumPar1"/>
        <w:rPr>
          <w:noProof/>
        </w:rPr>
      </w:pPr>
      <w:r>
        <w:rPr>
          <w:noProof/>
        </w:rPr>
        <w:t>7.</w:t>
      </w:r>
      <w:r>
        <w:rPr>
          <w:noProof/>
        </w:rPr>
        <w:tab/>
        <w:t xml:space="preserve">Comisia sprijină modificările Consiliului menite să asigure </w:t>
      </w:r>
      <w:r>
        <w:rPr>
          <w:b/>
          <w:noProof/>
        </w:rPr>
        <w:t>continuitatea activității platformei de date</w:t>
      </w:r>
      <w:r>
        <w:rPr>
          <w:noProof/>
        </w:rPr>
        <w:t xml:space="preserve"> și să permită acordarea de derogări prin intermediul unor acte de punere în aplicare în cazul în care un stat membru nu utilizează sistemele informatice prevăzute. </w:t>
      </w:r>
    </w:p>
    <w:p>
      <w:pPr>
        <w:pStyle w:val="ManualNumPar1"/>
        <w:rPr>
          <w:noProof/>
        </w:rPr>
      </w:pPr>
      <w:r>
        <w:rPr>
          <w:noProof/>
        </w:rPr>
        <w:lastRenderedPageBreak/>
        <w:t>8.</w:t>
      </w:r>
      <w:r>
        <w:rPr>
          <w:noProof/>
        </w:rPr>
        <w:tab/>
        <w:t xml:space="preserve">În ceea ce privește </w:t>
      </w:r>
      <w:r>
        <w:rPr>
          <w:b/>
          <w:noProof/>
        </w:rPr>
        <w:t>managementul riscurilor</w:t>
      </w:r>
      <w:r>
        <w:rPr>
          <w:noProof/>
        </w:rPr>
        <w:t>, cele trei instituții au convenit ca EUCA să efectueze o evaluare periodică a amenințărilor pentru a pregăti recomandări pentru Comisie și Consiliu, care vor identifica apoi domeniile care merită un tratament prioritar. Se adaugă o nouă dispoziție pentru a permite autorităților vamale să aplice rezultatul unui control vamal mărfurilor care prezintă un risc similar pe baza prezumției de neconformitate.</w:t>
      </w:r>
    </w:p>
    <w:p>
      <w:pPr>
        <w:pStyle w:val="ManualNumPar1"/>
        <w:rPr>
          <w:noProof/>
        </w:rPr>
      </w:pPr>
      <w:r>
        <w:rPr>
          <w:noProof/>
        </w:rPr>
        <w:t>9.</w:t>
      </w:r>
      <w:r>
        <w:rPr>
          <w:noProof/>
        </w:rPr>
        <w:tab/>
        <w:t xml:space="preserve">În ceea ce privește </w:t>
      </w:r>
      <w:r>
        <w:rPr>
          <w:b/>
          <w:noProof/>
        </w:rPr>
        <w:t>procesele vamale</w:t>
      </w:r>
      <w:r>
        <w:rPr>
          <w:noProof/>
        </w:rPr>
        <w:t>, modificările Consiliului sunt în cea mai mare parte de natură tehnică. Operatorii vor utiliza notificarea disponibilității pentru a confirma momentul în care consideră că datele care trebuie furnizate autorităților vamale sunt complete, precum și intenția lor de a plasa mărfurile sub regimul vamal relevant. Posibilitatea de a modifica retroactiv o autorizație pentru regimuri speciale a fost extinsă.</w:t>
      </w:r>
    </w:p>
    <w:p>
      <w:pPr>
        <w:pStyle w:val="ManualNumPar1"/>
        <w:rPr>
          <w:noProof/>
        </w:rPr>
      </w:pPr>
      <w:r>
        <w:rPr>
          <w:noProof/>
        </w:rPr>
        <w:t>10.</w:t>
      </w:r>
      <w:r>
        <w:rPr>
          <w:noProof/>
        </w:rPr>
        <w:tab/>
        <w:t xml:space="preserve">În ceea ce privește </w:t>
      </w:r>
      <w:r>
        <w:rPr>
          <w:b/>
          <w:noProof/>
        </w:rPr>
        <w:t>determinarea valorii în vamă</w:t>
      </w:r>
      <w:r>
        <w:rPr>
          <w:noProof/>
        </w:rPr>
        <w:t>, se adaugă noi dispoziții pentru a reglementa valoarea în vamă pentru taxele la export și vânzările la distanță, inclusiv posibilitatea ca, în acest din urmă caz, autoritățile vamale să aibă o abordare mai flexibilă în ceea ce privește metodele secundare de evaluare.</w:t>
      </w:r>
    </w:p>
    <w:p>
      <w:pPr>
        <w:pStyle w:val="ManualNumPar1"/>
        <w:rPr>
          <w:noProof/>
        </w:rPr>
      </w:pPr>
      <w:r>
        <w:rPr>
          <w:noProof/>
        </w:rPr>
        <w:t>11.</w:t>
      </w:r>
      <w:r>
        <w:rPr>
          <w:noProof/>
        </w:rPr>
        <w:tab/>
        <w:t xml:space="preserve">În ceea ce privește </w:t>
      </w:r>
      <w:r>
        <w:rPr>
          <w:b/>
          <w:noProof/>
        </w:rPr>
        <w:t>datoria vamală</w:t>
      </w:r>
      <w:r>
        <w:rPr>
          <w:noProof/>
        </w:rPr>
        <w:t>, importatorul pentru vânzări la distanță este tratat ca orice alt importator și poate amâna plata datoriei vamale numai dacă este constituită o garanție sau dacă are statut de T&amp;C sau AEO, dar nu în mod implicit, astfel cum a propus inițial Comisia. Se adaugă o dispoziție pentru a permite stingerea datoriei vamale care ia naștere ca urmare a depășirii cantităților sau a valorii unei autorizații pentru un regim vamal special, în cazul în care operatorul solicită acest lucru în termen de cinci ani și nu există nicio tentativă de fraudă.</w:t>
      </w:r>
    </w:p>
    <w:p>
      <w:pPr>
        <w:pStyle w:val="ManualNumPar1"/>
        <w:rPr>
          <w:noProof/>
        </w:rPr>
      </w:pPr>
      <w:r>
        <w:rPr>
          <w:noProof/>
        </w:rPr>
        <w:t>12.</w:t>
      </w:r>
      <w:r>
        <w:rPr>
          <w:noProof/>
        </w:rPr>
        <w:tab/>
        <w:t xml:space="preserve">În ceea ce privește </w:t>
      </w:r>
      <w:r>
        <w:rPr>
          <w:b/>
          <w:noProof/>
        </w:rPr>
        <w:t>guvernanța EUCA</w:t>
      </w:r>
      <w:r>
        <w:rPr>
          <w:noProof/>
        </w:rPr>
        <w:t>, sunt adăugate noi sarcini (de exemplu, auditorul de date, examinarea autorizațiilor T&amp;C, consiliul consultativ etc.) la cele prevăzute în propunerea Comisiei, iar drepturile de veto ale Comisiei sunt eliminate; totodată, au fost efectuate unele ajustări în ceea ce privește consiliul de administrație, comitetul executiv și directorul executiv, inclusiv îndeplinirea de către Comisie a rolului de președinte sau vicepreședinte al consiliului de administrație.</w:t>
      </w:r>
    </w:p>
    <w:p>
      <w:pPr>
        <w:pStyle w:val="ManualNumPar1"/>
        <w:rPr>
          <w:noProof/>
        </w:rPr>
      </w:pPr>
      <w:r>
        <w:rPr>
          <w:noProof/>
        </w:rPr>
        <w:t>13.</w:t>
      </w:r>
      <w:r>
        <w:rPr>
          <w:noProof/>
        </w:rPr>
        <w:tab/>
        <w:t xml:space="preserve">În ceea ce privește </w:t>
      </w:r>
      <w:r>
        <w:rPr>
          <w:b/>
          <w:noProof/>
        </w:rPr>
        <w:t>cooperarea vamală</w:t>
      </w:r>
      <w:r>
        <w:rPr>
          <w:noProof/>
        </w:rPr>
        <w:t xml:space="preserve">, a fost inclusă posibilitatea de a extrage date din Platforma de date vamale a UE și de a le partaja cu anumite autorități naționale, sub rezerva anumitor condiții. Un nou articol împuternicește statele membre să mențină sau să încheie acorduri bilaterale cu o țară terță pentru a pune în aplicare legislația vamală, inclusiv acorduri cu țările terțe învecinate privind punctele comune de trecere a frontierei sau acorduri privind schimbul de date. Toate aceste acorduri, noi sau existente, trebuie notificate Comisiei în vederea evaluării compatibilității lor cu dreptul Uniunii. </w:t>
      </w:r>
    </w:p>
    <w:p>
      <w:pPr>
        <w:pStyle w:val="ManualNumPar1"/>
        <w:rPr>
          <w:noProof/>
          <w:szCs w:val="24"/>
        </w:rPr>
      </w:pPr>
      <w:r>
        <w:rPr>
          <w:noProof/>
        </w:rPr>
        <w:t>14.</w:t>
      </w:r>
      <w:r>
        <w:rPr>
          <w:noProof/>
        </w:rPr>
        <w:tab/>
        <w:t xml:space="preserve">În ceea ce privește </w:t>
      </w:r>
      <w:r>
        <w:rPr>
          <w:b/>
          <w:noProof/>
        </w:rPr>
        <w:t>sancțiunile</w:t>
      </w:r>
      <w:r>
        <w:rPr>
          <w:noProof/>
        </w:rPr>
        <w:t>, cadrul revizuit stabilește o listă comună neexhaustivă de sancțiuni administrative, eliminând amenzile minime și maxime și introducând o nouă încălcare și sancțiunea corespunzătoare pentru neconformitate sistematică în cadrul vânzărilor la distanță. Statele membre trebuie să includă aceste dispoziții în legislația națională. Toate deciziile de impunere a unor sancțiuni trebuie înregistrate în platforma de date. Comisia poate propune o armonizare suplimentară a sancțiunilor în termen de șase ani.</w:t>
      </w:r>
    </w:p>
    <w:p>
      <w:pPr>
        <w:pStyle w:val="ManualNumPar1"/>
        <w:rPr>
          <w:noProof/>
        </w:rPr>
      </w:pPr>
      <w:r>
        <w:rPr>
          <w:noProof/>
        </w:rPr>
        <w:t>15.</w:t>
      </w:r>
      <w:r>
        <w:rPr>
          <w:noProof/>
        </w:rPr>
        <w:tab/>
        <w:t xml:space="preserve">În ceea ce privește </w:t>
      </w:r>
      <w:r>
        <w:rPr>
          <w:b/>
          <w:noProof/>
        </w:rPr>
        <w:t>calendarul</w:t>
      </w:r>
      <w:r>
        <w:rPr>
          <w:noProof/>
        </w:rPr>
        <w:t xml:space="preserve">, la fel ca în propunerea inițială, Platforma de date vamale a UE pentru comerțul electronic va fi lansată în iulie 2028, în timp ce utilizarea voluntară a acesteia de către alți operatori este devansată din 2032 în 2031, </w:t>
      </w:r>
      <w:r>
        <w:rPr>
          <w:noProof/>
        </w:rPr>
        <w:lastRenderedPageBreak/>
        <w:t>iar utilizarea obligatorie din 2037 în 2034, în conformitate cu următorul cadru financiar multianual (CFM). Majoritatea dispozițiilor se vor aplica la 12 luni de la publicarea regulamentului.</w:t>
      </w:r>
    </w:p>
    <w:p>
      <w:pPr>
        <w:pStyle w:val="Text1"/>
        <w:ind w:left="0"/>
        <w:rPr>
          <w:noProof/>
        </w:rPr>
      </w:pPr>
      <w:r>
        <w:rPr>
          <w:rStyle w:val="normaltextrun"/>
          <w:noProof/>
        </w:rPr>
        <w:t xml:space="preserve">În cadrul reuniunii interinstituționale din 25 martie, colegiuitorii au ales orașul Lille (Franța) pentru a găzdui </w:t>
      </w:r>
      <w:r>
        <w:rPr>
          <w:rStyle w:val="normaltextrun"/>
          <w:b/>
          <w:noProof/>
        </w:rPr>
        <w:t>sediul</w:t>
      </w:r>
      <w:r>
        <w:rPr>
          <w:rStyle w:val="normaltextrun"/>
          <w:noProof/>
        </w:rPr>
        <w:t xml:space="preserve"> viitoarei Autorități vamale (EUCA). </w:t>
      </w:r>
    </w:p>
    <w:p>
      <w:pPr>
        <w:pStyle w:val="ManualHeading1"/>
        <w:rPr>
          <w:noProof/>
        </w:rPr>
      </w:pPr>
      <w:r>
        <w:rPr>
          <w:noProof/>
        </w:rPr>
        <w:t>4.</w:t>
      </w:r>
      <w:r>
        <w:rPr>
          <w:noProof/>
        </w:rPr>
        <w:tab/>
        <w:t>Concluzie</w:t>
      </w:r>
    </w:p>
    <w:p>
      <w:pPr>
        <w:rPr>
          <w:noProof/>
        </w:rPr>
      </w:pPr>
      <w:r>
        <w:rPr>
          <w:noProof/>
        </w:rPr>
        <w:t>Comisia sprijină rezultatele negocierilor interinstituționale și, prin urmare, poate să accepte poziția în primă lectură a Consiliului.</w:t>
      </w:r>
    </w:p>
    <w:p>
      <w:pPr>
        <w:pStyle w:val="ManualHeading1"/>
        <w:rPr>
          <w:noProof/>
        </w:rPr>
      </w:pPr>
      <w:r>
        <w:rPr>
          <w:noProof/>
        </w:rPr>
        <w:t>5.</w:t>
      </w:r>
      <w:r>
        <w:rPr>
          <w:noProof/>
        </w:rPr>
        <w:tab/>
        <w:t>Declarația Comisiei</w:t>
      </w:r>
    </w:p>
    <w:p>
      <w:pPr>
        <w:spacing w:before="0" w:after="240"/>
        <w:rPr>
          <w:rFonts w:eastAsia="Arial Unicode MS"/>
          <w:noProof/>
          <w:szCs w:val="24"/>
        </w:rPr>
      </w:pPr>
      <w:r>
        <w:rPr>
          <w:noProof/>
        </w:rPr>
        <w:t xml:space="preserve">Declarația Comisiei privind tratamentul bugetar al taxei de procesare, prezentată în cadrul Coreper la 13 martie 2026 [nota </w:t>
      </w:r>
      <w:hyperlink r:id="rId17" w:history="1">
        <w:r>
          <w:rPr>
            <w:rStyle w:val="Hyperlink"/>
            <w:noProof/>
          </w:rPr>
          <w:t>SI(2026) 72/2 - GRI din 20.3.2026</w:t>
        </w:r>
      </w:hyperlink>
      <w:r>
        <w:rPr>
          <w:noProof/>
        </w:rPr>
        <w:t xml:space="preserve">]: </w:t>
      </w:r>
    </w:p>
    <w:p>
      <w:pPr>
        <w:spacing w:before="0" w:after="240"/>
        <w:ind w:left="720"/>
        <w:rPr>
          <w:rFonts w:eastAsia="Calibri"/>
          <w:i/>
          <w:iCs/>
          <w:noProof/>
          <w:szCs w:val="24"/>
        </w:rPr>
      </w:pPr>
      <w:r>
        <w:rPr>
          <w:i/>
          <w:noProof/>
        </w:rPr>
        <w:t>Odată stabilită în Codul vamal al Uniunii, taxa de procesare la nivelul Uniunii va constitui o resursă proprie tradițională (RPT) în sensul articolului 2 alineatul (1) litera (a) din Decizia (UE, Euratom) 2020/2053 a Consiliului din 14 decembrie 2020 privind sistemul de resurse proprii ale Uniunii Europene</w:t>
      </w:r>
      <w:r>
        <w:rPr>
          <w:rStyle w:val="FootnoteReference"/>
          <w:noProof/>
        </w:rPr>
        <w:footnoteReference w:id="1"/>
      </w:r>
      <w:r>
        <w:rPr>
          <w:i/>
          <w:noProof/>
        </w:rPr>
        <w:t xml:space="preserve"> [decizia privind resursele proprii în vigoare], deoarece este o sumă care urmează să fie stabilită de instituțiile Uniunii în ceea ce privește comerțul cu țările terțe. </w:t>
      </w:r>
    </w:p>
    <w:p>
      <w:pPr>
        <w:spacing w:before="0" w:after="240"/>
        <w:ind w:left="720"/>
        <w:rPr>
          <w:rFonts w:eastAsia="Calibri"/>
          <w:i/>
          <w:iCs/>
          <w:noProof/>
          <w:szCs w:val="24"/>
        </w:rPr>
      </w:pPr>
      <w:r>
        <w:rPr>
          <w:i/>
          <w:noProof/>
        </w:rPr>
        <w:t>În consecință, în temeiul deciziei privind resursele proprii în vigoare, statele membre rețin 25 % din RPT, în timp ce restul reprezintă venituri la bugetul UE.</w:t>
      </w:r>
    </w:p>
    <w:p>
      <w:pPr>
        <w:spacing w:before="0" w:after="240"/>
        <w:ind w:left="720"/>
        <w:rPr>
          <w:rFonts w:eastAsia="Calibri"/>
          <w:i/>
          <w:iCs/>
          <w:noProof/>
          <w:szCs w:val="24"/>
        </w:rPr>
      </w:pPr>
      <w:r>
        <w:rPr>
          <w:i/>
          <w:noProof/>
        </w:rPr>
        <w:t>Articolul 13 alineatul (9) din propunerea Comisiei referitoare la noua decizie privind resursele proprii</w:t>
      </w:r>
      <w:r>
        <w:rPr>
          <w:rStyle w:val="FootnoteReference"/>
          <w:noProof/>
        </w:rPr>
        <w:footnoteReference w:id="2"/>
      </w:r>
      <w:r>
        <w:rPr>
          <w:i/>
          <w:noProof/>
        </w:rPr>
        <w:t xml:space="preserve"> introduce însă o măsură tranzitorie în temeiul căreia taxa de procesare nu se pune la dispoziția bugetului Uniunii până la sfârșitul actualului CFM</w:t>
      </w:r>
      <w:r>
        <w:rPr>
          <w:rStyle w:val="FootnoteReference"/>
          <w:noProof/>
        </w:rPr>
        <w:footnoteReference w:id="3"/>
      </w:r>
      <w:r>
        <w:rPr>
          <w:i/>
          <w:noProof/>
        </w:rPr>
        <w:t>. În cazul unui acord asupra acestei dispoziții, aceasta ar însemna că statele membre ar fi beneficiarele veniturilor generate de taxă până la sfârșitul anului 2027.</w:t>
      </w:r>
    </w:p>
    <w:p>
      <w:pPr>
        <w:spacing w:before="0" w:after="240"/>
        <w:ind w:left="720"/>
        <w:rPr>
          <w:rFonts w:eastAsia="Calibri"/>
          <w:i/>
          <w:iCs/>
          <w:noProof/>
          <w:szCs w:val="24"/>
        </w:rPr>
      </w:pPr>
      <w:r>
        <w:rPr>
          <w:i/>
          <w:noProof/>
        </w:rPr>
        <w:t xml:space="preserve">Detaliile punerii în aplicare a unui astfel de acord vor fi stabilite în propunerea de regulament privind punerea la dispoziție. </w:t>
      </w:r>
    </w:p>
    <w:p>
      <w:pPr>
        <w:spacing w:before="0" w:after="240"/>
        <w:ind w:left="720"/>
        <w:rPr>
          <w:i/>
          <w:noProof/>
        </w:rPr>
      </w:pPr>
      <w:r>
        <w:rPr>
          <w:i/>
          <w:noProof/>
        </w:rPr>
        <w:t xml:space="preserve">Până la aprobarea acestei dispoziții de către statele membre și intrarea sa în vigoare, se aplică dispozițiile DRP în vigoare în prezent. Prin urmare, este în interesul clar al statelor membre să ajungă la un acord cu privire la noua decizie privind resursele proprii cât mai curând posibil. </w:t>
      </w:r>
    </w:p>
    <w:p>
      <w:pPr>
        <w:spacing w:before="0" w:after="240"/>
        <w:ind w:left="720"/>
        <w:rPr>
          <w:rFonts w:eastAsia="Times New Roman"/>
          <w:b/>
          <w:smallCaps/>
          <w:noProof/>
          <w:szCs w:val="24"/>
          <w:u w:val="single"/>
          <w:bdr w:val="none" w:sz="0" w:space="0" w:color="auto" w:frame="1"/>
        </w:rPr>
      </w:pP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Decizia (UE, Euratom) 2020/2053 a Consiliului din 14 decembrie 2020 privind sistemul de resurse proprii ale Uniunii Europene și de abrogare a Deciziei 2014/335/UE, Euratom, JO L 424, 15.12.2020, p. 1.</w:t>
      </w:r>
    </w:p>
  </w:footnote>
  <w:footnote w:id="2">
    <w:p>
      <w:pPr>
        <w:pStyle w:val="FootnoteText"/>
      </w:pPr>
      <w:r>
        <w:rPr>
          <w:rStyle w:val="FootnoteReference"/>
        </w:rPr>
        <w:footnoteRef/>
      </w:r>
      <w:r>
        <w:tab/>
        <w:t>Propunere de Decizie a Consiliului privind sistemul de resurse proprii ale Uniunii Europene și de abrogare a Deciziei (UE, Euratom) 2020/2053 (COM/2025/574 final).</w:t>
      </w:r>
    </w:p>
  </w:footnote>
  <w:footnote w:id="3">
    <w:p>
      <w:pPr>
        <w:pStyle w:val="FootnoteText"/>
      </w:pPr>
      <w:r>
        <w:rPr>
          <w:rStyle w:val="FootnoteReference"/>
        </w:rPr>
        <w:footnoteRef/>
      </w:r>
      <w:r>
        <w:tab/>
        <w:t>Articolul 13 alineatul (9): În perioada [1 noiembrie 2026]-31 decembrie 2027, prin derogare de la articolul 9 alineatul (3) și de la normele adoptate în temeiul articolului 10 litera (b) din Decizia (UE, Euratom) 2020/2053, sumele din resursele proprii tradiționale legate de gestionarea punerii în liberă circulație a mărfurilor vândute în cadrul vânzărilor la distanță nu se pun la dispoziție, iar normele referitoare la controale, supraveghere și raportare nu se aplică sumelor respective.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E94CC62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C58D9A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3B84D4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1E256E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3 15:00: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8A48790-54BA-4E64-AE83-C28F95B0F553"/>
    <w:docVar w:name="LW_COVERPAGE_TYPE" w:val="1"/>
    <w:docVar w:name="LW_CreatedUtc" w:val="2026-07-03T12:41:25.4731094Z"/>
    <w:docVar w:name="LW_CROSSREFERENCE" w:val="&lt;UNUSED&gt;"/>
    <w:docVar w:name="LW_DocType" w:val="COM"/>
    <w:docVar w:name="LW_EMISSION" w:val="4.9.2026"/>
    <w:docVar w:name="LW_EMISSION_ISODATE" w:val="2026-09-04"/>
    <w:docVar w:name="LW_EMISSION_LOCATION" w:val="BRX"/>
    <w:docVar w:name="LW_EMISSION_PREFIX" w:val="Bruxelles, "/>
    <w:docVar w:name="LW_EMISSION_SUFFIX" w:val=" "/>
    <w:docVar w:name="LW_ID_DOCMODEL" w:val="SJ-028"/>
    <w:docVar w:name="LW_ID_DOCSTRUCTURE" w:val="COM/PL/CODEC"/>
    <w:docVar w:name="LW_ID_DOCTYPE" w:val="SJ-028"/>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56"/>
    <w:docVar w:name="LW_REF.II.NEW.CP_YEAR" w:val="2023"/>
    <w:docVar w:name="LW_REF.INST.NEW" w:val="COM"/>
    <w:docVar w:name="LW_REF.INST.NEW_ADOPTED" w:val="final"/>
    <w:docVar w:name="LW_REF.INST.NEW_TEXT" w:val="(2026) 4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zi\u539?ia Consiliului referitoare la adoptarea unui Regulament al Parlamentului European \u537?i al Consiliului de instituire a Codului vamal al Uniunii, de înfiin\u539?are a Autorit\u259?\u539?ii vamale a Uniunii Europene \u537?i de abrogare a Regulamentului (UE) nr. 952/2013"/>
    <w:docVar w:name="LW_TYPE.DOC.CP" w:val="COMUNICARE A COMISIEI C\u258?TRE PARLAMENTUL EUROPEAN_x000b__x000b_în conformitate cu articolul 294 alineatul (6) din Tratatul privind func\u539?ionarea Uniunii Europene_x000b__x000b_privind"/>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F7A8985-C72C-4731-8E2D-060E46EE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styleId="ListParagraph">
    <w:name w:val="List Paragraph"/>
    <w:basedOn w:val="Normal"/>
    <w:uiPriority w:val="34"/>
    <w:qFormat/>
    <w:pPr>
      <w:ind w:left="720"/>
      <w:contextualSpacing/>
    </w:pPr>
  </w:style>
  <w:style w:type="character" w:customStyle="1" w:styleId="Text1Char">
    <w:name w:val="Text 1 Char"/>
    <w:rPr>
      <w:rFonts w:ascii="Times New Roman" w:hAnsi="Times New Roman" w:cs="Times New Roman"/>
      <w:sz w:val="24"/>
      <w:lang w:val="ro-RO"/>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786825">
      <w:bodyDiv w:val="1"/>
      <w:marLeft w:val="0"/>
      <w:marRight w:val="0"/>
      <w:marTop w:val="0"/>
      <w:marBottom w:val="0"/>
      <w:divBdr>
        <w:top w:val="none" w:sz="0" w:space="0" w:color="auto"/>
        <w:left w:val="none" w:sz="0" w:space="0" w:color="auto"/>
        <w:bottom w:val="none" w:sz="0" w:space="0" w:color="auto"/>
        <w:right w:val="none" w:sz="0" w:space="0" w:color="auto"/>
      </w:divBdr>
    </w:div>
    <w:div w:id="181968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cc.cec/sg/vista/home?documentDetails&amp;DocRef=SI/2026/0072"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730548f4-43a2-4299-83bb-45a0a6243dae" xsi:nil="true"/>
    <EC_Collab_Status xmlns="730548f4-43a2-4299-83bb-45a0a6243dae">Not Started</EC_Collab_Status>
    <EC_Collab_DocumentLanguage xmlns="730548f4-43a2-4299-83bb-45a0a6243dae">EN</EC_Collab_Document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55179A922412274BB4EBD40615319212006E527F1310C4724CA19E9EF67133F61A" ma:contentTypeVersion="25" ma:contentTypeDescription="Create a new document in this library." ma:contentTypeScope="" ma:versionID="0dbc0f172c9c8faa7f2a60f9f1806887">
  <xsd:schema xmlns:xsd="http://www.w3.org/2001/XMLSchema" xmlns:xs="http://www.w3.org/2001/XMLSchema" xmlns:p="http://schemas.microsoft.com/office/2006/metadata/properties" xmlns:ns3="730548f4-43a2-4299-83bb-45a0a6243dae" xmlns:ns4="f6b3c0a4-0d35-4824-809d-80c914f2f23e" targetNamespace="http://schemas.microsoft.com/office/2006/metadata/properties" ma:root="true" ma:fieldsID="37981967bad847ebe500312ed62558d1" ns3:_="" ns4:_="">
    <xsd:import namespace="730548f4-43a2-4299-83bb-45a0a6243dae"/>
    <xsd:import namespace="f6b3c0a4-0d35-4824-809d-80c914f2f23e"/>
    <xsd:element name="properties">
      <xsd:complexType>
        <xsd:sequence>
          <xsd:element name="documentManagement">
            <xsd:complexType>
              <xsd:all>
                <xsd:element ref="ns3:EC_Collab_Reference" minOccurs="0"/>
                <xsd:element ref="ns3:EC_Collab_DocumentLanguage"/>
                <xsd:element ref="ns3:EC_Collab_Status"/>
                <xsd:element ref="ns3:SharedWithUsers" minOccurs="0"/>
                <xsd:element ref="ns3:SharedWithDetails"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0548f4-43a2-4299-83bb-45a0a6243da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b3c0a4-0d35-4824-809d-80c914f2f23e"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39669-B425-4704-8E0F-D95BFDF38E6F}">
  <ds:schemaRefs>
    <ds:schemaRef ds:uri="http://schemas.microsoft.com/office/2006/metadata/properties"/>
    <ds:schemaRef ds:uri="http://schemas.microsoft.com/office/infopath/2007/PartnerControls"/>
    <ds:schemaRef ds:uri="730548f4-43a2-4299-83bb-45a0a6243dae"/>
  </ds:schemaRefs>
</ds:datastoreItem>
</file>

<file path=customXml/itemProps2.xml><?xml version="1.0" encoding="utf-8"?>
<ds:datastoreItem xmlns:ds="http://schemas.openxmlformats.org/officeDocument/2006/customXml" ds:itemID="{3030069F-2FFF-4513-95D1-7385AD483409}">
  <ds:schemaRefs>
    <ds:schemaRef ds:uri="http://schemas.microsoft.com/sharepoint/v3/contenttype/forms"/>
  </ds:schemaRefs>
</ds:datastoreItem>
</file>

<file path=customXml/itemProps3.xml><?xml version="1.0" encoding="utf-8"?>
<ds:datastoreItem xmlns:ds="http://schemas.openxmlformats.org/officeDocument/2006/customXml" ds:itemID="{B60CD335-B417-4B47-B57F-46B63786D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0548f4-43a2-4299-83bb-45a0a6243dae"/>
    <ds:schemaRef ds:uri="f6b3c0a4-0d35-4824-809d-80c914f2f2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4</Pages>
  <Words>1713</Words>
  <Characters>9769</Characters>
  <Application>Microsoft Office Word</Application>
  <DocSecurity>0</DocSecurity>
  <Lines>81</Lines>
  <Paragraphs>22</Paragraphs>
  <ScaleCrop>false</ScaleCrop>
  <Manager/>
  <Company/>
  <LinksUpToDate>false</LinksUpToDate>
  <CharactersWithSpaces>11460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39</cp:revision>
  <dcterms:created xsi:type="dcterms:W3CDTF">2026-07-27T14:27:00Z</dcterms:created>
  <dcterms:modified xsi:type="dcterms:W3CDTF">2026-09-03T13:00:00Z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2026-07-03T13:11:05Z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64e42ddd-c0a4-4bb3-9ac5-ab4aa868d69e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0x01010055179A922412274BB4EBD40615319212006E527F1310C4724CA19E9EF67133F61A</vt:lpwstr>
  </property>
  <property fmtid="{D5CDD505-2E9C-101B-9397-08002B2CF9AE}" pid="19" name="DQCStatus">
    <vt:lpwstr>Green (DQC version 03)</vt:lpwstr>
  </property>
</Properties>
</file>