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E51" w:rsidRPr="0034649B" w:rsidRDefault="003275C7" w:rsidP="003275C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8FA9E7F-A74B-4983-BE22-BC5208CF3811" style="width:455.25pt;height:371.25pt">
            <v:imagedata r:id="rId11" o:title=""/>
          </v:shape>
        </w:pict>
      </w:r>
    </w:p>
    <w:p w:rsidR="00A82E51" w:rsidRPr="0034649B" w:rsidRDefault="00A82E51" w:rsidP="00D84DBA">
      <w:pPr>
        <w:rPr>
          <w:noProof/>
        </w:rPr>
        <w:sectPr w:rsidR="00A82E51" w:rsidRPr="0034649B" w:rsidSect="003275C7">
          <w:footerReference w:type="even" r:id="rId12"/>
          <w:footerReference w:type="default" r:id="rId13"/>
          <w:pgSz w:w="11907" w:h="16839" w:code="9"/>
          <w:pgMar w:top="1134" w:right="1417" w:bottom="1134" w:left="1417" w:header="709" w:footer="709" w:gutter="0"/>
          <w:pgNumType w:start="0"/>
          <w:cols w:space="720"/>
          <w:docGrid w:linePitch="360"/>
        </w:sectPr>
      </w:pPr>
    </w:p>
    <w:p w:rsidR="002963AE" w:rsidRPr="0034649B" w:rsidRDefault="00E66D34">
      <w:pPr>
        <w:pStyle w:val="Exposdesmotifstitre"/>
        <w:rPr>
          <w:noProof/>
        </w:rPr>
      </w:pPr>
      <w:bookmarkStart w:id="0" w:name="_GoBack"/>
      <w:bookmarkEnd w:id="0"/>
      <w:r w:rsidRPr="0034649B">
        <w:rPr>
          <w:noProof/>
        </w:rPr>
        <w:lastRenderedPageBreak/>
        <w:t>EXPUNERE DE MOTIVE</w:t>
      </w:r>
    </w:p>
    <w:p w:rsidR="002963AE" w:rsidRPr="0034649B" w:rsidRDefault="00E66D34">
      <w:pPr>
        <w:pStyle w:val="ManualHeading1"/>
        <w:rPr>
          <w:noProof/>
        </w:rPr>
      </w:pPr>
      <w:r w:rsidRPr="0034649B">
        <w:rPr>
          <w:noProof/>
        </w:rPr>
        <w:t>1.</w:t>
      </w:r>
      <w:r w:rsidRPr="0034649B">
        <w:rPr>
          <w:noProof/>
        </w:rPr>
        <w:tab/>
        <w:t>CONTEXTUL PROPUNERII</w:t>
      </w:r>
    </w:p>
    <w:p w:rsidR="002963AE" w:rsidRPr="0034649B" w:rsidRDefault="00E66D34">
      <w:pPr>
        <w:pStyle w:val="ManualHeading2"/>
        <w:rPr>
          <w:noProof/>
        </w:rPr>
      </w:pPr>
      <w:r w:rsidRPr="0034649B">
        <w:rPr>
          <w:noProof/>
          <w:color w:val="000000"/>
          <w:u w:color="000000"/>
          <w:bdr w:val="nil"/>
        </w:rPr>
        <w:t>•</w:t>
      </w:r>
      <w:r w:rsidRPr="0034649B">
        <w:rPr>
          <w:noProof/>
        </w:rPr>
        <w:tab/>
        <w:t>Motivele și obiectivele propunerii</w:t>
      </w:r>
    </w:p>
    <w:p w:rsidR="002963AE" w:rsidRPr="0034649B" w:rsidRDefault="00395C45">
      <w:pPr>
        <w:rPr>
          <w:noProof/>
        </w:rPr>
      </w:pPr>
      <w:r w:rsidRPr="0034649B">
        <w:rPr>
          <w:noProof/>
        </w:rPr>
        <w:t>În conformitate cu Regulamentul (UE) nr. 1380/2013 al Parlamentului European și al Consiliului privind politica comună în domeniul pescuitului (</w:t>
      </w:r>
      <w:bookmarkStart w:id="1" w:name="_Hlk202787242"/>
      <w:r w:rsidRPr="0034649B">
        <w:rPr>
          <w:noProof/>
        </w:rPr>
        <w:t>„Regulamentul privind PCP”</w:t>
      </w:r>
      <w:bookmarkEnd w:id="1"/>
      <w:r w:rsidRPr="0034649B">
        <w:rPr>
          <w:noProof/>
        </w:rPr>
        <w:t>)</w:t>
      </w:r>
      <w:r w:rsidRPr="0034649B">
        <w:rPr>
          <w:rStyle w:val="FootnoteReference"/>
          <w:noProof/>
        </w:rPr>
        <w:footnoteReference w:id="2"/>
      </w:r>
      <w:r w:rsidRPr="0034649B">
        <w:rPr>
          <w:noProof/>
        </w:rPr>
        <w:t>, exploatarea resurselor biologice marine trebuie efectuată în așa fel încât să asigure refacerea și menținerea populațiilor de specii recoltate peste nivelurile care permit obținerea randamentului maxim sustenabil (</w:t>
      </w:r>
      <w:r w:rsidRPr="0034649B">
        <w:rPr>
          <w:i/>
          <w:iCs/>
          <w:noProof/>
        </w:rPr>
        <w:t>maximum sustainable yield</w:t>
      </w:r>
      <w:r w:rsidRPr="0034649B">
        <w:rPr>
          <w:noProof/>
        </w:rPr>
        <w:t>, „MSY”). Un instrument important în acest sens îl constituie stabilirea anuală a posibilităților de pescuit sub forma capturilor totale admisibile („TAC-uri”) și a cotelor.</w:t>
      </w:r>
    </w:p>
    <w:p w:rsidR="00395C45" w:rsidRPr="0034649B" w:rsidRDefault="00395C45" w:rsidP="00395C45">
      <w:pPr>
        <w:rPr>
          <w:noProof/>
        </w:rPr>
      </w:pPr>
      <w:r w:rsidRPr="0034649B">
        <w:rPr>
          <w:noProof/>
        </w:rPr>
        <w:t>Regulamentul (UE) 2016/1139 al Parlamentului European și al Consiliului</w:t>
      </w:r>
      <w:r w:rsidRPr="0034649B">
        <w:rPr>
          <w:rStyle w:val="FootnoteReference"/>
          <w:noProof/>
        </w:rPr>
        <w:footnoteReference w:id="3"/>
      </w:r>
      <w:r w:rsidRPr="0034649B">
        <w:rPr>
          <w:noProof/>
        </w:rPr>
        <w:t xml:space="preserve"> de stabilire a unui plan multianual pentru Marea Baltică (denumit în continuare „planul multianual”) precizează, de asemenea, intervalele-țintă ale mortalității prin pescuit. Aceste intervale sunt utilizate în prezenta propunere pentru a atinge obiectivele politicii comune în domeniul pescuitului (PCP) și, în special, pentru a reface și a menține MSY.</w:t>
      </w:r>
    </w:p>
    <w:p w:rsidR="002963AE" w:rsidRPr="0034649B" w:rsidRDefault="008705C8">
      <w:pPr>
        <w:rPr>
          <w:noProof/>
        </w:rPr>
      </w:pPr>
      <w:r w:rsidRPr="0034649B">
        <w:rPr>
          <w:noProof/>
        </w:rPr>
        <w:t>Prezenta propunere urmărește să stabilească, pentru anul 2027, posibilitățile de pescuit pentru cele mai importante stocuri de pește din punct de vedere comercial din Marea Baltică. Ea urmărește, de asemenea, să reglementeze pescuitul recreativ marin în măsura necesară pentru conservarea stocurilor de pește care fac obiectul prezentului regulament. Pentru a simplifica și a clarifica deciziile anuale privind TAC-urile și cotele, posibilitățile de pescuit în Marea Baltică sunt stabilite printr-un regulament separat începând din 2007.</w:t>
      </w:r>
    </w:p>
    <w:p w:rsidR="002963AE" w:rsidRPr="0034649B" w:rsidRDefault="00E66D34">
      <w:pPr>
        <w:pStyle w:val="ManualHeading2"/>
        <w:rPr>
          <w:noProof/>
          <w:color w:val="000000"/>
          <w:u w:color="000000"/>
          <w:bdr w:val="nil"/>
        </w:rPr>
      </w:pPr>
      <w:r w:rsidRPr="0034649B">
        <w:rPr>
          <w:noProof/>
          <w:color w:val="000000"/>
          <w:u w:color="000000"/>
          <w:bdr w:val="nil"/>
        </w:rPr>
        <w:t>•</w:t>
      </w:r>
      <w:r w:rsidRPr="0034649B">
        <w:rPr>
          <w:noProof/>
        </w:rPr>
        <w:tab/>
        <w:t>Coerența cu dispozițiile existente în domeniul de politică vizat</w:t>
      </w:r>
    </w:p>
    <w:p w:rsidR="002963AE" w:rsidRPr="0034649B" w:rsidRDefault="00E66D34" w:rsidP="51CADD4D">
      <w:pPr>
        <w:pBdr>
          <w:top w:val="nil"/>
          <w:left w:val="nil"/>
          <w:bottom w:val="nil"/>
          <w:right w:val="nil"/>
          <w:between w:val="nil"/>
          <w:bar w:val="nil"/>
        </w:pBdr>
        <w:spacing w:before="0" w:after="240"/>
        <w:rPr>
          <w:noProof/>
        </w:rPr>
      </w:pPr>
      <w:r w:rsidRPr="0034649B">
        <w:rPr>
          <w:noProof/>
        </w:rPr>
        <w:t>Propunerea stabilește TAC-uri și cote la niveluri compatibile cu obiectivele Regulamentului privind PCP și ale planului multianual.</w:t>
      </w:r>
    </w:p>
    <w:p w:rsidR="002963AE" w:rsidRPr="0034649B" w:rsidRDefault="00E66D34">
      <w:pPr>
        <w:pStyle w:val="ManualHeading2"/>
        <w:rPr>
          <w:noProof/>
        </w:rPr>
      </w:pPr>
      <w:r w:rsidRPr="0034649B">
        <w:rPr>
          <w:noProof/>
          <w:color w:val="000000"/>
          <w:u w:color="000000"/>
          <w:bdr w:val="nil"/>
        </w:rPr>
        <w:t>•</w:t>
      </w:r>
      <w:r w:rsidRPr="0034649B">
        <w:rPr>
          <w:noProof/>
        </w:rPr>
        <w:tab/>
        <w:t>Coerența cu alte politici ale Uniunii</w:t>
      </w:r>
    </w:p>
    <w:p w:rsidR="002963AE" w:rsidRPr="0034649B" w:rsidRDefault="00E66D34">
      <w:pPr>
        <w:rPr>
          <w:noProof/>
        </w:rPr>
      </w:pPr>
      <w:r w:rsidRPr="0034649B">
        <w:rPr>
          <w:noProof/>
        </w:rPr>
        <w:t xml:space="preserve">Propunerea este coerentă cu </w:t>
      </w:r>
      <w:r w:rsidRPr="0034649B">
        <w:rPr>
          <w:noProof/>
          <w:color w:val="333333"/>
        </w:rPr>
        <w:t>alte politici ale Uniunii, în special cu politicile din domeniul mediului</w:t>
      </w:r>
      <w:r w:rsidRPr="0034649B">
        <w:rPr>
          <w:noProof/>
        </w:rPr>
        <w:t>.</w:t>
      </w:r>
    </w:p>
    <w:p w:rsidR="002963AE" w:rsidRPr="0034649B" w:rsidRDefault="00E66D34">
      <w:pPr>
        <w:pStyle w:val="ManualHeading1"/>
        <w:rPr>
          <w:noProof/>
        </w:rPr>
      </w:pPr>
      <w:r w:rsidRPr="0034649B">
        <w:rPr>
          <w:noProof/>
        </w:rPr>
        <w:t>2.</w:t>
      </w:r>
      <w:r w:rsidRPr="0034649B">
        <w:rPr>
          <w:noProof/>
        </w:rPr>
        <w:tab/>
        <w:t>TEMEI JURIDIC, SUBSIDIARITATE ȘI PROPORȚIONALITATE</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Temei juridic</w:t>
      </w:r>
    </w:p>
    <w:p w:rsidR="002963AE" w:rsidRPr="0034649B" w:rsidRDefault="00AD6A34">
      <w:pPr>
        <w:rPr>
          <w:noProof/>
        </w:rPr>
      </w:pPr>
      <w:r w:rsidRPr="0034649B">
        <w:rPr>
          <w:noProof/>
        </w:rPr>
        <w:t>Temeiul juridic al propunerii îl constituie articolul 43 alineatul (3) din Tratatul privind funcționarea Uniunii Europene (TFUE).</w:t>
      </w:r>
    </w:p>
    <w:p w:rsidR="002963AE" w:rsidRPr="0034649B" w:rsidRDefault="00E66D34">
      <w:pPr>
        <w:pStyle w:val="ManualHeading2"/>
        <w:rPr>
          <w:noProof/>
          <w:u w:color="000000"/>
          <w:bdr w:val="nil"/>
        </w:rPr>
      </w:pPr>
      <w:r w:rsidRPr="0034649B">
        <w:rPr>
          <w:noProof/>
          <w:u w:color="000000"/>
          <w:bdr w:val="nil"/>
        </w:rPr>
        <w:lastRenderedPageBreak/>
        <w:t>•</w:t>
      </w:r>
      <w:r w:rsidRPr="0034649B">
        <w:rPr>
          <w:noProof/>
        </w:rPr>
        <w:tab/>
      </w:r>
      <w:r w:rsidRPr="0034649B">
        <w:rPr>
          <w:noProof/>
          <w:u w:color="000000"/>
          <w:bdr w:val="nil"/>
        </w:rPr>
        <w:t>Subsidiaritate (în cazul competențelor neexclusive)</w:t>
      </w:r>
    </w:p>
    <w:p w:rsidR="00F74183" w:rsidRPr="0034649B" w:rsidRDefault="00E66D34">
      <w:pPr>
        <w:rPr>
          <w:noProof/>
        </w:rPr>
      </w:pPr>
      <w:r w:rsidRPr="0034649B">
        <w:rPr>
          <w:noProof/>
        </w:rPr>
        <w:t>Propunerea intră în sfera competenței exclusive a Uniunii, în conformitate cu articolul 3 alineatul (1) litera (d) din TFUE. În consecință, principiul subsidiarității nu se aplică.</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Proporționalitate</w:t>
      </w:r>
    </w:p>
    <w:p w:rsidR="00F74183" w:rsidRPr="0034649B" w:rsidRDefault="00E66D34">
      <w:pPr>
        <w:rPr>
          <w:noProof/>
        </w:rPr>
      </w:pPr>
      <w:r w:rsidRPr="0034649B">
        <w:rPr>
          <w:noProof/>
        </w:rPr>
        <w:t>Propunerea repartizează posibilități de pescuit statelor membre în conformitate cu obiectivele Regulamentului privind PCP și ale planului multianual. În temeiul articolului 16 alineatele (6) și (7) și al articolului 17 din Regulamentul privind PCP, statele membre decid modul în care repartizează navelor de pescuit care le arborează pavilionul posibilitățile de pescuit care le-au fost alocate, în conformitate cu anumite criterii stabilite la articolele respective. Prin urmare, statele membre dispun de o marjă de apreciere pentru a repartiza posibilitățile de pescuit care le sunt alocate în temeiul prezentei propuneri în conformitate cu modelul lor socioeconomic preferat.</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Alegerea instrumentului</w:t>
      </w:r>
    </w:p>
    <w:p w:rsidR="00F74183" w:rsidRPr="0034649B" w:rsidRDefault="00395C45">
      <w:pPr>
        <w:rPr>
          <w:noProof/>
        </w:rPr>
      </w:pPr>
      <w:r w:rsidRPr="0034649B">
        <w:rPr>
          <w:noProof/>
        </w:rPr>
        <w:t>Un regulament este considerat instrumentul cel mai adecvat, deoarece permite stabilirea unor cerințe care se aplică direct statelor membre și operatorilor economici relevanți. Acest lucru va contribui la asigurarea faptului că cerințele sunt puse în aplicare într-un mod oportun și armonizat, îmbunătățind astfel nivelul de securitate juridică.</w:t>
      </w:r>
    </w:p>
    <w:p w:rsidR="002963AE" w:rsidRPr="0034649B" w:rsidRDefault="00E66D34">
      <w:pPr>
        <w:pStyle w:val="ManualHeading1"/>
        <w:rPr>
          <w:noProof/>
        </w:rPr>
      </w:pPr>
      <w:r w:rsidRPr="0034649B">
        <w:rPr>
          <w:noProof/>
        </w:rPr>
        <w:t>3.</w:t>
      </w:r>
      <w:r w:rsidRPr="0034649B">
        <w:rPr>
          <w:noProof/>
        </w:rPr>
        <w:tab/>
        <w:t xml:space="preserve">REZULTATELE EVALUĂRILOR </w:t>
      </w:r>
      <w:r w:rsidRPr="0034649B">
        <w:rPr>
          <w:i/>
          <w:noProof/>
        </w:rPr>
        <w:t>EX POST</w:t>
      </w:r>
      <w:r w:rsidRPr="0034649B">
        <w:rPr>
          <w:noProof/>
        </w:rPr>
        <w:t>, ALE CONSULTĂRILOR CU PĂRȚILE INTERESATE ȘI ALE EVALUĂRILOR IMPACTULUI</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Consultări cu părțile interesate</w:t>
      </w:r>
    </w:p>
    <w:p w:rsidR="00395C45" w:rsidRPr="0034649B" w:rsidRDefault="00395C45" w:rsidP="00395C45">
      <w:pPr>
        <w:rPr>
          <w:noProof/>
        </w:rPr>
      </w:pPr>
      <w:r w:rsidRPr="0034649B">
        <w:rPr>
          <w:noProof/>
        </w:rPr>
        <w:t>Comisia a consultat părțile interesate (în special prin intermediul Consiliului consultativ pentru Marea Baltică), pe baza comunicării sale intitulate „Pescuitul sustenabil în UE: situația actuală și orientări pentru 2027” [COM(2026) 271 final]. Consiliul Internațional pentru Explorarea Apelor Maritime (ICES) a pus la dispoziție baza științifică a propunerii. Opiniile exprimate de părțile interesate consultate cu privire la toate stocurile de pește vizate au fost luate în considerare în măsura în care nu contravin politicilor actuale în domeniu și nu duc la deteriorarea situației resurselor vulnerabile.</w:t>
      </w:r>
    </w:p>
    <w:p w:rsidR="002963AE" w:rsidRPr="0034649B" w:rsidRDefault="00395C45" w:rsidP="00395C45">
      <w:pPr>
        <w:rPr>
          <w:noProof/>
        </w:rPr>
      </w:pPr>
      <w:r w:rsidRPr="0034649B">
        <w:rPr>
          <w:noProof/>
        </w:rPr>
        <w:t>Avizele științifice privind limitările capturilor și starea stocurilor au fost, de asemenea, discutate cu statele membre în cadrul forumului regional BALTFISH din iunie 2026.</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Obținerea și utilizarea expertizei</w:t>
      </w:r>
    </w:p>
    <w:p w:rsidR="002963AE" w:rsidRPr="0034649B" w:rsidRDefault="002A663D">
      <w:pPr>
        <w:rPr>
          <w:noProof/>
        </w:rPr>
      </w:pPr>
      <w:r w:rsidRPr="0034649B">
        <w:rPr>
          <w:noProof/>
        </w:rPr>
        <w:t>Comisia a consultat ICES, ale cărui avize științifice se bazează pe un cadru elaborat de grupurile sale de experți și de organismele sale cu putere de decizie și sunt emise în conformitate cu acordul-cadru de parteneriat încheiat cu Comisia.</w:t>
      </w:r>
    </w:p>
    <w:p w:rsidR="003B6381" w:rsidRPr="0034649B" w:rsidRDefault="00A95105">
      <w:pPr>
        <w:rPr>
          <w:noProof/>
        </w:rPr>
      </w:pPr>
      <w:r w:rsidRPr="0034649B">
        <w:rPr>
          <w:noProof/>
        </w:rPr>
        <w:t>În fiecare an, Uniunea solicită avize științifice din partea ICES cu privire la situația stocurilor de pește importante. Avizele primite acoperă toate stocurile din Marea Baltică, iar pentru stocurile cele mai importante din punct de vedere comercial sunt propuse TAC-uri</w:t>
      </w:r>
      <w:r w:rsidRPr="0034649B">
        <w:rPr>
          <w:rStyle w:val="FootnoteReference"/>
          <w:noProof/>
        </w:rPr>
        <w:footnoteReference w:id="4"/>
      </w:r>
      <w:r w:rsidRPr="0034649B">
        <w:rPr>
          <w:noProof/>
        </w:rPr>
        <w:t>.</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Evaluarea impactului</w:t>
      </w:r>
    </w:p>
    <w:p w:rsidR="001C6C39" w:rsidRPr="0034649B" w:rsidRDefault="00395C45">
      <w:pPr>
        <w:rPr>
          <w:noProof/>
        </w:rPr>
      </w:pPr>
      <w:r w:rsidRPr="0034649B">
        <w:rPr>
          <w:noProof/>
        </w:rPr>
        <w:t xml:space="preserve">Propunerea se înscrie într-o abordare pe termen lung în cadrul căreia activitățile de pescuit sunt ajustate pentru a contribui la atingerea și menținerea unor niveluri sustenabile pe termen lung. În timp, se preconizează că această abordare va avea drept rezultate: (i) o presiune stabilă a pescuitului; (ii) cote mai mari și, prin urmare, (iii) venituri îmbunătățite pentru </w:t>
      </w:r>
      <w:r w:rsidRPr="0034649B">
        <w:rPr>
          <w:noProof/>
        </w:rPr>
        <w:lastRenderedPageBreak/>
        <w:t>pescari și familiile acestora. Este de așteptat ca mărirea volumului debarcărilor să fie benefică pentru: (i) industria pescuitului; (ii) consumatori; (iii) industria de prelucrare și de vânzare cu amănuntul și (iv) restul industriei legate de pescuitul comercial și recreativ. Cu toate acestea, recenta evaluare a Regulamentului privind PCP</w:t>
      </w:r>
      <w:r w:rsidRPr="0034649B">
        <w:rPr>
          <w:rStyle w:val="FootnoteReference"/>
          <w:noProof/>
        </w:rPr>
        <w:footnoteReference w:id="5"/>
      </w:r>
      <w:r w:rsidRPr="0034649B">
        <w:rPr>
          <w:noProof/>
        </w:rPr>
        <w:t xml:space="preserve"> a avut rezultate mixte, în special în ceea ce privește Marea Baltică. În ansamblu, deși presiunea exercitată de pescuit a scăzut, numărul stocurilor cu o biomasă sănătoasă a înregistrat o ușoară reducere. În acest context, un pescuit sustenabil în Marea Baltică poate fi realizat numai în paralel cu un mediu marin sănătos, în special prin punerea în aplicare a Strategiei privind biodiversitatea pentru 2030</w:t>
      </w:r>
      <w:r w:rsidRPr="0034649B">
        <w:rPr>
          <w:rStyle w:val="FootnoteReference"/>
          <w:noProof/>
        </w:rPr>
        <w:footnoteReference w:id="6"/>
      </w:r>
      <w:r w:rsidRPr="0034649B">
        <w:rPr>
          <w:noProof/>
        </w:rPr>
        <w:t xml:space="preserve"> și a altor inițiative conexe, cum ar fi Planul de acțiune al UE pentru ecosistemele marine și pescuit</w:t>
      </w:r>
      <w:r w:rsidRPr="0034649B">
        <w:rPr>
          <w:rStyle w:val="FootnoteReference"/>
          <w:noProof/>
        </w:rPr>
        <w:footnoteReference w:id="7"/>
      </w:r>
      <w:r w:rsidRPr="0034649B">
        <w:rPr>
          <w:rStyle w:val="FootnoteReference"/>
          <w:noProof/>
          <w:vertAlign w:val="baseline"/>
        </w:rPr>
        <w:t xml:space="preserve"> and the European Ocean Pact</w:t>
      </w:r>
      <w:r w:rsidRPr="0034649B">
        <w:rPr>
          <w:noProof/>
        </w:rPr>
        <w:t xml:space="preserve"> și Pactul european privind oceanul planetar</w:t>
      </w:r>
      <w:r w:rsidRPr="0034649B">
        <w:rPr>
          <w:rStyle w:val="FootnoteReference"/>
          <w:noProof/>
        </w:rPr>
        <w:footnoteReference w:id="8"/>
      </w:r>
      <w:r w:rsidRPr="0034649B">
        <w:rPr>
          <w:noProof/>
        </w:rPr>
        <w:t>.</w:t>
      </w:r>
    </w:p>
    <w:p w:rsidR="002F1C13" w:rsidRPr="0034649B" w:rsidRDefault="002F1C13">
      <w:pPr>
        <w:rPr>
          <w:noProof/>
          <w:sz w:val="22"/>
          <w:u w:val="single"/>
        </w:rPr>
      </w:pPr>
      <w:r w:rsidRPr="0034649B">
        <w:rPr>
          <w:noProof/>
        </w:rPr>
        <w:t>Prezenta propunere urmărește evitarea abordărilor pe termen scurt în favoarea sustenabilității pe termen lung. Prin urmare, aceasta ține seama de inițiativele părților interesate și ale consiliilor consultative care au fost evaluate pozitiv de ICES și/sau de Comitetul științific, tehnic și economic pentru pescuit (CSTEP). Propunerea Comisiei [SEC(2011) 891] care a condus la Regulamentul privind PCP s-a bazat pe o evaluare a impactului care a constatat că, deși realizarea obiectivului privind MSY este o condiție necesară pentru sustenabilitatea din punctul de vedere al mediului, economică și socială, cele trei obiective nu pot fi atinse separat.</w:t>
      </w:r>
    </w:p>
    <w:p w:rsidR="002963AE" w:rsidRPr="0034649B" w:rsidRDefault="00264805" w:rsidP="00AF7E7D">
      <w:pPr>
        <w:rPr>
          <w:noProof/>
        </w:rPr>
      </w:pPr>
      <w:r w:rsidRPr="0034649B">
        <w:rPr>
          <w:noProof/>
        </w:rPr>
        <w:t>Până în 2019, deciziile privind posibilitățile de pescuit din Marea Baltică au fixat TAC-uri pentru toate stocurile cu un aviz MSY la nivelurile corespunzătoare F</w:t>
      </w:r>
      <w:r w:rsidRPr="0034649B">
        <w:rPr>
          <w:noProof/>
          <w:vertAlign w:val="subscript"/>
        </w:rPr>
        <w:t>MSY</w:t>
      </w:r>
      <w:r w:rsidRPr="0034649B">
        <w:rPr>
          <w:noProof/>
        </w:rPr>
        <w:t xml:space="preserve"> în momentul stabilirii TAC-urilor, cu excepția heringului din vestul Mării Baltice. Aceste decizii au contribuit, de asemenea, la refacerea stocurilor și la reechilibrarea capacității de pescuit și a posibilităților de pescuit. Cu toate acestea, în 2019, a devenit evident faptul că stocul de cod din estul Mării Baltice se confrunta de mai mulți ani cu presiuni puternice. De atunci, ICES estimează că acest stoc se va menține cel mai probabil sub nivelul de referință pentru conservare B</w:t>
      </w:r>
      <w:r w:rsidRPr="0034649B">
        <w:rPr>
          <w:noProof/>
          <w:vertAlign w:val="subscript"/>
        </w:rPr>
        <w:t>lim</w:t>
      </w:r>
      <w:r w:rsidRPr="0034649B">
        <w:rPr>
          <w:noProof/>
        </w:rPr>
        <w:t xml:space="preserve"> în anii următori. În 2021, a devenit evident faptul că stocul de cod din vestul Mării Baltice se afla, de asemenea, de mulți ani sub B</w:t>
      </w:r>
      <w:r w:rsidRPr="0034649B">
        <w:rPr>
          <w:noProof/>
          <w:vertAlign w:val="subscript"/>
        </w:rPr>
        <w:t>lim</w:t>
      </w:r>
      <w:r w:rsidRPr="0034649B">
        <w:rPr>
          <w:noProof/>
        </w:rPr>
        <w:t>. În plus, ICES a constatat că mai multe populații de somon nu sunt într-o stare bună. Până în 2020, ICES a estimat că biomasa heringului din zona centrală a Mării Baltice se situa sub nivelul de referință pentru conservare MSY B</w:t>
      </w:r>
      <w:r w:rsidRPr="0034649B">
        <w:rPr>
          <w:noProof/>
          <w:vertAlign w:val="subscript"/>
        </w:rPr>
        <w:t>trigger</w:t>
      </w:r>
      <w:r w:rsidRPr="0034649B">
        <w:rPr>
          <w:noProof/>
        </w:rPr>
        <w:t>. În 2023, ICES a estimat că biomasa fluctua de fapt în jurul B</w:t>
      </w:r>
      <w:r w:rsidRPr="0034649B">
        <w:rPr>
          <w:noProof/>
          <w:vertAlign w:val="subscript"/>
        </w:rPr>
        <w:t>lim</w:t>
      </w:r>
      <w:r w:rsidRPr="0034649B">
        <w:rPr>
          <w:noProof/>
        </w:rPr>
        <w:t xml:space="preserve"> încă din anii 1990. Cu toate acestea, începând din 2021, biomasa este în creștere și se estimează că va depăși MSY B</w:t>
      </w:r>
      <w:r w:rsidRPr="0034649B">
        <w:rPr>
          <w:noProof/>
          <w:vertAlign w:val="subscript"/>
        </w:rPr>
        <w:t>trigger</w:t>
      </w:r>
      <w:r w:rsidRPr="0034649B">
        <w:rPr>
          <w:noProof/>
        </w:rPr>
        <w:t xml:space="preserve"> în 2028. Biomasa heringului din Golful Botnic a scăzut continuu de la vârful înregistrat în 1994. În urma unui studiu comparativ din 2024, se estimează că biomasa acestui stoc a fost sub MSY B</w:t>
      </w:r>
      <w:r w:rsidRPr="0034649B">
        <w:rPr>
          <w:noProof/>
          <w:vertAlign w:val="subscript"/>
        </w:rPr>
        <w:t>trigger</w:t>
      </w:r>
      <w:r w:rsidR="00150FBC">
        <w:rPr>
          <w:noProof/>
          <w:vertAlign w:val="subscript"/>
        </w:rPr>
        <w:t xml:space="preserve"> </w:t>
      </w:r>
      <w:r w:rsidRPr="0034649B">
        <w:rPr>
          <w:noProof/>
        </w:rPr>
        <w:t>din 2019, scăzând în 2024 până la unul dintre cele mai reduse niveluri înregistrate, la jumătatea distanței dintre MSY B</w:t>
      </w:r>
      <w:r w:rsidRPr="0034649B">
        <w:rPr>
          <w:noProof/>
          <w:vertAlign w:val="subscript"/>
        </w:rPr>
        <w:t>trigger</w:t>
      </w:r>
      <w:r w:rsidRPr="0034649B">
        <w:rPr>
          <w:noProof/>
        </w:rPr>
        <w:t xml:space="preserve"> și B</w:t>
      </w:r>
      <w:r w:rsidRPr="0034649B">
        <w:rPr>
          <w:noProof/>
          <w:vertAlign w:val="subscript"/>
        </w:rPr>
        <w:t>lim</w:t>
      </w:r>
      <w:r w:rsidRPr="0034649B">
        <w:rPr>
          <w:noProof/>
        </w:rPr>
        <w:t>. Anul acesta, ICES preconizează că biomasa este mai mare decât se estimase în trecut, dar că va continua să scadă, rămânând așadar sub MSY B</w:t>
      </w:r>
      <w:r w:rsidRPr="0034649B">
        <w:rPr>
          <w:noProof/>
          <w:vertAlign w:val="subscript"/>
        </w:rPr>
        <w:t>trigger</w:t>
      </w:r>
      <w:r w:rsidRPr="0034649B">
        <w:rPr>
          <w:noProof/>
        </w:rPr>
        <w:t>. Biomasa șprotului a scăzut substanțial în ultimii ani, iar în 2025 a atins cel mai scăzut nivel din 1990, apropiindu-se de MSY B</w:t>
      </w:r>
      <w:r w:rsidRPr="0034649B">
        <w:rPr>
          <w:noProof/>
          <w:vertAlign w:val="subscript"/>
        </w:rPr>
        <w:t>trigger</w:t>
      </w:r>
      <w:r w:rsidRPr="0034649B">
        <w:rPr>
          <w:noProof/>
        </w:rPr>
        <w:t xml:space="preserve">. Cu toate acestea, se preconizează că ea se va dubla în acest an și va continua să crească în 2027. Prin </w:t>
      </w:r>
      <w:r w:rsidRPr="0034649B">
        <w:rPr>
          <w:noProof/>
        </w:rPr>
        <w:lastRenderedPageBreak/>
        <w:t>urmare, sunt necesare în continuare progrese suplimentare pentru a atinge și a menține MSY pentru toate stocurile din Marea Baltică.</w:t>
      </w:r>
    </w:p>
    <w:p w:rsidR="009536F8" w:rsidRPr="0034649B" w:rsidRDefault="00DC0BE7" w:rsidP="001C6C39">
      <w:pPr>
        <w:rPr>
          <w:noProof/>
        </w:rPr>
      </w:pPr>
      <w:r w:rsidRPr="0034649B">
        <w:rPr>
          <w:noProof/>
        </w:rPr>
        <w:t>La 29 mai 2026, ICES și-a publicat avizul științific pentru diferitele stocuri din Marea Baltică pentru 2027, cu excepția somonului din bazinul principal și din Golful Finlandei, pentru care avizul emis anul trecut se aplică în continuare. Pentru codul din estul și vestul Mării Baltice și pentru heringul din vestul Mării Baltice, ICES a emis din nou un aviz care recomandă capturi zero în 2027, din cauza stării (critice) neschimbate a stocului. Avizele pentru codul din estul Mării Baltice și codul din vestul Mării Baltice se bazează pe abordarea precaută. Biomasa ambelor stocuri de cod rămâne sub B</w:t>
      </w:r>
      <w:r w:rsidRPr="0034649B">
        <w:rPr>
          <w:noProof/>
          <w:vertAlign w:val="subscript"/>
        </w:rPr>
        <w:t>lim</w:t>
      </w:r>
      <w:r w:rsidRPr="0034649B">
        <w:rPr>
          <w:noProof/>
        </w:rPr>
        <w:t>. Pentru celelalte șase stocuri, ICES a emis un aviz MSY cu următoarele estimări ale biomasei:</w:t>
      </w:r>
    </w:p>
    <w:p w:rsidR="009536F8" w:rsidRPr="0034649B" w:rsidRDefault="00284C73" w:rsidP="00BD53D1">
      <w:pPr>
        <w:pStyle w:val="Bullet0"/>
        <w:numPr>
          <w:ilvl w:val="0"/>
          <w:numId w:val="11"/>
        </w:numPr>
        <w:rPr>
          <w:noProof/>
        </w:rPr>
      </w:pPr>
      <w:r w:rsidRPr="0034649B">
        <w:rPr>
          <w:noProof/>
        </w:rPr>
        <w:t>se estimează că stocurile de șprot, hering din Golful Riga și cambulă de Baltica se situează peste nivelul MSY B</w:t>
      </w:r>
      <w:r w:rsidRPr="0034649B">
        <w:rPr>
          <w:noProof/>
          <w:vertAlign w:val="subscript"/>
        </w:rPr>
        <w:t>trigger</w:t>
      </w:r>
      <w:r w:rsidRPr="0034649B">
        <w:rPr>
          <w:noProof/>
        </w:rPr>
        <w:t>;</w:t>
      </w:r>
    </w:p>
    <w:p w:rsidR="00763D74" w:rsidRPr="0034649B" w:rsidRDefault="00483A78" w:rsidP="00D97451">
      <w:pPr>
        <w:pStyle w:val="Bullet0"/>
        <w:rPr>
          <w:noProof/>
        </w:rPr>
      </w:pPr>
      <w:r w:rsidRPr="0034649B">
        <w:rPr>
          <w:noProof/>
        </w:rPr>
        <w:t>se estimează că stocul de hering din zona centrală a Mării Baltice și stocul de hering din Golful Botnic se situează sub nivelul MSY B</w:t>
      </w:r>
      <w:r w:rsidRPr="0034649B">
        <w:rPr>
          <w:noProof/>
          <w:vertAlign w:val="subscript"/>
        </w:rPr>
        <w:t>trigger</w:t>
      </w:r>
      <w:r w:rsidRPr="0034649B">
        <w:rPr>
          <w:noProof/>
        </w:rPr>
        <w:t>; și</w:t>
      </w:r>
    </w:p>
    <w:p w:rsidR="009536F8" w:rsidRPr="0034649B" w:rsidRDefault="005858AD" w:rsidP="00D97451">
      <w:pPr>
        <w:pStyle w:val="Bullet0"/>
        <w:rPr>
          <w:noProof/>
        </w:rPr>
      </w:pPr>
      <w:r w:rsidRPr="0034649B">
        <w:rPr>
          <w:noProof/>
        </w:rPr>
        <w:t>se estimează că stocul de hering din vestul Mării Baltice se situează sub nivelul B</w:t>
      </w:r>
      <w:r w:rsidRPr="0034649B">
        <w:rPr>
          <w:noProof/>
          <w:vertAlign w:val="subscript"/>
        </w:rPr>
        <w:t>lim.</w:t>
      </w:r>
    </w:p>
    <w:p w:rsidR="001C6C39" w:rsidRPr="0034649B" w:rsidRDefault="007C7496">
      <w:pPr>
        <w:rPr>
          <w:noProof/>
        </w:rPr>
      </w:pPr>
      <w:r w:rsidRPr="0034649B">
        <w:rPr>
          <w:noProof/>
        </w:rPr>
        <w:t xml:space="preserve">Prin urmare, se propune majorarea posibilităților de pescuit în comparație cu 2026 cu +3 % pentru heringul din Golful Botnic, cu +49 % pentru heringul din zona centrală a Mării Baltice, cu +11 % pentru heringul din Golful Riga și cu +44 % pentru șprot. </w:t>
      </w:r>
      <w:bookmarkStart w:id="2" w:name="_Hlk202789810"/>
      <w:r w:rsidRPr="0034649B">
        <w:rPr>
          <w:noProof/>
        </w:rPr>
        <w:t>În plus, se propune reducerea repartizării capturilor accidentale pentru codul din estul și vestul Mării Baltice și pentru heringul din vestul Mării Baltice față de 2026 cu -51 %, -88 % și, respectiv, -45 %.</w:t>
      </w:r>
      <w:bookmarkEnd w:id="2"/>
      <w:r w:rsidRPr="0034649B">
        <w:rPr>
          <w:noProof/>
        </w:rPr>
        <w:t xml:space="preserve"> În ceea ce privește somonul din bazinul principal și din Golful Finlandei, precum și cambula de Baltica, se propune menținerea pentru 2027 a nivelului TAC adoptat în 2026.</w:t>
      </w:r>
    </w:p>
    <w:p w:rsidR="00EE1228" w:rsidRPr="0034649B" w:rsidRDefault="006E1068" w:rsidP="00EE1228">
      <w:pPr>
        <w:rPr>
          <w:noProof/>
        </w:rPr>
      </w:pPr>
      <w:r w:rsidRPr="0034649B">
        <w:rPr>
          <w:noProof/>
        </w:rPr>
        <w:t>Prin urmare, impactul economic al propunerii pentru 2027 constă într-o creștere generală a posibilităților de pescuit pentru toate statele membre. Per ansamblu, propunerea implică un volum al capturilor de aproximativ 543 000 de tone, ceea ce reprezintă o majorare de 35,3 % în comparație cu posibilitățile de pescuit pentru 2026.</w:t>
      </w:r>
    </w:p>
    <w:p w:rsidR="002963AE" w:rsidRPr="0034649B" w:rsidRDefault="00E66D34" w:rsidP="00274C77">
      <w:pPr>
        <w:pStyle w:val="ManualHeading2"/>
        <w:rPr>
          <w:noProof/>
          <w:u w:color="000000"/>
          <w:bdr w:val="nil"/>
        </w:rPr>
      </w:pPr>
      <w:r w:rsidRPr="0034649B">
        <w:rPr>
          <w:noProof/>
          <w:u w:color="000000"/>
          <w:bdr w:val="nil"/>
        </w:rPr>
        <w:t>•</w:t>
      </w:r>
      <w:r w:rsidRPr="0034649B">
        <w:rPr>
          <w:noProof/>
        </w:rPr>
        <w:tab/>
      </w:r>
      <w:r w:rsidRPr="0034649B">
        <w:rPr>
          <w:noProof/>
          <w:u w:color="000000"/>
          <w:bdr w:val="nil"/>
        </w:rPr>
        <w:t>Adecvarea reglementărilor și simplificarea</w:t>
      </w:r>
    </w:p>
    <w:p w:rsidR="002963AE" w:rsidRPr="0034649B" w:rsidRDefault="00E66D34">
      <w:pPr>
        <w:rPr>
          <w:noProof/>
        </w:rPr>
      </w:pPr>
      <w:r w:rsidRPr="0034649B">
        <w:rPr>
          <w:noProof/>
        </w:rPr>
        <w:t>Propunerea permite în continuare o anumită flexibilitate prin aplicarea mecanismelor privind schimbul de cote deja prevăzute în regulamentele privind posibilitățile de pescuit din Marea Baltică în anii precedenți. Nu sunt propuse norme sau proceduri administrative noi pentru autoritățile publice ale Uniunii sau naționale care ar spori sarcina administrativă.</w:t>
      </w:r>
    </w:p>
    <w:p w:rsidR="002963AE" w:rsidRPr="0034649B" w:rsidRDefault="00E66D34">
      <w:pPr>
        <w:rPr>
          <w:noProof/>
        </w:rPr>
      </w:pPr>
      <w:r w:rsidRPr="0034649B">
        <w:rPr>
          <w:noProof/>
        </w:rPr>
        <w:t>Propunerea se referă la un regulament anual care se aplică pentru anul 2027. Prin urmare, ea nu conține o clauză de revizuire.</w:t>
      </w:r>
    </w:p>
    <w:p w:rsidR="002963AE" w:rsidRPr="0034649B" w:rsidRDefault="00E66D34">
      <w:pPr>
        <w:pStyle w:val="ManualHeading1"/>
        <w:rPr>
          <w:noProof/>
        </w:rPr>
      </w:pPr>
      <w:r w:rsidRPr="0034649B">
        <w:rPr>
          <w:noProof/>
        </w:rPr>
        <w:t>4.</w:t>
      </w:r>
      <w:r w:rsidRPr="0034649B">
        <w:rPr>
          <w:noProof/>
        </w:rPr>
        <w:tab/>
        <w:t>IMPLICAȚII BUGETARE</w:t>
      </w:r>
    </w:p>
    <w:p w:rsidR="002963AE" w:rsidRPr="0034649B" w:rsidRDefault="00E66D34">
      <w:pPr>
        <w:rPr>
          <w:noProof/>
        </w:rPr>
      </w:pPr>
      <w:r w:rsidRPr="0034649B">
        <w:rPr>
          <w:noProof/>
        </w:rPr>
        <w:t>Propunerea nu are implicații pentru bugetul Uniunii.</w:t>
      </w:r>
    </w:p>
    <w:p w:rsidR="002963AE" w:rsidRPr="0034649B" w:rsidRDefault="00E66D34">
      <w:pPr>
        <w:pStyle w:val="ManualHeading1"/>
        <w:rPr>
          <w:noProof/>
        </w:rPr>
      </w:pPr>
      <w:r w:rsidRPr="0034649B">
        <w:rPr>
          <w:noProof/>
        </w:rPr>
        <w:lastRenderedPageBreak/>
        <w:t>5.</w:t>
      </w:r>
      <w:r w:rsidRPr="0034649B">
        <w:rPr>
          <w:noProof/>
        </w:rPr>
        <w:tab/>
        <w:t>ALTE ELEMENTE</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Planuri de punere în aplicare și mecanisme de monitorizare, evaluare și raportare</w:t>
      </w:r>
    </w:p>
    <w:p w:rsidR="002963AE" w:rsidRPr="0034649B" w:rsidRDefault="00323F89">
      <w:pPr>
        <w:pBdr>
          <w:top w:val="nil"/>
          <w:left w:val="nil"/>
          <w:bottom w:val="nil"/>
          <w:right w:val="nil"/>
          <w:between w:val="nil"/>
          <w:bar w:val="nil"/>
        </w:pBdr>
        <w:spacing w:before="0" w:after="240"/>
        <w:rPr>
          <w:noProof/>
        </w:rPr>
      </w:pPr>
      <w:r w:rsidRPr="0034649B">
        <w:rPr>
          <w:noProof/>
        </w:rPr>
        <w:t>Monitorizarea și respectarea vor fi asigurate în conformitate cu Regulamentul (CE) nr. 1224/2009 al Consiliului</w:t>
      </w:r>
      <w:r w:rsidRPr="0034649B">
        <w:rPr>
          <w:rStyle w:val="FootnoteReference"/>
          <w:noProof/>
        </w:rPr>
        <w:footnoteReference w:id="9"/>
      </w:r>
      <w:r w:rsidRPr="0034649B">
        <w:rPr>
          <w:noProof/>
        </w:rPr>
        <w:t>.</w:t>
      </w:r>
    </w:p>
    <w:p w:rsidR="002963AE" w:rsidRPr="0034649B" w:rsidRDefault="00E66D34">
      <w:pPr>
        <w:pStyle w:val="ManualHeading2"/>
        <w:rPr>
          <w:noProof/>
          <w:u w:color="000000"/>
          <w:bdr w:val="nil"/>
        </w:rPr>
      </w:pPr>
      <w:r w:rsidRPr="0034649B">
        <w:rPr>
          <w:noProof/>
          <w:u w:color="000000"/>
          <w:bdr w:val="nil"/>
        </w:rPr>
        <w:t>•</w:t>
      </w:r>
      <w:r w:rsidRPr="0034649B">
        <w:rPr>
          <w:noProof/>
        </w:rPr>
        <w:tab/>
      </w:r>
      <w:r w:rsidRPr="0034649B">
        <w:rPr>
          <w:noProof/>
          <w:u w:color="000000"/>
          <w:bdr w:val="nil"/>
        </w:rPr>
        <w:t>Explicații detaliate cu privire la dispozițiile specifice ale propunerii</w:t>
      </w:r>
    </w:p>
    <w:p w:rsidR="00B245C5" w:rsidRPr="0034649B" w:rsidRDefault="00E66D34">
      <w:pPr>
        <w:rPr>
          <w:noProof/>
        </w:rPr>
      </w:pPr>
      <w:r w:rsidRPr="0034649B">
        <w:rPr>
          <w:noProof/>
        </w:rPr>
        <w:t>Propunerea stabilește posibilitățile de pescuit pentru anumite stocuri de pește sau grupuri de stocuri de pește din Marea Baltică pentru anul 2027.</w:t>
      </w:r>
    </w:p>
    <w:p w:rsidR="002963AE" w:rsidRPr="0034649B" w:rsidRDefault="006771EB">
      <w:pPr>
        <w:rPr>
          <w:noProof/>
        </w:rPr>
      </w:pPr>
      <w:r w:rsidRPr="0034649B">
        <w:rPr>
          <w:noProof/>
        </w:rPr>
        <w:t>Pentru a stabili cotele Uniunii pentru stocurile gestionate în comun cu Federația Rusă, cantitățile respective corespunzătoare cotei istorice a Federației Ruse din aceste stocuri au fost deduse din capturile recomandate de ICES. Posibilitățile de pescuit repartizate statelor membre sunt prevăzute în anexa la prezenta propunere.</w:t>
      </w:r>
    </w:p>
    <w:p w:rsidR="00F57027" w:rsidRPr="0034649B" w:rsidRDefault="00E82761">
      <w:pPr>
        <w:rPr>
          <w:noProof/>
        </w:rPr>
      </w:pPr>
      <w:r w:rsidRPr="0034649B">
        <w:rPr>
          <w:noProof/>
        </w:rPr>
        <w:t>În ceea ce privește codul din estul Mării Baltice, ICES și-a retrogradat și mai mult tipul de evaluare de la o evaluare analitică la un indice bazat pe anchete care indică tendințele. Avizul pentru 2027 rămâne un aviz de precauție de categoria 3 și recomandă capturi zero pentru al optulea an consecutiv</w:t>
      </w:r>
      <w:r w:rsidRPr="0034649B">
        <w:rPr>
          <w:rStyle w:val="FootnoteReference"/>
          <w:noProof/>
        </w:rPr>
        <w:footnoteReference w:id="10"/>
      </w:r>
      <w:r w:rsidRPr="0034649B">
        <w:rPr>
          <w:noProof/>
        </w:rPr>
        <w:t>. Având în vedere gradul de epuizare a stocului, Consiliul a decis, începând cu 2019, să închidă pescuitul direcționat și să adopte măsuri de remediere legate funcțional de posibilitățile de pescuit (o perioadă de închidere a zonelor de reproducere și o interdicție în ceea ce privește pescuitul recreativ, care din 2025 acoperă întreaga zonă de gestionare). Întrucât aceste măsuri de remediere nu au avut încă timp să contribuie la îmbunătățirea stării stocului, propunerea urmărește menținerea lor, în conformitate cu articolul 3 alineatul (1) din planul multianual și cu articolul 16 alineatul (4) din Regulamentul privind PCP, coroborate cu articolul 2 alineatul (1) și cu articolul 2 alineatul (5) literele (c) și (f) din regulamentul respectiv. În ceea ce privește nivelul TAC, ICES nu a fost în măsură până în prezent să cuantifice nivelul capturilor accidentale de cod din estul Mării Baltice în cadrul altor activități de pescuit, însă confirmă prezența capturilor accidentale de cod din estul Mării Baltice în cadrul tuturor celorlalte activități de pescuit</w:t>
      </w:r>
      <w:r w:rsidRPr="0034649B">
        <w:rPr>
          <w:rStyle w:val="FootnoteReference"/>
          <w:noProof/>
        </w:rPr>
        <w:footnoteReference w:id="11"/>
      </w:r>
      <w:r w:rsidRPr="0034649B">
        <w:rPr>
          <w:noProof/>
        </w:rPr>
        <w:t xml:space="preserve">. </w:t>
      </w:r>
      <w:bookmarkStart w:id="3" w:name="_Hlk169604147"/>
      <w:r w:rsidRPr="0034649B">
        <w:rPr>
          <w:noProof/>
        </w:rPr>
        <w:t>Fără o repartizare a capturilor accidentale de cod din estul Mării Baltice, toate activitățile de pescuit din zona de gestionare a codului din estul Mării Baltice ar trebui să fie închise. Pentru a evita consecințele socioeconomice potențial grave ale unei închideri totale și în lipsa unor informații suplimentare,</w:t>
      </w:r>
      <w:bookmarkEnd w:id="3"/>
      <w:r w:rsidRPr="0034649B">
        <w:rPr>
          <w:noProof/>
        </w:rPr>
        <w:t xml:space="preserve"> Comisia propune stabilirea TAC pentru capturile accidentale de cod din estul Mării Baltice la un nivel al cotelor care acoperă debarcările raportate de fiecare stat membru vizat în zona de gestionare a codului din estul Mării Baltice în 2025, și anume 211 tone. Acest lucru ar trebui să garanteze că presiunea exercitată de pescuit asupra acestui stoc nu va crește. În plus, codul este o captură accidentală inevitabilă în cadrul pescuitului de pești plați demersali, iar în aprilie 2025, în zona de distribuție principală a codului din estul Mării </w:t>
      </w:r>
      <w:r w:rsidRPr="0034649B">
        <w:rPr>
          <w:noProof/>
        </w:rPr>
        <w:lastRenderedPageBreak/>
        <w:t>Baltice, au devenit obligatorii unelte de pescuit mai selective, care se preconizează că vor reduce substanțial capturile accidentale de cod</w:t>
      </w:r>
      <w:r w:rsidRPr="0034649B">
        <w:rPr>
          <w:rStyle w:val="FootnoteReference"/>
          <w:noProof/>
        </w:rPr>
        <w:footnoteReference w:id="12"/>
      </w:r>
      <w:r w:rsidRPr="0034649B">
        <w:rPr>
          <w:noProof/>
        </w:rPr>
        <w:t>.</w:t>
      </w:r>
    </w:p>
    <w:p w:rsidR="00FD0D94" w:rsidRPr="0034649B" w:rsidRDefault="00E82761" w:rsidP="00FD0D94">
      <w:pPr>
        <w:rPr>
          <w:noProof/>
        </w:rPr>
      </w:pPr>
      <w:r w:rsidRPr="0034649B">
        <w:rPr>
          <w:noProof/>
        </w:rPr>
        <w:t>În ceea ce privește codul din vestul Mării Baltice, în 2023, ICES și-a retrogradat tipul de evaluare la un aviz de precauție de categoria 3. În 2025, ICES a recomandat capturi zero pentru 2026 și 2027</w:t>
      </w:r>
      <w:r w:rsidRPr="0034649B">
        <w:rPr>
          <w:rStyle w:val="FootnoteReference"/>
          <w:noProof/>
        </w:rPr>
        <w:footnoteReference w:id="13"/>
      </w:r>
      <w:r w:rsidRPr="0034649B">
        <w:rPr>
          <w:noProof/>
        </w:rPr>
        <w:t>. Biomasa stocului s-a situat sub B</w:t>
      </w:r>
      <w:r w:rsidRPr="0034649B">
        <w:rPr>
          <w:noProof/>
          <w:vertAlign w:val="subscript"/>
        </w:rPr>
        <w:t>lim</w:t>
      </w:r>
      <w:r w:rsidRPr="0034649B">
        <w:rPr>
          <w:noProof/>
        </w:rPr>
        <w:t xml:space="preserve"> în cea mai mare parte a timpului în ultimii 15 ani. Prin urmare, începând din 2021, Consiliul a decis să închidă pescuitul direcționat și să adopte măsuri de remediere legate funcțional de posibilitățile de pescuit (o perioadă de închidere a zonelor de reproducere și o interdicție în ceea ce privește pescuitul recreativ). Întrucât aceste măsuri de remediere nu au avut încă timp să contribuie la îmbunătățirea stării stocului, propunerea urmărește menținerea lor, în conformitate cu articolul 3 alineatul (1) din planul multianual și cu articolul 16 alineatul (4) din Regulamentul privind PCP, coroborate cu articolul 2 alineatul (1) și cu articolul 2 alineatul (5) literele (c) și (f) din regulamentul respectiv. În ceea ce privește nivelul TAC, </w:t>
      </w:r>
      <w:bookmarkStart w:id="4" w:name="_Hlk169013229"/>
      <w:r w:rsidRPr="0034649B">
        <w:rPr>
          <w:noProof/>
        </w:rPr>
        <w:t>ICES nu a fost în măsură până în prezent să cuantifice nivelul capturilor accidentale de cod din vestul Mării Baltice în cadrul altor activități de pescuit, însă confirmă prezența capturilor accidentale de cod din vestul Mării Baltice în cadrul tuturor celorlalte activități de pescuit</w:t>
      </w:r>
      <w:r w:rsidRPr="0034649B">
        <w:rPr>
          <w:rStyle w:val="FootnoteReference"/>
          <w:noProof/>
        </w:rPr>
        <w:footnoteReference w:id="14"/>
      </w:r>
      <w:r w:rsidRPr="0034649B">
        <w:rPr>
          <w:noProof/>
        </w:rPr>
        <w:t>. Fără o repartizare a capturilor accidentale de cod din vestul Mării Baltice, toate activitățile de pescuit din zona de gestionare a codului din vestul Mării Baltice ar trebui să fie închise. Pentru a evita consecințele socioeconomice potențial grave ale unei închideri totale și în lipsa unor informații suplimentare,</w:t>
      </w:r>
      <w:bookmarkEnd w:id="4"/>
      <w:r w:rsidRPr="0034649B">
        <w:rPr>
          <w:noProof/>
        </w:rPr>
        <w:t xml:space="preserve"> Comisia propune stabilirea TAC pentru capturile accidentale de cod din vestul Mării Baltice la un nivel al cotelor care acoperă debarcările raportate de fiecare stat membru vizat în zona de gestionare a codului din vestul Mării Baltice în 2025, și anume 31 de tone. Acest lucru ar trebui să garanteze că presiunea exercitată de pescuit asupra acestui stoc nu va crește. În plus, codul este o captură accidentală inevitabilă în cadrul pescuitului de pești plați demersali, iar în aprilie 2025, în zona de gestionare a codului din vestul Mării Baltice, au devenit obligatorii unelte de pescuit mai selective, care se preconizează că vor reduce substanțial capturile accidentale de cod</w:t>
      </w:r>
      <w:r w:rsidRPr="0034649B">
        <w:rPr>
          <w:rStyle w:val="FootnoteReference"/>
          <w:noProof/>
        </w:rPr>
        <w:footnoteReference w:id="15"/>
      </w:r>
      <w:r w:rsidRPr="0034649B">
        <w:rPr>
          <w:noProof/>
        </w:rPr>
        <w:t>.</w:t>
      </w:r>
    </w:p>
    <w:p w:rsidR="00097813" w:rsidRPr="0034649B" w:rsidRDefault="00097813" w:rsidP="00097813">
      <w:pPr>
        <w:rPr>
          <w:noProof/>
        </w:rPr>
      </w:pPr>
      <w:r w:rsidRPr="0034649B">
        <w:rPr>
          <w:noProof/>
        </w:rPr>
        <w:t>În ceea ce privește cambula de Baltica, din 2025, ICES emite un aviz MSY care acoperă subdiviziunile ICES 21-32</w:t>
      </w:r>
      <w:r w:rsidRPr="0034649B">
        <w:rPr>
          <w:rStyle w:val="FootnoteReference"/>
          <w:noProof/>
        </w:rPr>
        <w:footnoteReference w:id="16"/>
      </w:r>
      <w:r w:rsidRPr="0034649B">
        <w:rPr>
          <w:noProof/>
        </w:rPr>
        <w:t>. Potrivit acestui aviz, deși biomasa stocului este ridicată din punct de vedere istoric, starea exemplarelor individuale s-a deteriorat considerabil în ultimii șase ani. ICES estimează că nivelul capturilor ar putea crește cu +2 % în 2027 în comparație cu TAC stabilită pentru 2026. Cu toate acestea, având în vedere starea precară a exemplarelor individuale, Comisia propune ca nivelul TAC să rămână neschimbat, în conformitate cu articolul 4 alineatul (3) din planul multianual.</w:t>
      </w:r>
    </w:p>
    <w:p w:rsidR="009D6EB7" w:rsidRPr="0034649B" w:rsidRDefault="00635FB0" w:rsidP="009D6EB7">
      <w:pPr>
        <w:rPr>
          <w:noProof/>
        </w:rPr>
      </w:pPr>
      <w:r w:rsidRPr="0034649B">
        <w:rPr>
          <w:noProof/>
        </w:rPr>
        <w:t>În ceea ce privește heringul din vestul Mării Baltice, ICES recomandă capturi zero pentru al nouălea an consecutiv. ICES a fixat niveluri de referință mai ridicate, revizuindu-și totodată în sens crescător estimarea privind dimensiunea stocului, care rămâne la doar 56 % din B</w:t>
      </w:r>
      <w:r w:rsidRPr="0034649B">
        <w:rPr>
          <w:noProof/>
          <w:vertAlign w:val="subscript"/>
        </w:rPr>
        <w:t>lim</w:t>
      </w:r>
      <w:r w:rsidRPr="0034649B">
        <w:rPr>
          <w:noProof/>
        </w:rPr>
        <w:t xml:space="preserve"> în 2026</w:t>
      </w:r>
      <w:r w:rsidRPr="0034649B">
        <w:rPr>
          <w:rStyle w:val="FootnoteReference"/>
          <w:noProof/>
        </w:rPr>
        <w:footnoteReference w:id="17"/>
      </w:r>
      <w:r w:rsidRPr="0034649B">
        <w:rPr>
          <w:noProof/>
        </w:rPr>
        <w:t>. De asemenea, ICES estimează în continuare că biomasa va rămâne sub nivelul B</w:t>
      </w:r>
      <w:r w:rsidRPr="0034649B">
        <w:rPr>
          <w:noProof/>
          <w:vertAlign w:val="subscript"/>
        </w:rPr>
        <w:t>lim</w:t>
      </w:r>
      <w:r w:rsidRPr="0034649B">
        <w:rPr>
          <w:noProof/>
        </w:rPr>
        <w:t xml:space="preserve"> cel puțin până în 2028, chiar și în absența totală a pescuitului. Refacerea stocului de adulți se situează la niveluri minime istorice de aproximativ 10 ani. Începând din 2021, Consiliul a </w:t>
      </w:r>
      <w:r w:rsidRPr="0034649B">
        <w:rPr>
          <w:noProof/>
        </w:rPr>
        <w:lastRenderedPageBreak/>
        <w:t>decis să închidă pescuitul direcționat, cu excepția pescuitului în scopuri științifice și a pescuitului costier la scară mică, și să stabilească o TAC pentru capturile accidentale inevitabile, pentru a evita periclitarea altor activități de pescuit. Aceste măsuri de remediere nu au avut încă timp să îmbunătățească starea stocului. Prin urmare, Comisia propune, în conformitate cu articolul 4 alineatul (6) și cu articolul 5 alineatul (2) din planul multianual, să se mențină închiderea pescuitului direcționat și să se suspende derogarea pentru pescuitul costier la scară mică. În ceea ce privește nivelul TAC, ICES nu a fost în măsură până în prezent să cuantifice nivelul capturilor accidentale de hering din vestul Mării Baltice în cadrul altor activități de pescuit, însă confirmă prezența acestor capturi accidentale în cadrul activităților de pescuit direcționat de șprot</w:t>
      </w:r>
      <w:r w:rsidRPr="0034649B">
        <w:rPr>
          <w:rStyle w:val="FootnoteReference"/>
          <w:noProof/>
        </w:rPr>
        <w:footnoteReference w:id="18"/>
      </w:r>
      <w:r w:rsidRPr="0034649B">
        <w:rPr>
          <w:noProof/>
        </w:rPr>
        <w:t>. Pentru a evita consecințele socioeconomice potențial grave care rezultă din închiderea pescuitului direcționat de șprot în zona de gestionare a heringului din vestul Mării Baltice și în lipsa unor informații suplimentare, Comisia propune, în conformitate cu articolul 2 alineatul (1) și cu articolul 2 alineatul (5) literele (c) și (f) din Regulamentul (UE) nr. 1380/2013, stabilirea TAC pentru capturile accidentale de hering din vestul Mării Baltice la 437 de tone, cantitate care corespunde debarcărilor totale declarate în 2025.</w:t>
      </w:r>
    </w:p>
    <w:p w:rsidR="009D6EB7" w:rsidRPr="0034649B" w:rsidRDefault="00635FB0" w:rsidP="009D6EB7">
      <w:pPr>
        <w:rPr>
          <w:noProof/>
        </w:rPr>
      </w:pPr>
      <w:r w:rsidRPr="0034649B">
        <w:rPr>
          <w:noProof/>
        </w:rPr>
        <w:t>În ceea ce privește heringul din zona centrală a Mării Baltice, ICES a realizat un studiu comparativ în 2023 și estimează că biomasa s-a situat sub B</w:t>
      </w:r>
      <w:r w:rsidRPr="0034649B">
        <w:rPr>
          <w:noProof/>
          <w:vertAlign w:val="subscript"/>
        </w:rPr>
        <w:t>lim</w:t>
      </w:r>
      <w:r w:rsidRPr="0034649B">
        <w:rPr>
          <w:noProof/>
        </w:rPr>
        <w:t xml:space="preserve"> în cea mai mare parte a timpului în ultimii 30 de ani, dar a început să crească din 2022 și a depășit B</w:t>
      </w:r>
      <w:r w:rsidRPr="0034649B">
        <w:rPr>
          <w:noProof/>
          <w:vertAlign w:val="subscript"/>
        </w:rPr>
        <w:t>lim</w:t>
      </w:r>
      <w:r w:rsidRPr="0034649B">
        <w:rPr>
          <w:noProof/>
        </w:rPr>
        <w:t xml:space="preserve"> în 2024. În prezent, se estimează că va depăși MSY B</w:t>
      </w:r>
      <w:r w:rsidRPr="0034649B">
        <w:rPr>
          <w:noProof/>
          <w:vertAlign w:val="subscript"/>
        </w:rPr>
        <w:t>trigger</w:t>
      </w:r>
      <w:r w:rsidRPr="0034649B">
        <w:rPr>
          <w:noProof/>
        </w:rPr>
        <w:t xml:space="preserve"> în 2027</w:t>
      </w:r>
      <w:r w:rsidRPr="0034649B">
        <w:rPr>
          <w:rStyle w:val="FootnoteReference"/>
          <w:noProof/>
        </w:rPr>
        <w:footnoteReference w:id="19"/>
      </w:r>
      <w:r w:rsidRPr="0034649B">
        <w:rPr>
          <w:noProof/>
        </w:rPr>
        <w:t xml:space="preserve">. </w:t>
      </w:r>
      <w:bookmarkStart w:id="5" w:name="_Hlk138176138"/>
      <w:r w:rsidRPr="0034649B">
        <w:rPr>
          <w:noProof/>
        </w:rPr>
        <w:t>Dată fiind creșterea biomasei, avizul care recomandă capturi la valoarea F</w:t>
      </w:r>
      <w:r w:rsidRPr="0034649B">
        <w:rPr>
          <w:noProof/>
          <w:vertAlign w:val="subscript"/>
        </w:rPr>
        <w:t>MSY</w:t>
      </w:r>
      <w:r w:rsidRPr="0034649B">
        <w:rPr>
          <w:noProof/>
        </w:rPr>
        <w:t xml:space="preserve"> corespunde unei TAC cu 153 % mai mare decât cea stabilită pentru 2026. Cu toate acestea, stocul se situează în continuare sub MSY B</w:t>
      </w:r>
      <w:r w:rsidRPr="0034649B">
        <w:rPr>
          <w:noProof/>
          <w:vertAlign w:val="subscript"/>
        </w:rPr>
        <w:t>trigger</w:t>
      </w:r>
      <w:r w:rsidRPr="0034649B">
        <w:rPr>
          <w:noProof/>
        </w:rPr>
        <w:t>, iar experiența anterioară a incertitudinii în legătură cu estimările privind refacerea stocului de adulți impune prudență. Pentru a asigura un echilibru adecvat între refacerea stocurilor și acordarea posibilităților de pescuit, Comisia propune menținerea ratei mortalității prin pescuit la un nivel stabil și, prin urmare, stabilirea TAC la 143 860 de tone (+49 %) în conformitate cu articolul 4 alineatul (4) din planul multianual</w:t>
      </w:r>
      <w:bookmarkEnd w:id="5"/>
      <w:r w:rsidRPr="0034649B">
        <w:rPr>
          <w:noProof/>
        </w:rPr>
        <w:t>, menținând totodată perioada de trei luni de închidere a zonelor de reproducere.</w:t>
      </w:r>
    </w:p>
    <w:p w:rsidR="00097813" w:rsidRPr="0034649B" w:rsidRDefault="00097813" w:rsidP="00097813">
      <w:pPr>
        <w:rPr>
          <w:noProof/>
        </w:rPr>
      </w:pPr>
      <w:r w:rsidRPr="0034649B">
        <w:rPr>
          <w:noProof/>
        </w:rPr>
        <w:t>În ceea ce privește heringul din Golful Riga, ICES estimează că biomasa depășește estimările anterioare. Deși se preconizează că va scădea ușor, biomasa rămâne cu mult peste MSY B</w:t>
      </w:r>
      <w:r w:rsidRPr="0034649B">
        <w:rPr>
          <w:noProof/>
          <w:vertAlign w:val="subscript"/>
        </w:rPr>
        <w:t>trigger</w:t>
      </w:r>
      <w:r w:rsidRPr="0034649B">
        <w:rPr>
          <w:noProof/>
        </w:rPr>
        <w:t>, situându-se la un nivel record</w:t>
      </w:r>
      <w:r w:rsidRPr="0034649B">
        <w:rPr>
          <w:rStyle w:val="FootnoteReference"/>
          <w:noProof/>
        </w:rPr>
        <w:footnoteReference w:id="20"/>
      </w:r>
      <w:r w:rsidRPr="0034649B">
        <w:rPr>
          <w:noProof/>
        </w:rPr>
        <w:t>. Comisia propune așadar stabilirea TAC la valoarea F</w:t>
      </w:r>
      <w:r w:rsidRPr="0034649B">
        <w:rPr>
          <w:noProof/>
          <w:vertAlign w:val="subscript"/>
        </w:rPr>
        <w:t>MSY</w:t>
      </w:r>
      <w:r w:rsidRPr="0034649B">
        <w:rPr>
          <w:noProof/>
        </w:rPr>
        <w:t>, în conformitate cu articolul 4 alineatul (3) din planul multianual.</w:t>
      </w:r>
    </w:p>
    <w:p w:rsidR="00097813" w:rsidRPr="0034649B" w:rsidRDefault="00097813" w:rsidP="00097813">
      <w:pPr>
        <w:rPr>
          <w:noProof/>
        </w:rPr>
      </w:pPr>
      <w:r w:rsidRPr="0034649B">
        <w:rPr>
          <w:noProof/>
        </w:rPr>
        <w:t>În ceea ce privește heringul din Golful Botnic, ICES estimează că biomasa depășește estimările anterioare, dar că va continua să scadă, rămânând așadar sub MSY B</w:t>
      </w:r>
      <w:r w:rsidRPr="0034649B">
        <w:rPr>
          <w:noProof/>
          <w:vertAlign w:val="subscript"/>
        </w:rPr>
        <w:t>trigger</w:t>
      </w:r>
      <w:r w:rsidRPr="0034649B">
        <w:rPr>
          <w:rStyle w:val="FootnoteReference"/>
          <w:noProof/>
        </w:rPr>
        <w:footnoteReference w:id="21"/>
      </w:r>
      <w:r w:rsidRPr="0034649B">
        <w:rPr>
          <w:noProof/>
        </w:rPr>
        <w:t>. Avizul pentru capturi la valoarea F</w:t>
      </w:r>
      <w:r w:rsidRPr="0034649B">
        <w:rPr>
          <w:noProof/>
          <w:vertAlign w:val="subscript"/>
        </w:rPr>
        <w:t>MSY</w:t>
      </w:r>
      <w:r w:rsidRPr="0034649B">
        <w:rPr>
          <w:noProof/>
        </w:rPr>
        <w:t xml:space="preserve"> se traduce printr-o creștere cu +62 % față de TAC stabilită pentru 2026. Cu toate acestea, o astfel de creștere ar duce la scăderea biomasei. Pentru ca biomasa să crească, nivelul TAC trebuie să fie mai mic de 68 736 de tone. În plus, ICES estimează că, în absența totală a pescuitului, probabilitatea ca stocul să se redreseze în 2028 la un nivel peste MSY B</w:t>
      </w:r>
      <w:r w:rsidRPr="0034649B">
        <w:rPr>
          <w:noProof/>
          <w:vertAlign w:val="subscript"/>
        </w:rPr>
        <w:t>trigger</w:t>
      </w:r>
      <w:r w:rsidRPr="0034649B">
        <w:rPr>
          <w:noProof/>
        </w:rPr>
        <w:t xml:space="preserve"> este de 65 %. Pentru a asigura un echilibru adecvat între refacerea stocurilor și acordarea posibilităților de pescuit, Comisia propune menținerea ratei mortalității prin pescuit la un nivel stabil și, prin urmare, stabilirea TAC la 57 308 tone (+3 %) în conformitate cu articolul 4 alineatul (4) și cu articolul 5 alineatul (1) din planul multianual, menținând totodată perioada de trei luni de închidere a zonelor de reproducere ca măsură de remediere.</w:t>
      </w:r>
    </w:p>
    <w:p w:rsidR="009D6EB7" w:rsidRPr="0034649B" w:rsidRDefault="00256575" w:rsidP="009D6EB7">
      <w:pPr>
        <w:rPr>
          <w:noProof/>
        </w:rPr>
      </w:pPr>
      <w:r w:rsidRPr="0034649B">
        <w:rPr>
          <w:noProof/>
        </w:rPr>
        <w:lastRenderedPageBreak/>
        <w:t>În ceea ce privește șprotul, ICES estimează că, după o scădere îngrijorătoare a biomasei până în 2025, cauzată de un nivel minim record al refacerii stocului de adulți în perioada 2021-2023, biomasa aproape s-a dublat de atunci, în urma unui nivel foarte ridicat de refacere a stocului de adulți în 2024 și 2025. Se preconizează că biomasa va fi din nou cu mult peste MSY B</w:t>
      </w:r>
      <w:r w:rsidRPr="0034649B">
        <w:rPr>
          <w:noProof/>
          <w:vertAlign w:val="subscript"/>
        </w:rPr>
        <w:t>trigger</w:t>
      </w:r>
      <w:r w:rsidRPr="0034649B">
        <w:rPr>
          <w:noProof/>
        </w:rPr>
        <w:t xml:space="preserve"> în 2026 și va continua să crească în 2027</w:t>
      </w:r>
      <w:r w:rsidRPr="0034649B">
        <w:rPr>
          <w:rStyle w:val="FootnoteReference"/>
          <w:noProof/>
        </w:rPr>
        <w:footnoteReference w:id="22"/>
      </w:r>
      <w:r w:rsidRPr="0034649B">
        <w:rPr>
          <w:noProof/>
        </w:rPr>
        <w:t>. Comisia propune așadar stabilirea TAC la valoarea F</w:t>
      </w:r>
      <w:r w:rsidRPr="0034649B">
        <w:rPr>
          <w:noProof/>
          <w:vertAlign w:val="subscript"/>
        </w:rPr>
        <w:t>MSY</w:t>
      </w:r>
      <w:r w:rsidRPr="0034649B">
        <w:rPr>
          <w:noProof/>
        </w:rPr>
        <w:t>, în conformitate cu articolul 4 alineatul (3) din planul multianual, și suspendarea închiderii zonelor de reproducere.</w:t>
      </w:r>
    </w:p>
    <w:p w:rsidR="001940E0" w:rsidRPr="0034649B" w:rsidRDefault="00256575" w:rsidP="003D03C6">
      <w:pPr>
        <w:rPr>
          <w:noProof/>
        </w:rPr>
      </w:pPr>
      <w:r w:rsidRPr="0034649B">
        <w:rPr>
          <w:noProof/>
        </w:rPr>
        <w:t>În ceea ce privește somonul, cel puțin din anii 1990, ICES a constatat că starea stocurilor de somon din râuri din zona Mării Baltice este variabilă, unele dintre ele fiind într-o stare bună, însă altele nu. Începând din 2022, ICES a recomandat, de asemenea, încetarea tuturor capturilor de somon în cadrul pescuitului comercial și al pescuitului recreativ în bazinul principal, deoarece somonul este capturat în cadrul unor activități de pescuit inerent mixte, în care toate stocurile din râuri sunt capturate împreună. Cu toate acestea, ICES a considerat că activitățile existente de pescuit direcționat pot continua în unele zone costiere nordice în timpul migrației estivale a somonului. Prin urmare, începând din 2021, Consiliul a decis să închidă pescuitul direcționat de somon din bazinul principal și să stabilească o TAC de capturi accidentale pentru capturile accidentale inevitabile, cu excepția pescuitului în scopuri științifice, menținând în același timp deschis pescuitul direcționat de somon în timpul perioadei de vară în zonele costiere nordice relevante. Începând din 2021, Consiliul a adoptat, de asemenea, măsuri de remediere legate funcțional de posibilitățile de pescuit (interzicerea utilizării paragatelor și a pescuitului de păstrăv de mare în afara zonelor costiere; o limită zilnică a capturilor de un exemplar de somon cu înotătoarea tăiată per pescar în majoritatea zonelor). Întrucât ICES nu a emis un nou aviz pentru 2027, avizul său pentru 2026</w:t>
      </w:r>
      <w:r w:rsidRPr="0034649B">
        <w:rPr>
          <w:rStyle w:val="FootnoteReference"/>
          <w:noProof/>
        </w:rPr>
        <w:footnoteReference w:id="23"/>
      </w:r>
      <w:r w:rsidRPr="0034649B">
        <w:rPr>
          <w:noProof/>
        </w:rPr>
        <w:t xml:space="preserve"> rămâne cel mai bun aviz științific disponibil. Prin urmare, Comisia propune, în conformitate cu articolul 16 alineatul (4) din Regulamentul privind PCP, coroborat cu articolul 2 alineatul (1) și cu articolul 2 alineatul (5) literele (c) și (f) din regulamentul respectiv, menținerea nivelului TAC în 2027. Comisia propune, de asemenea, menținerea măsurilor de însoțire adoptate pentru 2026, eliminând în același timp posibilitatea pescuitului recreativ de somon, cu excepția zonelor de coastă din subdiviziunile ICES 29 Nord-31, unde acesta este permis în aceleași perioade în care este permis pescuitul comercial.</w:t>
      </w:r>
    </w:p>
    <w:p w:rsidR="001940E0" w:rsidRPr="0034649B" w:rsidRDefault="00256575" w:rsidP="009D6EB7">
      <w:pPr>
        <w:rPr>
          <w:noProof/>
        </w:rPr>
      </w:pPr>
      <w:r w:rsidRPr="0034649B">
        <w:rPr>
          <w:noProof/>
        </w:rPr>
        <w:t>În ceea ce privește somonul din Golful Finlandei, ICES nu a emis niciun nou aviz, astfel încât avizul de anul trecut rămâne valabil</w:t>
      </w:r>
      <w:r w:rsidRPr="0034649B">
        <w:rPr>
          <w:rStyle w:val="FootnoteReference"/>
          <w:noProof/>
        </w:rPr>
        <w:footnoteReference w:id="24"/>
      </w:r>
      <w:r w:rsidRPr="0034649B">
        <w:rPr>
          <w:noProof/>
        </w:rPr>
        <w:t>. Prin urmare, Comisia propune, în conformitate cu articolul 16 alineatul (4) din Regulamentul privind PCP, menținerea nivelului TAC în 2027, precum și flexibilitatea interzonală adoptată pentru 2026.</w:t>
      </w:r>
    </w:p>
    <w:p w:rsidR="00464893" w:rsidRPr="0034649B" w:rsidRDefault="00E66D34" w:rsidP="14D2F977">
      <w:pPr>
        <w:rPr>
          <w:noProof/>
        </w:rPr>
      </w:pPr>
      <w:r w:rsidRPr="0034649B">
        <w:rPr>
          <w:noProof/>
        </w:rPr>
        <w:t>Regulamentul (CE) nr. 847/96 al Consiliului prevede condiții suplimentare pentru gestionarea interanuală a TAC-urilor, inclusiv, la articolele 3 și 4, dispoziții privind flexibilitatea pentru stocurile care fac obiectul unor TAC-uri de precauție și, respectiv, analitice. Articolul 2 prevede că, atunci când stabilește TAC-urile, Consiliul trebuie să decidă cu privire la stocurile pentru care nu ar trebui să se aplice articolele 3 și 4, în special în funcție de starea biologică a stocurilor. Anul trecut, Comisia a propus o abordare mai restrictivă, dar Consiliul a respins această propunere. Comisia propune așadar menținerea practicii actuale și excluderea flexibilității de la an la an în temeiul articolelor 3 și 4 din Regulamentul (CE) nr. 847/96 pentru stocurile cu o biomasă sub nivelul B</w:t>
      </w:r>
      <w:r w:rsidRPr="0034649B">
        <w:rPr>
          <w:noProof/>
          <w:vertAlign w:val="subscript"/>
        </w:rPr>
        <w:t>lim</w:t>
      </w:r>
      <w:r w:rsidRPr="0034649B">
        <w:rPr>
          <w:noProof/>
        </w:rPr>
        <w:t xml:space="preserve"> și pentru stocurile pentru care ICES recomandă fie capturi zero, fie suspendarea activităților de pescuit direcționat. Articolul 15 alineatul (9) din Regulamentul privind PCP prevede, de asemenea, un mecanism de flexibilitate de la an la </w:t>
      </w:r>
      <w:r w:rsidRPr="0034649B">
        <w:rPr>
          <w:noProof/>
        </w:rPr>
        <w:lastRenderedPageBreak/>
        <w:t>an pentru toate stocurile care fac obiectul obligației de debarcare. Pentru a se evita o flexibilitate excesivă care ar submina principiul exploatării raționale și responsabile a resurselor biologice marine și ar îngreuna realizarea obiectivelor PCP, Comisia propune totodată ca articolele 3 și 4 din Regulamentul (CE) nr. 847/96 să se aplice numai atunci când statele membre nu utilizează flexibilitatea de la an la an prevăzută la articolul 15 alineatul (9) din Regulamentul privind PCP. În plus, flexibilitatea de la an la an în privința cotelor prevăzută la articolul 15 alineatul (9) din Regulamentul privind PCP trebuie, de asemenea, să fie exclusă dacă ar submina realizarea obiectivelor PCP, în special pentru stocurile cu o biomasă sub nivelul B</w:t>
      </w:r>
      <w:r w:rsidRPr="0034649B">
        <w:rPr>
          <w:noProof/>
          <w:vertAlign w:val="subscript"/>
        </w:rPr>
        <w:t>lim</w:t>
      </w:r>
      <w:r w:rsidRPr="0034649B">
        <w:rPr>
          <w:noProof/>
        </w:rPr>
        <w:t xml:space="preserve"> și pentru stocurile pentru care sunt permise numai capturi accidentale sau activități de pescuit în scop științific.</w:t>
      </w:r>
    </w:p>
    <w:p w:rsidR="00E10FDB" w:rsidRPr="0034649B" w:rsidRDefault="75622A73">
      <w:pPr>
        <w:rPr>
          <w:noProof/>
        </w:rPr>
      </w:pPr>
      <w:r w:rsidRPr="0034649B">
        <w:rPr>
          <w:noProof/>
        </w:rPr>
        <w:t>Comisia propune, de asemenea, modificarea Regulamentului (UE) 2026/249 al Consiliului pentru a stabili o TAC pentru merluciul norvegian, al cărui sezon de pescuit începe la 1 noiembrie 2026. Nivelul TAC este marcat cu mențiunea „p.m.” (</w:t>
      </w:r>
      <w:r w:rsidRPr="0034649B">
        <w:rPr>
          <w:i/>
          <w:noProof/>
        </w:rPr>
        <w:t>pro memoria</w:t>
      </w:r>
      <w:r w:rsidRPr="0034649B">
        <w:rPr>
          <w:noProof/>
        </w:rPr>
        <w:t>) până la publicarea avizului ICES preconizat pentru 9 octombrie 2026 și în așteptarea rezultatelor consultărilor cu Regatul Unit.</w:t>
      </w:r>
    </w:p>
    <w:p w:rsidR="00203BEB" w:rsidRPr="0034649B" w:rsidRDefault="00203BEB">
      <w:pPr>
        <w:rPr>
          <w:noProof/>
        </w:rPr>
      </w:pPr>
    </w:p>
    <w:p w:rsidR="00E10FDB" w:rsidRPr="0034649B" w:rsidRDefault="00E10FDB">
      <w:pPr>
        <w:rPr>
          <w:noProof/>
        </w:rPr>
        <w:sectPr w:rsidR="00E10FDB" w:rsidRPr="0034649B" w:rsidSect="003275C7">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E1568B" w:rsidRDefault="008116DE">
      <w:pPr>
        <w:pStyle w:val="Rfrenceinterinstitutionnelle"/>
        <w:rPr>
          <w:noProof/>
        </w:rPr>
      </w:pPr>
      <w:r>
        <w:rPr>
          <w:noProof/>
        </w:rPr>
        <w:lastRenderedPageBreak/>
        <w:t>2026/0240 (NLE)</w:t>
      </w:r>
    </w:p>
    <w:p w:rsidR="000463D7" w:rsidRPr="0034649B" w:rsidRDefault="0034649B" w:rsidP="0034649B">
      <w:pPr>
        <w:pStyle w:val="Statut"/>
        <w:rPr>
          <w:noProof/>
        </w:rPr>
      </w:pPr>
      <w:bookmarkStart w:id="6" w:name="_Hlk198910971"/>
      <w:r w:rsidRPr="0034649B">
        <w:rPr>
          <w:noProof/>
        </w:rPr>
        <w:t>Propunere de</w:t>
      </w:r>
    </w:p>
    <w:p w:rsidR="002963AE" w:rsidRPr="0034649B" w:rsidRDefault="0034649B" w:rsidP="0034649B">
      <w:pPr>
        <w:pStyle w:val="Typedudocument"/>
        <w:rPr>
          <w:noProof/>
        </w:rPr>
      </w:pPr>
      <w:r w:rsidRPr="0034649B">
        <w:rPr>
          <w:noProof/>
        </w:rPr>
        <w:t>REGULAMENT AL CONSILIULUI</w:t>
      </w:r>
    </w:p>
    <w:p w:rsidR="002963AE" w:rsidRPr="0034649B" w:rsidRDefault="0034649B" w:rsidP="0034649B">
      <w:pPr>
        <w:pStyle w:val="Titreobjet"/>
        <w:rPr>
          <w:noProof/>
        </w:rPr>
      </w:pPr>
      <w:r w:rsidRPr="0034649B">
        <w:rPr>
          <w:noProof/>
        </w:rPr>
        <w:t>de stabilire a posibilităților de pescuit pentru anumite stocuri de pește și grupuri de stocuri de pește aplicabile în Marea Baltică în anul 2027 și de modificare a Regulamentului (UE) 2026/249 în ceea ce privește anumite posibilități de pescuit în alte ape</w:t>
      </w:r>
    </w:p>
    <w:bookmarkEnd w:id="6"/>
    <w:p w:rsidR="002963AE" w:rsidRPr="0034649B" w:rsidRDefault="00E66D34">
      <w:pPr>
        <w:pStyle w:val="Institutionquiagit"/>
        <w:rPr>
          <w:noProof/>
        </w:rPr>
      </w:pPr>
      <w:r w:rsidRPr="0034649B">
        <w:rPr>
          <w:noProof/>
        </w:rPr>
        <w:t>CONSILIUL UNIUNII EUROPENE,</w:t>
      </w:r>
    </w:p>
    <w:p w:rsidR="002963AE" w:rsidRPr="0034649B" w:rsidRDefault="00E66D34">
      <w:pPr>
        <w:rPr>
          <w:noProof/>
        </w:rPr>
      </w:pPr>
      <w:r w:rsidRPr="0034649B">
        <w:rPr>
          <w:noProof/>
        </w:rPr>
        <w:t>având în vedere Tratatul privind funcționarea Uniunii Europene, în special articolul 43 alineatul (3),</w:t>
      </w:r>
    </w:p>
    <w:p w:rsidR="002963AE" w:rsidRPr="0034649B" w:rsidRDefault="00E66D34">
      <w:pPr>
        <w:rPr>
          <w:noProof/>
        </w:rPr>
      </w:pPr>
      <w:r w:rsidRPr="0034649B">
        <w:rPr>
          <w:noProof/>
        </w:rPr>
        <w:t>având în vedere propunerea Comisiei Europene,</w:t>
      </w:r>
    </w:p>
    <w:p w:rsidR="002963AE" w:rsidRPr="0034649B" w:rsidRDefault="00E66D34">
      <w:pPr>
        <w:rPr>
          <w:noProof/>
        </w:rPr>
      </w:pPr>
      <w:r w:rsidRPr="0034649B">
        <w:rPr>
          <w:noProof/>
        </w:rPr>
        <w:t>întrucât:</w:t>
      </w:r>
    </w:p>
    <w:p w:rsidR="00B65CF2" w:rsidRPr="0034649B" w:rsidRDefault="00B65CF2" w:rsidP="007B41DB">
      <w:pPr>
        <w:pStyle w:val="ManualConsidrant"/>
        <w:rPr>
          <w:noProof/>
        </w:rPr>
      </w:pPr>
      <w:r>
        <w:rPr>
          <w:noProof/>
        </w:rPr>
        <w:t>(1)</w:t>
      </w:r>
      <w:r>
        <w:rPr>
          <w:noProof/>
        </w:rPr>
        <w:tab/>
      </w:r>
      <w:r w:rsidRPr="0034649B">
        <w:rPr>
          <w:noProof/>
        </w:rPr>
        <w:t>Consiliul trebuie să adopte măsuri privind stabilirea și repartizarea posibilităților de pescuit, inclusiv privind anumite condiții legate funcțional de acestea. În temeiul articolului 16 alineatul (4) din Regulamentul (UE) nr. 1380/2013 al Parlamentului European și al Consiliului</w:t>
      </w:r>
      <w:r w:rsidRPr="0034649B">
        <w:rPr>
          <w:rStyle w:val="FootnoteReference"/>
          <w:noProof/>
        </w:rPr>
        <w:footnoteReference w:id="25"/>
      </w:r>
      <w:r w:rsidRPr="0034649B">
        <w:rPr>
          <w:noProof/>
        </w:rPr>
        <w:t>, posibilitățile de pescuit se stabilesc în conformitate cu obiectivele politicii comune în domeniul pescuitului (PCP) prevăzute la articolul 2 alineatul (2) din regulamentul respectiv. În temeiul articolului 16 alineatul (1) din Regulamentul (UE) nr. 1380/2013, posibilitățile de pescuit trebuie repartizate statelor membre în așa fel încât să se asigure o relativă stabilitate a activităților de pescuit desfășurate de fiecare stat membru pentru fiecare stoc sau activitate de pescuit.</w:t>
      </w:r>
    </w:p>
    <w:p w:rsidR="00B65CF2" w:rsidRPr="0034649B" w:rsidRDefault="00B65CF2" w:rsidP="00D03224">
      <w:pPr>
        <w:pStyle w:val="ManualConsidrant"/>
        <w:rPr>
          <w:noProof/>
          <w:szCs w:val="24"/>
        </w:rPr>
      </w:pPr>
      <w:r>
        <w:rPr>
          <w:noProof/>
        </w:rPr>
        <w:t>(2)</w:t>
      </w:r>
      <w:r>
        <w:rPr>
          <w:noProof/>
        </w:rPr>
        <w:tab/>
      </w:r>
      <w:r w:rsidRPr="0034649B">
        <w:rPr>
          <w:noProof/>
        </w:rPr>
        <w:t xml:space="preserve">Prin urmare, capturile totale admisibile (TAC) trebuie stabilite, în conformitate cu articolul 3 din Regulamentul (UE) nr. 1380/2013, pe baza celor mai bune avize științifice disponibile, ținându-se seama de aspectele biologice și socioeconomice și asigurându-se totodată un tratament echitabil pentru toate sectoarele de pescuit, precum și pe baza opiniilor exprimate cu ocazia consultării părților interesate. </w:t>
      </w:r>
    </w:p>
    <w:p w:rsidR="00B65CF2" w:rsidRPr="0034649B" w:rsidRDefault="00B65CF2" w:rsidP="00B65CF2">
      <w:pPr>
        <w:pStyle w:val="ManualConsidrant"/>
        <w:rPr>
          <w:noProof/>
        </w:rPr>
      </w:pPr>
      <w:r>
        <w:rPr>
          <w:noProof/>
        </w:rPr>
        <w:t>(3)</w:t>
      </w:r>
      <w:r>
        <w:rPr>
          <w:noProof/>
        </w:rPr>
        <w:tab/>
      </w:r>
      <w:r w:rsidRPr="0034649B">
        <w:rPr>
          <w:noProof/>
        </w:rPr>
        <w:t>Regulamentul (UE) 2016/1139 al Parlamentului European și al Consiliului</w:t>
      </w:r>
      <w:r w:rsidRPr="0034649B">
        <w:rPr>
          <w:rStyle w:val="FootnoteReference"/>
          <w:noProof/>
        </w:rPr>
        <w:footnoteReference w:id="26"/>
      </w:r>
      <w:r w:rsidRPr="0034649B">
        <w:rPr>
          <w:noProof/>
        </w:rPr>
        <w:t xml:space="preserve"> stabilește un plan multianual pentru stocurile de cod (</w:t>
      </w:r>
      <w:r w:rsidRPr="0034649B">
        <w:rPr>
          <w:i/>
          <w:noProof/>
        </w:rPr>
        <w:t>Gadus morhua</w:t>
      </w:r>
      <w:r w:rsidRPr="0034649B">
        <w:rPr>
          <w:noProof/>
        </w:rPr>
        <w:t>), hering (</w:t>
      </w:r>
      <w:r w:rsidRPr="0034649B">
        <w:rPr>
          <w:i/>
          <w:noProof/>
        </w:rPr>
        <w:t>Clupea harengus</w:t>
      </w:r>
      <w:r w:rsidRPr="0034649B">
        <w:rPr>
          <w:noProof/>
        </w:rPr>
        <w:t>) și șprot (</w:t>
      </w:r>
      <w:r w:rsidRPr="0034649B">
        <w:rPr>
          <w:i/>
          <w:noProof/>
        </w:rPr>
        <w:t>Sprattus sprattus</w:t>
      </w:r>
      <w:r w:rsidRPr="0034649B">
        <w:rPr>
          <w:noProof/>
        </w:rPr>
        <w:t xml:space="preserve">) din Marea Baltică și pentru activitățile de pescuit care exploatează stocurile respective. În conformitate cu articolul 3 alineatul (1) din regulamentul menționat, planul respectiv urmărește să contribuie la îndeplinirea obiectivelor PCP. Planul urmărește, de asemenea, să garanteze că exploatarea </w:t>
      </w:r>
      <w:r w:rsidRPr="0034649B">
        <w:rPr>
          <w:noProof/>
        </w:rPr>
        <w:lastRenderedPageBreak/>
        <w:t>resurselor biologice marine reface și menține populațiile de specii recoltate peste nivelurile care permit obținerea randamentului maxim sustenabil (MSY). De asemenea, planul urmărește să contribuie la garantarea faptului că activitățile de pescuit și de acvacultură sunt sustenabile pe termen lung din punctul de vedere al mediului și sunt gestionate într-un mod care este coerent cu obiectivul de a realiza beneficii economice, sociale și în materie de ocupare a forței de muncă și contribuie la disponibilitatea aprovizionării cu alimente. Printre aceste obiective, astfel cum se specifică la articolul 2 alineatul (5) literele (c) și (f) din Regulamentul (UE) nr. 1380/2013, se numără crearea condițiilor pentru o industrie a capturii și prelucrării resurselor piscicole și activități desfășurate pe uscat legate de pescuit viabile și competitive. În plus, acestea urmăresc să asigure un nivel de trai echitabil pentru persoanele care depind de activitățile de pescuit, ținând seama în special de pescuitul costier și de aspectele socioeconomice.</w:t>
      </w:r>
    </w:p>
    <w:p w:rsidR="002F1C13" w:rsidRPr="0034649B" w:rsidRDefault="00B65CF2" w:rsidP="14D2F977">
      <w:pPr>
        <w:pStyle w:val="ManualConsidrant"/>
        <w:rPr>
          <w:noProof/>
        </w:rPr>
      </w:pPr>
      <w:r>
        <w:rPr>
          <w:noProof/>
        </w:rPr>
        <w:t>(4)</w:t>
      </w:r>
      <w:r>
        <w:rPr>
          <w:noProof/>
        </w:rPr>
        <w:tab/>
      </w:r>
      <w:r w:rsidRPr="0034649B">
        <w:rPr>
          <w:noProof/>
        </w:rPr>
        <w:tab/>
        <w:t>La 29 mai 2026, Consiliul Internațional pentru Explorarea Apelor Maritime (ICES) și-a publicat avizul anual privind stocurile de pește din Marea Baltică pentru 2027. Pentru zonele de gestionare a somonului, ICES și-a reiterat avizul emis anterior pentru 2026. Potrivit ICES, majoritatea activităților de pescuit din Marea Baltică sunt caracterizate, cel puțin într-o anumită măsură, de o amestecare a stocurilor. Această amestecare se referă atât la stocuri care sunt gestionate prin TAC-uri, cât și la stocuri care nu sunt gestionate prin TAC-uri. Gradul cel mai important de amestecare are loc între speciile pelagice și speciile demersale.</w:t>
      </w:r>
    </w:p>
    <w:p w:rsidR="003A002A" w:rsidRPr="0034649B" w:rsidRDefault="00B65CF2" w:rsidP="2BD27145">
      <w:pPr>
        <w:pStyle w:val="ManualConsidrant"/>
        <w:rPr>
          <w:noProof/>
        </w:rPr>
      </w:pPr>
      <w:r>
        <w:rPr>
          <w:noProof/>
        </w:rPr>
        <w:t>(5)</w:t>
      </w:r>
      <w:r>
        <w:rPr>
          <w:noProof/>
        </w:rPr>
        <w:tab/>
      </w:r>
      <w:r w:rsidRPr="0034649B">
        <w:rPr>
          <w:noProof/>
        </w:rPr>
        <w:t>Pentru 2027, ICES recomandă capturi zero de hering din vestul Mării Baltice, de cod din estul și vestul Mării Baltice și de somon de Atlantic (</w:t>
      </w:r>
      <w:r w:rsidRPr="0034649B">
        <w:rPr>
          <w:i/>
          <w:noProof/>
        </w:rPr>
        <w:t>Salmo salar</w:t>
      </w:r>
      <w:r w:rsidRPr="0034649B">
        <w:rPr>
          <w:noProof/>
        </w:rPr>
        <w:t>) în subdiviziunile ICES 22-31 (denumit în continuare „somon din bazinul principal”). Codul este capturat în mod accidental în cadrul tuturor activităților de pescuit, heringul din vestul Mării Baltice este capturat în mod accidental în cadrul activităților de pescuit direcționat de șprot, iar somonul din bazinul principal este capturat în mod accidental în cadrul mai multor activități de pescuit. Prin urmare, dacă TAC-urile pentru aceste stocuri ar fi stabilite la nivelurile recomandate de ICES, obligația de a debarca integral capturile din stocurile respective, inclusiv capturile accidentale din acestea în cadrul activităților de pescuit mixt, ar conduce la fenomenul speciilor de blocaj. „Speciile de blocaj” sunt specii fără cote care pot determina încetarea activităților de pescuit ale uneia sau mai multor nave de pescuit, chiar dacă acestea au încă cote pentru alte specii. O situație de blocaj ar afecta în special navele care pescuiesc specii de pești plați și pelagici, deoarece le-ar putea obliga să înceteze operațiunile de pescuit în 2027 și ar duce la o încheiere prematură a acestor activități de pescuit. Pe baza datelor furnizate de Observatorul pieței europene pentru produse provenite din pescuit și din acvacultură, valoarea la prima vânzare a capturilor de cambulă de Baltica (</w:t>
      </w:r>
      <w:r w:rsidRPr="0034649B">
        <w:rPr>
          <w:i/>
          <w:noProof/>
        </w:rPr>
        <w:t>Pleuronectes platessa</w:t>
      </w:r>
      <w:r w:rsidRPr="0034649B">
        <w:rPr>
          <w:noProof/>
        </w:rPr>
        <w:t xml:space="preserve">), de șprot și de hering vizate care sunt permise în limitele TAC-urilor și care ar urma să fie realizate în zona respectivă de pescuit este estimată la 29 200 000 EUR, 128 300 000 EUR și, respectiv, 94 700 000 EUR. Numeroase activități de pescuit, în special cele de pescuit costier la scară mică de specii care nu sunt gestionate prin TAC-uri, ar trebui, de asemenea, să înceteze în 2027. Pentru a se asigura un echilibru între menținerea activităților de pescuit, având în vedere eventualele implicații socioeconomice grave în cazul încetării acestor activități, și necesitatea de a atinge o stare biologică bună pentru aceste stocuri și luând în considerare dificultatea de a pescui toate stocurile din cadrul unei activități de pescuit mixt la nivelul MSY, este oportun ca TAC-urile să fie menținute exclusiv pentru capturile accidentale inevitabile de hering din vestul Mării Baltice, de cod din estul și vestul Mării Baltice și de somon din bazinul principal. </w:t>
      </w:r>
    </w:p>
    <w:p w:rsidR="00B65CF2" w:rsidRPr="0034649B" w:rsidRDefault="00B65CF2" w:rsidP="00B65CF2">
      <w:pPr>
        <w:pStyle w:val="ManualConsidrant"/>
        <w:rPr>
          <w:noProof/>
        </w:rPr>
      </w:pPr>
      <w:r>
        <w:rPr>
          <w:noProof/>
        </w:rPr>
        <w:lastRenderedPageBreak/>
        <w:t>(6)</w:t>
      </w:r>
      <w:r>
        <w:rPr>
          <w:noProof/>
        </w:rPr>
        <w:tab/>
      </w:r>
      <w:r w:rsidRPr="0034649B">
        <w:rPr>
          <w:noProof/>
        </w:rPr>
        <w:t>În ceea ce privește stocul de cod din estul Mării Baltice, ICES recomandă capturi zero începând din 2019. Anul acesta, ICES și-a retrogradat evaluarea analitică anterioară la un indice bazat pe anchete. Din cauza datelor insuficiente, ICES nu este în măsură să estimeze nivelurile de referință pentru conservare și nu poate identifica niciun nivel al capturilor care ar permite refacerea stocului. În consecință, ICES își menține avizul care recomandă capturi zero pentru 2027 și 2028. Prin urmare, în conformitate cu articolul 3 alineatul (1) din Regulamentul (UE) 2016/1139 și cu articolul 16 alineatul (4) din Regulamentul (UE) nr. 1380/2013, activitățile de pescuit direcționat trebuie suspendate și trebuie adoptate măsuri de remediere legate funcțional de acestea. În conformitate cu articolul 2 alineatul (1) și cu articolul 2 alineatul (5) literele (c) și (f) din Regulamentul (UE) nr. 1380/2013, posibilitățile de pescuit pentru capturile accidentale inevitabile trebuie să fie stabilite la un nivel scăzut, pentru a se evita implicațiile socioeconomice potențial grave care ar rezulta din stabilirea la zero a posibilităților de pescuit.</w:t>
      </w:r>
    </w:p>
    <w:p w:rsidR="00746FE8" w:rsidRPr="0034649B" w:rsidRDefault="00B65CF2" w:rsidP="00B65CF2">
      <w:pPr>
        <w:pStyle w:val="ManualConsidrant"/>
        <w:rPr>
          <w:noProof/>
        </w:rPr>
      </w:pPr>
      <w:r>
        <w:rPr>
          <w:noProof/>
        </w:rPr>
        <w:t>(7)</w:t>
      </w:r>
      <w:r>
        <w:rPr>
          <w:noProof/>
        </w:rPr>
        <w:tab/>
      </w:r>
      <w:r w:rsidRPr="0034649B">
        <w:rPr>
          <w:noProof/>
        </w:rPr>
        <w:t>În ceea ce privește stocul de cod din vestul Mării Baltice, după ce a recomandat un nivel scăzut al capturilor timp de mai mulți ani, ICES a recomandat, în 2025, capturi zero pentru 2026 și 2027, deoarece estima că în 2025 biomasa stocului era sub nivelul de referință pentru conservare (B</w:t>
      </w:r>
      <w:r w:rsidRPr="0034649B">
        <w:rPr>
          <w:noProof/>
          <w:vertAlign w:val="subscript"/>
        </w:rPr>
        <w:t>lim</w:t>
      </w:r>
      <w:r w:rsidRPr="0034649B">
        <w:rPr>
          <w:noProof/>
        </w:rPr>
        <w:t>), sub care ar putea exista o reducere a capacității de reproducere, și nu urma să se redreseze peste nivelul B</w:t>
      </w:r>
      <w:r w:rsidRPr="0034649B">
        <w:rPr>
          <w:noProof/>
          <w:vertAlign w:val="subscript"/>
        </w:rPr>
        <w:t>lim</w:t>
      </w:r>
      <w:r w:rsidRPr="0034649B">
        <w:rPr>
          <w:noProof/>
        </w:rPr>
        <w:t xml:space="preserve"> în 2027. Prin urmare, în conformitate cu articolul 3 alineatul (1) din Regulamentul (UE) 2016/1139 și cu articolul 16 alineatul (4) din Regulamentul (UE) nr. 1380/2013, activitățile de pescuit direcționat trebuie suspendate și trebuie adoptate măsuri de remediere legate funcțional de acestea. În conformitate cu articolul 2 alineatul (1) și cu articolul 2 alineatul (5) literele (c) și (f) din Regulamentul (UE) nr. 1380/2013, posibilitățile de pescuit pentru capturile accidentale inevitabile trebuie, de asemenea, să fie stabilite la un nivel scăzut, pentru a se evita consecințele socioeconomice care ar rezulta din stabilirea la zero a posibilităților de pescuit.</w:t>
      </w:r>
    </w:p>
    <w:p w:rsidR="00B65CF2" w:rsidRPr="0034649B" w:rsidRDefault="00B65CF2" w:rsidP="00B65CF2">
      <w:pPr>
        <w:pStyle w:val="ManualConsidrant"/>
        <w:rPr>
          <w:noProof/>
        </w:rPr>
      </w:pPr>
      <w:r>
        <w:rPr>
          <w:noProof/>
        </w:rPr>
        <w:t>(8)</w:t>
      </w:r>
      <w:r>
        <w:rPr>
          <w:noProof/>
        </w:rPr>
        <w:tab/>
      </w:r>
      <w:r w:rsidRPr="0034649B">
        <w:rPr>
          <w:noProof/>
        </w:rPr>
        <w:t>În ceea ce privește somonul din bazinul principal, ICES nu a emis un nou aviz pentru 2027. Prin urmare, avizul emis pentru 2026 reprezintă cel mai bun aviz științific disponibil. În avizul său pentru 2026, ICES și-a menținut avizul care recomandă capturi zero, luând în considerare, în același timp, posibilitatea continuării pe timpul perioadei de vară a activităților de pescuit costier comercial și recreativ direcționat în zona situată la nord de latitudinea 59° 30′ N (subdiviziunile ICES 29 Nord-31). De asemenea, ICES și-a redus și mai mult avizul privind capturile în comparație cu 2025, din cauza incertitudinilor suplimentare cu privire la abundența somonului în râul cu cea mai importantă populație de somon din bazinul principal. Totodată, ICES a afirmat în avizul său pentru 2026 că se înregistrează o mortalitate după eliberare a somonului sălbatic în cadrul pescuitului recreativ de somon cu înotătoarea adipoasă tăiată. Prin urmare, în conformitate cu articolul 16 alineatul (4) din Regulamentul (UE) nr. 1380/2013, este oportun să se stabilească nivelul posibilităților de pescuit, precum și zona și perioada de pescuit în conformitate cu avizul ICES și să se adopte trei măsuri de remediere legate funcțional de acestea, și anume: i) interzicerea utilizării paragatelor, ii) interzicerea pescuitului de păstrăv de mare în afara zonelor costiere și iii) interzicerea pescuitului recreativ, cu excepția cazurilor în care este permis pescuitul comercial direcționat.</w:t>
      </w:r>
    </w:p>
    <w:p w:rsidR="00B65CF2" w:rsidRPr="0034649B" w:rsidRDefault="00B65CF2" w:rsidP="00B65CF2">
      <w:pPr>
        <w:pStyle w:val="ManualConsidrant"/>
        <w:rPr>
          <w:noProof/>
        </w:rPr>
      </w:pPr>
      <w:r>
        <w:rPr>
          <w:noProof/>
        </w:rPr>
        <w:t>(9)</w:t>
      </w:r>
      <w:r>
        <w:rPr>
          <w:noProof/>
        </w:rPr>
        <w:tab/>
      </w:r>
      <w:r w:rsidRPr="0034649B">
        <w:rPr>
          <w:noProof/>
        </w:rPr>
        <w:t>Pentru a asigura utilizarea deplină a posibilităților de pescuit costier de somon în subdiviziunea ICES 32, este oportun să se permită flexibilitatea interzonală limitată pentru somon între subdiviziunile ICES 22-31 și subdiviziunea ICES 32.</w:t>
      </w:r>
    </w:p>
    <w:p w:rsidR="00B65CF2" w:rsidRPr="0034649B" w:rsidRDefault="00B65CF2" w:rsidP="14D2F977">
      <w:pPr>
        <w:pStyle w:val="ManualConsidrant"/>
        <w:rPr>
          <w:noProof/>
        </w:rPr>
      </w:pPr>
      <w:r>
        <w:rPr>
          <w:noProof/>
        </w:rPr>
        <w:lastRenderedPageBreak/>
        <w:t>(10)</w:t>
      </w:r>
      <w:r>
        <w:rPr>
          <w:noProof/>
        </w:rPr>
        <w:tab/>
      </w:r>
      <w:r w:rsidRPr="0034649B">
        <w:rPr>
          <w:noProof/>
        </w:rPr>
        <w:t>Pentru a reduce riscul de raportare eronată a somonului ca păstrăv de mare în cadrul activităților de pescuit de somon, este oportun să se interzică pescuitul de păstrăv de mare dincolo de patru mile marine măsurate de la liniile de bază și să se limiteze capturile accidentale de păstrăv de mare la 3 % din captura combinată de păstrăv de mare și somon.</w:t>
      </w:r>
    </w:p>
    <w:p w:rsidR="00B65CF2" w:rsidRPr="0034649B" w:rsidRDefault="00B65CF2" w:rsidP="00B65CF2">
      <w:pPr>
        <w:pStyle w:val="ManualConsidrant"/>
        <w:rPr>
          <w:noProof/>
        </w:rPr>
      </w:pPr>
      <w:r>
        <w:rPr>
          <w:noProof/>
        </w:rPr>
        <w:t>(11)</w:t>
      </w:r>
      <w:r>
        <w:rPr>
          <w:noProof/>
        </w:rPr>
        <w:tab/>
      </w:r>
      <w:r w:rsidRPr="0034649B">
        <w:rPr>
          <w:noProof/>
        </w:rPr>
        <w:t>Măsurile privind pescuitul recreativ de cod și somon din bazinul principal și măsurile de conservare a stocurilor de păstrăv de mare și de somon nu trebuie să aducă atingere măsurilor naționale mai stricte adoptate în conformitate cu articolele 19 și 20 din Regulamentul (UE) nr. 1380/2013.</w:t>
      </w:r>
    </w:p>
    <w:p w:rsidR="00054C55" w:rsidRPr="0034649B" w:rsidRDefault="00054C55" w:rsidP="00054C55">
      <w:pPr>
        <w:pStyle w:val="ManualConsidrant"/>
        <w:rPr>
          <w:noProof/>
        </w:rPr>
      </w:pPr>
      <w:r>
        <w:rPr>
          <w:noProof/>
        </w:rPr>
        <w:t>(12)</w:t>
      </w:r>
      <w:r>
        <w:rPr>
          <w:noProof/>
        </w:rPr>
        <w:tab/>
      </w:r>
      <w:r w:rsidRPr="0034649B">
        <w:rPr>
          <w:noProof/>
        </w:rPr>
        <w:t>În ceea ce privește heringul din vestul Mării Baltice, ICES recomandă, pentru al nouălea an consecutiv, capturi zero pentru 2027 și 2028. ICES a modificat nivelurile de referință și a majorat estimarea privind biomasa, care însă s-ar situa la doar 56 % din B</w:t>
      </w:r>
      <w:r w:rsidRPr="0034649B">
        <w:rPr>
          <w:noProof/>
          <w:vertAlign w:val="subscript"/>
        </w:rPr>
        <w:t>lim</w:t>
      </w:r>
      <w:r w:rsidRPr="0034649B">
        <w:rPr>
          <w:noProof/>
        </w:rPr>
        <w:t xml:space="preserve"> în 2026. În plus, refacerea stocului de adulți rămâne la un nivel relativ scăzut și nu se preconizează o refacere a biomasei peste nivelul B</w:t>
      </w:r>
      <w:r w:rsidRPr="0034649B">
        <w:rPr>
          <w:noProof/>
          <w:vertAlign w:val="subscript"/>
        </w:rPr>
        <w:t>lim</w:t>
      </w:r>
      <w:r w:rsidRPr="0034649B">
        <w:rPr>
          <w:noProof/>
        </w:rPr>
        <w:t xml:space="preserve"> în 2028. Prin urmare, în conformitate cu articolul 4 alineatul (6) și cu articolul 5 alineatul (2) din Regulamentul (UE) 2016/1139, este oportun să se suspende activitățile de pescuit direcționat și să se abroge scutirea pentru micii pescari. În conformitate cu articolul 2 alineatul (1) și cu articolul 2 alineatul (5) literele (c) și (f) din Regulamentul (UE) nr. 1380/2013, posibilitățile de pescuit pentru capturile accidentale inevitabile trebuie să fie stabilite la un nivel scăzut, pentru a se evita consecințele socioeconomice care ar rezulta din stabilirea la zero a posibilităților de pescuit.</w:t>
      </w:r>
    </w:p>
    <w:p w:rsidR="00B65CF2" w:rsidRPr="0034649B" w:rsidRDefault="00B65CF2" w:rsidP="00B65CF2">
      <w:pPr>
        <w:pStyle w:val="ManualConsidrant"/>
        <w:rPr>
          <w:noProof/>
        </w:rPr>
      </w:pPr>
      <w:r>
        <w:rPr>
          <w:noProof/>
        </w:rPr>
        <w:t>(13)</w:t>
      </w:r>
      <w:r>
        <w:rPr>
          <w:noProof/>
        </w:rPr>
        <w:tab/>
      </w:r>
      <w:r w:rsidRPr="0034649B">
        <w:rPr>
          <w:noProof/>
        </w:rPr>
        <w:t>În ceea ce privește heringul din zona centrală a Mării Baltice, ICES estimează că stocul s-a situat sub nivelul B</w:t>
      </w:r>
      <w:r w:rsidRPr="0034649B">
        <w:rPr>
          <w:noProof/>
          <w:vertAlign w:val="subscript"/>
        </w:rPr>
        <w:t>lim</w:t>
      </w:r>
      <w:r w:rsidRPr="0034649B">
        <w:rPr>
          <w:noProof/>
        </w:rPr>
        <w:t xml:space="preserve"> în cea mai mare parte a ultimilor 30 de ani. ICES estimează că, în urma creșterii greutății preconizate în funcție de vârstă și a gradului mai puternic de refacere a stocului de adulți în ultimii ani, stocul se situează peste nivelul B</w:t>
      </w:r>
      <w:r w:rsidRPr="0034649B">
        <w:rPr>
          <w:noProof/>
          <w:vertAlign w:val="subscript"/>
        </w:rPr>
        <w:t>lim</w:t>
      </w:r>
      <w:r w:rsidRPr="0034649B">
        <w:rPr>
          <w:noProof/>
        </w:rPr>
        <w:t xml:space="preserve"> începând din 2024 și ar urma să depășească MSY B</w:t>
      </w:r>
      <w:r w:rsidRPr="0034649B">
        <w:rPr>
          <w:noProof/>
          <w:vertAlign w:val="subscript"/>
        </w:rPr>
        <w:t>trigger</w:t>
      </w:r>
      <w:r w:rsidRPr="0034649B">
        <w:rPr>
          <w:noProof/>
        </w:rPr>
        <w:t xml:space="preserve"> în 2027. Cu toate acestea, stocul se situează în continuare sub nivelul de referință pentru conservare (MSY B</w:t>
      </w:r>
      <w:r w:rsidRPr="0034649B">
        <w:rPr>
          <w:noProof/>
          <w:vertAlign w:val="subscript"/>
        </w:rPr>
        <w:t>trigger</w:t>
      </w:r>
      <w:r w:rsidRPr="0034649B">
        <w:rPr>
          <w:noProof/>
        </w:rPr>
        <w:t>), sub care trebuie luate măsuri de remediere adecvate pentru a asigura revenirea rapidă a stocului la niveluri peste cele capabile să asigure MSY. Prin urmare, în conformitate cu articolul 4 alineatul (4) din Regulamentul (UE) 2016/1139, este oportun să se stabilească posibilitățile de pescuit în consecință și să se mențină, ca măsură de remediere legată funcțional de acestea, perioada de închidere de trei luni a zonei de reproducere.</w:t>
      </w:r>
    </w:p>
    <w:p w:rsidR="00B65CF2" w:rsidRPr="0034649B" w:rsidRDefault="00B65CF2" w:rsidP="00B65CF2">
      <w:pPr>
        <w:pStyle w:val="ManualConsidrant"/>
        <w:rPr>
          <w:noProof/>
        </w:rPr>
      </w:pPr>
      <w:r>
        <w:rPr>
          <w:noProof/>
        </w:rPr>
        <w:t>(14)</w:t>
      </w:r>
      <w:r>
        <w:rPr>
          <w:noProof/>
        </w:rPr>
        <w:tab/>
      </w:r>
      <w:r w:rsidRPr="0034649B">
        <w:rPr>
          <w:noProof/>
        </w:rPr>
        <w:t>În ceea ce privește heringul din Golful Riga și cambula de Baltica, ICES estimează că biomasa se situează peste nivelul MSY B</w:t>
      </w:r>
      <w:r w:rsidRPr="0034649B">
        <w:rPr>
          <w:noProof/>
          <w:vertAlign w:val="subscript"/>
        </w:rPr>
        <w:t>trigger</w:t>
      </w:r>
      <w:r w:rsidRPr="0034649B">
        <w:rPr>
          <w:noProof/>
        </w:rPr>
        <w:t>, iar presiunea exercitată de pescuit asupra stocurilor se află sub nivelul F</w:t>
      </w:r>
      <w:r w:rsidRPr="0034649B">
        <w:rPr>
          <w:noProof/>
          <w:vertAlign w:val="subscript"/>
        </w:rPr>
        <w:t>MSY</w:t>
      </w:r>
      <w:r w:rsidRPr="0034649B">
        <w:rPr>
          <w:noProof/>
        </w:rPr>
        <w:t>. Prin urmare, în conformitate cu articolul 4 alineatul (3) din Regulamentul (UE) 2016/1139, este oportun să se stabilească posibilitățile de pescuit în consecință.</w:t>
      </w:r>
    </w:p>
    <w:p w:rsidR="00054C55" w:rsidRPr="0034649B" w:rsidRDefault="00054C55">
      <w:pPr>
        <w:pStyle w:val="ManualConsidrant"/>
        <w:rPr>
          <w:noProof/>
        </w:rPr>
      </w:pPr>
      <w:r>
        <w:rPr>
          <w:noProof/>
        </w:rPr>
        <w:t>(15)</w:t>
      </w:r>
      <w:r>
        <w:rPr>
          <w:noProof/>
        </w:rPr>
        <w:tab/>
      </w:r>
      <w:r w:rsidRPr="0034649B">
        <w:rPr>
          <w:noProof/>
        </w:rPr>
        <w:t>În ceea ce privește heringul din Golful Botnic, ICES și-a majorat estimarea privind biomasa, însă preconizează că aceasta va continua să scadă și să rămână sub MSY B</w:t>
      </w:r>
      <w:r w:rsidRPr="0034649B">
        <w:rPr>
          <w:noProof/>
          <w:vertAlign w:val="subscript"/>
        </w:rPr>
        <w:t>trigger</w:t>
      </w:r>
      <w:r w:rsidRPr="0034649B">
        <w:rPr>
          <w:noProof/>
        </w:rPr>
        <w:t>. ICES menționează în continuare existența unor incertitudini în ceea ce privește estimarea grupelor de vârstă mică. În plus, nu există nicio TAC în intervalul F</w:t>
      </w:r>
      <w:r w:rsidRPr="0034649B">
        <w:rPr>
          <w:noProof/>
          <w:vertAlign w:val="subscript"/>
        </w:rPr>
        <w:t>MSY</w:t>
      </w:r>
      <w:r w:rsidRPr="0034649B">
        <w:rPr>
          <w:noProof/>
        </w:rPr>
        <w:t xml:space="preserve"> care să ducă la o creștere a biomasei în 2028. Pe lângă aceasta, ICES observă că este probabil ca stocul să fie vulnerabil la pierderea diversității genetice. Prin urmare, în conformitate cu articolul 4 alineatul (4) și cu articolul 5 alineatul (1) din Regulamentul (UE) 2016/1139, este oportun să se stabilească posibilitățile de pescuit în consecință și să se mențină, ca măsură de remediere legată funcțional de acestea, perioada de închidere de trei luni a zonei de reproducere.</w:t>
      </w:r>
    </w:p>
    <w:p w:rsidR="00581D64" w:rsidRPr="0034649B" w:rsidRDefault="00B65CF2" w:rsidP="00B65CF2">
      <w:pPr>
        <w:pStyle w:val="ManualConsidrant"/>
        <w:rPr>
          <w:noProof/>
        </w:rPr>
      </w:pPr>
      <w:r>
        <w:rPr>
          <w:noProof/>
        </w:rPr>
        <w:lastRenderedPageBreak/>
        <w:t>(16)</w:t>
      </w:r>
      <w:r>
        <w:rPr>
          <w:noProof/>
        </w:rPr>
        <w:tab/>
      </w:r>
      <w:r w:rsidRPr="0034649B">
        <w:rPr>
          <w:noProof/>
        </w:rPr>
        <w:t>În ceea ce privește șprotul, din cauza nivelului minim istoric de refacere a stocului de adulți din 2021 până în 2023, biomasa s-a situat în 2025 la cel mai scăzut nivel din 1990 și aproape de MSY B</w:t>
      </w:r>
      <w:r w:rsidRPr="0034649B">
        <w:rPr>
          <w:noProof/>
          <w:vertAlign w:val="subscript"/>
        </w:rPr>
        <w:t>trigger</w:t>
      </w:r>
      <w:r w:rsidRPr="0034649B">
        <w:rPr>
          <w:noProof/>
        </w:rPr>
        <w:t>. Cu toate acestea, refacerea stocului de adulți în 2024 a fost foarte ridicată, iar ICES estimează că biomasa aproape s-a dublat. Refacerea stocului de adulți în 2025 este, de asemenea, estimată la un nivel ridicat. Prin urmare, în conformitate cu articolul 4 alineatul (3) din Regulamentul (UE) 2016/1139, este oportun să se stabilească posibilitățile de pescuit în consecință și să se suspende perioada de închidere de trei luni a zonei de reproducere.</w:t>
      </w:r>
    </w:p>
    <w:p w:rsidR="004162A2" w:rsidRPr="0034649B" w:rsidRDefault="00B65CF2" w:rsidP="00B65CF2">
      <w:pPr>
        <w:pStyle w:val="ManualConsidrant"/>
        <w:rPr>
          <w:noProof/>
          <w:szCs w:val="24"/>
        </w:rPr>
      </w:pPr>
      <w:r>
        <w:rPr>
          <w:noProof/>
        </w:rPr>
        <w:t>(17)</w:t>
      </w:r>
      <w:r>
        <w:rPr>
          <w:noProof/>
        </w:rPr>
        <w:tab/>
      </w:r>
      <w:r w:rsidRPr="0034649B">
        <w:rPr>
          <w:noProof/>
        </w:rPr>
        <w:t>Utilizarea posibilităților de pescuit prevăzute în prezentul regulament va fi monitorizată și controlată în conformitate cu Regulamentul (CE) nr. 1224/2009 al Consiliului</w:t>
      </w:r>
      <w:r w:rsidRPr="0034649B">
        <w:rPr>
          <w:rStyle w:val="FootnoteReference"/>
          <w:noProof/>
        </w:rPr>
        <w:footnoteReference w:id="27"/>
      </w:r>
      <w:r w:rsidRPr="0034649B">
        <w:rPr>
          <w:noProof/>
        </w:rPr>
        <w:t>, în special cu articolele 33 și 34 din respectivul regulament, în ceea ce privește înregistrarea capturilor și a efortului de pescuit și transmiterea datelor privind epuizarea posibilităților de pescuit către Comisie. Prin urmare, este necesar să se precizeze codurile utilizate de statele membre atunci când transmit Comisiei date cu privire la debarcarea stocurilor reglementate prin prezentul regulament.</w:t>
      </w:r>
    </w:p>
    <w:p w:rsidR="004162A2" w:rsidRPr="0034649B" w:rsidRDefault="00B65CF2" w:rsidP="00B65CF2">
      <w:pPr>
        <w:pStyle w:val="ManualConsidrant"/>
        <w:rPr>
          <w:noProof/>
          <w:szCs w:val="24"/>
        </w:rPr>
      </w:pPr>
      <w:r>
        <w:rPr>
          <w:noProof/>
        </w:rPr>
        <w:t>(18)</w:t>
      </w:r>
      <w:r>
        <w:rPr>
          <w:noProof/>
        </w:rPr>
        <w:tab/>
      </w:r>
      <w:r w:rsidRPr="0034649B">
        <w:rPr>
          <w:noProof/>
        </w:rPr>
        <w:t>Articolele 3 și 4 din Regulamentul (CE) nr. 847/96 al Consiliului</w:t>
      </w:r>
      <w:r w:rsidRPr="0034649B">
        <w:rPr>
          <w:rStyle w:val="FootnoteReference"/>
          <w:noProof/>
        </w:rPr>
        <w:footnoteReference w:id="28"/>
      </w:r>
      <w:r w:rsidRPr="0034649B">
        <w:rPr>
          <w:noProof/>
        </w:rPr>
        <w:t xml:space="preserve"> prevăd o flexibilitate de la an la an în ceea ce privește cotele pentru stocurile care fac obiectul atât al unor TAC-uri de precauție, cât și al unor TAC-uri analitice. În temeiul articolului 2 din regulamentul respectiv, la stabilirea TAC-urilor, Consiliul decide cu privire la stocurile cărora nu li se aplică articolele 3 și 4, în special în funcție de starea lor biologică. În plus, articolul 15 alineatul (9) din Regulamentul (UE) nr. 1380/2013 prevede o flexibilitate de la an la an suplimentară pentru toate stocurile care fac obiectul obligației de debarcare. Pentru a se evita o flexibilitate excesivă care ar submina realizarea obiectivelor PCP, flexibilitatea de la an la an în ceea ce privește cotele prevăzută la articolele 3 și 4 din Regulamentul (CE) nr. 847/96 și cea prevăzută la articolul 15 alineatul (9) din Regulamentul (UE) nr. 1380/2013 nu trebuie să se aplice cumulativ. Flexibilitatea de la an la an prevăzută la articolul 15 alineatul (9) din Regulamentul (UE) nr. 1380/2013 trebuie, dacă este cazul, să fie exclusă în funcție de starea biologică a stocurilor.</w:t>
      </w:r>
    </w:p>
    <w:p w:rsidR="004162A2" w:rsidRPr="0034649B" w:rsidRDefault="551AEFDF" w:rsidP="00D12122">
      <w:pPr>
        <w:pStyle w:val="ManualConsidrant"/>
        <w:rPr>
          <w:noProof/>
        </w:rPr>
      </w:pPr>
      <w:r>
        <w:rPr>
          <w:noProof/>
        </w:rPr>
        <w:t>(19)</w:t>
      </w:r>
      <w:r>
        <w:rPr>
          <w:noProof/>
        </w:rPr>
        <w:tab/>
      </w:r>
      <w:r w:rsidRPr="0034649B">
        <w:rPr>
          <w:noProof/>
        </w:rPr>
        <w:t>Biomasa stocurilor de cod din estul Mării Baltice, de cod din vestul Mării Baltice și de hering din vestul Mării Baltice se situează sub nivelul B</w:t>
      </w:r>
      <w:r w:rsidRPr="0034649B">
        <w:rPr>
          <w:noProof/>
          <w:vertAlign w:val="subscript"/>
        </w:rPr>
        <w:t>lim</w:t>
      </w:r>
      <w:r w:rsidRPr="0034649B">
        <w:rPr>
          <w:noProof/>
        </w:rPr>
        <w:t xml:space="preserve">. Pentru toate aceste stocuri, în 2027 trebuie permise numai capturile accidentale și activitățile de pescuit în scop științific. Prin urmare, având în vedere reziliența relativ scăzută a ecosistemului Mării Baltice, statele membre care au o cotă din TAC-urile respective s-au angajat să nu aplice flexibilitatea de la an la an prevăzută la articolul 15 alineatul (9) din Regulamentul (UE) nr. 1380/2013 pentru stocurile respective pentru a transfera cantitățile neutilizate din 2026 în 2027 („reportarea cotelor”) și a utiliza cantitățile disponibile pentru 2028 („transferul anticipat al cotelor”), astfel încât capturile din 2027 să nu depășească TAC-urile respective. În plus, la sud de latitudinea </w:t>
      </w:r>
      <w:bookmarkStart w:id="7" w:name="_Hlk169260453"/>
      <w:r w:rsidRPr="0034649B">
        <w:rPr>
          <w:noProof/>
        </w:rPr>
        <w:t>59° 30′ N</w:t>
      </w:r>
      <w:bookmarkEnd w:id="7"/>
      <w:r w:rsidRPr="0034649B">
        <w:rPr>
          <w:noProof/>
        </w:rPr>
        <w:t xml:space="preserve">, </w:t>
      </w:r>
      <w:r w:rsidRPr="0034649B">
        <w:rPr>
          <w:noProof/>
        </w:rPr>
        <w:lastRenderedPageBreak/>
        <w:t>biomasa cvasi-totalității stocurilor din râuri de somon din bazinul principal se situează sub nivelul-limită de referință pentru producția de somon tânăr (R</w:t>
      </w:r>
      <w:r w:rsidRPr="0034649B">
        <w:rPr>
          <w:noProof/>
          <w:vertAlign w:val="subscript"/>
        </w:rPr>
        <w:t>lim</w:t>
      </w:r>
      <w:r w:rsidRPr="0034649B">
        <w:rPr>
          <w:noProof/>
        </w:rPr>
        <w:t>) și în 2027 sunt permise numai capturile accidentale și activitățile de pescuit în scop științific. Prin urmare, statele membre în cauză și-au asumat un angajament similar privind flexibilitatea de la an la an în ceea ce privește capturile de somon din bazinul principal pentru reportarea cotelor din 2026 în 2027 și transferul anticipat al cotelor din 2028.</w:t>
      </w:r>
    </w:p>
    <w:p w:rsidR="004162A2" w:rsidRPr="0034649B" w:rsidRDefault="7851E69E">
      <w:pPr>
        <w:pStyle w:val="ManualConsidrant"/>
        <w:rPr>
          <w:noProof/>
        </w:rPr>
      </w:pPr>
      <w:r>
        <w:rPr>
          <w:noProof/>
        </w:rPr>
        <w:t>(20)</w:t>
      </w:r>
      <w:r>
        <w:rPr>
          <w:noProof/>
        </w:rPr>
        <w:tab/>
      </w:r>
      <w:r w:rsidRPr="0034649B">
        <w:rPr>
          <w:noProof/>
        </w:rPr>
        <w:t>[</w:t>
      </w:r>
      <w:r w:rsidRPr="0034649B">
        <w:rPr>
          <w:i/>
          <w:noProof/>
        </w:rPr>
        <w:t>spațiu rezervat pentru merluciul norvegian:</w:t>
      </w:r>
      <w:r w:rsidRPr="0034649B">
        <w:rPr>
          <w:noProof/>
        </w:rPr>
        <w:t xml:space="preserve"> Regulamentul (UE) 2026/249 al Consiliului</w:t>
      </w:r>
      <w:r w:rsidRPr="0034649B">
        <w:rPr>
          <w:rStyle w:val="FootnoteReference"/>
          <w:noProof/>
        </w:rPr>
        <w:footnoteReference w:id="29"/>
      </w:r>
      <w:r w:rsidRPr="0034649B">
        <w:rPr>
          <w:noProof/>
        </w:rPr>
        <w:t xml:space="preserve"> stabilește TAC pentru merluciul norvegian (</w:t>
      </w:r>
      <w:r w:rsidRPr="0034649B">
        <w:rPr>
          <w:i/>
          <w:noProof/>
        </w:rPr>
        <w:t>Trisopterus esmarkii</w:t>
      </w:r>
      <w:r w:rsidRPr="0034649B">
        <w:rPr>
          <w:noProof/>
        </w:rPr>
        <w:t>) în diviziunea ICES 3a (Skagerrak-Kattegat), în apele Regatului Unit și apele Uniunii din subzona ICES 4 și în apele Regatului Unit din diviziunea ICES 2a (Marea Nordului). Uniunea și Regatul Unit au organizat, la xx octombrie 2026, consultări bilaterale cu privire la TAC pentru merluciul norvegian în zonele respective pentru perioada 1 noiembrie 2026-31 octombrie 2027. Consultările respective au avut loc în temeiul articolului 498 alineatul (2) din Acordul comercial și de cooperare dintre Uniunea Europeană și Comunitatea Europeană a Energiei Atomice, pe de o parte, și Regatul Unit al Marii Britanii și Irlandei de Nord, pe de altă parte</w:t>
      </w:r>
      <w:r w:rsidRPr="0034649B">
        <w:rPr>
          <w:rStyle w:val="FootnoteReference"/>
          <w:noProof/>
        </w:rPr>
        <w:footnoteReference w:id="30"/>
      </w:r>
      <w:r w:rsidRPr="0034649B">
        <w:rPr>
          <w:noProof/>
        </w:rPr>
        <w:t>. Uniunea a participat la consultările respective pe baza specificațiilor poziției Uniunii aprobate de Consiliu la xx octombrie 2026, în temeiul articolului 2 din Decizia (UE) 2021/1875 a Consiliului</w:t>
      </w:r>
      <w:r w:rsidRPr="0034649B">
        <w:rPr>
          <w:rStyle w:val="FootnoteReference"/>
          <w:noProof/>
        </w:rPr>
        <w:footnoteReference w:id="31"/>
      </w:r>
      <w:r w:rsidRPr="0034649B">
        <w:rPr>
          <w:noProof/>
        </w:rPr>
        <w:t>. Uniunea și Regatul Unit au convenit asupra unei TAC pe baza avizului ICES pentru merluciul norvegian din subzona ICES 4 și din diviziunea ICES 3a pentru perioada respectivă, aviz care a fost publicat la 9 octombrie 2026. Rezultatul consultărilor a fost consemnat într-un proces-verbal care a fost semnat de șeful delegației Uniunii și de șeful delegației Regatului Unit la xx octombrie 2026. TAC pentru perioada 1 noiembrie 2026-31 octombrie 2027 trebuie stabilită la nivelul indicat în respectivul proces-verbal.]</w:t>
      </w:r>
    </w:p>
    <w:p w:rsidR="004162A2" w:rsidRPr="0034649B" w:rsidRDefault="7851E69E" w:rsidP="00D12122">
      <w:pPr>
        <w:pStyle w:val="ManualConsidrant"/>
        <w:rPr>
          <w:noProof/>
        </w:rPr>
      </w:pPr>
      <w:r>
        <w:rPr>
          <w:noProof/>
        </w:rPr>
        <w:t>(21)</w:t>
      </w:r>
      <w:r>
        <w:rPr>
          <w:noProof/>
        </w:rPr>
        <w:tab/>
      </w:r>
      <w:r w:rsidRPr="0034649B">
        <w:rPr>
          <w:noProof/>
        </w:rPr>
        <w:t>[</w:t>
      </w:r>
      <w:r w:rsidRPr="0034649B">
        <w:rPr>
          <w:i/>
          <w:noProof/>
        </w:rPr>
        <w:t>spațiu rezervat pentru alte modificări eventuale aduse Regulamentului (UE) 2026/249 al Consiliului</w:t>
      </w:r>
      <w:r w:rsidRPr="0034649B">
        <w:rPr>
          <w:noProof/>
        </w:rPr>
        <w:t>].</w:t>
      </w:r>
    </w:p>
    <w:p w:rsidR="007811AE" w:rsidRPr="0034649B" w:rsidRDefault="4910A489" w:rsidP="00D12122">
      <w:pPr>
        <w:pStyle w:val="ManualConsidrant"/>
        <w:rPr>
          <w:noProof/>
        </w:rPr>
      </w:pPr>
      <w:r>
        <w:rPr>
          <w:noProof/>
        </w:rPr>
        <w:t>(22)</w:t>
      </w:r>
      <w:r>
        <w:rPr>
          <w:noProof/>
        </w:rPr>
        <w:tab/>
      </w:r>
      <w:r w:rsidRPr="0034649B">
        <w:rPr>
          <w:noProof/>
        </w:rPr>
        <w:t>Prin urmare, Regulamentul (UE) 2026/249 trebuie modificat în consecință.</w:t>
      </w:r>
    </w:p>
    <w:p w:rsidR="004162A2" w:rsidRPr="0034649B" w:rsidRDefault="009415CB" w:rsidP="00D12122">
      <w:pPr>
        <w:pStyle w:val="ManualConsidrant"/>
        <w:rPr>
          <w:noProof/>
        </w:rPr>
      </w:pPr>
      <w:r>
        <w:rPr>
          <w:noProof/>
        </w:rPr>
        <w:t>(23)</w:t>
      </w:r>
      <w:r>
        <w:rPr>
          <w:noProof/>
        </w:rPr>
        <w:tab/>
      </w:r>
      <w:r w:rsidRPr="0034649B">
        <w:rPr>
          <w:noProof/>
        </w:rPr>
        <w:t>Pentru a se evita întreruperea activităților de pescuit și a se garanta mijloacele de subzistență pentru pescari, dispozițiile prezentului regulament în ceea privește Marea Baltică trebuie să se aplice de la 1 ianuarie 2027. Dispozițiile de modificare a Regulamentului (UE) 2026/249 referitoare la merluciul norvegian din Skagerrak-Kattegat și din Marea Nordului trebuie să se aplice retroactiv de la 1 noiembrie 2026 până la 31 octombrie 2027, deoarece acesta este sezonul de pescuit pentru merluciul norvegian. [</w:t>
      </w:r>
      <w:r w:rsidRPr="0034649B">
        <w:rPr>
          <w:i/>
          <w:noProof/>
        </w:rPr>
        <w:t>spațiu rezervat pentru alte modificări eventuale</w:t>
      </w:r>
      <w:r w:rsidRPr="0034649B">
        <w:rPr>
          <w:noProof/>
        </w:rPr>
        <w:t xml:space="preserve">.] Această aplicare retroactivă nu afectează principiile securității juridice și încrederii legitime, întrucât cotele aferente TAC-urilor respective nu au fost încă epuizate sau au fost majorate. Din motive de urgență, prezentul regulament trebuie să intre în vigoare imediat după publicarea sa în </w:t>
      </w:r>
      <w:r w:rsidRPr="0034649B">
        <w:rPr>
          <w:i/>
          <w:noProof/>
        </w:rPr>
        <w:t>Jurnalul Oficial al Uniunii Europene</w:t>
      </w:r>
      <w:r w:rsidRPr="0034649B">
        <w:rPr>
          <w:noProof/>
        </w:rPr>
        <w:t>,</w:t>
      </w:r>
    </w:p>
    <w:p w:rsidR="002963AE" w:rsidRPr="0034649B" w:rsidRDefault="00E66D34">
      <w:pPr>
        <w:pStyle w:val="Formuledadoption"/>
        <w:rPr>
          <w:noProof/>
        </w:rPr>
      </w:pPr>
      <w:r w:rsidRPr="0034649B">
        <w:rPr>
          <w:noProof/>
        </w:rPr>
        <w:lastRenderedPageBreak/>
        <w:t>ADOPTĂ PREZENTUL REGULAMENT:</w:t>
      </w:r>
    </w:p>
    <w:p w:rsidR="00D12122" w:rsidRPr="0034649B" w:rsidRDefault="00D12122" w:rsidP="00D12122">
      <w:pPr>
        <w:rPr>
          <w:noProof/>
        </w:rPr>
      </w:pPr>
    </w:p>
    <w:p w:rsidR="002963AE" w:rsidRPr="0034649B" w:rsidRDefault="00E66D34" w:rsidP="00D12122">
      <w:pPr>
        <w:pStyle w:val="ChapterTitle"/>
        <w:rPr>
          <w:noProof/>
        </w:rPr>
      </w:pPr>
      <w:r w:rsidRPr="0034649B">
        <w:rPr>
          <w:noProof/>
        </w:rPr>
        <w:t>CAPITOLUL I</w:t>
      </w:r>
      <w:r w:rsidR="00150FBC">
        <w:rPr>
          <w:noProof/>
        </w:rPr>
        <w:t xml:space="preserve"> </w:t>
      </w:r>
      <w:r w:rsidRPr="0034649B">
        <w:rPr>
          <w:noProof/>
        </w:rPr>
        <w:br/>
        <w:t>DISPOZIȚII GENERALE</w:t>
      </w:r>
    </w:p>
    <w:p w:rsidR="002963AE" w:rsidRPr="0034649B" w:rsidRDefault="00E66D34" w:rsidP="00D12122">
      <w:pPr>
        <w:pStyle w:val="Titrearticle"/>
        <w:rPr>
          <w:noProof/>
        </w:rPr>
      </w:pPr>
      <w:r w:rsidRPr="0034649B">
        <w:rPr>
          <w:noProof/>
        </w:rPr>
        <w:t>Articolul 1</w:t>
      </w:r>
      <w:r w:rsidR="00150FBC">
        <w:rPr>
          <w:noProof/>
        </w:rPr>
        <w:t xml:space="preserve"> </w:t>
      </w:r>
      <w:r w:rsidRPr="0034649B">
        <w:rPr>
          <w:noProof/>
        </w:rPr>
        <w:br/>
      </w:r>
      <w:r w:rsidRPr="0034649B">
        <w:rPr>
          <w:b/>
          <w:i w:val="0"/>
          <w:noProof/>
        </w:rPr>
        <w:t>Obiect</w:t>
      </w:r>
    </w:p>
    <w:p w:rsidR="002963AE" w:rsidRPr="0034649B" w:rsidRDefault="009415CB" w:rsidP="3D74621C">
      <w:pPr>
        <w:rPr>
          <w:b/>
          <w:noProof/>
        </w:rPr>
      </w:pPr>
      <w:r w:rsidRPr="0034649B">
        <w:rPr>
          <w:noProof/>
        </w:rPr>
        <w:t>Prezentul regulament stabilește posibilitățile de pescuit pentru anumite stocuri de pește și grupuri de stocuri de pește în Marea Baltică pentru anul 2027.</w:t>
      </w:r>
    </w:p>
    <w:p w:rsidR="002963AE" w:rsidRPr="0034649B" w:rsidRDefault="00E66D34" w:rsidP="00D12122">
      <w:pPr>
        <w:pStyle w:val="Titrearticle"/>
        <w:rPr>
          <w:noProof/>
        </w:rPr>
      </w:pPr>
      <w:r w:rsidRPr="0034649B">
        <w:rPr>
          <w:noProof/>
        </w:rPr>
        <w:t>Articolul 2</w:t>
      </w:r>
      <w:r w:rsidR="00150FBC">
        <w:rPr>
          <w:noProof/>
        </w:rPr>
        <w:t xml:space="preserve"> </w:t>
      </w:r>
      <w:r w:rsidRPr="0034649B">
        <w:rPr>
          <w:noProof/>
        </w:rPr>
        <w:br/>
      </w:r>
      <w:r w:rsidRPr="0034649B">
        <w:rPr>
          <w:b/>
          <w:i w:val="0"/>
          <w:noProof/>
        </w:rPr>
        <w:t>Domeniul de aplicare</w:t>
      </w:r>
    </w:p>
    <w:p w:rsidR="009415CB" w:rsidRPr="0034649B" w:rsidRDefault="009415CB" w:rsidP="009415CB">
      <w:pPr>
        <w:rPr>
          <w:noProof/>
        </w:rPr>
      </w:pPr>
      <w:r w:rsidRPr="0034649B">
        <w:rPr>
          <w:noProof/>
        </w:rPr>
        <w:t>1.</w:t>
      </w:r>
      <w:r w:rsidRPr="0034649B">
        <w:rPr>
          <w:noProof/>
        </w:rPr>
        <w:tab/>
        <w:t>Prezentul regulament se aplică navelor de pescuit ale Uniunii care își desfășoară activitatea în Marea Baltică.</w:t>
      </w:r>
    </w:p>
    <w:p w:rsidR="002963AE" w:rsidRPr="0034649B" w:rsidRDefault="009415CB" w:rsidP="009415CB">
      <w:pPr>
        <w:ind w:left="720" w:hanging="720"/>
        <w:rPr>
          <w:noProof/>
        </w:rPr>
      </w:pPr>
      <w:r w:rsidRPr="0034649B">
        <w:rPr>
          <w:noProof/>
        </w:rPr>
        <w:t>2.</w:t>
      </w:r>
      <w:r w:rsidRPr="0034649B">
        <w:rPr>
          <w:noProof/>
        </w:rPr>
        <w:tab/>
        <w:t>Prezentul regulament se aplică, de asemenea, pescuitului recreativ din Marea Baltică, în cazul în care acesta este menționat în mod explicit în dispozițiile relevante.</w:t>
      </w:r>
    </w:p>
    <w:p w:rsidR="002963AE" w:rsidRPr="0034649B" w:rsidRDefault="00E66D34" w:rsidP="00D12122">
      <w:pPr>
        <w:pStyle w:val="Titrearticle"/>
        <w:rPr>
          <w:noProof/>
        </w:rPr>
      </w:pPr>
      <w:r w:rsidRPr="0034649B">
        <w:rPr>
          <w:noProof/>
        </w:rPr>
        <w:t>Articolul 3</w:t>
      </w:r>
      <w:r w:rsidR="00150FBC">
        <w:rPr>
          <w:noProof/>
        </w:rPr>
        <w:t xml:space="preserve"> </w:t>
      </w:r>
      <w:r w:rsidRPr="0034649B">
        <w:rPr>
          <w:noProof/>
        </w:rPr>
        <w:br/>
      </w:r>
      <w:r w:rsidRPr="0034649B">
        <w:rPr>
          <w:b/>
          <w:i w:val="0"/>
          <w:noProof/>
        </w:rPr>
        <w:t>Definiții</w:t>
      </w:r>
    </w:p>
    <w:p w:rsidR="00E30C02" w:rsidRPr="0034649B" w:rsidRDefault="00E66D34" w:rsidP="000A4814">
      <w:pPr>
        <w:rPr>
          <w:noProof/>
        </w:rPr>
      </w:pPr>
      <w:r w:rsidRPr="0034649B">
        <w:rPr>
          <w:noProof/>
        </w:rPr>
        <w:t>În sensul prezentului regulament, se aplică definițiile prevăzute la articolul 4 din Regulamentul (UE) nr. 1380/2013.</w:t>
      </w:r>
    </w:p>
    <w:p w:rsidR="002963AE" w:rsidRPr="0034649B" w:rsidRDefault="00E66D34" w:rsidP="000A4814">
      <w:pPr>
        <w:rPr>
          <w:noProof/>
        </w:rPr>
      </w:pPr>
      <w:r w:rsidRPr="0034649B">
        <w:rPr>
          <w:noProof/>
        </w:rPr>
        <w:t>În plus, se aplică următoarele definiții:</w:t>
      </w:r>
    </w:p>
    <w:p w:rsidR="002963AE" w:rsidRPr="0034649B" w:rsidRDefault="00E30C02" w:rsidP="00BD53D1">
      <w:pPr>
        <w:pStyle w:val="Point0"/>
        <w:rPr>
          <w:noProof/>
        </w:rPr>
      </w:pPr>
      <w:r>
        <w:rPr>
          <w:noProof/>
        </w:rPr>
        <w:t>(1)</w:t>
      </w:r>
      <w:r>
        <w:rPr>
          <w:noProof/>
        </w:rPr>
        <w:tab/>
      </w:r>
      <w:r w:rsidRPr="0034649B">
        <w:rPr>
          <w:noProof/>
        </w:rPr>
        <w:t>„subdiviziune” înseamnă o subdiviziune a Consiliului Internațional pentru Explorarea Apelor Maritime (ICES) din cadrul Mării Baltice, astfel cum este definită în anexa III la Regulamentul (CE) nr. 218/2009 al Parlamentului European și al Consiliului</w:t>
      </w:r>
      <w:r w:rsidRPr="0034649B">
        <w:rPr>
          <w:rStyle w:val="FootnoteReference"/>
          <w:noProof/>
        </w:rPr>
        <w:footnoteReference w:id="32"/>
      </w:r>
      <w:r w:rsidRPr="0034649B">
        <w:rPr>
          <w:noProof/>
        </w:rPr>
        <w:t>;</w:t>
      </w:r>
    </w:p>
    <w:p w:rsidR="002963AE" w:rsidRPr="0034649B" w:rsidRDefault="1AB4ED57" w:rsidP="00BD53D1">
      <w:pPr>
        <w:pStyle w:val="Point0"/>
        <w:rPr>
          <w:noProof/>
        </w:rPr>
      </w:pPr>
      <w:r>
        <w:rPr>
          <w:noProof/>
        </w:rPr>
        <w:t>(2)</w:t>
      </w:r>
      <w:r>
        <w:rPr>
          <w:noProof/>
        </w:rPr>
        <w:tab/>
      </w:r>
      <w:r w:rsidRPr="0034649B">
        <w:rPr>
          <w:noProof/>
        </w:rPr>
        <w:t>„captură totală admisibilă (TAC)” înseamnă:</w:t>
      </w:r>
    </w:p>
    <w:p w:rsidR="002963AE" w:rsidRPr="0034649B" w:rsidRDefault="4911B031" w:rsidP="00534DA4">
      <w:pPr>
        <w:pStyle w:val="Point1"/>
        <w:rPr>
          <w:noProof/>
        </w:rPr>
      </w:pPr>
      <w:r>
        <w:rPr>
          <w:noProof/>
        </w:rPr>
        <w:t>(a)</w:t>
      </w:r>
      <w:r>
        <w:rPr>
          <w:noProof/>
        </w:rPr>
        <w:tab/>
      </w:r>
      <w:r w:rsidRPr="0034649B">
        <w:rPr>
          <w:noProof/>
        </w:rPr>
        <w:t>în cadrul activităților de pescuit care fac obiectul excepției de la obligația de debarcare menționată la articolul 15 alineatele (4)-(7) din Regulamentul (UE) nr. 1380/2013, cantitatea de pește care poate fi debarcată anual din fiecare stoc;</w:t>
      </w:r>
    </w:p>
    <w:p w:rsidR="002963AE" w:rsidRPr="0034649B" w:rsidRDefault="4911B031" w:rsidP="00534DA4">
      <w:pPr>
        <w:pStyle w:val="Point1"/>
        <w:rPr>
          <w:noProof/>
        </w:rPr>
      </w:pPr>
      <w:r>
        <w:rPr>
          <w:noProof/>
        </w:rPr>
        <w:t>(b)</w:t>
      </w:r>
      <w:r>
        <w:rPr>
          <w:noProof/>
        </w:rPr>
        <w:tab/>
      </w:r>
      <w:r w:rsidRPr="0034649B">
        <w:rPr>
          <w:noProof/>
        </w:rPr>
        <w:t>în cadrul tuturor celorlalte activități de pescuit, cantitatea de pește care poate fi capturată anual din fiecare stoc;</w:t>
      </w:r>
    </w:p>
    <w:p w:rsidR="002963AE" w:rsidRPr="0034649B" w:rsidRDefault="1AB4ED57" w:rsidP="00BD53D1">
      <w:pPr>
        <w:pStyle w:val="Point0"/>
        <w:rPr>
          <w:noProof/>
        </w:rPr>
      </w:pPr>
      <w:r>
        <w:rPr>
          <w:noProof/>
        </w:rPr>
        <w:t>(3)</w:t>
      </w:r>
      <w:r>
        <w:rPr>
          <w:noProof/>
        </w:rPr>
        <w:tab/>
      </w:r>
      <w:r w:rsidRPr="0034649B">
        <w:rPr>
          <w:noProof/>
        </w:rPr>
        <w:t>„cotă” înseamnă o proporție din TAC alocată Uniunii, unui stat membru sau unei țări terțe;</w:t>
      </w:r>
    </w:p>
    <w:p w:rsidR="002963AE" w:rsidRPr="0034649B" w:rsidRDefault="1AB4ED57" w:rsidP="00BD53D1">
      <w:pPr>
        <w:pStyle w:val="Point0"/>
        <w:rPr>
          <w:noProof/>
        </w:rPr>
      </w:pPr>
      <w:r>
        <w:rPr>
          <w:noProof/>
        </w:rPr>
        <w:t>(4)</w:t>
      </w:r>
      <w:r>
        <w:rPr>
          <w:noProof/>
        </w:rPr>
        <w:tab/>
      </w:r>
      <w:r w:rsidRPr="0034649B">
        <w:rPr>
          <w:noProof/>
        </w:rPr>
        <w:t>„pescuit recreativ” înseamnă activități de pescuit necomerciale care exploatează resursele biologice marine în scop recreativ, turistic sau sportiv;</w:t>
      </w:r>
    </w:p>
    <w:p w:rsidR="00C276FF" w:rsidRPr="0034649B" w:rsidRDefault="00C276FF" w:rsidP="00BD53D1">
      <w:pPr>
        <w:pStyle w:val="Point0"/>
        <w:rPr>
          <w:noProof/>
        </w:rPr>
      </w:pPr>
      <w:r>
        <w:rPr>
          <w:noProof/>
        </w:rPr>
        <w:t>(5)</w:t>
      </w:r>
      <w:r>
        <w:rPr>
          <w:noProof/>
        </w:rPr>
        <w:tab/>
      </w:r>
      <w:r w:rsidRPr="0034649B">
        <w:rPr>
          <w:noProof/>
        </w:rPr>
        <w:t xml:space="preserve">„evaluare analitică” înseamnă o evaluare cantitativă a tendințelor unui anumit stoc, bazată pe date privind biologia și exploatarea stocului, inclusiv pe baza unor </w:t>
      </w:r>
      <w:r w:rsidRPr="0034649B">
        <w:rPr>
          <w:noProof/>
        </w:rPr>
        <w:lastRenderedPageBreak/>
        <w:t>substituenți, și despre care s-a stabilit, printr-o analiză științifică, că are o calitate suficientă pentru a servi drept bază pentru avize științifice;</w:t>
      </w:r>
    </w:p>
    <w:p w:rsidR="00EC1F9A" w:rsidRPr="0034649B" w:rsidRDefault="00C276FF" w:rsidP="00BD53D1">
      <w:pPr>
        <w:pStyle w:val="Point0"/>
        <w:rPr>
          <w:noProof/>
        </w:rPr>
      </w:pPr>
      <w:r>
        <w:rPr>
          <w:noProof/>
        </w:rPr>
        <w:t>(6)</w:t>
      </w:r>
      <w:r>
        <w:rPr>
          <w:noProof/>
        </w:rPr>
        <w:tab/>
      </w:r>
      <w:r w:rsidRPr="0034649B">
        <w:rPr>
          <w:noProof/>
        </w:rPr>
        <w:t>„TAC analitică” înseamnă o TAC pentru care este disponibilă o evaluare analitică;</w:t>
      </w:r>
    </w:p>
    <w:p w:rsidR="00C276FF" w:rsidRPr="0034649B" w:rsidRDefault="00EC1F9A" w:rsidP="00BD53D1">
      <w:pPr>
        <w:pStyle w:val="Point0"/>
        <w:rPr>
          <w:noProof/>
        </w:rPr>
      </w:pPr>
      <w:r>
        <w:rPr>
          <w:noProof/>
        </w:rPr>
        <w:t>(7)</w:t>
      </w:r>
      <w:r>
        <w:rPr>
          <w:noProof/>
        </w:rPr>
        <w:tab/>
      </w:r>
      <w:r w:rsidRPr="0034649B">
        <w:rPr>
          <w:noProof/>
        </w:rPr>
        <w:t>„TAC de precauție” înseamnă o TAC pentru care nu este disponibilă o evaluare analitică, dar pentru care este disponibilă o evaluare bazată pe abordarea precaută sau nu este disponibilă nicio evaluare.</w:t>
      </w:r>
    </w:p>
    <w:p w:rsidR="002D01F6" w:rsidRPr="0034649B" w:rsidRDefault="002D01F6" w:rsidP="00763AB4">
      <w:pPr>
        <w:rPr>
          <w:noProof/>
        </w:rPr>
      </w:pPr>
    </w:p>
    <w:p w:rsidR="002963AE" w:rsidRPr="0034649B" w:rsidRDefault="00E66D34" w:rsidP="00763AB4">
      <w:pPr>
        <w:pStyle w:val="ChapterTitle"/>
        <w:rPr>
          <w:noProof/>
        </w:rPr>
      </w:pPr>
      <w:r w:rsidRPr="0034649B">
        <w:rPr>
          <w:noProof/>
        </w:rPr>
        <w:t>CAPITOLUL II</w:t>
      </w:r>
      <w:r w:rsidR="00150FBC">
        <w:rPr>
          <w:noProof/>
        </w:rPr>
        <w:t xml:space="preserve"> </w:t>
      </w:r>
      <w:r w:rsidRPr="0034649B">
        <w:rPr>
          <w:noProof/>
        </w:rPr>
        <w:br/>
        <w:t>POSIBILITĂȚI DE PESCUIT</w:t>
      </w:r>
    </w:p>
    <w:p w:rsidR="002963AE" w:rsidRPr="0034649B" w:rsidRDefault="00E66D34" w:rsidP="00763AB4">
      <w:pPr>
        <w:pStyle w:val="Titrearticle"/>
        <w:rPr>
          <w:noProof/>
        </w:rPr>
      </w:pPr>
      <w:r w:rsidRPr="0034649B">
        <w:rPr>
          <w:noProof/>
        </w:rPr>
        <w:t>Articolul 4</w:t>
      </w:r>
      <w:r w:rsidR="00150FBC">
        <w:rPr>
          <w:noProof/>
        </w:rPr>
        <w:t xml:space="preserve"> </w:t>
      </w:r>
      <w:r w:rsidRPr="0034649B">
        <w:rPr>
          <w:noProof/>
        </w:rPr>
        <w:br/>
      </w:r>
      <w:r w:rsidRPr="0034649B">
        <w:rPr>
          <w:b/>
          <w:i w:val="0"/>
          <w:noProof/>
        </w:rPr>
        <w:t>TAC-uri și repartizări</w:t>
      </w:r>
    </w:p>
    <w:p w:rsidR="002963AE" w:rsidRPr="0034649B" w:rsidRDefault="00E66D34">
      <w:pPr>
        <w:rPr>
          <w:b/>
          <w:noProof/>
        </w:rPr>
      </w:pPr>
      <w:r w:rsidRPr="0034649B">
        <w:rPr>
          <w:noProof/>
        </w:rPr>
        <w:t>TAC-urile, cotele și, după caz, măsurile legate funcțional de acestea sunt stabilite în anexă.</w:t>
      </w:r>
    </w:p>
    <w:p w:rsidR="002963AE" w:rsidRPr="0034649B" w:rsidRDefault="00E66D34" w:rsidP="00763AB4">
      <w:pPr>
        <w:pStyle w:val="Titrearticle"/>
        <w:rPr>
          <w:noProof/>
        </w:rPr>
      </w:pPr>
      <w:r w:rsidRPr="0034649B">
        <w:rPr>
          <w:noProof/>
        </w:rPr>
        <w:t xml:space="preserve">Articolul 5 </w:t>
      </w:r>
      <w:r w:rsidRPr="0034649B">
        <w:rPr>
          <w:noProof/>
        </w:rPr>
        <w:br/>
      </w:r>
      <w:r w:rsidRPr="0034649B">
        <w:rPr>
          <w:b/>
          <w:i w:val="0"/>
          <w:noProof/>
        </w:rPr>
        <w:t>Dispoziții speciale privind repartizarea posibilităților de pescuit</w:t>
      </w:r>
    </w:p>
    <w:p w:rsidR="002963AE" w:rsidRPr="0034649B" w:rsidRDefault="00E66D34" w:rsidP="00BD53D1">
      <w:pPr>
        <w:pStyle w:val="ManualNumPar1"/>
        <w:rPr>
          <w:noProof/>
        </w:rPr>
      </w:pPr>
      <w:r>
        <w:rPr>
          <w:noProof/>
        </w:rPr>
        <w:t>1.</w:t>
      </w:r>
      <w:r>
        <w:rPr>
          <w:noProof/>
        </w:rPr>
        <w:tab/>
      </w:r>
      <w:r w:rsidRPr="0034649B">
        <w:rPr>
          <w:noProof/>
        </w:rPr>
        <w:t>Repartizarea posibilităților de pescuit între statele membre conform prezentului regulament nu aduce atingere:</w:t>
      </w:r>
    </w:p>
    <w:p w:rsidR="002963AE" w:rsidRPr="0034649B" w:rsidRDefault="51895326" w:rsidP="007B77FC">
      <w:pPr>
        <w:pStyle w:val="Point1"/>
        <w:rPr>
          <w:noProof/>
        </w:rPr>
      </w:pPr>
      <w:r>
        <w:rPr>
          <w:noProof/>
        </w:rPr>
        <w:t>(a)</w:t>
      </w:r>
      <w:r>
        <w:rPr>
          <w:noProof/>
        </w:rPr>
        <w:tab/>
      </w:r>
      <w:r w:rsidRPr="0034649B">
        <w:rPr>
          <w:noProof/>
        </w:rPr>
        <w:t>schimburilor efectuate în temeiul articolului 16 alineatul (8) din Regulamentul (UE) nr. 1380/2013;</w:t>
      </w:r>
    </w:p>
    <w:p w:rsidR="002963AE" w:rsidRPr="0034649B" w:rsidRDefault="51895326" w:rsidP="00534DA4">
      <w:pPr>
        <w:pStyle w:val="Point1"/>
        <w:rPr>
          <w:noProof/>
        </w:rPr>
      </w:pPr>
      <w:r>
        <w:rPr>
          <w:noProof/>
        </w:rPr>
        <w:t>(b)</w:t>
      </w:r>
      <w:r>
        <w:rPr>
          <w:noProof/>
        </w:rPr>
        <w:tab/>
      </w:r>
      <w:r w:rsidRPr="0034649B">
        <w:rPr>
          <w:noProof/>
        </w:rPr>
        <w:t>deducerilor și realocărilor efectuate în temeiul articolului 37 din Regulamentul (CE) nr. 1224/2009;</w:t>
      </w:r>
    </w:p>
    <w:p w:rsidR="002963AE" w:rsidRPr="0034649B" w:rsidRDefault="51895326" w:rsidP="00534DA4">
      <w:pPr>
        <w:pStyle w:val="Point1"/>
        <w:rPr>
          <w:noProof/>
        </w:rPr>
      </w:pPr>
      <w:r>
        <w:rPr>
          <w:noProof/>
        </w:rPr>
        <w:t>(c)</w:t>
      </w:r>
      <w:r>
        <w:rPr>
          <w:noProof/>
        </w:rPr>
        <w:tab/>
      </w:r>
      <w:r w:rsidRPr="0034649B">
        <w:rPr>
          <w:noProof/>
        </w:rPr>
        <w:t>debarcărilor suplimentare autorizate în temeiul articolului 3 din Regulamentul (CE) nr. 847/96 și al articolului 15 alineatul (9) din Regulamentul (UE) nr. 1380/2013;</w:t>
      </w:r>
    </w:p>
    <w:p w:rsidR="002963AE" w:rsidRPr="0034649B" w:rsidRDefault="51895326" w:rsidP="00534DA4">
      <w:pPr>
        <w:pStyle w:val="Point1"/>
        <w:rPr>
          <w:noProof/>
        </w:rPr>
      </w:pPr>
      <w:r>
        <w:rPr>
          <w:noProof/>
        </w:rPr>
        <w:t>(d)</w:t>
      </w:r>
      <w:r>
        <w:rPr>
          <w:noProof/>
        </w:rPr>
        <w:tab/>
      </w:r>
      <w:r w:rsidRPr="0034649B">
        <w:rPr>
          <w:noProof/>
        </w:rPr>
        <w:t>cantităților reținute în conformitate cu articolul 4 din Regulamentul (CE) nr. 847/96 și transferate în temeiul articolului 15 alineatul (9) din Regulamentul (UE) nr. 1380/2013;</w:t>
      </w:r>
    </w:p>
    <w:p w:rsidR="002963AE" w:rsidRPr="0034649B" w:rsidRDefault="51895326" w:rsidP="00534DA4">
      <w:pPr>
        <w:pStyle w:val="Point1"/>
        <w:rPr>
          <w:noProof/>
        </w:rPr>
      </w:pPr>
      <w:r>
        <w:rPr>
          <w:noProof/>
        </w:rPr>
        <w:t>(e)</w:t>
      </w:r>
      <w:r>
        <w:rPr>
          <w:noProof/>
        </w:rPr>
        <w:tab/>
      </w:r>
      <w:r w:rsidRPr="0034649B">
        <w:rPr>
          <w:noProof/>
        </w:rPr>
        <w:t>deducerilor efectuate în temeiul articolelor 105, 106 și 107 din Regulamentul (CE) nr. 1224/2009.</w:t>
      </w:r>
    </w:p>
    <w:p w:rsidR="4407B23E" w:rsidRPr="0034649B" w:rsidRDefault="4407B23E" w:rsidP="00BD53D1">
      <w:pPr>
        <w:pStyle w:val="ManualNumPar1"/>
        <w:rPr>
          <w:noProof/>
        </w:rPr>
      </w:pPr>
      <w:r>
        <w:rPr>
          <w:noProof/>
        </w:rPr>
        <w:t>2.</w:t>
      </w:r>
      <w:r>
        <w:rPr>
          <w:noProof/>
        </w:rPr>
        <w:tab/>
      </w:r>
      <w:r w:rsidRPr="0034649B">
        <w:rPr>
          <w:noProof/>
        </w:rPr>
        <w:t>Stocurile care fac obiectul unor TAC-uri de precauție sau analitice în scopul gestionării de la an la an a TAC-urilor și a cotelor de pescuit prevăzute în Regulamentul (CE) nr. 847/96 sunt specificate în anexa la prezentul regulament.</w:t>
      </w:r>
    </w:p>
    <w:p w:rsidR="03D8B8C0" w:rsidRPr="0034649B" w:rsidRDefault="03D8B8C0" w:rsidP="00BD53D1">
      <w:pPr>
        <w:pStyle w:val="ManualNumPar1"/>
        <w:rPr>
          <w:noProof/>
        </w:rPr>
      </w:pPr>
      <w:r>
        <w:rPr>
          <w:noProof/>
        </w:rPr>
        <w:t>3.</w:t>
      </w:r>
      <w:r>
        <w:rPr>
          <w:noProof/>
        </w:rPr>
        <w:tab/>
      </w:r>
      <w:r w:rsidRPr="0034649B">
        <w:rPr>
          <w:noProof/>
        </w:rPr>
        <w:t>Cu excepția cazurilor în care există dispoziții contrare în anexa la prezentul regulament, articolul 3 din Regulamentul (CE) nr. 847/96 se aplică stocurilor care fac obiectul unor TAC-uri de precauție, iar articolul 3 alineatele (2) și (3) și articolul 4 din regulamentul respectiv se aplică stocurilor care fac obiectul unor TAC-uri analitice.</w:t>
      </w:r>
    </w:p>
    <w:p w:rsidR="03D8B8C0" w:rsidRPr="0034649B" w:rsidRDefault="03D8B8C0" w:rsidP="00BD53D1">
      <w:pPr>
        <w:pStyle w:val="ManualNumPar1"/>
        <w:rPr>
          <w:noProof/>
        </w:rPr>
      </w:pPr>
      <w:r>
        <w:rPr>
          <w:noProof/>
        </w:rPr>
        <w:t>4.</w:t>
      </w:r>
      <w:r>
        <w:rPr>
          <w:noProof/>
        </w:rPr>
        <w:tab/>
      </w:r>
      <w:r w:rsidRPr="0034649B">
        <w:rPr>
          <w:noProof/>
        </w:rPr>
        <w:t>Articolele 3 și 4 din Regulamentul (CE) nr. 847/96 nu se aplică în cazul în care un stat membru utilizează flexibilitatea de la an la an prevăzută la articolul 15 alineatul (9) din Regulamentul (UE) nr. 1380/2013.</w:t>
      </w:r>
    </w:p>
    <w:p w:rsidR="0A4BE2B3" w:rsidRPr="0034649B" w:rsidRDefault="0A4BE2B3" w:rsidP="00763AB4">
      <w:pPr>
        <w:rPr>
          <w:noProof/>
        </w:rPr>
      </w:pPr>
    </w:p>
    <w:p w:rsidR="002963AE" w:rsidRPr="0034649B" w:rsidRDefault="00E66D34" w:rsidP="00763AB4">
      <w:pPr>
        <w:pStyle w:val="Titrearticle"/>
        <w:rPr>
          <w:noProof/>
        </w:rPr>
      </w:pPr>
      <w:r w:rsidRPr="0034649B">
        <w:rPr>
          <w:noProof/>
        </w:rPr>
        <w:lastRenderedPageBreak/>
        <w:t>Articolul 6</w:t>
      </w:r>
      <w:r w:rsidR="00150FBC">
        <w:rPr>
          <w:noProof/>
        </w:rPr>
        <w:t xml:space="preserve"> </w:t>
      </w:r>
      <w:r w:rsidRPr="0034649B">
        <w:rPr>
          <w:noProof/>
        </w:rPr>
        <w:br/>
      </w:r>
      <w:r w:rsidRPr="0034649B">
        <w:rPr>
          <w:b/>
          <w:i w:val="0"/>
          <w:noProof/>
        </w:rPr>
        <w:t>Condiții referitoare la debarcarea capturilor și a capturilor accidentale</w:t>
      </w:r>
    </w:p>
    <w:p w:rsidR="002963AE" w:rsidRPr="0034649B" w:rsidRDefault="00EC1F9A" w:rsidP="21A5AA23">
      <w:pPr>
        <w:rPr>
          <w:noProof/>
        </w:rPr>
      </w:pPr>
      <w:r w:rsidRPr="0034649B">
        <w:rPr>
          <w:noProof/>
        </w:rPr>
        <w:t>Stocurile de specii nevizate în limitele biologice de siguranță menționate la articolul 15 alineatul (8) din Regulamentul (UE) nr. 1380/2013 cărora li se aplică derogarea de la obligația de scădere a capturilor din cotele relevante sunt identificate în tabelele TAC-urilor relevante din anexa la prezentul regulament.</w:t>
      </w:r>
    </w:p>
    <w:p w:rsidR="00CE640C" w:rsidRPr="0034649B" w:rsidRDefault="00CE640C" w:rsidP="00763AB4">
      <w:pPr>
        <w:pStyle w:val="Titrearticle"/>
        <w:rPr>
          <w:noProof/>
        </w:rPr>
      </w:pPr>
      <w:r w:rsidRPr="0034649B">
        <w:rPr>
          <w:noProof/>
        </w:rPr>
        <w:t>Articolul 7</w:t>
      </w:r>
      <w:r w:rsidR="00150FBC">
        <w:rPr>
          <w:noProof/>
        </w:rPr>
        <w:t xml:space="preserve"> </w:t>
      </w:r>
      <w:r w:rsidRPr="0034649B">
        <w:rPr>
          <w:noProof/>
        </w:rPr>
        <w:br/>
      </w:r>
      <w:r w:rsidRPr="0034649B">
        <w:rPr>
          <w:b/>
          <w:i w:val="0"/>
          <w:noProof/>
        </w:rPr>
        <w:t>Închiderea zonelor de reproducere a codului în scop de protecție</w:t>
      </w:r>
    </w:p>
    <w:p w:rsidR="001B642D" w:rsidRPr="0034649B" w:rsidRDefault="00CE640C" w:rsidP="00BD53D1">
      <w:pPr>
        <w:pStyle w:val="ManualNumPar1"/>
        <w:rPr>
          <w:noProof/>
        </w:rPr>
      </w:pPr>
      <w:r>
        <w:rPr>
          <w:noProof/>
        </w:rPr>
        <w:t>1.</w:t>
      </w:r>
      <w:r>
        <w:rPr>
          <w:noProof/>
        </w:rPr>
        <w:tab/>
      </w:r>
      <w:r w:rsidRPr="0034649B">
        <w:rPr>
          <w:noProof/>
        </w:rPr>
        <w:t>Se interzice pescuitul cu orice tip de unealtă de pescuit în subdiviziunile 25 și 26 în perioada 1 mai-31 august.</w:t>
      </w:r>
    </w:p>
    <w:p w:rsidR="00F94622" w:rsidRPr="0034649B" w:rsidRDefault="00050967" w:rsidP="00BD53D1">
      <w:pPr>
        <w:pStyle w:val="ManualNumPar1"/>
        <w:rPr>
          <w:noProof/>
        </w:rPr>
      </w:pPr>
      <w:r>
        <w:rPr>
          <w:noProof/>
        </w:rPr>
        <w:t>2.</w:t>
      </w:r>
      <w:r>
        <w:rPr>
          <w:noProof/>
        </w:rPr>
        <w:tab/>
      </w:r>
      <w:r w:rsidRPr="0034649B">
        <w:rPr>
          <w:noProof/>
        </w:rPr>
        <w:t>Interdicția prevăzută la alineatul (1) nu se aplică în următoarele cazuri:</w:t>
      </w:r>
    </w:p>
    <w:p w:rsidR="001B642D" w:rsidRPr="0034649B" w:rsidRDefault="7B8F27F6" w:rsidP="00BA1C28">
      <w:pPr>
        <w:pStyle w:val="Point1"/>
        <w:rPr>
          <w:noProof/>
        </w:rPr>
      </w:pPr>
      <w:r>
        <w:rPr>
          <w:noProof/>
        </w:rPr>
        <w:t>(a)</w:t>
      </w:r>
      <w:r>
        <w:rPr>
          <w:noProof/>
        </w:rPr>
        <w:tab/>
      </w:r>
      <w:r w:rsidRPr="0034649B">
        <w:rPr>
          <w:noProof/>
        </w:rPr>
        <w:t>pentru operațiunile de pescuit desfășurate în scopul exclusiv al cercetărilor științifice, cu condiția ca aceste cercetări să fie efectuate în conformitate cu condițiile prevăzute la articolul 25 din Regulamentul (UE) 2019/1241 al Parlamentului European și al Consiliului</w:t>
      </w:r>
      <w:r w:rsidRPr="0034649B">
        <w:rPr>
          <w:rStyle w:val="FootnoteReference"/>
          <w:noProof/>
        </w:rPr>
        <w:footnoteReference w:id="33"/>
      </w:r>
      <w:r w:rsidRPr="0034649B">
        <w:rPr>
          <w:noProof/>
        </w:rPr>
        <w:t>;</w:t>
      </w:r>
    </w:p>
    <w:p w:rsidR="00EC1F9A" w:rsidRPr="0034649B" w:rsidRDefault="68052A07" w:rsidP="007B77FC">
      <w:pPr>
        <w:pStyle w:val="Point1"/>
        <w:rPr>
          <w:noProof/>
        </w:rPr>
      </w:pPr>
      <w:r>
        <w:rPr>
          <w:noProof/>
        </w:rPr>
        <w:t>(b)</w:t>
      </w:r>
      <w:r>
        <w:rPr>
          <w:noProof/>
        </w:rPr>
        <w:tab/>
      </w:r>
      <w:r w:rsidRPr="0034649B">
        <w:rPr>
          <w:noProof/>
        </w:rPr>
        <w:t>pentru navele de pescuit ale Uniunii cu o lungime totală mai mică de 12 metri care pescuiesc cu setci, cu plase de încurcare sau cu setci cu sirec, cu paragate de fund, cu paragate, cu paragate flotante, cu undițe de mână și cu echipament de pescuit la dandinetă sau cu unelte de pescuit pasiv similare în zone în care adâncimea apei este mai mică de 20 de metri conform coordonatelor din harta marină oficială emisă de autoritățile naționale competente;</w:t>
      </w:r>
    </w:p>
    <w:p w:rsidR="00E30C02" w:rsidRPr="0034649B" w:rsidRDefault="00941266" w:rsidP="007B77FC">
      <w:pPr>
        <w:pStyle w:val="Point1"/>
        <w:rPr>
          <w:noProof/>
        </w:rPr>
      </w:pPr>
      <w:r>
        <w:rPr>
          <w:noProof/>
        </w:rPr>
        <w:t>(c)</w:t>
      </w:r>
      <w:r>
        <w:rPr>
          <w:noProof/>
        </w:rPr>
        <w:tab/>
      </w:r>
      <w:r w:rsidRPr="0034649B">
        <w:rPr>
          <w:noProof/>
        </w:rPr>
        <w:t>fără a aduce atingere perioadelor de interdicție prevăzute la articolul 8 alineatul (1) litera (a) și la articolul 9 alineatul (1), pentru navele de pescuit ale Uniunii care pescuiesc în subdiviziunea 25 stocuri de pești pelagici pentru consumul uman direct, utilizând unelte cu o dimensiune a ochiului de plasă de cel mult 45 mm, în zone în care adâncimea apei este mai mică de 50 de metri conform coordonatelor din harta marină oficială emisă de autoritățile naționale competente și ale căror debarcări sunt sortate.</w:t>
      </w:r>
    </w:p>
    <w:p w:rsidR="001B642D" w:rsidRPr="0034649B" w:rsidRDefault="001B642D" w:rsidP="00BD53D1">
      <w:pPr>
        <w:pStyle w:val="ManualNumPar1"/>
        <w:rPr>
          <w:noProof/>
        </w:rPr>
      </w:pPr>
      <w:r>
        <w:rPr>
          <w:noProof/>
        </w:rPr>
        <w:t>3.</w:t>
      </w:r>
      <w:r>
        <w:rPr>
          <w:noProof/>
        </w:rPr>
        <w:tab/>
      </w:r>
      <w:r w:rsidRPr="0034649B">
        <w:rPr>
          <w:noProof/>
        </w:rPr>
        <w:t>Se interzice pescuitul cu orice tip de unealtă de pescuit în subdiviziunile 22 și 23 în perioada 15 ianuarie-31 martie și în subdiviziunea 24 în perioada 15 mai-15 august.</w:t>
      </w:r>
    </w:p>
    <w:p w:rsidR="001B642D" w:rsidRPr="0034649B" w:rsidRDefault="00050967" w:rsidP="00BD53D1">
      <w:pPr>
        <w:pStyle w:val="ManualNumPar1"/>
        <w:rPr>
          <w:noProof/>
        </w:rPr>
      </w:pPr>
      <w:r>
        <w:rPr>
          <w:noProof/>
        </w:rPr>
        <w:t>4.</w:t>
      </w:r>
      <w:r>
        <w:rPr>
          <w:noProof/>
        </w:rPr>
        <w:tab/>
      </w:r>
      <w:r w:rsidRPr="0034649B">
        <w:rPr>
          <w:noProof/>
        </w:rPr>
        <w:t>Interdicția prevăzută la alineatul (3) nu se aplică în următoarele cazuri:</w:t>
      </w:r>
    </w:p>
    <w:p w:rsidR="001B642D" w:rsidRPr="0034649B" w:rsidRDefault="001B642D" w:rsidP="00BA1C28">
      <w:pPr>
        <w:pStyle w:val="Point1"/>
        <w:rPr>
          <w:noProof/>
        </w:rPr>
      </w:pPr>
      <w:r>
        <w:rPr>
          <w:noProof/>
        </w:rPr>
        <w:t>(a)</w:t>
      </w:r>
      <w:r>
        <w:rPr>
          <w:noProof/>
        </w:rPr>
        <w:tab/>
      </w:r>
      <w:r w:rsidRPr="0034649B">
        <w:rPr>
          <w:noProof/>
        </w:rPr>
        <w:t>pentru operațiunile de pescuit desfășurate în scopul exclusiv al cercetărilor științifice, cu condiția ca aceste cercetări să fie efectuate în conformitate cu condițiile prevăzute la articolul 25 din Regulamentul (UE) 2019/1241;</w:t>
      </w:r>
    </w:p>
    <w:p w:rsidR="00793CA8" w:rsidRPr="0034649B" w:rsidRDefault="001B642D" w:rsidP="00F31355">
      <w:pPr>
        <w:pStyle w:val="Point1"/>
        <w:rPr>
          <w:noProof/>
        </w:rPr>
      </w:pPr>
      <w:r>
        <w:rPr>
          <w:noProof/>
        </w:rPr>
        <w:t>(b)</w:t>
      </w:r>
      <w:r>
        <w:rPr>
          <w:noProof/>
        </w:rPr>
        <w:tab/>
      </w:r>
      <w:r w:rsidRPr="0034649B">
        <w:rPr>
          <w:noProof/>
        </w:rPr>
        <w:t xml:space="preserve">pentru navele de pescuit ale Uniunii cu o lungime totală mai mică de 12 metri care pescuiesc cu setci, cu plase de încurcare sau cu setci cu sirec, cu paragate de fund, cu paragate, cu paragate flotante, cu undițe de mână și cu echipament </w:t>
      </w:r>
      <w:r w:rsidRPr="0034649B">
        <w:rPr>
          <w:noProof/>
        </w:rPr>
        <w:lastRenderedPageBreak/>
        <w:t>de pescuit la dandinetă sau cu unelte de pescuit pasiv similare în zone în care adâncimea apei este mai mică de 20 de metri conform coordonatelor din harta marină oficială emisă de autoritățile naționale competente;</w:t>
      </w:r>
    </w:p>
    <w:p w:rsidR="001B642D" w:rsidRPr="0034649B" w:rsidRDefault="00793CA8" w:rsidP="00F31355">
      <w:pPr>
        <w:pStyle w:val="Point1"/>
        <w:rPr>
          <w:noProof/>
        </w:rPr>
      </w:pPr>
      <w:r>
        <w:rPr>
          <w:noProof/>
        </w:rPr>
        <w:t>(c)</w:t>
      </w:r>
      <w:r>
        <w:rPr>
          <w:noProof/>
        </w:rPr>
        <w:tab/>
      </w:r>
      <w:r w:rsidRPr="0034649B">
        <w:rPr>
          <w:noProof/>
        </w:rPr>
        <w:t>pentru navele de pescuit ale Uniunii care pescuiesc în subdiviziunea 24 stocuri de pești pelagici pentru consumul uman direct, utilizând unelte cu o dimensiune a ochiului de plasă de cel mult 45 mm, în zone în care adâncimea apei este mai mică de 40 de metri conform coordonatelor din harta marină oficială emisă de autoritățile naționale competente și ale căror debarcări sunt sortate;</w:t>
      </w:r>
    </w:p>
    <w:p w:rsidR="006230DA" w:rsidRPr="0034649B" w:rsidRDefault="00F41B32" w:rsidP="00F31355">
      <w:pPr>
        <w:pStyle w:val="Point1"/>
        <w:rPr>
          <w:noProof/>
        </w:rPr>
      </w:pPr>
      <w:r>
        <w:rPr>
          <w:noProof/>
        </w:rPr>
        <w:t>(d)</w:t>
      </w:r>
      <w:r>
        <w:rPr>
          <w:noProof/>
        </w:rPr>
        <w:tab/>
      </w:r>
      <w:r w:rsidRPr="0034649B">
        <w:rPr>
          <w:noProof/>
        </w:rPr>
        <w:t>pentru navele de pescuit ale Uniunii care pescuiesc cu drage moluște bivalve în subdiviziunea 22, în zone în care adâncimea apei este mai mică de 20 de metri conform coordonatelor din harta marină oficială emisă de autoritățile naționale competente.</w:t>
      </w:r>
    </w:p>
    <w:p w:rsidR="00CE640C" w:rsidRPr="0034649B" w:rsidRDefault="00F41B32" w:rsidP="00BD53D1">
      <w:pPr>
        <w:pStyle w:val="ManualNumPar1"/>
        <w:rPr>
          <w:noProof/>
        </w:rPr>
      </w:pPr>
      <w:r>
        <w:rPr>
          <w:noProof/>
        </w:rPr>
        <w:t>5.</w:t>
      </w:r>
      <w:r>
        <w:rPr>
          <w:noProof/>
        </w:rPr>
        <w:tab/>
      </w:r>
      <w:r w:rsidRPr="0034649B">
        <w:rPr>
          <w:noProof/>
        </w:rPr>
        <w:t>Comandanții navelor de pescuit ale Uniunii menționate la alineatul (2) litera (b) sau (c) și la alineatul (4) litera (b), (c) sau (d) se asigură că activitățile lor de pescuit pot fi monitorizate în orice moment de către autoritățile de control ale statului membru competent.</w:t>
      </w:r>
    </w:p>
    <w:p w:rsidR="00652DB3" w:rsidRPr="0034649B" w:rsidRDefault="00652DB3" w:rsidP="00652DB3">
      <w:pPr>
        <w:pStyle w:val="Titrearticle"/>
        <w:rPr>
          <w:noProof/>
        </w:rPr>
      </w:pPr>
      <w:r w:rsidRPr="0034649B">
        <w:rPr>
          <w:noProof/>
        </w:rPr>
        <w:t>Articolul 8</w:t>
      </w:r>
      <w:r w:rsidRPr="0034649B">
        <w:rPr>
          <w:noProof/>
        </w:rPr>
        <w:br/>
      </w:r>
      <w:r w:rsidRPr="0034649B">
        <w:rPr>
          <w:b/>
          <w:i w:val="0"/>
          <w:noProof/>
        </w:rPr>
        <w:t>Închiderea zonelor de reproducere a heringului în scop de protecție în subdiviziunile 25, 26, 27, 28.2, 29, 30, 31 și 32</w:t>
      </w:r>
    </w:p>
    <w:p w:rsidR="00652DB3" w:rsidRPr="0034649B" w:rsidRDefault="0099659A" w:rsidP="00B906F3">
      <w:pPr>
        <w:pStyle w:val="ManualNumPar1"/>
        <w:rPr>
          <w:noProof/>
        </w:rPr>
      </w:pPr>
      <w:r>
        <w:rPr>
          <w:noProof/>
        </w:rPr>
        <w:t>1.</w:t>
      </w:r>
      <w:r>
        <w:rPr>
          <w:noProof/>
        </w:rPr>
        <w:tab/>
      </w:r>
      <w:r w:rsidRPr="0034649B">
        <w:rPr>
          <w:noProof/>
        </w:rPr>
        <w:t>Se interzice pescuitul de specii pelagice utilizând traule pelagice în zonele costiere de până la patru mile marine măsurate de la liniile de bază, în care adâncimea apei este mai mică de 20 de metri conform coordonatelor din harta marină oficială emisă de autoritatea națională competentă, în următoarele perioade și pentru următoarele subdiviziuni:</w:t>
      </w:r>
    </w:p>
    <w:p w:rsidR="00652DB3" w:rsidRPr="0034649B" w:rsidRDefault="00652DB3" w:rsidP="00BA1C28">
      <w:pPr>
        <w:pStyle w:val="Point1"/>
        <w:rPr>
          <w:noProof/>
        </w:rPr>
      </w:pPr>
      <w:r>
        <w:rPr>
          <w:noProof/>
        </w:rPr>
        <w:t>(a)</w:t>
      </w:r>
      <w:r>
        <w:rPr>
          <w:noProof/>
        </w:rPr>
        <w:tab/>
      </w:r>
      <w:r w:rsidRPr="0034649B">
        <w:rPr>
          <w:noProof/>
        </w:rPr>
        <w:t>de la 16 martie la 15 iunie în subdiviziunile 25 și 26;</w:t>
      </w:r>
    </w:p>
    <w:p w:rsidR="00E743FD" w:rsidRPr="0034649B" w:rsidRDefault="00E743FD" w:rsidP="00BA1C28">
      <w:pPr>
        <w:pStyle w:val="Point1"/>
        <w:rPr>
          <w:noProof/>
        </w:rPr>
      </w:pPr>
      <w:r>
        <w:rPr>
          <w:noProof/>
        </w:rPr>
        <w:t>(b)</w:t>
      </w:r>
      <w:r>
        <w:rPr>
          <w:noProof/>
        </w:rPr>
        <w:tab/>
      </w:r>
      <w:r w:rsidRPr="0034649B">
        <w:rPr>
          <w:noProof/>
        </w:rPr>
        <w:t>de la 1 aprilie la 30 iunie în subdiviziunile 27 și 28.2;</w:t>
      </w:r>
    </w:p>
    <w:p w:rsidR="00652DB3" w:rsidRPr="0034649B" w:rsidRDefault="00E743FD" w:rsidP="00BA1C28">
      <w:pPr>
        <w:pStyle w:val="Point1"/>
        <w:rPr>
          <w:noProof/>
        </w:rPr>
      </w:pPr>
      <w:r>
        <w:rPr>
          <w:noProof/>
        </w:rPr>
        <w:t>(c)</w:t>
      </w:r>
      <w:r>
        <w:rPr>
          <w:noProof/>
        </w:rPr>
        <w:tab/>
      </w:r>
      <w:r w:rsidRPr="0034649B">
        <w:rPr>
          <w:noProof/>
        </w:rPr>
        <w:t>de la 1 mai la 31 iulie în subdiviziunile 29-32.</w:t>
      </w:r>
    </w:p>
    <w:p w:rsidR="00B13BA7" w:rsidRPr="0034649B" w:rsidRDefault="00697DC2" w:rsidP="00B906F3">
      <w:pPr>
        <w:pStyle w:val="ManualNumPar1"/>
        <w:rPr>
          <w:noProof/>
        </w:rPr>
      </w:pPr>
      <w:r>
        <w:rPr>
          <w:noProof/>
        </w:rPr>
        <w:t>2.</w:t>
      </w:r>
      <w:r>
        <w:rPr>
          <w:noProof/>
        </w:rPr>
        <w:tab/>
      </w:r>
      <w:r w:rsidRPr="0034649B">
        <w:rPr>
          <w:noProof/>
        </w:rPr>
        <w:t>Interdicția prevăzută la alineatul (1) nu se aplică operațiunilor de pescuit desfășurate exclusiv în scopul cercetărilor științifice, cu condiția ca aceste cercetări să fie efectuate în conformitate cu condițiile stabilite la articolul 25 din Regulamentul (UE) 2019/1241.</w:t>
      </w:r>
    </w:p>
    <w:p w:rsidR="00F85CC7" w:rsidRPr="0034649B" w:rsidRDefault="00F85CC7" w:rsidP="00F85CC7">
      <w:pPr>
        <w:pStyle w:val="Titrearticle"/>
        <w:rPr>
          <w:noProof/>
        </w:rPr>
      </w:pPr>
      <w:r w:rsidRPr="0034649B">
        <w:rPr>
          <w:noProof/>
        </w:rPr>
        <w:t>Articolul 9</w:t>
      </w:r>
      <w:r w:rsidRPr="0034649B">
        <w:rPr>
          <w:noProof/>
        </w:rPr>
        <w:br/>
      </w:r>
      <w:r w:rsidRPr="0034649B">
        <w:rPr>
          <w:b/>
          <w:i w:val="0"/>
          <w:noProof/>
        </w:rPr>
        <w:t>Măsuri privind pescuitul recreativ de cod în subdiviziunile 22-32</w:t>
      </w:r>
    </w:p>
    <w:p w:rsidR="00F85CC7" w:rsidRPr="0034649B" w:rsidRDefault="00F85CC7" w:rsidP="003668D7">
      <w:pPr>
        <w:pStyle w:val="ManualNumPar1"/>
        <w:rPr>
          <w:noProof/>
        </w:rPr>
      </w:pPr>
      <w:r>
        <w:rPr>
          <w:noProof/>
        </w:rPr>
        <w:t>1.</w:t>
      </w:r>
      <w:r>
        <w:rPr>
          <w:noProof/>
        </w:rPr>
        <w:tab/>
      </w:r>
      <w:r w:rsidRPr="0034649B">
        <w:rPr>
          <w:noProof/>
        </w:rPr>
        <w:t>Pescuitul recreativ de cod este interzis în subdiviziunile 22-32. Orice exemplar de cod capturat în mod accidental se eliberează imediat înapoi în mare.</w:t>
      </w:r>
    </w:p>
    <w:p w:rsidR="00F85CC7" w:rsidRPr="0034649B" w:rsidRDefault="00F85CC7" w:rsidP="003668D7">
      <w:pPr>
        <w:pStyle w:val="ManualNumPar1"/>
        <w:rPr>
          <w:noProof/>
        </w:rPr>
      </w:pPr>
      <w:r>
        <w:rPr>
          <w:noProof/>
        </w:rPr>
        <w:t>2.</w:t>
      </w:r>
      <w:r>
        <w:rPr>
          <w:noProof/>
        </w:rPr>
        <w:tab/>
      </w:r>
      <w:r w:rsidRPr="0034649B">
        <w:rPr>
          <w:noProof/>
        </w:rPr>
        <w:t>În pofida alineatului (1), se pot reține capturile accidentale de cod din cadrul pescuitului recreativ de alte specii în subdiviziunile 27-32.</w:t>
      </w:r>
    </w:p>
    <w:p w:rsidR="00CE16E8" w:rsidRPr="0034649B" w:rsidRDefault="00AC02FD" w:rsidP="00763AB4">
      <w:pPr>
        <w:pStyle w:val="Titrearticle"/>
        <w:rPr>
          <w:noProof/>
        </w:rPr>
      </w:pPr>
      <w:r w:rsidRPr="0034649B">
        <w:rPr>
          <w:noProof/>
        </w:rPr>
        <w:t>Articolul 10</w:t>
      </w:r>
      <w:r w:rsidRPr="0034649B">
        <w:rPr>
          <w:noProof/>
        </w:rPr>
        <w:br/>
      </w:r>
      <w:r w:rsidRPr="0034649B">
        <w:rPr>
          <w:b/>
          <w:i w:val="0"/>
          <w:noProof/>
        </w:rPr>
        <w:t>Măsuri privind pescuitul recreativ de somon în subdiviziunile 22-31</w:t>
      </w:r>
    </w:p>
    <w:p w:rsidR="00B07DBC" w:rsidRPr="0034649B" w:rsidRDefault="00CE6DA1" w:rsidP="003668D7">
      <w:pPr>
        <w:pStyle w:val="ManualNumPar1"/>
        <w:rPr>
          <w:noProof/>
        </w:rPr>
      </w:pPr>
      <w:r>
        <w:rPr>
          <w:noProof/>
        </w:rPr>
        <w:t>1.</w:t>
      </w:r>
      <w:r>
        <w:rPr>
          <w:noProof/>
        </w:rPr>
        <w:tab/>
      </w:r>
      <w:r w:rsidRPr="0034649B">
        <w:rPr>
          <w:noProof/>
        </w:rPr>
        <w:t>Pescuitul recreativ de somon este interzis în subdiviziunile 22-31. Orice exemplar de somon capturat în mod accidental se eliberează imediat înapoi în mare.</w:t>
      </w:r>
    </w:p>
    <w:p w:rsidR="00E62428" w:rsidRPr="0034649B" w:rsidRDefault="00F41B32" w:rsidP="00C01FA5">
      <w:pPr>
        <w:pStyle w:val="ManualNumPar1"/>
        <w:rPr>
          <w:noProof/>
        </w:rPr>
      </w:pPr>
      <w:r>
        <w:rPr>
          <w:noProof/>
        </w:rPr>
        <w:lastRenderedPageBreak/>
        <w:t>2.</w:t>
      </w:r>
      <w:r>
        <w:rPr>
          <w:noProof/>
        </w:rPr>
        <w:tab/>
      </w:r>
      <w:r w:rsidRPr="0034649B">
        <w:rPr>
          <w:noProof/>
        </w:rPr>
        <w:t>Prin derogare de la alineatul (1), pescuitul recreativ de somon este permis la nord de latitudinea 59° 30′ N în zone situate în limita a patru mile marine măsurate de la liniile de bază în perioada 1 mai-31 august.</w:t>
      </w:r>
    </w:p>
    <w:p w:rsidR="00096303" w:rsidRPr="0034649B" w:rsidRDefault="00F41B32" w:rsidP="003668D7">
      <w:pPr>
        <w:pStyle w:val="ManualNumPar1"/>
        <w:rPr>
          <w:noProof/>
        </w:rPr>
      </w:pPr>
      <w:r>
        <w:rPr>
          <w:noProof/>
        </w:rPr>
        <w:t>3.</w:t>
      </w:r>
      <w:r>
        <w:rPr>
          <w:noProof/>
        </w:rPr>
        <w:tab/>
      </w:r>
      <w:r w:rsidRPr="0034649B">
        <w:rPr>
          <w:noProof/>
        </w:rPr>
        <w:t>Prezentul articol nu aduce atingere măsurilor naționale mai stricte adoptate în temeiul articolelor 19 și 20 din Regulamentul (UE) nr. 1380/2013.</w:t>
      </w:r>
    </w:p>
    <w:p w:rsidR="00F41B32" w:rsidRPr="0034649B" w:rsidRDefault="00F41B32" w:rsidP="00763AB4">
      <w:pPr>
        <w:pStyle w:val="Titrearticle"/>
        <w:rPr>
          <w:noProof/>
        </w:rPr>
      </w:pPr>
      <w:r w:rsidRPr="0034649B">
        <w:rPr>
          <w:noProof/>
        </w:rPr>
        <w:t>Articolul 11</w:t>
      </w:r>
      <w:r w:rsidRPr="0034649B">
        <w:rPr>
          <w:noProof/>
        </w:rPr>
        <w:br/>
      </w:r>
      <w:r w:rsidRPr="0034649B">
        <w:rPr>
          <w:b/>
          <w:i w:val="0"/>
          <w:noProof/>
        </w:rPr>
        <w:t>Măsuri pentru conservarea stocurilor de păstrăv de mare și de somon în subdiviziunile 22-32</w:t>
      </w:r>
    </w:p>
    <w:p w:rsidR="00F41B32" w:rsidRPr="0034649B" w:rsidRDefault="1BB9E3CA" w:rsidP="003668D7">
      <w:pPr>
        <w:pStyle w:val="ManualNumPar1"/>
        <w:rPr>
          <w:noProof/>
        </w:rPr>
      </w:pPr>
      <w:r>
        <w:rPr>
          <w:noProof/>
        </w:rPr>
        <w:t>1.</w:t>
      </w:r>
      <w:r>
        <w:rPr>
          <w:noProof/>
        </w:rPr>
        <w:tab/>
      </w:r>
      <w:r w:rsidRPr="0034649B">
        <w:rPr>
          <w:noProof/>
        </w:rPr>
        <w:t>Se interzice navelor de pescuit ale Uniunii să pescuiască păstrăv de mare dincolo de patru mile marine măsurate de la liniile de bază din subdiviziunile 22-32. În cazul pescuitului de somon dincolo de patru mile marine măsurate de la liniile de bază în subdiviziunea 32, capturile accidentale de păstrăv de mare nu depășesc în niciun moment 3 % din captura totală de somon și de păstrăv de mare prezentă la bord sau debarcată după fiecare campanie de pescuit.</w:t>
      </w:r>
    </w:p>
    <w:p w:rsidR="00F41B32" w:rsidRPr="0034649B" w:rsidRDefault="00F41B32" w:rsidP="00BD53D1">
      <w:pPr>
        <w:pStyle w:val="ManualNumPar1"/>
        <w:rPr>
          <w:noProof/>
        </w:rPr>
      </w:pPr>
      <w:r>
        <w:rPr>
          <w:noProof/>
        </w:rPr>
        <w:t>2.</w:t>
      </w:r>
      <w:r>
        <w:rPr>
          <w:noProof/>
        </w:rPr>
        <w:tab/>
      </w:r>
      <w:r w:rsidRPr="0034649B">
        <w:rPr>
          <w:noProof/>
        </w:rPr>
        <w:t>Pescuitul cu paragate de păstrăv de mare sau de somon dincolo de patru mile marine măsurate de la liniile de bază în subdiviziunile 22-31 este interzis.</w:t>
      </w:r>
    </w:p>
    <w:p w:rsidR="00F41B32" w:rsidRPr="0034649B" w:rsidRDefault="00F41B32" w:rsidP="003668D7">
      <w:pPr>
        <w:pStyle w:val="ManualNumPar1"/>
        <w:rPr>
          <w:noProof/>
        </w:rPr>
      </w:pPr>
      <w:r>
        <w:rPr>
          <w:noProof/>
        </w:rPr>
        <w:t>3.</w:t>
      </w:r>
      <w:r>
        <w:rPr>
          <w:noProof/>
        </w:rPr>
        <w:tab/>
      </w:r>
      <w:r w:rsidRPr="0034649B">
        <w:rPr>
          <w:noProof/>
        </w:rPr>
        <w:t>Prezentul articol nu aduce atingere măsurilor naționale mai stricte adoptate în temeiul articolelor 19 și 20 din Regulamentul (UE) nr. 1380/2013.</w:t>
      </w:r>
    </w:p>
    <w:p w:rsidR="00E26500" w:rsidRPr="0034649B" w:rsidRDefault="00E26500" w:rsidP="00763AB4">
      <w:pPr>
        <w:pStyle w:val="Titrearticle"/>
        <w:rPr>
          <w:noProof/>
        </w:rPr>
      </w:pPr>
      <w:r w:rsidRPr="0034649B">
        <w:rPr>
          <w:noProof/>
        </w:rPr>
        <w:t xml:space="preserve">Articolul 12 </w:t>
      </w:r>
      <w:r w:rsidRPr="0034649B">
        <w:rPr>
          <w:noProof/>
        </w:rPr>
        <w:br/>
      </w:r>
      <w:r w:rsidRPr="0034649B">
        <w:rPr>
          <w:b/>
          <w:i w:val="0"/>
          <w:noProof/>
        </w:rPr>
        <w:t>Transmiterea datelor</w:t>
      </w:r>
    </w:p>
    <w:p w:rsidR="00AC02FD" w:rsidRPr="0034649B" w:rsidRDefault="00E26500" w:rsidP="00E05BF7">
      <w:pPr>
        <w:rPr>
          <w:noProof/>
        </w:rPr>
      </w:pPr>
      <w:r w:rsidRPr="0034649B">
        <w:rPr>
          <w:noProof/>
        </w:rPr>
        <w:t>Atunci când transmit Comisiei date privind cantitățile capturate sau debarcate din stocuri în conformitate cu articolele 33 și 34 din Regulamentul (CE) nr. 1224/2009, statele membre utilizează codurile stocurilor prevăzute în anexa la prezentul regulament.</w:t>
      </w:r>
    </w:p>
    <w:p w:rsidR="00F74183" w:rsidRPr="0034649B" w:rsidRDefault="00F74183" w:rsidP="00E05BF7">
      <w:pPr>
        <w:rPr>
          <w:noProof/>
        </w:rPr>
      </w:pPr>
    </w:p>
    <w:p w:rsidR="004258CD" w:rsidRPr="0034649B" w:rsidRDefault="00E66D34" w:rsidP="00763AB4">
      <w:pPr>
        <w:pStyle w:val="ChapterTitle"/>
        <w:rPr>
          <w:noProof/>
        </w:rPr>
      </w:pPr>
      <w:r w:rsidRPr="0034649B">
        <w:rPr>
          <w:noProof/>
        </w:rPr>
        <w:t>CAPITOLUL III</w:t>
      </w:r>
      <w:r w:rsidRPr="0034649B">
        <w:rPr>
          <w:noProof/>
        </w:rPr>
        <w:br/>
        <w:t>DISPOZIȚII FINALE</w:t>
      </w:r>
    </w:p>
    <w:p w:rsidR="00E26500" w:rsidRPr="0034649B" w:rsidRDefault="00E26500" w:rsidP="00763AB4">
      <w:pPr>
        <w:pStyle w:val="Titrearticle"/>
        <w:rPr>
          <w:b/>
          <w:i w:val="0"/>
          <w:noProof/>
        </w:rPr>
      </w:pPr>
      <w:r w:rsidRPr="0034649B">
        <w:rPr>
          <w:noProof/>
        </w:rPr>
        <w:t xml:space="preserve">Articolul 13 </w:t>
      </w:r>
      <w:r w:rsidRPr="0034649B">
        <w:rPr>
          <w:noProof/>
        </w:rPr>
        <w:br/>
      </w:r>
      <w:r w:rsidRPr="0034649B">
        <w:rPr>
          <w:b/>
          <w:i w:val="0"/>
          <w:noProof/>
        </w:rPr>
        <w:t>Modificarea Regulamentului (UE) 2026/249</w:t>
      </w:r>
    </w:p>
    <w:p w:rsidR="00763AB4" w:rsidRPr="0034649B" w:rsidRDefault="00763AB4" w:rsidP="00763AB4">
      <w:pPr>
        <w:rPr>
          <w:noProof/>
        </w:rPr>
      </w:pPr>
    </w:p>
    <w:p w:rsidR="00437F2A" w:rsidRPr="0034649B" w:rsidRDefault="00142205" w:rsidP="00BC3901">
      <w:pPr>
        <w:rPr>
          <w:noProof/>
        </w:rPr>
      </w:pPr>
      <w:r w:rsidRPr="0034649B">
        <w:rPr>
          <w:noProof/>
        </w:rPr>
        <w:t>Regulamentul (UE) 2026/249 se modifică după cum urmează:</w:t>
      </w:r>
    </w:p>
    <w:p w:rsidR="00E26500" w:rsidRPr="0034649B" w:rsidRDefault="00E3614F" w:rsidP="003668D7">
      <w:pPr>
        <w:pStyle w:val="Point0"/>
        <w:rPr>
          <w:noProof/>
        </w:rPr>
      </w:pPr>
      <w:r>
        <w:rPr>
          <w:noProof/>
        </w:rPr>
        <w:t>(1)</w:t>
      </w:r>
      <w:r>
        <w:rPr>
          <w:noProof/>
        </w:rPr>
        <w:tab/>
      </w:r>
      <w:r w:rsidRPr="0034649B">
        <w:rPr>
          <w:noProof/>
        </w:rPr>
        <w:t>În anexa IA partea B, tabelul 122 se înlocuiește cu următorul text:</w:t>
      </w:r>
    </w:p>
    <w:p w:rsidR="008F7CB3" w:rsidRPr="0034649B" w:rsidRDefault="00090992" w:rsidP="001D386D">
      <w:pPr>
        <w:rPr>
          <w:noProof/>
        </w:rPr>
      </w:pPr>
      <w:r w:rsidRPr="0034649B">
        <w:rPr>
          <w:noProof/>
        </w:rPr>
        <w:t>„</w:t>
      </w:r>
    </w:p>
    <w:p w:rsidR="009B0894" w:rsidRPr="0034649B" w:rsidRDefault="008F7CB3" w:rsidP="008F7CB3">
      <w:pPr>
        <w:jc w:val="center"/>
        <w:rPr>
          <w:b/>
          <w:noProof/>
        </w:rPr>
      </w:pPr>
      <w:r w:rsidRPr="0034649B">
        <w:rPr>
          <w:b/>
          <w:noProof/>
        </w:rPr>
        <w:t>Tabel 122</w:t>
      </w:r>
    </w:p>
    <w:tbl>
      <w:tblPr>
        <w:tblpPr w:leftFromText="180" w:rightFromText="180" w:vertAnchor="text" w:horzAnchor="margin" w:tblpXSpec="center" w:tblpY="254"/>
        <w:tblW w:w="11000" w:type="dxa"/>
        <w:tblLook w:val="04A0" w:firstRow="1" w:lastRow="0" w:firstColumn="1" w:lastColumn="0" w:noHBand="0" w:noVBand="1"/>
      </w:tblPr>
      <w:tblGrid>
        <w:gridCol w:w="1486"/>
        <w:gridCol w:w="1323"/>
        <w:gridCol w:w="756"/>
        <w:gridCol w:w="1540"/>
        <w:gridCol w:w="958"/>
        <w:gridCol w:w="161"/>
        <w:gridCol w:w="676"/>
        <w:gridCol w:w="44"/>
        <w:gridCol w:w="1947"/>
        <w:gridCol w:w="44"/>
        <w:gridCol w:w="530"/>
        <w:gridCol w:w="679"/>
        <w:gridCol w:w="40"/>
        <w:gridCol w:w="274"/>
        <w:gridCol w:w="45"/>
        <w:gridCol w:w="194"/>
        <w:gridCol w:w="256"/>
        <w:gridCol w:w="47"/>
      </w:tblGrid>
      <w:tr w:rsidR="00E7452C" w:rsidRPr="0034649B" w:rsidTr="00F30FCB">
        <w:trPr>
          <w:trHeight w:val="250"/>
        </w:trPr>
        <w:tc>
          <w:tcPr>
            <w:tcW w:w="1486" w:type="dxa"/>
            <w:tcBorders>
              <w:top w:val="single" w:sz="8" w:space="0" w:color="000000" w:themeColor="text1"/>
              <w:left w:val="nil"/>
              <w:bottom w:val="nil"/>
              <w:right w:val="nil"/>
            </w:tcBorders>
            <w:noWrap/>
          </w:tcPr>
          <w:p w:rsidR="00E7452C" w:rsidRPr="0034649B" w:rsidRDefault="00E7452C" w:rsidP="00E7452C">
            <w:pPr>
              <w:spacing w:before="0" w:after="0"/>
              <w:jc w:val="left"/>
              <w:rPr>
                <w:noProof/>
                <w:color w:val="000000"/>
                <w:sz w:val="18"/>
              </w:rPr>
            </w:pPr>
            <w:r w:rsidRPr="0034649B">
              <w:rPr>
                <w:noProof/>
                <w:color w:val="000000"/>
                <w:sz w:val="18"/>
              </w:rPr>
              <w:t>Specia:</w:t>
            </w:r>
          </w:p>
        </w:tc>
        <w:tc>
          <w:tcPr>
            <w:tcW w:w="4577" w:type="dxa"/>
            <w:gridSpan w:val="4"/>
            <w:tcBorders>
              <w:top w:val="single" w:sz="8" w:space="0" w:color="000000" w:themeColor="text1"/>
              <w:left w:val="nil"/>
              <w:bottom w:val="nil"/>
              <w:right w:val="single" w:sz="8" w:space="0" w:color="000000" w:themeColor="text1"/>
            </w:tcBorders>
            <w:noWrap/>
          </w:tcPr>
          <w:p w:rsidR="00E7452C" w:rsidRPr="0034649B" w:rsidRDefault="00E7452C" w:rsidP="00EE27BD">
            <w:pPr>
              <w:spacing w:before="0" w:after="0"/>
              <w:jc w:val="left"/>
              <w:rPr>
                <w:noProof/>
                <w:sz w:val="18"/>
              </w:rPr>
            </w:pPr>
            <w:r w:rsidRPr="0034649B">
              <w:rPr>
                <w:noProof/>
                <w:sz w:val="18"/>
              </w:rPr>
              <w:t>Merluciu norvegian și capturi accidentale asociate</w:t>
            </w:r>
          </w:p>
          <w:p w:rsidR="00E7452C" w:rsidRPr="0034649B" w:rsidRDefault="00E7452C" w:rsidP="00453199">
            <w:pPr>
              <w:spacing w:before="0" w:after="0"/>
              <w:jc w:val="left"/>
              <w:rPr>
                <w:noProof/>
                <w:color w:val="000000"/>
                <w:sz w:val="18"/>
              </w:rPr>
            </w:pPr>
            <w:r w:rsidRPr="0034649B">
              <w:rPr>
                <w:noProof/>
                <w:color w:val="000000"/>
                <w:sz w:val="18"/>
              </w:rPr>
              <w:t xml:space="preserve"> </w:t>
            </w:r>
          </w:p>
        </w:tc>
        <w:tc>
          <w:tcPr>
            <w:tcW w:w="837" w:type="dxa"/>
            <w:gridSpan w:val="2"/>
            <w:tcBorders>
              <w:top w:val="single" w:sz="8" w:space="0" w:color="000000" w:themeColor="text1"/>
              <w:left w:val="single" w:sz="8" w:space="0" w:color="000000" w:themeColor="text1"/>
              <w:bottom w:val="nil"/>
              <w:right w:val="nil"/>
            </w:tcBorders>
            <w:noWrap/>
          </w:tcPr>
          <w:p w:rsidR="00E7452C" w:rsidRPr="0034649B" w:rsidRDefault="00E7452C" w:rsidP="00E7452C">
            <w:pPr>
              <w:spacing w:before="0" w:after="0"/>
              <w:jc w:val="left"/>
              <w:rPr>
                <w:noProof/>
                <w:color w:val="000000"/>
                <w:sz w:val="18"/>
              </w:rPr>
            </w:pPr>
            <w:r w:rsidRPr="0034649B">
              <w:rPr>
                <w:noProof/>
                <w:color w:val="000000"/>
                <w:sz w:val="18"/>
              </w:rPr>
              <w:t>Zona:</w:t>
            </w:r>
          </w:p>
        </w:tc>
        <w:tc>
          <w:tcPr>
            <w:tcW w:w="4100" w:type="dxa"/>
            <w:gridSpan w:val="11"/>
            <w:tcBorders>
              <w:top w:val="single" w:sz="8" w:space="0" w:color="000000" w:themeColor="text1"/>
              <w:left w:val="nil"/>
              <w:bottom w:val="nil"/>
              <w:right w:val="nil"/>
            </w:tcBorders>
            <w:noWrap/>
          </w:tcPr>
          <w:p w:rsidR="00E7452C" w:rsidRPr="0034649B" w:rsidRDefault="00E7452C" w:rsidP="00E7452C">
            <w:pPr>
              <w:spacing w:before="0" w:after="0"/>
              <w:jc w:val="left"/>
              <w:rPr>
                <w:noProof/>
                <w:color w:val="000000"/>
                <w:sz w:val="18"/>
              </w:rPr>
            </w:pPr>
            <w:r w:rsidRPr="0034649B">
              <w:rPr>
                <w:noProof/>
                <w:color w:val="000000"/>
                <w:sz w:val="18"/>
              </w:rPr>
              <w:t>3a; apele Regatului Unit și apele Uniunii din zona 4; apele Regatului Unit din zona 2a</w:t>
            </w:r>
          </w:p>
        </w:tc>
      </w:tr>
      <w:tr w:rsidR="00E7452C" w:rsidRPr="0034649B" w:rsidTr="00F30FCB">
        <w:trPr>
          <w:trHeight w:val="250"/>
        </w:trPr>
        <w:tc>
          <w:tcPr>
            <w:tcW w:w="1486" w:type="dxa"/>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2079" w:type="dxa"/>
            <w:gridSpan w:val="2"/>
            <w:tcBorders>
              <w:top w:val="nil"/>
              <w:left w:val="nil"/>
              <w:bottom w:val="single" w:sz="8" w:space="0" w:color="auto"/>
              <w:right w:val="nil"/>
            </w:tcBorders>
            <w:noWrap/>
          </w:tcPr>
          <w:p w:rsidR="00E7452C" w:rsidRPr="0034649B" w:rsidRDefault="00E7452C" w:rsidP="00E7452C">
            <w:pPr>
              <w:spacing w:before="0" w:after="0"/>
              <w:jc w:val="left"/>
              <w:rPr>
                <w:i/>
                <w:noProof/>
                <w:sz w:val="18"/>
              </w:rPr>
            </w:pPr>
            <w:r w:rsidRPr="0034649B">
              <w:rPr>
                <w:i/>
                <w:noProof/>
                <w:sz w:val="18"/>
              </w:rPr>
              <w:t>Trisopterus esmarkii</w:t>
            </w:r>
          </w:p>
        </w:tc>
        <w:tc>
          <w:tcPr>
            <w:tcW w:w="2498" w:type="dxa"/>
            <w:gridSpan w:val="2"/>
            <w:tcBorders>
              <w:top w:val="nil"/>
              <w:left w:val="nil"/>
              <w:bottom w:val="single" w:sz="8" w:space="0" w:color="auto"/>
              <w:right w:val="single" w:sz="8" w:space="0" w:color="000000" w:themeColor="text1"/>
            </w:tcBorders>
            <w:noWrap/>
          </w:tcPr>
          <w:p w:rsidR="00E7452C" w:rsidRPr="0034649B" w:rsidRDefault="00E7452C" w:rsidP="00E7452C">
            <w:pPr>
              <w:spacing w:before="0" w:after="0"/>
              <w:jc w:val="left"/>
              <w:rPr>
                <w:noProof/>
                <w:color w:val="000000"/>
                <w:sz w:val="18"/>
              </w:rPr>
            </w:pPr>
          </w:p>
        </w:tc>
        <w:tc>
          <w:tcPr>
            <w:tcW w:w="837" w:type="dxa"/>
            <w:gridSpan w:val="2"/>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2565" w:type="dxa"/>
            <w:gridSpan w:val="4"/>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r w:rsidRPr="0034649B">
              <w:rPr>
                <w:noProof/>
                <w:color w:val="000000"/>
                <w:sz w:val="18"/>
              </w:rPr>
              <w:t>(NOP/2A3A4.)</w:t>
            </w:r>
          </w:p>
        </w:tc>
        <w:tc>
          <w:tcPr>
            <w:tcW w:w="679" w:type="dxa"/>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856" w:type="dxa"/>
            <w:gridSpan w:val="6"/>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r>
      <w:tr w:rsidR="00E7452C" w:rsidRPr="0034649B" w:rsidTr="00F30FCB">
        <w:trPr>
          <w:trHeight w:val="250"/>
        </w:trPr>
        <w:tc>
          <w:tcPr>
            <w:tcW w:w="1486" w:type="dxa"/>
            <w:tcBorders>
              <w:top w:val="nil"/>
              <w:left w:val="nil"/>
              <w:right w:val="nil"/>
            </w:tcBorders>
            <w:noWrap/>
          </w:tcPr>
          <w:p w:rsidR="00E7452C" w:rsidRPr="0034649B" w:rsidRDefault="00E7452C" w:rsidP="00E7452C">
            <w:pPr>
              <w:spacing w:before="0" w:after="0"/>
              <w:jc w:val="left"/>
              <w:rPr>
                <w:b/>
                <w:noProof/>
                <w:color w:val="000000"/>
                <w:sz w:val="18"/>
              </w:rPr>
            </w:pPr>
            <w:r w:rsidRPr="0034649B">
              <w:rPr>
                <w:b/>
                <w:noProof/>
                <w:color w:val="000000"/>
                <w:sz w:val="18"/>
              </w:rPr>
              <w:t>Anul</w:t>
            </w:r>
          </w:p>
        </w:tc>
        <w:tc>
          <w:tcPr>
            <w:tcW w:w="1323" w:type="dxa"/>
            <w:tcBorders>
              <w:top w:val="single" w:sz="8" w:space="0" w:color="auto"/>
              <w:left w:val="nil"/>
              <w:right w:val="nil"/>
            </w:tcBorders>
            <w:noWrap/>
          </w:tcPr>
          <w:p w:rsidR="00E7452C" w:rsidRPr="0034649B" w:rsidRDefault="00E7452C" w:rsidP="00E7452C">
            <w:pPr>
              <w:spacing w:before="0" w:after="0"/>
              <w:jc w:val="right"/>
              <w:rPr>
                <w:b/>
                <w:noProof/>
                <w:sz w:val="18"/>
              </w:rPr>
            </w:pPr>
            <w:r w:rsidRPr="0034649B">
              <w:rPr>
                <w:b/>
                <w:noProof/>
                <w:sz w:val="18"/>
              </w:rPr>
              <w:t>2026</w:t>
            </w:r>
          </w:p>
        </w:tc>
        <w:tc>
          <w:tcPr>
            <w:tcW w:w="756" w:type="dxa"/>
            <w:tcBorders>
              <w:top w:val="single" w:sz="8" w:space="0" w:color="auto"/>
              <w:left w:val="nil"/>
              <w:right w:val="nil"/>
            </w:tcBorders>
          </w:tcPr>
          <w:p w:rsidR="00E7452C" w:rsidRPr="0034649B" w:rsidRDefault="00E7452C" w:rsidP="00E7452C">
            <w:pPr>
              <w:spacing w:before="0" w:after="0"/>
              <w:jc w:val="right"/>
              <w:rPr>
                <w:b/>
                <w:noProof/>
                <w:color w:val="000000"/>
                <w:sz w:val="18"/>
              </w:rPr>
            </w:pPr>
          </w:p>
        </w:tc>
        <w:tc>
          <w:tcPr>
            <w:tcW w:w="1540" w:type="dxa"/>
            <w:tcBorders>
              <w:top w:val="single" w:sz="8" w:space="0" w:color="auto"/>
              <w:left w:val="nil"/>
              <w:bottom w:val="nil"/>
              <w:right w:val="nil"/>
            </w:tcBorders>
            <w:noWrap/>
          </w:tcPr>
          <w:p w:rsidR="00E7452C" w:rsidRPr="0034649B" w:rsidRDefault="00E7452C" w:rsidP="00E7452C">
            <w:pPr>
              <w:spacing w:before="0" w:after="0"/>
              <w:ind w:left="-96"/>
              <w:jc w:val="right"/>
              <w:rPr>
                <w:b/>
                <w:noProof/>
                <w:color w:val="000000"/>
                <w:sz w:val="18"/>
              </w:rPr>
            </w:pPr>
            <w:r w:rsidRPr="0034649B">
              <w:rPr>
                <w:b/>
                <w:noProof/>
                <w:color w:val="000000"/>
                <w:sz w:val="18"/>
              </w:rPr>
              <w:t>2027</w:t>
            </w:r>
          </w:p>
        </w:tc>
        <w:tc>
          <w:tcPr>
            <w:tcW w:w="1119" w:type="dxa"/>
            <w:gridSpan w:val="2"/>
            <w:tcBorders>
              <w:top w:val="single" w:sz="8" w:space="0" w:color="auto"/>
              <w:left w:val="nil"/>
              <w:bottom w:val="nil"/>
              <w:right w:val="nil"/>
            </w:tcBorders>
          </w:tcPr>
          <w:p w:rsidR="00E7452C" w:rsidRPr="0034649B" w:rsidRDefault="00E7452C" w:rsidP="00E7452C">
            <w:pPr>
              <w:spacing w:before="0" w:after="0"/>
              <w:jc w:val="left"/>
              <w:rPr>
                <w:noProof/>
                <w:color w:val="000000"/>
                <w:sz w:val="18"/>
              </w:rPr>
            </w:pPr>
          </w:p>
        </w:tc>
        <w:tc>
          <w:tcPr>
            <w:tcW w:w="676" w:type="dxa"/>
            <w:tcBorders>
              <w:top w:val="single" w:sz="8" w:space="0" w:color="auto"/>
              <w:left w:val="nil"/>
              <w:bottom w:val="nil"/>
              <w:right w:val="nil"/>
            </w:tcBorders>
            <w:noWrap/>
          </w:tcPr>
          <w:p w:rsidR="00E7452C" w:rsidRPr="0034649B" w:rsidRDefault="00E7452C" w:rsidP="00E7452C">
            <w:pPr>
              <w:spacing w:before="0" w:after="0"/>
              <w:jc w:val="left"/>
              <w:rPr>
                <w:noProof/>
                <w:color w:val="000000"/>
                <w:sz w:val="18"/>
              </w:rPr>
            </w:pPr>
          </w:p>
        </w:tc>
        <w:tc>
          <w:tcPr>
            <w:tcW w:w="3603" w:type="dxa"/>
            <w:gridSpan w:val="8"/>
            <w:tcBorders>
              <w:top w:val="single" w:sz="4" w:space="0" w:color="auto"/>
              <w:left w:val="nil"/>
              <w:right w:val="nil"/>
            </w:tcBorders>
            <w:noWrap/>
          </w:tcPr>
          <w:p w:rsidR="00E7452C" w:rsidRPr="0034649B" w:rsidRDefault="00E7452C" w:rsidP="00E7452C">
            <w:pPr>
              <w:spacing w:before="0" w:after="0"/>
              <w:jc w:val="left"/>
              <w:rPr>
                <w:noProof/>
                <w:color w:val="000000"/>
                <w:sz w:val="18"/>
              </w:rPr>
            </w:pPr>
          </w:p>
          <w:p w:rsidR="00E7452C" w:rsidRPr="0034649B" w:rsidRDefault="00E7452C" w:rsidP="00E7452C">
            <w:pPr>
              <w:spacing w:before="0" w:after="0"/>
              <w:jc w:val="left"/>
              <w:rPr>
                <w:noProof/>
                <w:color w:val="000000"/>
                <w:sz w:val="18"/>
              </w:rPr>
            </w:pPr>
            <w:r w:rsidRPr="0034649B">
              <w:rPr>
                <w:noProof/>
                <w:color w:val="000000"/>
                <w:sz w:val="18"/>
              </w:rPr>
              <w:t>TAC analitică</w:t>
            </w:r>
          </w:p>
        </w:tc>
        <w:tc>
          <w:tcPr>
            <w:tcW w:w="497" w:type="dxa"/>
            <w:gridSpan w:val="3"/>
            <w:tcBorders>
              <w:top w:val="nil"/>
              <w:left w:val="nil"/>
              <w:right w:val="nil"/>
            </w:tcBorders>
            <w:noWrap/>
          </w:tcPr>
          <w:p w:rsidR="00E7452C" w:rsidRPr="0034649B" w:rsidRDefault="00E7452C" w:rsidP="00E7452C">
            <w:pPr>
              <w:spacing w:before="0" w:after="0"/>
              <w:jc w:val="left"/>
              <w:rPr>
                <w:noProof/>
                <w:color w:val="000000"/>
                <w:sz w:val="18"/>
              </w:rPr>
            </w:pPr>
          </w:p>
        </w:tc>
      </w:tr>
      <w:tr w:rsidR="00E7452C" w:rsidRPr="0034649B" w:rsidTr="00F30FCB">
        <w:trPr>
          <w:trHeight w:val="250"/>
        </w:trPr>
        <w:tc>
          <w:tcPr>
            <w:tcW w:w="1486" w:type="dxa"/>
            <w:tcBorders>
              <w:top w:val="nil"/>
              <w:left w:val="nil"/>
            </w:tcBorders>
            <w:noWrap/>
          </w:tcPr>
          <w:p w:rsidR="00E7452C" w:rsidRPr="0034649B" w:rsidRDefault="00E7452C" w:rsidP="00E7452C">
            <w:pPr>
              <w:spacing w:before="0" w:after="0"/>
              <w:jc w:val="left"/>
              <w:rPr>
                <w:noProof/>
                <w:color w:val="000000"/>
                <w:sz w:val="18"/>
              </w:rPr>
            </w:pPr>
            <w:bookmarkStart w:id="8" w:name="_Hlk138178072"/>
            <w:r w:rsidRPr="0034649B">
              <w:rPr>
                <w:noProof/>
                <w:color w:val="000000"/>
                <w:sz w:val="18"/>
              </w:rPr>
              <w:t>Danemarca</w:t>
            </w:r>
          </w:p>
        </w:tc>
        <w:tc>
          <w:tcPr>
            <w:tcW w:w="1323" w:type="dxa"/>
            <w:tcBorders>
              <w:top w:val="nil"/>
            </w:tcBorders>
            <w:noWrap/>
          </w:tcPr>
          <w:p w:rsidR="00E7452C" w:rsidRPr="0034649B" w:rsidRDefault="00210DA7" w:rsidP="00E7452C">
            <w:pPr>
              <w:spacing w:before="0" w:after="0"/>
              <w:jc w:val="right"/>
              <w:rPr>
                <w:noProof/>
                <w:color w:val="000000"/>
                <w:sz w:val="18"/>
              </w:rPr>
            </w:pPr>
            <w:r w:rsidRPr="0034649B">
              <w:rPr>
                <w:noProof/>
                <w:color w:val="000000"/>
                <w:sz w:val="18"/>
              </w:rPr>
              <w:t>282,738</w:t>
            </w:r>
          </w:p>
        </w:tc>
        <w:tc>
          <w:tcPr>
            <w:tcW w:w="756" w:type="dxa"/>
            <w:tcBorders>
              <w:top w:val="nil"/>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1</w:t>
            </w:r>
            <w:r w:rsidRPr="0034649B">
              <w:rPr>
                <w:b/>
                <w:noProof/>
                <w:color w:val="000000"/>
                <w:sz w:val="18"/>
              </w:rPr>
              <w:t>)(</w:t>
            </w:r>
            <w:r w:rsidRPr="0034649B">
              <w:rPr>
                <w:b/>
                <w:noProof/>
                <w:color w:val="000000"/>
                <w:sz w:val="18"/>
                <w:vertAlign w:val="superscript"/>
              </w:rPr>
              <w:t>2</w:t>
            </w:r>
            <w:r w:rsidRPr="0034649B">
              <w:rPr>
                <w:b/>
                <w:noProof/>
                <w:color w:val="000000"/>
                <w:sz w:val="18"/>
              </w:rPr>
              <w:t>)</w:t>
            </w:r>
          </w:p>
        </w:tc>
        <w:tc>
          <w:tcPr>
            <w:tcW w:w="1540" w:type="dxa"/>
            <w:tcBorders>
              <w:top w:val="nil"/>
              <w:left w:val="nil"/>
              <w:bottom w:val="nil"/>
              <w:right w:val="nil"/>
            </w:tcBorders>
            <w:noWrap/>
          </w:tcPr>
          <w:p w:rsidR="00E7452C" w:rsidRPr="0034649B" w:rsidRDefault="00E7452C" w:rsidP="00E7452C">
            <w:pPr>
              <w:spacing w:before="0" w:after="0"/>
              <w:jc w:val="right"/>
              <w:rPr>
                <w:noProof/>
                <w:color w:val="000000"/>
                <w:sz w:val="18"/>
              </w:rPr>
            </w:pPr>
            <w:r w:rsidRPr="0034649B">
              <w:rPr>
                <w:i/>
                <w:noProof/>
                <w:color w:val="000000"/>
                <w:sz w:val="18"/>
              </w:rPr>
              <w:t>pro memoria</w:t>
            </w:r>
            <w:r w:rsidRPr="0034649B">
              <w:rPr>
                <w:noProof/>
                <w:color w:val="000000"/>
                <w:sz w:val="18"/>
              </w:rPr>
              <w:t xml:space="preserve"> (</w:t>
            </w:r>
            <w:r w:rsidRPr="0034649B">
              <w:rPr>
                <w:i/>
                <w:noProof/>
                <w:color w:val="000000"/>
                <w:sz w:val="18"/>
              </w:rPr>
              <w:t>p.m.</w:t>
            </w:r>
            <w:r w:rsidRPr="0034649B">
              <w:rPr>
                <w:noProof/>
                <w:color w:val="000000"/>
                <w:sz w:val="18"/>
              </w:rPr>
              <w:t>)</w:t>
            </w:r>
          </w:p>
        </w:tc>
        <w:tc>
          <w:tcPr>
            <w:tcW w:w="1119" w:type="dxa"/>
            <w:gridSpan w:val="2"/>
            <w:tcBorders>
              <w:top w:val="nil"/>
              <w:left w:val="nil"/>
              <w:bottom w:val="nil"/>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4</w:t>
            </w:r>
            <w:r w:rsidRPr="0034649B">
              <w:rPr>
                <w:b/>
                <w:noProof/>
                <w:color w:val="000000"/>
                <w:sz w:val="18"/>
              </w:rPr>
              <w:t>)</w:t>
            </w:r>
          </w:p>
        </w:tc>
        <w:tc>
          <w:tcPr>
            <w:tcW w:w="676" w:type="dxa"/>
            <w:tcBorders>
              <w:top w:val="nil"/>
              <w:left w:val="nil"/>
              <w:bottom w:val="nil"/>
            </w:tcBorders>
            <w:noWrap/>
          </w:tcPr>
          <w:p w:rsidR="00E7452C" w:rsidRPr="0034649B" w:rsidRDefault="00E7452C" w:rsidP="00E7452C">
            <w:pPr>
              <w:spacing w:before="0" w:after="0"/>
              <w:jc w:val="left"/>
              <w:rPr>
                <w:noProof/>
                <w:color w:val="000000"/>
                <w:sz w:val="18"/>
              </w:rPr>
            </w:pPr>
          </w:p>
        </w:tc>
        <w:tc>
          <w:tcPr>
            <w:tcW w:w="4100" w:type="dxa"/>
            <w:gridSpan w:val="11"/>
            <w:noWrap/>
          </w:tcPr>
          <w:p w:rsidR="00E7452C" w:rsidRPr="0034649B" w:rsidRDefault="00E7452C" w:rsidP="00E7452C">
            <w:pPr>
              <w:spacing w:before="0" w:after="0"/>
              <w:jc w:val="left"/>
              <w:rPr>
                <w:noProof/>
                <w:color w:val="000000"/>
                <w:sz w:val="18"/>
              </w:rPr>
            </w:pPr>
            <w:r w:rsidRPr="0034649B">
              <w:rPr>
                <w:noProof/>
                <w:color w:val="000000"/>
                <w:sz w:val="18"/>
              </w:rPr>
              <w:t>Articolul 3 alineatele (2) și (3) din Regulamentul (CE) nr. 847/96 nu se aplică</w:t>
            </w:r>
          </w:p>
        </w:tc>
      </w:tr>
      <w:tr w:rsidR="00E7452C" w:rsidRPr="0034649B" w:rsidTr="00F30FCB">
        <w:trPr>
          <w:trHeight w:val="250"/>
        </w:trPr>
        <w:tc>
          <w:tcPr>
            <w:tcW w:w="1486" w:type="dxa"/>
            <w:tcBorders>
              <w:left w:val="nil"/>
            </w:tcBorders>
            <w:noWrap/>
          </w:tcPr>
          <w:p w:rsidR="00E7452C" w:rsidRPr="0034649B" w:rsidRDefault="00E7452C" w:rsidP="00E7452C">
            <w:pPr>
              <w:spacing w:before="0" w:after="0"/>
              <w:jc w:val="left"/>
              <w:rPr>
                <w:noProof/>
                <w:color w:val="000000"/>
                <w:sz w:val="18"/>
              </w:rPr>
            </w:pPr>
            <w:r w:rsidRPr="0034649B">
              <w:rPr>
                <w:noProof/>
                <w:color w:val="000000"/>
                <w:sz w:val="18"/>
              </w:rPr>
              <w:t>Germania</w:t>
            </w:r>
          </w:p>
        </w:tc>
        <w:tc>
          <w:tcPr>
            <w:tcW w:w="1323" w:type="dxa"/>
            <w:noWrap/>
          </w:tcPr>
          <w:p w:rsidR="00E7452C" w:rsidRPr="0034649B" w:rsidRDefault="00210DA7" w:rsidP="00E7452C">
            <w:pPr>
              <w:spacing w:before="0" w:after="0"/>
              <w:jc w:val="right"/>
              <w:rPr>
                <w:noProof/>
                <w:color w:val="000000"/>
                <w:sz w:val="18"/>
              </w:rPr>
            </w:pPr>
            <w:r w:rsidRPr="0034649B">
              <w:rPr>
                <w:noProof/>
                <w:color w:val="000000"/>
                <w:sz w:val="18"/>
              </w:rPr>
              <w:t>0,054</w:t>
            </w:r>
          </w:p>
        </w:tc>
        <w:tc>
          <w:tcPr>
            <w:tcW w:w="756" w:type="dxa"/>
            <w:tcBorders>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1</w:t>
            </w:r>
            <w:r w:rsidRPr="0034649B">
              <w:rPr>
                <w:b/>
                <w:noProof/>
                <w:color w:val="000000"/>
                <w:sz w:val="18"/>
              </w:rPr>
              <w:t>)(</w:t>
            </w:r>
            <w:r w:rsidRPr="0034649B">
              <w:rPr>
                <w:b/>
                <w:noProof/>
                <w:color w:val="000000"/>
                <w:sz w:val="18"/>
                <w:vertAlign w:val="superscript"/>
              </w:rPr>
              <w:t>2</w:t>
            </w:r>
            <w:r w:rsidRPr="0034649B">
              <w:rPr>
                <w:b/>
                <w:noProof/>
                <w:color w:val="000000"/>
                <w:sz w:val="18"/>
              </w:rPr>
              <w:t>)(</w:t>
            </w:r>
            <w:r w:rsidRPr="0034649B">
              <w:rPr>
                <w:b/>
                <w:noProof/>
                <w:color w:val="000000"/>
                <w:sz w:val="18"/>
                <w:vertAlign w:val="superscript"/>
              </w:rPr>
              <w:t>3</w:t>
            </w:r>
            <w:r w:rsidRPr="0034649B">
              <w:rPr>
                <w:b/>
                <w:noProof/>
                <w:color w:val="000000"/>
                <w:sz w:val="18"/>
              </w:rPr>
              <w:t>)</w:t>
            </w:r>
          </w:p>
        </w:tc>
        <w:tc>
          <w:tcPr>
            <w:tcW w:w="1540" w:type="dxa"/>
            <w:tcBorders>
              <w:top w:val="nil"/>
              <w:left w:val="nil"/>
              <w:bottom w:val="nil"/>
              <w:right w:val="nil"/>
            </w:tcBorders>
            <w:noWrap/>
          </w:tcPr>
          <w:p w:rsidR="00E7452C" w:rsidRPr="0034649B" w:rsidRDefault="00E7452C" w:rsidP="00E7452C">
            <w:pPr>
              <w:spacing w:before="0" w:after="0"/>
              <w:jc w:val="right"/>
              <w:rPr>
                <w:noProof/>
                <w:color w:val="000000"/>
                <w:sz w:val="18"/>
              </w:rPr>
            </w:pPr>
            <w:r w:rsidRPr="0034649B">
              <w:rPr>
                <w:noProof/>
                <w:color w:val="000000"/>
                <w:sz w:val="18"/>
              </w:rPr>
              <w:t>p.m.</w:t>
            </w:r>
          </w:p>
        </w:tc>
        <w:tc>
          <w:tcPr>
            <w:tcW w:w="1119" w:type="dxa"/>
            <w:gridSpan w:val="2"/>
            <w:tcBorders>
              <w:top w:val="nil"/>
              <w:left w:val="nil"/>
              <w:bottom w:val="nil"/>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4</w:t>
            </w:r>
            <w:r w:rsidRPr="0034649B">
              <w:rPr>
                <w:b/>
                <w:noProof/>
                <w:color w:val="000000"/>
                <w:sz w:val="18"/>
              </w:rPr>
              <w:t>)</w:t>
            </w:r>
          </w:p>
        </w:tc>
        <w:tc>
          <w:tcPr>
            <w:tcW w:w="676" w:type="dxa"/>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4100" w:type="dxa"/>
            <w:gridSpan w:val="11"/>
            <w:tcBorders>
              <w:left w:val="nil"/>
              <w:bottom w:val="nil"/>
              <w:right w:val="nil"/>
            </w:tcBorders>
            <w:noWrap/>
          </w:tcPr>
          <w:p w:rsidR="00E7452C" w:rsidRPr="0034649B" w:rsidRDefault="00E7452C" w:rsidP="00E7452C">
            <w:pPr>
              <w:spacing w:before="0" w:after="0"/>
              <w:jc w:val="left"/>
              <w:rPr>
                <w:noProof/>
                <w:color w:val="000000"/>
                <w:sz w:val="18"/>
              </w:rPr>
            </w:pPr>
            <w:r w:rsidRPr="0034649B">
              <w:rPr>
                <w:noProof/>
                <w:color w:val="000000"/>
                <w:sz w:val="18"/>
              </w:rPr>
              <w:t xml:space="preserve">Articolul 4 din Regulamentul (CE) nr. 847/96 nu se </w:t>
            </w:r>
            <w:r w:rsidRPr="0034649B">
              <w:rPr>
                <w:noProof/>
                <w:color w:val="000000"/>
                <w:sz w:val="18"/>
              </w:rPr>
              <w:lastRenderedPageBreak/>
              <w:t>aplică</w:t>
            </w:r>
          </w:p>
        </w:tc>
      </w:tr>
      <w:tr w:rsidR="00E7452C" w:rsidRPr="0034649B" w:rsidTr="00F30FCB">
        <w:trPr>
          <w:trHeight w:val="250"/>
        </w:trPr>
        <w:tc>
          <w:tcPr>
            <w:tcW w:w="1486" w:type="dxa"/>
            <w:tcBorders>
              <w:left w:val="nil"/>
            </w:tcBorders>
            <w:noWrap/>
          </w:tcPr>
          <w:p w:rsidR="00E7452C" w:rsidRPr="0034649B" w:rsidRDefault="00E7452C" w:rsidP="00E7452C">
            <w:pPr>
              <w:spacing w:before="0" w:after="0"/>
              <w:jc w:val="left"/>
              <w:rPr>
                <w:noProof/>
                <w:color w:val="000000"/>
                <w:sz w:val="18"/>
              </w:rPr>
            </w:pPr>
            <w:r w:rsidRPr="0034649B">
              <w:rPr>
                <w:noProof/>
                <w:color w:val="000000"/>
                <w:sz w:val="18"/>
              </w:rPr>
              <w:lastRenderedPageBreak/>
              <w:t>Țările de Jos</w:t>
            </w:r>
          </w:p>
        </w:tc>
        <w:tc>
          <w:tcPr>
            <w:tcW w:w="1323" w:type="dxa"/>
            <w:noWrap/>
          </w:tcPr>
          <w:p w:rsidR="00E7452C" w:rsidRPr="0034649B" w:rsidRDefault="00210DA7" w:rsidP="00E7452C">
            <w:pPr>
              <w:spacing w:before="0" w:after="0"/>
              <w:jc w:val="right"/>
              <w:rPr>
                <w:noProof/>
                <w:color w:val="000000"/>
                <w:sz w:val="18"/>
              </w:rPr>
            </w:pPr>
            <w:r w:rsidRPr="0034649B">
              <w:rPr>
                <w:noProof/>
                <w:color w:val="000000"/>
                <w:sz w:val="18"/>
              </w:rPr>
              <w:t>0,208</w:t>
            </w:r>
          </w:p>
        </w:tc>
        <w:tc>
          <w:tcPr>
            <w:tcW w:w="756" w:type="dxa"/>
            <w:tcBorders>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1</w:t>
            </w:r>
            <w:r w:rsidRPr="0034649B">
              <w:rPr>
                <w:b/>
                <w:noProof/>
                <w:color w:val="000000"/>
                <w:sz w:val="18"/>
              </w:rPr>
              <w:t>)(</w:t>
            </w:r>
            <w:r w:rsidRPr="0034649B">
              <w:rPr>
                <w:b/>
                <w:noProof/>
                <w:color w:val="000000"/>
                <w:sz w:val="18"/>
                <w:vertAlign w:val="superscript"/>
              </w:rPr>
              <w:t>2</w:t>
            </w:r>
            <w:r w:rsidRPr="0034649B">
              <w:rPr>
                <w:b/>
                <w:noProof/>
                <w:color w:val="000000"/>
                <w:sz w:val="18"/>
              </w:rPr>
              <w:t>)(</w:t>
            </w:r>
            <w:r w:rsidRPr="0034649B">
              <w:rPr>
                <w:b/>
                <w:noProof/>
                <w:color w:val="000000"/>
                <w:sz w:val="18"/>
                <w:vertAlign w:val="superscript"/>
              </w:rPr>
              <w:t>3</w:t>
            </w:r>
            <w:r w:rsidRPr="0034649B">
              <w:rPr>
                <w:b/>
                <w:noProof/>
                <w:color w:val="000000"/>
                <w:sz w:val="18"/>
              </w:rPr>
              <w:t>)</w:t>
            </w:r>
          </w:p>
        </w:tc>
        <w:tc>
          <w:tcPr>
            <w:tcW w:w="1540" w:type="dxa"/>
            <w:tcBorders>
              <w:top w:val="nil"/>
              <w:left w:val="nil"/>
              <w:bottom w:val="nil"/>
              <w:right w:val="nil"/>
            </w:tcBorders>
            <w:noWrap/>
          </w:tcPr>
          <w:p w:rsidR="00E7452C" w:rsidRPr="0034649B" w:rsidRDefault="00E7452C" w:rsidP="00E7452C">
            <w:pPr>
              <w:spacing w:before="0" w:after="0"/>
              <w:jc w:val="right"/>
              <w:rPr>
                <w:noProof/>
                <w:color w:val="000000"/>
                <w:sz w:val="18"/>
              </w:rPr>
            </w:pPr>
            <w:r w:rsidRPr="0034649B">
              <w:rPr>
                <w:noProof/>
                <w:color w:val="000000"/>
                <w:sz w:val="18"/>
              </w:rPr>
              <w:t>p.m.</w:t>
            </w:r>
          </w:p>
        </w:tc>
        <w:tc>
          <w:tcPr>
            <w:tcW w:w="1119" w:type="dxa"/>
            <w:gridSpan w:val="2"/>
            <w:tcBorders>
              <w:top w:val="nil"/>
              <w:left w:val="nil"/>
              <w:bottom w:val="nil"/>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4</w:t>
            </w:r>
            <w:r w:rsidRPr="0034649B">
              <w:rPr>
                <w:b/>
                <w:noProof/>
                <w:color w:val="000000"/>
                <w:sz w:val="18"/>
              </w:rPr>
              <w:t>)</w:t>
            </w:r>
          </w:p>
        </w:tc>
        <w:tc>
          <w:tcPr>
            <w:tcW w:w="676" w:type="dxa"/>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r>
      <w:tr w:rsidR="00E7452C" w:rsidRPr="0034649B" w:rsidTr="00F30FCB">
        <w:trPr>
          <w:trHeight w:val="250"/>
        </w:trPr>
        <w:tc>
          <w:tcPr>
            <w:tcW w:w="1486" w:type="dxa"/>
            <w:tcBorders>
              <w:left w:val="nil"/>
            </w:tcBorders>
            <w:noWrap/>
          </w:tcPr>
          <w:p w:rsidR="00E7452C" w:rsidRPr="0034649B" w:rsidRDefault="00E7452C" w:rsidP="00E7452C">
            <w:pPr>
              <w:spacing w:before="0" w:after="0"/>
              <w:jc w:val="left"/>
              <w:rPr>
                <w:noProof/>
                <w:color w:val="000000"/>
                <w:sz w:val="18"/>
              </w:rPr>
            </w:pPr>
            <w:r w:rsidRPr="0034649B">
              <w:rPr>
                <w:noProof/>
                <w:color w:val="000000"/>
                <w:sz w:val="18"/>
              </w:rPr>
              <w:t>Uniunea Europeană</w:t>
            </w:r>
          </w:p>
        </w:tc>
        <w:tc>
          <w:tcPr>
            <w:tcW w:w="1323" w:type="dxa"/>
            <w:noWrap/>
          </w:tcPr>
          <w:p w:rsidR="00E7452C" w:rsidRPr="0034649B" w:rsidRDefault="00CA3965" w:rsidP="00E7452C">
            <w:pPr>
              <w:spacing w:before="0" w:after="0"/>
              <w:jc w:val="right"/>
              <w:rPr>
                <w:noProof/>
                <w:color w:val="000000"/>
                <w:sz w:val="18"/>
              </w:rPr>
            </w:pPr>
            <w:r w:rsidRPr="0034649B">
              <w:rPr>
                <w:noProof/>
                <w:color w:val="000000"/>
                <w:sz w:val="18"/>
              </w:rPr>
              <w:t>283,000</w:t>
            </w:r>
          </w:p>
        </w:tc>
        <w:tc>
          <w:tcPr>
            <w:tcW w:w="756" w:type="dxa"/>
            <w:tcBorders>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1</w:t>
            </w:r>
            <w:r w:rsidRPr="0034649B">
              <w:rPr>
                <w:b/>
                <w:noProof/>
                <w:color w:val="000000"/>
                <w:sz w:val="18"/>
              </w:rPr>
              <w:t>)(</w:t>
            </w:r>
            <w:r w:rsidRPr="0034649B">
              <w:rPr>
                <w:b/>
                <w:noProof/>
                <w:color w:val="000000"/>
                <w:sz w:val="18"/>
                <w:vertAlign w:val="superscript"/>
              </w:rPr>
              <w:t>2</w:t>
            </w:r>
            <w:r w:rsidRPr="0034649B">
              <w:rPr>
                <w:b/>
                <w:noProof/>
                <w:color w:val="000000"/>
                <w:sz w:val="18"/>
              </w:rPr>
              <w:t>)(</w:t>
            </w:r>
            <w:r w:rsidRPr="0034649B">
              <w:rPr>
                <w:b/>
                <w:noProof/>
                <w:color w:val="000000"/>
                <w:sz w:val="18"/>
                <w:vertAlign w:val="superscript"/>
              </w:rPr>
              <w:t>3</w:t>
            </w:r>
            <w:r w:rsidRPr="0034649B">
              <w:rPr>
                <w:b/>
                <w:noProof/>
                <w:color w:val="000000"/>
                <w:sz w:val="18"/>
              </w:rPr>
              <w:t>)</w:t>
            </w:r>
          </w:p>
        </w:tc>
        <w:tc>
          <w:tcPr>
            <w:tcW w:w="1540" w:type="dxa"/>
            <w:tcBorders>
              <w:top w:val="nil"/>
              <w:left w:val="nil"/>
              <w:bottom w:val="nil"/>
              <w:right w:val="nil"/>
            </w:tcBorders>
            <w:noWrap/>
          </w:tcPr>
          <w:p w:rsidR="00E7452C" w:rsidRPr="0034649B" w:rsidRDefault="00E7452C" w:rsidP="00E7452C">
            <w:pPr>
              <w:spacing w:before="0" w:after="0"/>
              <w:jc w:val="right"/>
              <w:rPr>
                <w:noProof/>
                <w:color w:val="000000"/>
                <w:sz w:val="18"/>
              </w:rPr>
            </w:pPr>
            <w:r w:rsidRPr="0034649B">
              <w:rPr>
                <w:noProof/>
                <w:color w:val="000000"/>
                <w:sz w:val="18"/>
              </w:rPr>
              <w:t>p.m.</w:t>
            </w:r>
          </w:p>
        </w:tc>
        <w:tc>
          <w:tcPr>
            <w:tcW w:w="1119" w:type="dxa"/>
            <w:gridSpan w:val="2"/>
            <w:tcBorders>
              <w:top w:val="nil"/>
              <w:left w:val="nil"/>
              <w:bottom w:val="nil"/>
              <w:right w:val="nil"/>
            </w:tcBorders>
          </w:tcPr>
          <w:p w:rsidR="00E7452C" w:rsidRPr="0034649B" w:rsidRDefault="00E7452C" w:rsidP="00E7452C">
            <w:pPr>
              <w:spacing w:before="0" w:after="0"/>
              <w:jc w:val="left"/>
              <w:rPr>
                <w:b/>
                <w:noProof/>
                <w:color w:val="000000"/>
                <w:sz w:val="18"/>
                <w:vertAlign w:val="superscript"/>
              </w:rPr>
            </w:pPr>
            <w:r w:rsidRPr="0034649B">
              <w:rPr>
                <w:b/>
                <w:noProof/>
                <w:color w:val="000000"/>
                <w:sz w:val="18"/>
              </w:rPr>
              <w:t>(</w:t>
            </w:r>
            <w:r w:rsidRPr="0034649B">
              <w:rPr>
                <w:b/>
                <w:noProof/>
                <w:color w:val="000000"/>
                <w:sz w:val="18"/>
                <w:vertAlign w:val="superscript"/>
              </w:rPr>
              <w:t>4</w:t>
            </w:r>
            <w:r w:rsidRPr="0034649B">
              <w:rPr>
                <w:b/>
                <w:noProof/>
                <w:color w:val="000000"/>
                <w:sz w:val="18"/>
              </w:rPr>
              <w:t>)</w:t>
            </w:r>
          </w:p>
        </w:tc>
        <w:tc>
          <w:tcPr>
            <w:tcW w:w="676" w:type="dxa"/>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r>
      <w:tr w:rsidR="00E7452C" w:rsidRPr="0034649B" w:rsidTr="00F30FCB">
        <w:trPr>
          <w:trHeight w:val="250"/>
        </w:trPr>
        <w:tc>
          <w:tcPr>
            <w:tcW w:w="1486" w:type="dxa"/>
            <w:tcBorders>
              <w:left w:val="nil"/>
            </w:tcBorders>
            <w:noWrap/>
          </w:tcPr>
          <w:p w:rsidR="00E7452C" w:rsidRPr="0034649B" w:rsidRDefault="00696087" w:rsidP="00E7452C">
            <w:pPr>
              <w:spacing w:before="0" w:after="0"/>
              <w:jc w:val="left"/>
              <w:rPr>
                <w:noProof/>
                <w:color w:val="000000"/>
                <w:sz w:val="18"/>
              </w:rPr>
            </w:pPr>
            <w:r w:rsidRPr="0034649B">
              <w:rPr>
                <w:noProof/>
                <w:color w:val="000000"/>
                <w:sz w:val="18"/>
              </w:rPr>
              <w:t>Regatul Unit</w:t>
            </w:r>
          </w:p>
        </w:tc>
        <w:tc>
          <w:tcPr>
            <w:tcW w:w="1323" w:type="dxa"/>
            <w:noWrap/>
          </w:tcPr>
          <w:p w:rsidR="00E7452C" w:rsidRPr="0034649B" w:rsidRDefault="00210DA7" w:rsidP="00E7452C">
            <w:pPr>
              <w:spacing w:before="0" w:after="0"/>
              <w:jc w:val="right"/>
              <w:rPr>
                <w:noProof/>
                <w:color w:val="000000"/>
                <w:sz w:val="18"/>
              </w:rPr>
            </w:pPr>
            <w:r w:rsidRPr="0034649B">
              <w:rPr>
                <w:noProof/>
                <w:color w:val="000000"/>
                <w:sz w:val="18"/>
              </w:rPr>
              <w:t>100,000</w:t>
            </w:r>
          </w:p>
        </w:tc>
        <w:tc>
          <w:tcPr>
            <w:tcW w:w="756" w:type="dxa"/>
            <w:tcBorders>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1</w:t>
            </w:r>
            <w:r w:rsidRPr="0034649B">
              <w:rPr>
                <w:b/>
                <w:noProof/>
                <w:color w:val="000000"/>
                <w:sz w:val="18"/>
              </w:rPr>
              <w:t>)</w:t>
            </w:r>
          </w:p>
        </w:tc>
        <w:tc>
          <w:tcPr>
            <w:tcW w:w="1540" w:type="dxa"/>
            <w:tcBorders>
              <w:top w:val="nil"/>
              <w:left w:val="nil"/>
              <w:bottom w:val="nil"/>
              <w:right w:val="nil"/>
            </w:tcBorders>
            <w:noWrap/>
          </w:tcPr>
          <w:p w:rsidR="00E7452C" w:rsidRPr="0034649B" w:rsidRDefault="00E7452C" w:rsidP="00E7452C">
            <w:pPr>
              <w:spacing w:before="0" w:after="0"/>
              <w:jc w:val="right"/>
              <w:rPr>
                <w:noProof/>
                <w:color w:val="000000"/>
                <w:sz w:val="18"/>
              </w:rPr>
            </w:pPr>
            <w:r w:rsidRPr="0034649B">
              <w:rPr>
                <w:noProof/>
                <w:color w:val="000000"/>
                <w:sz w:val="18"/>
              </w:rPr>
              <w:t>p.m.</w:t>
            </w:r>
          </w:p>
        </w:tc>
        <w:tc>
          <w:tcPr>
            <w:tcW w:w="1119" w:type="dxa"/>
            <w:gridSpan w:val="2"/>
            <w:tcBorders>
              <w:top w:val="nil"/>
              <w:left w:val="nil"/>
              <w:bottom w:val="nil"/>
              <w:right w:val="nil"/>
            </w:tcBorders>
          </w:tcPr>
          <w:p w:rsidR="00E7452C" w:rsidRPr="0034649B" w:rsidRDefault="00E7452C" w:rsidP="00E7452C">
            <w:pPr>
              <w:spacing w:before="0" w:after="0"/>
              <w:jc w:val="left"/>
              <w:rPr>
                <w:b/>
                <w:noProof/>
                <w:color w:val="000000"/>
                <w:sz w:val="18"/>
              </w:rPr>
            </w:pPr>
            <w:r w:rsidRPr="0034649B">
              <w:rPr>
                <w:b/>
                <w:noProof/>
                <w:color w:val="000000"/>
                <w:sz w:val="18"/>
              </w:rPr>
              <w:t>(</w:t>
            </w:r>
            <w:r w:rsidRPr="0034649B">
              <w:rPr>
                <w:b/>
                <w:noProof/>
                <w:color w:val="000000"/>
                <w:sz w:val="18"/>
                <w:vertAlign w:val="superscript"/>
              </w:rPr>
              <w:t>4</w:t>
            </w:r>
            <w:r w:rsidRPr="0034649B">
              <w:rPr>
                <w:b/>
                <w:noProof/>
                <w:color w:val="000000"/>
                <w:sz w:val="18"/>
              </w:rPr>
              <w:t>)</w:t>
            </w:r>
          </w:p>
        </w:tc>
        <w:tc>
          <w:tcPr>
            <w:tcW w:w="676" w:type="dxa"/>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34649B"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34649B" w:rsidRDefault="00E7452C" w:rsidP="00E7452C">
            <w:pPr>
              <w:spacing w:before="0" w:after="0"/>
              <w:jc w:val="left"/>
              <w:rPr>
                <w:noProof/>
                <w:color w:val="000000"/>
                <w:sz w:val="18"/>
              </w:rPr>
            </w:pPr>
          </w:p>
        </w:tc>
      </w:tr>
      <w:tr w:rsidR="00E7452C" w:rsidRPr="0034649B" w:rsidTr="00F30FCB">
        <w:trPr>
          <w:trHeight w:val="250"/>
        </w:trPr>
        <w:tc>
          <w:tcPr>
            <w:tcW w:w="1486" w:type="dxa"/>
            <w:tcBorders>
              <w:left w:val="nil"/>
              <w:bottom w:val="single" w:sz="8" w:space="0" w:color="auto"/>
            </w:tcBorders>
            <w:noWrap/>
          </w:tcPr>
          <w:p w:rsidR="00E7452C" w:rsidRPr="0034649B" w:rsidRDefault="00E7452C" w:rsidP="00E7452C">
            <w:pPr>
              <w:spacing w:before="0" w:after="0"/>
              <w:jc w:val="left"/>
              <w:rPr>
                <w:noProof/>
                <w:color w:val="000000"/>
                <w:sz w:val="18"/>
              </w:rPr>
            </w:pPr>
            <w:r w:rsidRPr="0034649B">
              <w:rPr>
                <w:noProof/>
                <w:color w:val="000000"/>
                <w:sz w:val="18"/>
              </w:rPr>
              <w:t>TAC</w:t>
            </w:r>
          </w:p>
          <w:p w:rsidR="00E7452C" w:rsidRPr="0034649B" w:rsidRDefault="00E7452C" w:rsidP="00E7452C">
            <w:pPr>
              <w:spacing w:before="0" w:after="0"/>
              <w:jc w:val="left"/>
              <w:rPr>
                <w:noProof/>
                <w:color w:val="000000"/>
                <w:sz w:val="18"/>
              </w:rPr>
            </w:pPr>
          </w:p>
        </w:tc>
        <w:tc>
          <w:tcPr>
            <w:tcW w:w="1323" w:type="dxa"/>
            <w:tcBorders>
              <w:bottom w:val="single" w:sz="8" w:space="0" w:color="auto"/>
            </w:tcBorders>
            <w:noWrap/>
          </w:tcPr>
          <w:p w:rsidR="00E7452C" w:rsidRPr="0034649B" w:rsidRDefault="00210DA7" w:rsidP="00E7452C">
            <w:pPr>
              <w:spacing w:before="0" w:after="0"/>
              <w:jc w:val="right"/>
              <w:rPr>
                <w:noProof/>
                <w:color w:val="000000"/>
                <w:sz w:val="18"/>
              </w:rPr>
            </w:pPr>
            <w:r w:rsidRPr="0034649B">
              <w:rPr>
                <w:noProof/>
                <w:color w:val="000000"/>
                <w:sz w:val="18"/>
              </w:rPr>
              <w:t>400</w:t>
            </w:r>
          </w:p>
        </w:tc>
        <w:tc>
          <w:tcPr>
            <w:tcW w:w="756" w:type="dxa"/>
            <w:tcBorders>
              <w:bottom w:val="single" w:sz="8" w:space="0" w:color="auto"/>
              <w:right w:val="nil"/>
            </w:tcBorders>
          </w:tcPr>
          <w:p w:rsidR="00E7452C" w:rsidRPr="0034649B" w:rsidRDefault="00210DA7" w:rsidP="00210DA7">
            <w:pPr>
              <w:spacing w:before="0" w:after="0"/>
              <w:jc w:val="left"/>
              <w:rPr>
                <w:noProof/>
                <w:color w:val="000000"/>
                <w:sz w:val="18"/>
              </w:rPr>
            </w:pPr>
            <w:r w:rsidRPr="0034649B">
              <w:rPr>
                <w:noProof/>
                <w:color w:val="000000"/>
                <w:sz w:val="18"/>
              </w:rPr>
              <w:t>(</w:t>
            </w:r>
            <w:r w:rsidRPr="0034649B">
              <w:rPr>
                <w:noProof/>
                <w:color w:val="000000"/>
                <w:sz w:val="18"/>
                <w:vertAlign w:val="superscript"/>
              </w:rPr>
              <w:t>1</w:t>
            </w:r>
            <w:r w:rsidRPr="0034649B">
              <w:rPr>
                <w:noProof/>
                <w:color w:val="000000"/>
                <w:sz w:val="18"/>
              </w:rPr>
              <w:t>)</w:t>
            </w:r>
          </w:p>
        </w:tc>
        <w:tc>
          <w:tcPr>
            <w:tcW w:w="1540" w:type="dxa"/>
            <w:tcBorders>
              <w:top w:val="nil"/>
              <w:left w:val="nil"/>
              <w:bottom w:val="single" w:sz="8" w:space="0" w:color="auto"/>
              <w:right w:val="nil"/>
            </w:tcBorders>
            <w:noWrap/>
          </w:tcPr>
          <w:p w:rsidR="00E7452C" w:rsidRPr="0034649B" w:rsidRDefault="007336BF" w:rsidP="00E7452C">
            <w:pPr>
              <w:spacing w:before="0" w:after="0"/>
              <w:jc w:val="right"/>
              <w:rPr>
                <w:noProof/>
                <w:color w:val="000000"/>
                <w:sz w:val="18"/>
              </w:rPr>
            </w:pPr>
            <w:r w:rsidRPr="0034649B">
              <w:rPr>
                <w:noProof/>
                <w:color w:val="000000"/>
                <w:sz w:val="18"/>
              </w:rPr>
              <w:t>p.m.</w:t>
            </w:r>
          </w:p>
          <w:p w:rsidR="00E7452C" w:rsidRPr="0034649B" w:rsidRDefault="00E7452C" w:rsidP="00E7452C">
            <w:pPr>
              <w:spacing w:before="0" w:after="0"/>
              <w:jc w:val="right"/>
              <w:rPr>
                <w:noProof/>
                <w:color w:val="000000"/>
                <w:sz w:val="18"/>
              </w:rPr>
            </w:pPr>
          </w:p>
        </w:tc>
        <w:tc>
          <w:tcPr>
            <w:tcW w:w="1119" w:type="dxa"/>
            <w:gridSpan w:val="2"/>
            <w:tcBorders>
              <w:top w:val="nil"/>
              <w:left w:val="nil"/>
              <w:bottom w:val="single" w:sz="8" w:space="0" w:color="000000" w:themeColor="text1"/>
              <w:right w:val="nil"/>
            </w:tcBorders>
          </w:tcPr>
          <w:p w:rsidR="00E7452C" w:rsidRPr="0034649B" w:rsidRDefault="007336BF" w:rsidP="00E7452C">
            <w:pPr>
              <w:spacing w:before="0" w:after="0"/>
              <w:jc w:val="left"/>
              <w:rPr>
                <w:noProof/>
                <w:color w:val="000000"/>
                <w:sz w:val="18"/>
              </w:rPr>
            </w:pPr>
            <w:r w:rsidRPr="0034649B">
              <w:rPr>
                <w:noProof/>
                <w:color w:val="000000"/>
                <w:sz w:val="18"/>
              </w:rPr>
              <w:t>(</w:t>
            </w:r>
            <w:r w:rsidRPr="0034649B">
              <w:rPr>
                <w:noProof/>
                <w:color w:val="000000"/>
                <w:sz w:val="18"/>
                <w:vertAlign w:val="superscript"/>
              </w:rPr>
              <w:t>4</w:t>
            </w:r>
            <w:r w:rsidRPr="0034649B">
              <w:rPr>
                <w:noProof/>
                <w:color w:val="000000"/>
                <w:sz w:val="18"/>
              </w:rPr>
              <w:t>)</w:t>
            </w:r>
          </w:p>
        </w:tc>
        <w:tc>
          <w:tcPr>
            <w:tcW w:w="676" w:type="dxa"/>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2035" w:type="dxa"/>
            <w:gridSpan w:val="3"/>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1209" w:type="dxa"/>
            <w:gridSpan w:val="2"/>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553" w:type="dxa"/>
            <w:gridSpan w:val="4"/>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c>
          <w:tcPr>
            <w:tcW w:w="303" w:type="dxa"/>
            <w:gridSpan w:val="2"/>
            <w:tcBorders>
              <w:top w:val="nil"/>
              <w:left w:val="nil"/>
              <w:bottom w:val="single" w:sz="8" w:space="0" w:color="000000" w:themeColor="text1"/>
              <w:right w:val="nil"/>
            </w:tcBorders>
            <w:noWrap/>
          </w:tcPr>
          <w:p w:rsidR="00E7452C" w:rsidRPr="0034649B" w:rsidRDefault="00E7452C" w:rsidP="00E7452C">
            <w:pPr>
              <w:spacing w:before="0" w:after="0"/>
              <w:jc w:val="left"/>
              <w:rPr>
                <w:noProof/>
                <w:color w:val="000000"/>
                <w:sz w:val="18"/>
              </w:rPr>
            </w:pPr>
          </w:p>
        </w:tc>
      </w:tr>
      <w:bookmarkEnd w:id="8"/>
      <w:tr w:rsidR="00E7452C" w:rsidRPr="0034649B" w:rsidTr="00F30FCB">
        <w:trPr>
          <w:gridAfter w:val="1"/>
          <w:wAfter w:w="47" w:type="dxa"/>
          <w:trHeight w:val="324"/>
        </w:trPr>
        <w:tc>
          <w:tcPr>
            <w:tcW w:w="1486" w:type="dxa"/>
            <w:tcBorders>
              <w:top w:val="nil"/>
              <w:left w:val="nil"/>
              <w:bottom w:val="nil"/>
              <w:right w:val="nil"/>
            </w:tcBorders>
            <w:noWrap/>
            <w:hideMark/>
          </w:tcPr>
          <w:p w:rsidR="00E7452C" w:rsidRPr="0034649B" w:rsidRDefault="00E7452C" w:rsidP="00E7452C">
            <w:pPr>
              <w:spacing w:before="0" w:after="0"/>
              <w:jc w:val="left"/>
              <w:rPr>
                <w:b/>
                <w:noProof/>
                <w:color w:val="000000"/>
                <w:sz w:val="18"/>
                <w:vertAlign w:val="superscript"/>
              </w:rPr>
            </w:pPr>
            <w:r w:rsidRPr="0034649B">
              <w:rPr>
                <w:b/>
                <w:noProof/>
                <w:color w:val="000000"/>
                <w:sz w:val="18"/>
                <w:vertAlign w:val="superscript"/>
              </w:rPr>
              <w:t>(1)</w:t>
            </w:r>
          </w:p>
        </w:tc>
        <w:tc>
          <w:tcPr>
            <w:tcW w:w="9467" w:type="dxa"/>
            <w:gridSpan w:val="16"/>
            <w:tcBorders>
              <w:top w:val="nil"/>
              <w:left w:val="nil"/>
              <w:bottom w:val="nil"/>
              <w:right w:val="nil"/>
            </w:tcBorders>
            <w:noWrap/>
            <w:hideMark/>
          </w:tcPr>
          <w:p w:rsidR="00E7452C" w:rsidRPr="0034649B" w:rsidRDefault="00210DA7" w:rsidP="00E7452C">
            <w:pPr>
              <w:spacing w:before="0" w:after="0"/>
              <w:jc w:val="left"/>
              <w:rPr>
                <w:noProof/>
                <w:sz w:val="18"/>
                <w:vertAlign w:val="superscript"/>
              </w:rPr>
            </w:pPr>
            <w:r w:rsidRPr="0034649B">
              <w:rPr>
                <w:noProof/>
                <w:sz w:val="18"/>
                <w:vertAlign w:val="superscript"/>
              </w:rPr>
              <w:t>Se poate pescui doar între 1 noiembrie 2025 și 31 octombrie 2026.</w:t>
            </w:r>
          </w:p>
        </w:tc>
      </w:tr>
      <w:tr w:rsidR="00E7452C" w:rsidRPr="0034649B" w:rsidTr="00F30FCB">
        <w:trPr>
          <w:gridAfter w:val="1"/>
          <w:wAfter w:w="47" w:type="dxa"/>
          <w:trHeight w:val="324"/>
        </w:trPr>
        <w:tc>
          <w:tcPr>
            <w:tcW w:w="1486" w:type="dxa"/>
            <w:tcBorders>
              <w:top w:val="nil"/>
              <w:left w:val="nil"/>
              <w:bottom w:val="nil"/>
              <w:right w:val="nil"/>
            </w:tcBorders>
            <w:noWrap/>
            <w:hideMark/>
          </w:tcPr>
          <w:p w:rsidR="00E7452C" w:rsidRPr="0034649B" w:rsidRDefault="00E7452C" w:rsidP="00E7452C">
            <w:pPr>
              <w:spacing w:before="0" w:after="0"/>
              <w:jc w:val="left"/>
              <w:rPr>
                <w:b/>
                <w:noProof/>
                <w:color w:val="000000"/>
                <w:sz w:val="18"/>
              </w:rPr>
            </w:pPr>
            <w:r w:rsidRPr="0034649B">
              <w:rPr>
                <w:b/>
                <w:noProof/>
                <w:color w:val="000000"/>
                <w:sz w:val="18"/>
                <w:vertAlign w:val="superscript"/>
              </w:rPr>
              <w:t>(2)</w:t>
            </w:r>
          </w:p>
        </w:tc>
        <w:tc>
          <w:tcPr>
            <w:tcW w:w="7405" w:type="dxa"/>
            <w:gridSpan w:val="8"/>
            <w:tcBorders>
              <w:top w:val="nil"/>
              <w:left w:val="nil"/>
              <w:bottom w:val="nil"/>
              <w:right w:val="nil"/>
            </w:tcBorders>
            <w:noWrap/>
            <w:hideMark/>
          </w:tcPr>
          <w:p w:rsidR="00E7452C" w:rsidRPr="0034649B" w:rsidRDefault="00210DA7" w:rsidP="00E7452C">
            <w:pPr>
              <w:spacing w:before="0" w:after="0"/>
              <w:jc w:val="left"/>
              <w:rPr>
                <w:noProof/>
                <w:sz w:val="18"/>
              </w:rPr>
            </w:pPr>
            <w:r w:rsidRPr="0034649B">
              <w:rPr>
                <w:noProof/>
                <w:sz w:val="18"/>
                <w:vertAlign w:val="superscript"/>
              </w:rPr>
              <w:t>Exclusiv pentru capturi accidentale. Pescuitul direcționat de merluciu norvegian nu este autorizat în cadrul acestei cote.</w:t>
            </w:r>
          </w:p>
        </w:tc>
        <w:tc>
          <w:tcPr>
            <w:tcW w:w="1293" w:type="dxa"/>
            <w:gridSpan w:val="4"/>
            <w:tcBorders>
              <w:top w:val="nil"/>
              <w:left w:val="nil"/>
              <w:bottom w:val="nil"/>
              <w:right w:val="nil"/>
            </w:tcBorders>
            <w:noWrap/>
            <w:hideMark/>
          </w:tcPr>
          <w:p w:rsidR="00E7452C" w:rsidRPr="0034649B" w:rsidRDefault="00E7452C" w:rsidP="00E7452C">
            <w:pPr>
              <w:spacing w:before="0" w:after="0"/>
              <w:jc w:val="left"/>
              <w:rPr>
                <w:noProof/>
                <w:color w:val="000000"/>
                <w:sz w:val="18"/>
              </w:rPr>
            </w:pPr>
          </w:p>
        </w:tc>
        <w:tc>
          <w:tcPr>
            <w:tcW w:w="274" w:type="dxa"/>
            <w:tcBorders>
              <w:top w:val="nil"/>
              <w:left w:val="nil"/>
              <w:bottom w:val="nil"/>
              <w:right w:val="nil"/>
            </w:tcBorders>
            <w:noWrap/>
            <w:hideMark/>
          </w:tcPr>
          <w:p w:rsidR="00E7452C" w:rsidRPr="0034649B" w:rsidRDefault="00E7452C" w:rsidP="00E7452C">
            <w:pPr>
              <w:spacing w:before="0" w:after="0"/>
              <w:jc w:val="left"/>
              <w:rPr>
                <w:noProof/>
                <w:color w:val="000000"/>
                <w:sz w:val="18"/>
              </w:rPr>
            </w:pPr>
          </w:p>
        </w:tc>
        <w:tc>
          <w:tcPr>
            <w:tcW w:w="239" w:type="dxa"/>
            <w:gridSpan w:val="2"/>
            <w:tcBorders>
              <w:top w:val="nil"/>
              <w:left w:val="nil"/>
              <w:bottom w:val="nil"/>
              <w:right w:val="nil"/>
            </w:tcBorders>
            <w:noWrap/>
            <w:hideMark/>
          </w:tcPr>
          <w:p w:rsidR="00E7452C" w:rsidRPr="0034649B" w:rsidRDefault="00E7452C" w:rsidP="00E7452C">
            <w:pPr>
              <w:spacing w:before="0" w:after="0"/>
              <w:jc w:val="left"/>
              <w:rPr>
                <w:noProof/>
                <w:color w:val="000000"/>
                <w:sz w:val="18"/>
              </w:rPr>
            </w:pPr>
          </w:p>
        </w:tc>
        <w:tc>
          <w:tcPr>
            <w:tcW w:w="256" w:type="dxa"/>
            <w:tcBorders>
              <w:top w:val="nil"/>
              <w:left w:val="nil"/>
              <w:bottom w:val="nil"/>
              <w:right w:val="nil"/>
            </w:tcBorders>
            <w:noWrap/>
            <w:hideMark/>
          </w:tcPr>
          <w:p w:rsidR="00E7452C" w:rsidRPr="0034649B" w:rsidRDefault="00E7452C" w:rsidP="00E7452C">
            <w:pPr>
              <w:spacing w:before="0" w:after="0"/>
              <w:jc w:val="left"/>
              <w:rPr>
                <w:noProof/>
                <w:color w:val="000000"/>
                <w:sz w:val="18"/>
              </w:rPr>
            </w:pPr>
          </w:p>
        </w:tc>
      </w:tr>
      <w:tr w:rsidR="00E7452C" w:rsidRPr="0034649B" w:rsidTr="00F30FCB">
        <w:trPr>
          <w:gridAfter w:val="1"/>
          <w:wAfter w:w="47" w:type="dxa"/>
          <w:trHeight w:val="324"/>
        </w:trPr>
        <w:tc>
          <w:tcPr>
            <w:tcW w:w="1486" w:type="dxa"/>
            <w:tcBorders>
              <w:top w:val="nil"/>
              <w:left w:val="nil"/>
              <w:right w:val="nil"/>
            </w:tcBorders>
            <w:noWrap/>
            <w:hideMark/>
          </w:tcPr>
          <w:p w:rsidR="00E7452C" w:rsidRPr="0034649B" w:rsidRDefault="00E7452C" w:rsidP="00E7452C">
            <w:pPr>
              <w:spacing w:before="0" w:after="0"/>
              <w:jc w:val="left"/>
              <w:rPr>
                <w:b/>
                <w:noProof/>
                <w:color w:val="000000"/>
                <w:sz w:val="18"/>
              </w:rPr>
            </w:pPr>
            <w:r w:rsidRPr="0034649B">
              <w:rPr>
                <w:b/>
                <w:noProof/>
                <w:color w:val="000000"/>
                <w:sz w:val="18"/>
                <w:vertAlign w:val="superscript"/>
              </w:rPr>
              <w:t>(3)</w:t>
            </w:r>
          </w:p>
        </w:tc>
        <w:tc>
          <w:tcPr>
            <w:tcW w:w="7405" w:type="dxa"/>
            <w:gridSpan w:val="8"/>
            <w:tcBorders>
              <w:top w:val="nil"/>
              <w:left w:val="nil"/>
              <w:right w:val="nil"/>
            </w:tcBorders>
            <w:noWrap/>
            <w:hideMark/>
          </w:tcPr>
          <w:p w:rsidR="00E7452C" w:rsidRPr="0034649B" w:rsidRDefault="00210DA7" w:rsidP="00E7452C">
            <w:pPr>
              <w:spacing w:before="0" w:after="0"/>
              <w:jc w:val="left"/>
              <w:rPr>
                <w:noProof/>
                <w:sz w:val="18"/>
              </w:rPr>
            </w:pPr>
            <w:r w:rsidRPr="0034649B">
              <w:rPr>
                <w:noProof/>
                <w:sz w:val="18"/>
                <w:vertAlign w:val="superscript"/>
              </w:rPr>
              <w:t>Cota de capturi accidentale poate fi pescuită exclusiv în apele Regatului Unit și în apele Uniunii din zonele ICES 2a, 3a și 4.</w:t>
            </w:r>
          </w:p>
        </w:tc>
        <w:tc>
          <w:tcPr>
            <w:tcW w:w="1293" w:type="dxa"/>
            <w:gridSpan w:val="4"/>
            <w:tcBorders>
              <w:top w:val="nil"/>
              <w:left w:val="nil"/>
              <w:right w:val="nil"/>
            </w:tcBorders>
            <w:noWrap/>
            <w:hideMark/>
          </w:tcPr>
          <w:p w:rsidR="00E7452C" w:rsidRPr="0034649B" w:rsidRDefault="00E7452C" w:rsidP="00E7452C">
            <w:pPr>
              <w:spacing w:before="0" w:after="0"/>
              <w:jc w:val="left"/>
              <w:rPr>
                <w:noProof/>
                <w:color w:val="000000"/>
                <w:sz w:val="18"/>
              </w:rPr>
            </w:pPr>
          </w:p>
        </w:tc>
        <w:tc>
          <w:tcPr>
            <w:tcW w:w="274" w:type="dxa"/>
            <w:tcBorders>
              <w:top w:val="nil"/>
              <w:left w:val="nil"/>
              <w:right w:val="nil"/>
            </w:tcBorders>
            <w:noWrap/>
            <w:hideMark/>
          </w:tcPr>
          <w:p w:rsidR="00E7452C" w:rsidRPr="0034649B" w:rsidRDefault="00E7452C" w:rsidP="00E7452C">
            <w:pPr>
              <w:spacing w:before="0" w:after="0"/>
              <w:jc w:val="left"/>
              <w:rPr>
                <w:noProof/>
                <w:color w:val="000000"/>
                <w:sz w:val="18"/>
              </w:rPr>
            </w:pPr>
          </w:p>
        </w:tc>
        <w:tc>
          <w:tcPr>
            <w:tcW w:w="239" w:type="dxa"/>
            <w:gridSpan w:val="2"/>
            <w:tcBorders>
              <w:top w:val="nil"/>
              <w:left w:val="nil"/>
              <w:right w:val="nil"/>
            </w:tcBorders>
            <w:noWrap/>
            <w:hideMark/>
          </w:tcPr>
          <w:p w:rsidR="00E7452C" w:rsidRPr="0034649B" w:rsidRDefault="00E7452C" w:rsidP="00E7452C">
            <w:pPr>
              <w:spacing w:before="0" w:after="0"/>
              <w:jc w:val="left"/>
              <w:rPr>
                <w:noProof/>
                <w:color w:val="000000"/>
                <w:sz w:val="18"/>
              </w:rPr>
            </w:pPr>
          </w:p>
        </w:tc>
        <w:tc>
          <w:tcPr>
            <w:tcW w:w="256" w:type="dxa"/>
            <w:tcBorders>
              <w:top w:val="nil"/>
              <w:left w:val="nil"/>
              <w:right w:val="nil"/>
            </w:tcBorders>
            <w:noWrap/>
            <w:hideMark/>
          </w:tcPr>
          <w:p w:rsidR="00E7452C" w:rsidRPr="0034649B" w:rsidRDefault="00E7452C" w:rsidP="00E7452C">
            <w:pPr>
              <w:spacing w:before="0" w:after="0"/>
              <w:jc w:val="left"/>
              <w:rPr>
                <w:noProof/>
                <w:color w:val="000000"/>
                <w:sz w:val="18"/>
                <w:highlight w:val="yellow"/>
              </w:rPr>
            </w:pPr>
          </w:p>
        </w:tc>
      </w:tr>
      <w:tr w:rsidR="00E7452C" w:rsidRPr="0034649B" w:rsidTr="00F30FCB">
        <w:trPr>
          <w:gridAfter w:val="1"/>
          <w:wAfter w:w="47" w:type="dxa"/>
          <w:trHeight w:val="324"/>
        </w:trPr>
        <w:tc>
          <w:tcPr>
            <w:tcW w:w="1486" w:type="dxa"/>
            <w:tcBorders>
              <w:top w:val="nil"/>
              <w:left w:val="nil"/>
              <w:bottom w:val="single" w:sz="4" w:space="0" w:color="auto"/>
              <w:right w:val="nil"/>
            </w:tcBorders>
            <w:noWrap/>
          </w:tcPr>
          <w:p w:rsidR="00E7452C" w:rsidRPr="0034649B" w:rsidRDefault="00E7452C" w:rsidP="00E7452C">
            <w:pPr>
              <w:spacing w:before="0" w:after="0"/>
              <w:jc w:val="left"/>
              <w:rPr>
                <w:b/>
                <w:noProof/>
                <w:color w:val="000000"/>
                <w:sz w:val="18"/>
              </w:rPr>
            </w:pPr>
            <w:r w:rsidRPr="0034649B">
              <w:rPr>
                <w:b/>
                <w:noProof/>
                <w:color w:val="000000"/>
                <w:sz w:val="18"/>
                <w:vertAlign w:val="superscript"/>
              </w:rPr>
              <w:t>(4)</w:t>
            </w:r>
          </w:p>
        </w:tc>
        <w:tc>
          <w:tcPr>
            <w:tcW w:w="5458" w:type="dxa"/>
            <w:gridSpan w:val="7"/>
            <w:tcBorders>
              <w:top w:val="nil"/>
              <w:left w:val="nil"/>
              <w:bottom w:val="single" w:sz="4" w:space="0" w:color="auto"/>
              <w:right w:val="nil"/>
            </w:tcBorders>
            <w:noWrap/>
          </w:tcPr>
          <w:p w:rsidR="00E7452C" w:rsidRPr="0034649B" w:rsidRDefault="00210DA7" w:rsidP="00E7452C">
            <w:pPr>
              <w:spacing w:before="0" w:after="0"/>
              <w:jc w:val="left"/>
              <w:rPr>
                <w:noProof/>
                <w:sz w:val="18"/>
              </w:rPr>
            </w:pPr>
            <w:r w:rsidRPr="0034649B">
              <w:rPr>
                <w:noProof/>
                <w:sz w:val="18"/>
                <w:vertAlign w:val="superscript"/>
              </w:rPr>
              <w:t>Se poate pescui doar între 1 noiembrie 2026 și 31 octombrie 2027.</w:t>
            </w:r>
          </w:p>
        </w:tc>
        <w:tc>
          <w:tcPr>
            <w:tcW w:w="1947" w:type="dxa"/>
            <w:tcBorders>
              <w:top w:val="nil"/>
              <w:left w:val="nil"/>
              <w:bottom w:val="single" w:sz="4" w:space="0" w:color="auto"/>
              <w:right w:val="nil"/>
            </w:tcBorders>
            <w:noWrap/>
          </w:tcPr>
          <w:p w:rsidR="00E7452C" w:rsidRPr="0034649B" w:rsidRDefault="00E7452C" w:rsidP="00E7452C">
            <w:pPr>
              <w:spacing w:before="0" w:after="0"/>
              <w:jc w:val="left"/>
              <w:rPr>
                <w:noProof/>
                <w:color w:val="000000"/>
                <w:sz w:val="18"/>
              </w:rPr>
            </w:pPr>
          </w:p>
        </w:tc>
        <w:tc>
          <w:tcPr>
            <w:tcW w:w="1293" w:type="dxa"/>
            <w:gridSpan w:val="4"/>
            <w:tcBorders>
              <w:top w:val="nil"/>
              <w:left w:val="nil"/>
              <w:bottom w:val="single" w:sz="4" w:space="0" w:color="auto"/>
              <w:right w:val="nil"/>
            </w:tcBorders>
            <w:noWrap/>
          </w:tcPr>
          <w:p w:rsidR="00E7452C" w:rsidRPr="0034649B" w:rsidRDefault="00E7452C" w:rsidP="00E7452C">
            <w:pPr>
              <w:spacing w:before="0" w:after="0"/>
              <w:jc w:val="left"/>
              <w:rPr>
                <w:noProof/>
                <w:color w:val="000000"/>
                <w:sz w:val="18"/>
              </w:rPr>
            </w:pPr>
          </w:p>
        </w:tc>
        <w:tc>
          <w:tcPr>
            <w:tcW w:w="274" w:type="dxa"/>
            <w:tcBorders>
              <w:top w:val="nil"/>
              <w:left w:val="nil"/>
              <w:bottom w:val="single" w:sz="4" w:space="0" w:color="auto"/>
              <w:right w:val="nil"/>
            </w:tcBorders>
            <w:noWrap/>
          </w:tcPr>
          <w:p w:rsidR="00E7452C" w:rsidRPr="0034649B" w:rsidRDefault="00E7452C" w:rsidP="00E7452C">
            <w:pPr>
              <w:spacing w:before="0" w:after="0"/>
              <w:jc w:val="left"/>
              <w:rPr>
                <w:noProof/>
                <w:color w:val="000000"/>
                <w:sz w:val="18"/>
              </w:rPr>
            </w:pPr>
          </w:p>
        </w:tc>
        <w:tc>
          <w:tcPr>
            <w:tcW w:w="239" w:type="dxa"/>
            <w:gridSpan w:val="2"/>
            <w:tcBorders>
              <w:top w:val="nil"/>
              <w:left w:val="nil"/>
              <w:bottom w:val="single" w:sz="4" w:space="0" w:color="auto"/>
              <w:right w:val="nil"/>
            </w:tcBorders>
            <w:noWrap/>
          </w:tcPr>
          <w:p w:rsidR="00E7452C" w:rsidRPr="0034649B" w:rsidRDefault="00E7452C" w:rsidP="00E7452C">
            <w:pPr>
              <w:spacing w:before="0" w:after="0"/>
              <w:jc w:val="left"/>
              <w:rPr>
                <w:noProof/>
                <w:color w:val="000000"/>
                <w:sz w:val="18"/>
              </w:rPr>
            </w:pPr>
          </w:p>
        </w:tc>
        <w:tc>
          <w:tcPr>
            <w:tcW w:w="256" w:type="dxa"/>
            <w:tcBorders>
              <w:top w:val="nil"/>
              <w:left w:val="nil"/>
              <w:bottom w:val="single" w:sz="4" w:space="0" w:color="auto"/>
              <w:right w:val="nil"/>
            </w:tcBorders>
            <w:noWrap/>
            <w:hideMark/>
          </w:tcPr>
          <w:p w:rsidR="00E7452C" w:rsidRPr="0034649B" w:rsidRDefault="00E7452C" w:rsidP="00E7452C">
            <w:pPr>
              <w:spacing w:before="0" w:after="0"/>
              <w:jc w:val="left"/>
              <w:rPr>
                <w:noProof/>
                <w:color w:val="000000"/>
                <w:sz w:val="18"/>
                <w:highlight w:val="yellow"/>
              </w:rPr>
            </w:pPr>
          </w:p>
        </w:tc>
      </w:tr>
    </w:tbl>
    <w:p w:rsidR="00C35C3A" w:rsidRPr="0034649B" w:rsidRDefault="00090992" w:rsidP="006F3454">
      <w:pPr>
        <w:rPr>
          <w:noProof/>
        </w:rPr>
      </w:pPr>
      <w:r w:rsidRPr="0034649B">
        <w:rPr>
          <w:noProof/>
        </w:rPr>
        <w:t>”</w:t>
      </w:r>
    </w:p>
    <w:p w:rsidR="00BB0917" w:rsidRPr="0034649B" w:rsidRDefault="6B67B4C1" w:rsidP="001D386D">
      <w:pPr>
        <w:pStyle w:val="Point0"/>
        <w:rPr>
          <w:noProof/>
        </w:rPr>
      </w:pPr>
      <w:r>
        <w:rPr>
          <w:noProof/>
        </w:rPr>
        <w:t>(2)</w:t>
      </w:r>
      <w:r>
        <w:rPr>
          <w:noProof/>
        </w:rPr>
        <w:tab/>
      </w:r>
      <w:r w:rsidRPr="0034649B">
        <w:rPr>
          <w:noProof/>
        </w:rPr>
        <w:t>[</w:t>
      </w:r>
      <w:r w:rsidRPr="0034649B">
        <w:rPr>
          <w:i/>
          <w:noProof/>
        </w:rPr>
        <w:t>spațiu rezervat pentru alte modificări aduse Regulamentului (UE) 2026/249 al Consiliului</w:t>
      </w:r>
      <w:r w:rsidRPr="0034649B">
        <w:rPr>
          <w:noProof/>
        </w:rPr>
        <w:t>].</w:t>
      </w:r>
    </w:p>
    <w:p w:rsidR="00EB79F0" w:rsidRPr="0034649B" w:rsidRDefault="00EB79F0" w:rsidP="00BC3901">
      <w:pPr>
        <w:pStyle w:val="Titrearticle"/>
        <w:rPr>
          <w:noProof/>
        </w:rPr>
      </w:pPr>
      <w:r w:rsidRPr="0034649B">
        <w:rPr>
          <w:noProof/>
        </w:rPr>
        <w:t>Articolul 14</w:t>
      </w:r>
      <w:r w:rsidRPr="0034649B">
        <w:rPr>
          <w:noProof/>
        </w:rPr>
        <w:br/>
      </w:r>
      <w:r w:rsidRPr="0034649B">
        <w:rPr>
          <w:b/>
          <w:i w:val="0"/>
          <w:noProof/>
        </w:rPr>
        <w:t>Intrare în vigoare și aplicare</w:t>
      </w:r>
    </w:p>
    <w:p w:rsidR="00EB79F0" w:rsidRPr="0034649B" w:rsidRDefault="00EB79F0" w:rsidP="00EB79F0">
      <w:pPr>
        <w:rPr>
          <w:noProof/>
        </w:rPr>
      </w:pPr>
      <w:r w:rsidRPr="0034649B">
        <w:rPr>
          <w:noProof/>
        </w:rPr>
        <w:t xml:space="preserve">Prezentul regulament intră în vigoare în ziua următoare datei publicării în </w:t>
      </w:r>
      <w:r w:rsidRPr="0034649B">
        <w:rPr>
          <w:i/>
          <w:noProof/>
        </w:rPr>
        <w:t>Jurnalul Oficial al Uniunii Europene</w:t>
      </w:r>
      <w:r w:rsidRPr="0034649B">
        <w:rPr>
          <w:noProof/>
        </w:rPr>
        <w:t>.</w:t>
      </w:r>
    </w:p>
    <w:p w:rsidR="00F41B32" w:rsidRPr="0034649B" w:rsidRDefault="00EB79F0" w:rsidP="00EB79F0">
      <w:pPr>
        <w:rPr>
          <w:noProof/>
        </w:rPr>
      </w:pPr>
      <w:r w:rsidRPr="0034649B">
        <w:rPr>
          <w:noProof/>
        </w:rPr>
        <w:t>Se aplică de la 1 ianuarie până la 31 decembrie 2027.</w:t>
      </w:r>
    </w:p>
    <w:p w:rsidR="00142205" w:rsidRPr="0034649B" w:rsidRDefault="00142205">
      <w:pPr>
        <w:rPr>
          <w:noProof/>
        </w:rPr>
      </w:pPr>
      <w:r w:rsidRPr="0034649B">
        <w:rPr>
          <w:noProof/>
        </w:rPr>
        <w:t>Prin derogare de la al doilea paragraf:</w:t>
      </w:r>
    </w:p>
    <w:p w:rsidR="00F41B32" w:rsidRPr="0034649B" w:rsidRDefault="11DB2E21" w:rsidP="001D386D">
      <w:pPr>
        <w:pStyle w:val="Point0"/>
        <w:rPr>
          <w:noProof/>
        </w:rPr>
      </w:pPr>
      <w:r>
        <w:rPr>
          <w:noProof/>
        </w:rPr>
        <w:t>(a)</w:t>
      </w:r>
      <w:r>
        <w:rPr>
          <w:noProof/>
        </w:rPr>
        <w:tab/>
      </w:r>
      <w:r w:rsidRPr="0034649B">
        <w:rPr>
          <w:noProof/>
        </w:rPr>
        <w:t>articolul 13 punctul 1 se aplică de la 1 noiembrie 2026 până la 31 octombrie 2027;</w:t>
      </w:r>
    </w:p>
    <w:p w:rsidR="00142205" w:rsidRPr="0034649B" w:rsidRDefault="11DB2E21" w:rsidP="001D386D">
      <w:pPr>
        <w:pStyle w:val="Point0"/>
        <w:rPr>
          <w:noProof/>
        </w:rPr>
      </w:pPr>
      <w:r>
        <w:rPr>
          <w:noProof/>
        </w:rPr>
        <w:t>(b)</w:t>
      </w:r>
      <w:r>
        <w:rPr>
          <w:noProof/>
        </w:rPr>
        <w:tab/>
      </w:r>
      <w:r w:rsidRPr="0034649B">
        <w:rPr>
          <w:noProof/>
        </w:rPr>
        <w:t>[</w:t>
      </w:r>
      <w:r w:rsidRPr="0034649B">
        <w:rPr>
          <w:i/>
          <w:noProof/>
        </w:rPr>
        <w:t>spațiu rezervat pentru alte modificări aduse Regulamentului (UE) 2026/249 al Consiliului</w:t>
      </w:r>
      <w:r w:rsidRPr="0034649B">
        <w:rPr>
          <w:noProof/>
        </w:rPr>
        <w:t>].</w:t>
      </w:r>
    </w:p>
    <w:p w:rsidR="00EB79F0" w:rsidRPr="0034649B" w:rsidRDefault="00EB79F0" w:rsidP="00EB79F0">
      <w:pPr>
        <w:pStyle w:val="Applicationdirecte"/>
        <w:rPr>
          <w:noProof/>
        </w:rPr>
      </w:pPr>
      <w:r w:rsidRPr="0034649B">
        <w:rPr>
          <w:noProof/>
        </w:rPr>
        <w:t>Prezentul regulament este obligatoriu în toate elementele sale și se aplică direct în toate statele membre.</w:t>
      </w:r>
    </w:p>
    <w:p w:rsidR="00EB79F0" w:rsidRPr="0034649B" w:rsidRDefault="0034649B" w:rsidP="00A611C2">
      <w:pPr>
        <w:pStyle w:val="Fait"/>
        <w:rPr>
          <w:noProof/>
        </w:rPr>
      </w:pPr>
      <w:r>
        <w:rPr>
          <w:noProof/>
        </w:rPr>
        <w:t>Adoptat la Bruxelles,</w:t>
      </w:r>
    </w:p>
    <w:p w:rsidR="00EB79F0" w:rsidRPr="0034649B" w:rsidRDefault="00EB79F0" w:rsidP="00A611C2">
      <w:pPr>
        <w:pStyle w:val="Institutionquisigne"/>
        <w:rPr>
          <w:noProof/>
        </w:rPr>
      </w:pPr>
      <w:r w:rsidRPr="0034649B">
        <w:rPr>
          <w:noProof/>
        </w:rPr>
        <w:tab/>
        <w:t>Pentru Consiliu</w:t>
      </w:r>
    </w:p>
    <w:p w:rsidR="00E36005" w:rsidRPr="0034649B" w:rsidRDefault="00EB79F0" w:rsidP="00DB4C5C">
      <w:pPr>
        <w:pStyle w:val="Personnequisigne"/>
        <w:rPr>
          <w:noProof/>
        </w:rPr>
      </w:pPr>
      <w:r w:rsidRPr="0034649B">
        <w:rPr>
          <w:noProof/>
        </w:rPr>
        <w:tab/>
        <w:t>Președintele</w:t>
      </w:r>
    </w:p>
    <w:sectPr w:rsidR="00E36005" w:rsidRPr="0034649B" w:rsidSect="003275C7">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7D" w:rsidRPr="00090992" w:rsidRDefault="00CA757D">
      <w:pPr>
        <w:spacing w:before="0" w:after="0"/>
      </w:pPr>
      <w:r>
        <w:separator/>
      </w:r>
    </w:p>
  </w:endnote>
  <w:endnote w:type="continuationSeparator" w:id="0">
    <w:p w:rsidR="00CA757D" w:rsidRPr="00090992" w:rsidRDefault="00CA757D">
      <w:pPr>
        <w:spacing w:before="0" w:after="0"/>
      </w:pPr>
      <w:r>
        <w:continuationSeparator/>
      </w:r>
    </w:p>
  </w:endnote>
  <w:endnote w:type="continuationNotice" w:id="1">
    <w:p w:rsidR="00CA757D" w:rsidRPr="00090992" w:rsidRDefault="00CA75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Pr="003275C7" w:rsidRDefault="003275C7" w:rsidP="003275C7">
    <w:pPr>
      <w:pStyle w:val="Footer"/>
      <w:rPr>
        <w:rFonts w:ascii="Arial" w:hAnsi="Arial" w:cs="Arial"/>
        <w:b/>
        <w:sz w:val="48"/>
      </w:rPr>
    </w:pPr>
    <w:r w:rsidRPr="003275C7">
      <w:rPr>
        <w:rFonts w:ascii="Arial" w:hAnsi="Arial" w:cs="Arial"/>
        <w:b/>
        <w:sz w:val="48"/>
      </w:rPr>
      <w:t>RO</w:t>
    </w:r>
    <w:r w:rsidRPr="003275C7">
      <w:rPr>
        <w:rFonts w:ascii="Arial" w:hAnsi="Arial" w:cs="Arial"/>
        <w:b/>
        <w:sz w:val="48"/>
      </w:rPr>
      <w:tab/>
    </w:r>
    <w:r w:rsidRPr="003275C7">
      <w:rPr>
        <w:rFonts w:ascii="Arial" w:hAnsi="Arial" w:cs="Arial"/>
        <w:b/>
        <w:sz w:val="48"/>
      </w:rPr>
      <w:tab/>
    </w:r>
    <w:r w:rsidRPr="003275C7">
      <w:tab/>
    </w:r>
    <w:r w:rsidRPr="003275C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Pr="003275C7" w:rsidRDefault="003275C7" w:rsidP="003275C7">
    <w:pPr>
      <w:pStyle w:val="Footer"/>
      <w:rPr>
        <w:rFonts w:ascii="Arial" w:hAnsi="Arial" w:cs="Arial"/>
        <w:b/>
        <w:sz w:val="48"/>
      </w:rPr>
    </w:pPr>
    <w:r w:rsidRPr="003275C7">
      <w:rPr>
        <w:rFonts w:ascii="Arial" w:hAnsi="Arial" w:cs="Arial"/>
        <w:b/>
        <w:sz w:val="48"/>
      </w:rPr>
      <w:t>RO</w:t>
    </w:r>
    <w:r w:rsidRPr="003275C7">
      <w:rPr>
        <w:rFonts w:ascii="Arial" w:hAnsi="Arial" w:cs="Arial"/>
        <w:b/>
        <w:sz w:val="48"/>
      </w:rPr>
      <w:tab/>
    </w:r>
    <w:r w:rsidRPr="003275C7">
      <w:rPr>
        <w:rFonts w:ascii="Arial" w:hAnsi="Arial" w:cs="Arial"/>
        <w:b/>
        <w:sz w:val="48"/>
      </w:rPr>
      <w:tab/>
    </w:r>
    <w:r w:rsidRPr="003275C7">
      <w:tab/>
    </w:r>
    <w:r w:rsidRPr="003275C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Default="003275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Pr="003275C7" w:rsidRDefault="003275C7" w:rsidP="003275C7">
    <w:pPr>
      <w:pStyle w:val="Footer"/>
      <w:rPr>
        <w:rFonts w:ascii="Arial" w:hAnsi="Arial" w:cs="Arial"/>
        <w:b/>
        <w:sz w:val="48"/>
      </w:rPr>
    </w:pPr>
    <w:r w:rsidRPr="003275C7">
      <w:rPr>
        <w:rFonts w:ascii="Arial" w:hAnsi="Arial" w:cs="Arial"/>
        <w:b/>
        <w:sz w:val="48"/>
      </w:rPr>
      <w:t>RO</w:t>
    </w:r>
    <w:r w:rsidRPr="003275C7">
      <w:rPr>
        <w:rFonts w:ascii="Arial" w:hAnsi="Arial" w:cs="Arial"/>
        <w:b/>
        <w:sz w:val="48"/>
      </w:rPr>
      <w:tab/>
    </w:r>
    <w:r>
      <w:fldChar w:fldCharType="begin"/>
    </w:r>
    <w:r>
      <w:instrText xml:space="preserve"> PAGE  \* MERGEFORMAT </w:instrText>
    </w:r>
    <w:r>
      <w:fldChar w:fldCharType="separate"/>
    </w:r>
    <w:r w:rsidR="00A611C2">
      <w:rPr>
        <w:noProof/>
      </w:rPr>
      <w:t>12</w:t>
    </w:r>
    <w:r>
      <w:fldChar w:fldCharType="end"/>
    </w:r>
    <w:r>
      <w:tab/>
    </w:r>
    <w:r w:rsidRPr="003275C7">
      <w:tab/>
    </w:r>
    <w:r w:rsidRPr="003275C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Default="003275C7" w:rsidP="00327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7D" w:rsidRPr="00090992" w:rsidRDefault="00CA757D">
      <w:pPr>
        <w:spacing w:before="0" w:after="0"/>
      </w:pPr>
      <w:r>
        <w:separator/>
      </w:r>
    </w:p>
  </w:footnote>
  <w:footnote w:type="continuationSeparator" w:id="0">
    <w:p w:rsidR="00CA757D" w:rsidRPr="00090992" w:rsidRDefault="00CA757D">
      <w:pPr>
        <w:spacing w:before="0" w:after="0"/>
      </w:pPr>
      <w:r>
        <w:continuationSeparator/>
      </w:r>
    </w:p>
  </w:footnote>
  <w:footnote w:type="continuationNotice" w:id="1">
    <w:p w:rsidR="00CA757D" w:rsidRPr="00090992" w:rsidRDefault="00CA757D">
      <w:pPr>
        <w:spacing w:before="0" w:after="0"/>
      </w:pPr>
    </w:p>
  </w:footnote>
  <w:footnote w:id="2">
    <w:p w:rsidR="00D86524" w:rsidRPr="00090992" w:rsidRDefault="00D86524" w:rsidP="00D86524">
      <w:pPr>
        <w:pStyle w:val="FootnoteText"/>
      </w:pPr>
      <w:r>
        <w:rPr>
          <w:rStyle w:val="FootnoteReference"/>
        </w:rPr>
        <w:footnoteRef/>
      </w:r>
      <w:r>
        <w:tab/>
        <w:t xml:space="preserve">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w:t>
      </w:r>
      <w:hyperlink r:id="rId1" w:history="1">
        <w:r>
          <w:rPr>
            <w:rStyle w:val="Hyperlink"/>
          </w:rPr>
          <w:t>http://data.europa.eu/eli/reg/2013/1380/2023-01-01</w:t>
        </w:r>
      </w:hyperlink>
      <w:r>
        <w:t>).</w:t>
      </w:r>
    </w:p>
  </w:footnote>
  <w:footnote w:id="3">
    <w:p w:rsidR="00D86524" w:rsidRPr="000C7667" w:rsidRDefault="00D86524" w:rsidP="00D86524">
      <w:pPr>
        <w:pStyle w:val="FootnoteText"/>
      </w:pPr>
      <w:r>
        <w:rPr>
          <w:rStyle w:val="FootnoteReference"/>
        </w:rPr>
        <w:footnoteRef/>
      </w:r>
      <w:r>
        <w:tab/>
        <w:t xml:space="preserve">Regulamentul (UE) 2016/1139 al Parlamentului European și al Consiliului din 6 iulie 2016 de stabilire a unui plan multianual pentru stocurile de cod, hering și șprot din Marea Baltică și pentru activitățile de pescuit care exploatează stocurile respective, de modificare a Regulamentului (CE) nr. 2187/2005 al Consiliului și de abrogare a Regulamentului (CE) nr. 1098/2007 al Consiliului (JO L 191, 15.7.2016, p. 1, ELI: </w:t>
      </w:r>
      <w:hyperlink r:id="rId2" w:history="1">
        <w:r>
          <w:rPr>
            <w:rStyle w:val="Hyperlink"/>
          </w:rPr>
          <w:t>http://data.europa.eu/eli/reg/2016/1139/oj</w:t>
        </w:r>
      </w:hyperlink>
      <w:r>
        <w:t>).</w:t>
      </w:r>
    </w:p>
  </w:footnote>
  <w:footnote w:id="4">
    <w:p w:rsidR="00395C45" w:rsidRPr="00402CDC" w:rsidRDefault="00395C45" w:rsidP="00395C45">
      <w:pPr>
        <w:pStyle w:val="FootnoteText"/>
      </w:pPr>
      <w:r>
        <w:rPr>
          <w:rStyle w:val="FootnoteReference"/>
        </w:rPr>
        <w:footnoteRef/>
      </w:r>
      <w:r>
        <w:tab/>
      </w:r>
      <w:hyperlink r:id="rId3" w:history="1">
        <w:r>
          <w:rPr>
            <w:rStyle w:val="Hyperlink"/>
          </w:rPr>
          <w:t>http://www.ices.dk/advice/Pages/Latest-Advice.aspx</w:t>
        </w:r>
      </w:hyperlink>
    </w:p>
  </w:footnote>
  <w:footnote w:id="5">
    <w:p w:rsidR="00BC06BE" w:rsidRPr="00090992" w:rsidRDefault="00BC06BE" w:rsidP="00BC06BE">
      <w:pPr>
        <w:pStyle w:val="FootnoteText"/>
      </w:pPr>
      <w:r>
        <w:rPr>
          <w:rStyle w:val="FootnoteReference"/>
        </w:rPr>
        <w:footnoteRef/>
      </w:r>
      <w:r>
        <w:tab/>
        <w:t>Documentul de lucru al serviciilor Comisiei intitulat „Evaluarea Regulamentului (UE) nr. 1380/2013 al Parlamentului European și al Consiliului din 11 decembrie 2013 privind politica comună în domeniul pescuitului” [SWD(2026)120].</w:t>
      </w:r>
    </w:p>
  </w:footnote>
  <w:footnote w:id="6">
    <w:p w:rsidR="00C51659" w:rsidRPr="000C7667" w:rsidRDefault="00C51659">
      <w:pPr>
        <w:pStyle w:val="FootnoteText"/>
      </w:pPr>
      <w:r>
        <w:rPr>
          <w:rStyle w:val="FootnoteReference"/>
        </w:rPr>
        <w:footnoteRef/>
      </w:r>
      <w:r>
        <w:tab/>
        <w:t>https://environment.ec.europa.eu/strategy/biodiversity-strategy-2030_en</w:t>
      </w:r>
    </w:p>
  </w:footnote>
  <w:footnote w:id="7">
    <w:p w:rsidR="00C4156C" w:rsidRPr="00090992" w:rsidRDefault="00C4156C">
      <w:pPr>
        <w:pStyle w:val="FootnoteText"/>
      </w:pPr>
      <w:r>
        <w:rPr>
          <w:rStyle w:val="FootnoteReference"/>
        </w:rPr>
        <w:footnoteRef/>
      </w:r>
      <w:r>
        <w:tab/>
        <w:t>Comunicarea Comisiei din 21 februarie 2023 către Parlamentul European, Consiliu, Comitetul Economic și Social European și Comitetul Regiunilor intitulată „Planul de acțiune al UE: Protejarea și refacerea ecosistemelor marine pentru un pescuit sustenabil și rezilient” [COM(2023) 102 final].</w:t>
      </w:r>
    </w:p>
  </w:footnote>
  <w:footnote w:id="8">
    <w:p w:rsidR="61DB2177" w:rsidRPr="00090992" w:rsidRDefault="61DB2177" w:rsidP="00F30FCB">
      <w:pPr>
        <w:pStyle w:val="FootnoteText"/>
      </w:pPr>
      <w:r>
        <w:rPr>
          <w:rStyle w:val="FootnoteReference"/>
        </w:rPr>
        <w:footnoteRef/>
      </w:r>
      <w:r>
        <w:tab/>
        <w:t>Comunicarea Comisiei din 5 iunie 2025 către Parlamentul European, Consiliu, Comitetul Economic și Social European și Comitetul Regiunilor intitulată „Pactul european privind oceanul planetar” [COM(2025) 281 final].</w:t>
      </w:r>
    </w:p>
  </w:footnote>
  <w:footnote w:id="9">
    <w:p w:rsidR="007410FF" w:rsidRPr="000C7667" w:rsidRDefault="007410FF">
      <w:pPr>
        <w:pStyle w:val="FootnoteText"/>
      </w:pPr>
      <w:r>
        <w:rPr>
          <w:rStyle w:val="FootnoteReference"/>
        </w:rPr>
        <w:footnoteRef/>
      </w:r>
      <w:r>
        <w:tab/>
        <w:t xml:space="preserve">Regulamentul (CE) nr. 1224/2009 al Consiliului din 20 noiembrie 2009 de stabilire a unui sistem de control al Uniunii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 ELI: </w:t>
      </w:r>
      <w:hyperlink r:id="rId4" w:history="1">
        <w:r>
          <w:rPr>
            <w:rStyle w:val="Hyperlink"/>
          </w:rPr>
          <w:t>http://data.europa.eu/eli/reg/2009/1224/oj</w:t>
        </w:r>
      </w:hyperlink>
      <w:r>
        <w:t>).</w:t>
      </w:r>
    </w:p>
  </w:footnote>
  <w:footnote w:id="10">
    <w:p w:rsidR="003715BF" w:rsidRPr="000C7667" w:rsidRDefault="003715BF" w:rsidP="003715BF">
      <w:pPr>
        <w:pStyle w:val="FootnoteText"/>
      </w:pPr>
      <w:r>
        <w:rPr>
          <w:rStyle w:val="FootnoteReference"/>
        </w:rPr>
        <w:footnoteRef/>
      </w:r>
      <w:r>
        <w:tab/>
      </w:r>
      <w:hyperlink r:id="rId5" w:history="1">
        <w:r>
          <w:rPr>
            <w:rStyle w:val="Hyperlink"/>
          </w:rPr>
          <w:t>https://doi.org/10.17895/ices.advice.30932015</w:t>
        </w:r>
      </w:hyperlink>
      <w:r>
        <w:t xml:space="preserve"> </w:t>
      </w:r>
    </w:p>
  </w:footnote>
  <w:footnote w:id="11">
    <w:p w:rsidR="00FD0D94" w:rsidRPr="000C7667" w:rsidRDefault="00FD0D94" w:rsidP="00F30FCB">
      <w:pPr>
        <w:pStyle w:val="FootnoteText"/>
        <w:jc w:val="left"/>
      </w:pPr>
      <w:r>
        <w:rPr>
          <w:rStyle w:val="FootnoteReference"/>
        </w:rPr>
        <w:footnoteRef/>
      </w:r>
      <w:r>
        <w:tab/>
      </w:r>
      <w:hyperlink r:id="rId6" w:history="1">
        <w:r>
          <w:rPr>
            <w:rStyle w:val="Hyperlink"/>
          </w:rPr>
          <w:t>https://doi.org/10.17895/ices.advice.5276</w:t>
        </w:r>
      </w:hyperlink>
      <w:r>
        <w:t xml:space="preserve">; </w:t>
      </w:r>
      <w:hyperlink r:id="rId7" w:history="1">
        <w:r>
          <w:rPr>
            <w:rStyle w:val="Hyperlink"/>
          </w:rPr>
          <w:t>https://doi.org/10.17895/ices.advice.5649</w:t>
        </w:r>
      </w:hyperlink>
      <w:r>
        <w:rPr>
          <w:rStyle w:val="Hyperlink"/>
        </w:rPr>
        <w:t xml:space="preserve">; </w:t>
      </w:r>
      <w:hyperlink r:id="rId8" w:history="1">
        <w:r>
          <w:rPr>
            <w:rStyle w:val="Hyperlink"/>
          </w:rPr>
          <w:t>https://doi.org/10.17895/ices.advice.24799266</w:t>
        </w:r>
      </w:hyperlink>
    </w:p>
  </w:footnote>
  <w:footnote w:id="12">
    <w:p w:rsidR="002A4949" w:rsidRPr="00090992" w:rsidRDefault="002A4949">
      <w:pPr>
        <w:pStyle w:val="FootnoteText"/>
      </w:pPr>
      <w:r>
        <w:rPr>
          <w:rStyle w:val="FootnoteReference"/>
        </w:rPr>
        <w:footnoteRef/>
      </w:r>
      <w:r>
        <w:tab/>
        <w:t xml:space="preserve">Regulamentul delegat (UE) 2024/3093 al Comisiei din 13 octombrie 2022 de modificare a Regulamentului (UE) 2019/1241 al Parlamentului European și al Consiliului în ceea ce privește măsurile tehnice specifice de reducere a capturilor accidentale de cod în Marea Baltică (JO L 2024/3093, 10.12.2024, ELI: </w:t>
      </w:r>
      <w:hyperlink r:id="rId9" w:history="1">
        <w:r>
          <w:rPr>
            <w:rStyle w:val="Hyperlink"/>
          </w:rPr>
          <w:t>http://data.europa.eu/eli/reg_del/2024/3093/oj</w:t>
        </w:r>
      </w:hyperlink>
      <w:r>
        <w:t>).</w:t>
      </w:r>
    </w:p>
  </w:footnote>
  <w:footnote w:id="13">
    <w:p w:rsidR="003715BF" w:rsidRPr="00090992" w:rsidRDefault="003715BF" w:rsidP="003715BF">
      <w:pPr>
        <w:pStyle w:val="FootnoteText"/>
      </w:pPr>
      <w:r>
        <w:rPr>
          <w:rStyle w:val="FootnoteReference"/>
        </w:rPr>
        <w:footnoteRef/>
      </w:r>
      <w:r>
        <w:tab/>
      </w:r>
      <w:r>
        <w:rPr>
          <w:rStyle w:val="Hyperlink"/>
        </w:rPr>
        <w:t>https://doi.org/10.17895/ices.advice.27202560</w:t>
      </w:r>
      <w:r>
        <w:t xml:space="preserve"> </w:t>
      </w:r>
    </w:p>
  </w:footnote>
  <w:footnote w:id="14">
    <w:p w:rsidR="00FD0D94" w:rsidRPr="00090992" w:rsidRDefault="00FD0D94">
      <w:pPr>
        <w:pStyle w:val="FootnoteText"/>
      </w:pPr>
      <w:r>
        <w:rPr>
          <w:rStyle w:val="FootnoteReference"/>
        </w:rPr>
        <w:footnoteRef/>
      </w:r>
      <w:r>
        <w:tab/>
        <w:t>A se vedea nota de subsol 9.</w:t>
      </w:r>
    </w:p>
  </w:footnote>
  <w:footnote w:id="15">
    <w:p w:rsidR="002A4949" w:rsidRPr="00090992" w:rsidRDefault="002A4949">
      <w:pPr>
        <w:pStyle w:val="FootnoteText"/>
      </w:pPr>
      <w:r>
        <w:rPr>
          <w:rStyle w:val="FootnoteReference"/>
        </w:rPr>
        <w:footnoteRef/>
      </w:r>
      <w:r>
        <w:tab/>
        <w:t>A se vedea nota de subsol 10.</w:t>
      </w:r>
    </w:p>
  </w:footnote>
  <w:footnote w:id="16">
    <w:p w:rsidR="00097813" w:rsidRPr="00090992" w:rsidRDefault="00097813" w:rsidP="00097813">
      <w:pPr>
        <w:pStyle w:val="FootnoteText"/>
      </w:pPr>
      <w:r>
        <w:rPr>
          <w:rStyle w:val="FootnoteReference"/>
        </w:rPr>
        <w:footnoteRef/>
      </w:r>
      <w:r>
        <w:tab/>
      </w:r>
      <w:hyperlink r:id="rId10" w:history="1">
        <w:r>
          <w:rPr>
            <w:rStyle w:val="Hyperlink"/>
          </w:rPr>
          <w:t>https://doi.org/10.17895/ices.advice.30932261</w:t>
        </w:r>
      </w:hyperlink>
      <w:r>
        <w:t xml:space="preserve"> </w:t>
      </w:r>
    </w:p>
  </w:footnote>
  <w:footnote w:id="17">
    <w:p w:rsidR="003715BF" w:rsidRPr="00090992" w:rsidRDefault="003715BF" w:rsidP="003715BF">
      <w:pPr>
        <w:pStyle w:val="FootnoteText"/>
      </w:pPr>
      <w:r>
        <w:rPr>
          <w:rStyle w:val="FootnoteReference"/>
        </w:rPr>
        <w:footnoteRef/>
      </w:r>
      <w:r>
        <w:tab/>
      </w:r>
      <w:r>
        <w:rPr>
          <w:color w:val="0000FF"/>
          <w:u w:val="single"/>
        </w:rPr>
        <w:t>https://doi.org/10.17895/ices.advice.32133847</w:t>
      </w:r>
      <w:r>
        <w:t xml:space="preserve"> </w:t>
      </w:r>
    </w:p>
  </w:footnote>
  <w:footnote w:id="18">
    <w:p w:rsidR="001B5CD7" w:rsidRPr="00090992" w:rsidRDefault="001B5CD7">
      <w:pPr>
        <w:pStyle w:val="FootnoteText"/>
      </w:pPr>
      <w:r>
        <w:rPr>
          <w:rStyle w:val="FootnoteReference"/>
        </w:rPr>
        <w:footnoteRef/>
      </w:r>
      <w:r>
        <w:tab/>
        <w:t>A se vedea nota de subsol 9.</w:t>
      </w:r>
    </w:p>
  </w:footnote>
  <w:footnote w:id="19">
    <w:p w:rsidR="003715BF" w:rsidRPr="00090992" w:rsidRDefault="003715BF" w:rsidP="003715BF">
      <w:pPr>
        <w:pStyle w:val="FootnoteText"/>
      </w:pPr>
      <w:r>
        <w:rPr>
          <w:rStyle w:val="FootnoteReference"/>
        </w:rPr>
        <w:footnoteRef/>
      </w:r>
      <w:r>
        <w:tab/>
      </w:r>
      <w:r>
        <w:rPr>
          <w:color w:val="0000FF"/>
          <w:u w:val="single"/>
        </w:rPr>
        <w:t>https://doi.org/10.17895/ices.advice.30932081</w:t>
      </w:r>
      <w:r>
        <w:t xml:space="preserve"> </w:t>
      </w:r>
    </w:p>
  </w:footnote>
  <w:footnote w:id="20">
    <w:p w:rsidR="00097813" w:rsidRPr="00090992" w:rsidRDefault="00097813" w:rsidP="00097813">
      <w:pPr>
        <w:pStyle w:val="FootnoteText"/>
      </w:pPr>
      <w:r>
        <w:rPr>
          <w:rStyle w:val="FootnoteReference"/>
        </w:rPr>
        <w:footnoteRef/>
      </w:r>
      <w:r>
        <w:tab/>
      </w:r>
      <w:r>
        <w:rPr>
          <w:color w:val="0000FF"/>
          <w:u w:val="single"/>
        </w:rPr>
        <w:t>https://doi.org/10.17895/ices.advice.30932084</w:t>
      </w:r>
    </w:p>
  </w:footnote>
  <w:footnote w:id="21">
    <w:p w:rsidR="00097813" w:rsidRPr="00090992" w:rsidRDefault="00097813" w:rsidP="00097813">
      <w:pPr>
        <w:pStyle w:val="FootnoteText"/>
      </w:pPr>
      <w:r>
        <w:rPr>
          <w:rStyle w:val="FootnoteReference"/>
        </w:rPr>
        <w:footnoteRef/>
      </w:r>
      <w:r>
        <w:tab/>
      </w:r>
      <w:hyperlink r:id="rId11" w:history="1">
        <w:r>
          <w:rPr>
            <w:rStyle w:val="Hyperlink"/>
          </w:rPr>
          <w:t>https://doi.org/10.17895/ices.advice.30932087</w:t>
        </w:r>
      </w:hyperlink>
      <w:r>
        <w:t xml:space="preserve"> </w:t>
      </w:r>
    </w:p>
  </w:footnote>
  <w:footnote w:id="22">
    <w:p w:rsidR="003715BF" w:rsidRPr="00090992" w:rsidRDefault="003715BF" w:rsidP="003715BF">
      <w:pPr>
        <w:pStyle w:val="FootnoteText"/>
      </w:pPr>
      <w:r>
        <w:rPr>
          <w:rStyle w:val="FootnoteReference"/>
        </w:rPr>
        <w:footnoteRef/>
      </w:r>
      <w:r>
        <w:tab/>
      </w:r>
      <w:r>
        <w:rPr>
          <w:color w:val="0000FF"/>
          <w:u w:val="single"/>
        </w:rPr>
        <w:t>https://doi.org/10.17895/ices.advice.30932426</w:t>
      </w:r>
      <w:r>
        <w:t xml:space="preserve"> </w:t>
      </w:r>
    </w:p>
  </w:footnote>
  <w:footnote w:id="23">
    <w:p w:rsidR="00BC1057" w:rsidRPr="00090992" w:rsidRDefault="00BC1057" w:rsidP="00BC1057">
      <w:pPr>
        <w:pStyle w:val="FootnoteText"/>
      </w:pPr>
      <w:r>
        <w:rPr>
          <w:rStyle w:val="FootnoteReference"/>
        </w:rPr>
        <w:footnoteRef/>
      </w:r>
      <w:r>
        <w:tab/>
      </w:r>
      <w:hyperlink r:id="rId12" w:history="1">
        <w:r>
          <w:rPr>
            <w:rStyle w:val="Hyperlink"/>
          </w:rPr>
          <w:t>https://doi.org/10.17895/ices.advice.27202839</w:t>
        </w:r>
      </w:hyperlink>
      <w:r>
        <w:t xml:space="preserve"> </w:t>
      </w:r>
      <w:r>
        <w:tab/>
      </w:r>
    </w:p>
  </w:footnote>
  <w:footnote w:id="24">
    <w:p w:rsidR="001940E0" w:rsidRPr="00090992" w:rsidRDefault="001940E0" w:rsidP="001940E0">
      <w:pPr>
        <w:pStyle w:val="FootnoteText"/>
      </w:pPr>
      <w:r>
        <w:rPr>
          <w:rStyle w:val="FootnoteReference"/>
        </w:rPr>
        <w:footnoteRef/>
      </w:r>
      <w:r>
        <w:tab/>
      </w:r>
      <w:hyperlink r:id="rId13" w:history="1">
        <w:r>
          <w:rPr>
            <w:rStyle w:val="Hyperlink"/>
          </w:rPr>
          <w:t>https://doi.org/10.17895/ices.advice.27202842</w:t>
        </w:r>
      </w:hyperlink>
      <w:r>
        <w:t xml:space="preserve"> </w:t>
      </w:r>
      <w:r>
        <w:tab/>
      </w:r>
    </w:p>
  </w:footnote>
  <w:footnote w:id="25">
    <w:p w:rsidR="00B65CF2" w:rsidRPr="00090992" w:rsidRDefault="00B65CF2" w:rsidP="00B65CF2">
      <w:pPr>
        <w:pStyle w:val="FootnoteText"/>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w:t>
      </w:r>
      <w:hyperlink r:id="rId14" w:history="1">
        <w:r>
          <w:rPr>
            <w:rStyle w:val="Hyperlink"/>
          </w:rPr>
          <w:t>http://data.europa.eu/eli/reg/2013/1380/oj</w:t>
        </w:r>
      </w:hyperlink>
      <w:r>
        <w:t>).</w:t>
      </w:r>
    </w:p>
  </w:footnote>
  <w:footnote w:id="26">
    <w:p w:rsidR="00B65CF2" w:rsidRPr="00090992" w:rsidRDefault="00B65CF2" w:rsidP="00B65CF2">
      <w:pPr>
        <w:pStyle w:val="FootnoteText"/>
      </w:pPr>
      <w:r>
        <w:rPr>
          <w:rStyle w:val="FootnoteReference"/>
        </w:rPr>
        <w:footnoteRef/>
      </w:r>
      <w:r>
        <w:tab/>
        <w:t>Regulamentul (UE) 2016/1139 al Parlamentului European și al Consiliului din 6 iulie 2016 de stabilire a unui plan multianual pentru stocurile de cod, hering și șprot din Marea Baltică și pentru activitățile de pescuit care exploatează stocurile respective, de modificare a Regulamentului (CE) nr. 2187/2005 al Consiliului și de abrogare a Regulamentului (CE) nr. 1098/2007 al Consiliului (JO L 191, 15.7.2016, p. 1, ELI: </w:t>
      </w:r>
      <w:hyperlink r:id="rId15" w:history="1">
        <w:r>
          <w:rPr>
            <w:rStyle w:val="Hyperlink"/>
          </w:rPr>
          <w:t>http://data.europa.eu/eli/reg/2016/1139/oj</w:t>
        </w:r>
      </w:hyperlink>
      <w:r>
        <w:t>).</w:t>
      </w:r>
    </w:p>
  </w:footnote>
  <w:footnote w:id="27">
    <w:p w:rsidR="00B65CF2" w:rsidRPr="00090992" w:rsidRDefault="00B65CF2" w:rsidP="00B65CF2">
      <w:pPr>
        <w:pStyle w:val="FootnoteText"/>
      </w:pPr>
      <w:r>
        <w:rPr>
          <w:rStyle w:val="FootnoteReference"/>
          <w:szCs w:val="22"/>
        </w:rPr>
        <w:footnoteRef/>
      </w:r>
      <w:r>
        <w:tab/>
        <w:t>Regulamentul (CE) nr. 1224/2009 al Consiliului din 20 noiembrie 2009 de stabilire a unui sistem de control al Uniunii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 ELI: http://data.europa.eu/eli/reg/2009/1224/oj).</w:t>
      </w:r>
    </w:p>
  </w:footnote>
  <w:footnote w:id="28">
    <w:p w:rsidR="00B65CF2" w:rsidRPr="00090992" w:rsidRDefault="00B65CF2" w:rsidP="00B65CF2">
      <w:pPr>
        <w:pStyle w:val="FootnoteText"/>
      </w:pPr>
      <w:r>
        <w:rPr>
          <w:rStyle w:val="FootnoteReference"/>
        </w:rPr>
        <w:footnoteRef/>
      </w:r>
      <w:r>
        <w:tab/>
        <w:t>Regulamentul (CE) nr. 847/96 al Consiliului din 6 mai 1996 privind introducerea unor condiții suplimentare pentru gestionarea interanuală a totalurilor admise de captură (TAC) și a cotelor de pescuit (JO L 115, 9.5.1996, p. 3, ELI: http://data.europa.eu/eli/reg/1996/847/OJ).</w:t>
      </w:r>
    </w:p>
  </w:footnote>
  <w:footnote w:id="29">
    <w:p w:rsidR="00B65CF2" w:rsidRPr="00090992" w:rsidRDefault="00B65CF2" w:rsidP="00484CBD">
      <w:pPr>
        <w:pStyle w:val="FootnoteText"/>
      </w:pPr>
      <w:r>
        <w:rPr>
          <w:rStyle w:val="FootnoteReference"/>
        </w:rPr>
        <w:footnoteRef/>
      </w:r>
      <w:r>
        <w:tab/>
        <w:t>Regulamentul (UE) 2026/249 al Consiliului din 26 ianuarie 2026 de stabilire, pentru anii 2026, 2027 și 2028, a posibilităților de pescuit pentru anumite stocuri de pește, aplicabile în apele Uniunii și, pentru navele de pescuit din Uniune, în anumite ape din afara Uniunii, și de modificare a Regulamentului (UE) 2025/202 (JO L, 2026/249, 30.1.2026, ELI: http://data.europa.eu/eli/reg/2026/249/OJ).</w:t>
      </w:r>
    </w:p>
  </w:footnote>
  <w:footnote w:id="30">
    <w:p w:rsidR="00B65CF2" w:rsidRPr="000C7667" w:rsidRDefault="00B65CF2" w:rsidP="00B65CF2">
      <w:pPr>
        <w:pStyle w:val="FootnoteText"/>
      </w:pPr>
      <w:r>
        <w:rPr>
          <w:rStyle w:val="FootnoteReference"/>
        </w:rPr>
        <w:footnoteRef/>
      </w:r>
      <w:r>
        <w:tab/>
        <w:t>JO L 149, 30.4.2021, p. 10, ELI: http://data.europa.eu/eli/agree_internation/2021/689(1)/OJ.</w:t>
      </w:r>
    </w:p>
  </w:footnote>
  <w:footnote w:id="31">
    <w:p w:rsidR="00B65CF2" w:rsidRPr="00090992" w:rsidRDefault="00B65CF2" w:rsidP="00B65CF2">
      <w:pPr>
        <w:pStyle w:val="FootnoteText"/>
      </w:pPr>
      <w:r>
        <w:rPr>
          <w:rStyle w:val="FootnoteReference"/>
        </w:rPr>
        <w:footnoteRef/>
      </w:r>
      <w:r>
        <w:tab/>
        <w:t>Decizia (UE) 2021/1875 a Consiliului din 22 octombrie 2021 privind poziția care urmează să fie adoptată în numele Uniunii în cadrul consultărilor anuale cu Regatul Unit pentru a se conveni asupra capturilor totale admisibile (JO L 378, 26.10.2021, p. 6, ELI: http://data.europa.eu/eli/dec/2021/1875/OJ).</w:t>
      </w:r>
    </w:p>
  </w:footnote>
  <w:footnote w:id="32">
    <w:p w:rsidR="000415DE" w:rsidRPr="00090992" w:rsidRDefault="000415DE" w:rsidP="00055781">
      <w:pPr>
        <w:pStyle w:val="FootnoteText"/>
      </w:pPr>
      <w:r>
        <w:rPr>
          <w:rStyle w:val="FootnoteReference"/>
        </w:rPr>
        <w:footnoteRef/>
      </w:r>
      <w:r>
        <w:tab/>
        <w:t>Regulamentul (CE) nr. 218/2009 al Parlamentului European și al Consiliului din 11 martie 2009 privind comunicarea datelor statistice referitoare la capturile nominale de către statele membre care practică pescuitul în Atlanticul de Nord-Est (JO L 87, 31.3.2009, p. 70, ELI: http://data.europa.eu/eli/reg/2009/218/OJ).</w:t>
      </w:r>
    </w:p>
  </w:footnote>
  <w:footnote w:id="33">
    <w:p w:rsidR="00EE7BDD" w:rsidRPr="00090992" w:rsidRDefault="00EE7BDD">
      <w:pPr>
        <w:pStyle w:val="FootnoteText"/>
      </w:pPr>
      <w:r>
        <w:rPr>
          <w:rStyle w:val="FootnoteReference"/>
        </w:rPr>
        <w:footnoteRef/>
      </w:r>
      <w:r>
        <w:tab/>
        <w:t xml:space="preserve">Regulamentul (UE) 2019/1241 al Parlamentului European și al Consiliului din 20 iunie 2019 privind conservarea resurselor piscicole și protecția ecosistemelor marine prin măsuri tehnice, de modificare a Regulamentelor (CE) nr. 1967/2006 și (CE) nr. 1224/2009 ale Consiliului și a Regulamentelor (UE) nr. 1380/2013, (UE) 2016/1139, (UE) 2018/973, (UE) 2019/472 și (UE) 2019/1022 ale Parlamentului European și ale Consiliului și de abrogare a Regulamentelor (CE) nr. 894/97, (CE) nr. 850/98, (CE) nr. 2549/2000, (CE) nr. 254/2002, (CE) nr. 812/2004 și (CE) nr. 2187/2005 ale Consiliului (JO L 198, 25.7.2019, p. 105, ELI: </w:t>
      </w:r>
      <w:hyperlink r:id="rId16" w:history="1">
        <w:r>
          <w:rPr>
            <w:rStyle w:val="Hyperlink"/>
          </w:rPr>
          <w:t>http://data.europa.eu/eli/reg/2019/1241/oj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Default="003275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C7" w:rsidRDefault="003275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80403A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48556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B66A8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5C89C4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978052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73CD02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B86EA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230D3A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1"/>
  </w:num>
  <w:num w:numId="10">
    <w:abstractNumId w:val="12"/>
  </w:num>
  <w:num w:numId="11">
    <w:abstractNumId w:val="21"/>
    <w:lvlOverride w:ilvl="0">
      <w:startOverride w:val="1"/>
    </w:lvlOverride>
  </w:num>
  <w:num w:numId="12">
    <w:abstractNumId w:val="11"/>
    <w:lvlOverride w:ilvl="0">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6"/>
  </w:num>
  <w:num w:numId="22">
    <w:abstractNumId w:val="23"/>
  </w:num>
  <w:num w:numId="23">
    <w:abstractNumId w:val="22"/>
  </w:num>
  <w:num w:numId="24">
    <w:abstractNumId w:val="9"/>
  </w:num>
  <w:num w:numId="25">
    <w:abstractNumId w:val="17"/>
  </w:num>
  <w:num w:numId="26">
    <w:abstractNumId w:val="10"/>
  </w:num>
  <w:num w:numId="27">
    <w:abstractNumId w:val="15"/>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num>
  <w:num w:numId="33">
    <w:abstractNumId w:val="27"/>
  </w:num>
  <w:num w:numId="34">
    <w:abstractNumId w:val="18"/>
  </w:num>
  <w:num w:numId="35">
    <w:abstractNumId w:val="29"/>
  </w:num>
  <w:num w:numId="36">
    <w:abstractNumId w:val="14"/>
  </w:num>
  <w:num w:numId="37">
    <w:abstractNumId w:val="19"/>
  </w:num>
  <w:num w:numId="38">
    <w:abstractNumId w:val="20"/>
  </w:num>
  <w:num w:numId="39">
    <w:abstractNumId w:val="12"/>
  </w:num>
  <w:num w:numId="40">
    <w:abstractNumId w:val="28"/>
  </w:num>
  <w:num w:numId="41">
    <w:abstractNumId w:val="11"/>
  </w:num>
  <w:num w:numId="42">
    <w:abstractNumId w:val="21"/>
  </w:num>
  <w:num w:numId="43">
    <w:abstractNumId w:val="25"/>
  </w:num>
  <w:num w:numId="44">
    <w:abstractNumId w:val="26"/>
  </w:num>
  <w:num w:numId="45">
    <w:abstractNumId w:val="13"/>
  </w:num>
  <w:num w:numId="46">
    <w:abstractNumId w:val="24"/>
  </w:num>
  <w:num w:numId="47">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l-PL" w:vendorID="64" w:dllVersion="0" w:nlCheck="1" w:checkStyle="0"/>
  <w:activeWritingStyle w:appName="MSWord" w:lang="en-GB" w:vendorID="64" w:dllVersion="0" w:nlCheck="1" w:checkStyle="0"/>
  <w:activeWritingStyle w:appName="MSWord" w:lang="en-IE" w:vendorID="64" w:dllVersion="0" w:nlCheck="1" w:checkStyle="0"/>
  <w:attachedTemplate r:id="rId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8-18 09:24: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8FA9E7F-A74B-4983-BE22-BC5208CF3811"/>
    <w:docVar w:name="LW_COVERPAGE_TYPE" w:val="1"/>
    <w:docVar w:name="LW_CROSSREFERENCE" w:val="&lt;UNUSED&gt;"/>
    <w:docVar w:name="LW_DocType" w:val="COM"/>
    <w:docVar w:name="LW_EMISSION" w:val="24.8.2026"/>
    <w:docVar w:name="LW_EMISSION_ISODATE" w:val="2026-08-24"/>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0"/>
    <w:docVar w:name="LW_REF.II.NEW.CP_YEAR" w:val="2026"/>
    <w:docVar w:name="LW_REF.INST.NEW" w:val="COM"/>
    <w:docVar w:name="LW_REF.INST.NEW_ADOPTED" w:val="final"/>
    <w:docVar w:name="LW_REF.INST.NEW_TEXT" w:val="(2026) 4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TATUT.CP" w:val="Propunere de"/>
    <w:docVar w:name="LW_SUPERTITRE" w:val="&lt;UNUSED&gt;"/>
    <w:docVar w:name="LW_TITRE.OBJ.CP" w:val="de stabilire a posibilit\u259?\u539?ilor de pescuit pentru anumite stocuri de pe\u537?te \u537?i grupuri de stocuri de pe\u537?te aplicabile în Marea Baltic\u259? în anul 2027 \u537?i de modificare a Regulamentului (UE) 2026/249 în ceea ce prive\u537?te anumite posibilit\u259?\u539?i de pescuit în alte ape"/>
    <w:docVar w:name="LW_TYPE.DOC.CP" w:val="REGULAMENT AL CONSILIULUI"/>
    <w:docVar w:name="LwApiVersions" w:val="LW4CoDe 1.24.5.0; LW 9.2, Build 20251112"/>
  </w:docVars>
  <w:rsids>
    <w:rsidRoot w:val="002963AE"/>
    <w:rsid w:val="00000464"/>
    <w:rsid w:val="0000143A"/>
    <w:rsid w:val="00001885"/>
    <w:rsid w:val="000030C9"/>
    <w:rsid w:val="000039BC"/>
    <w:rsid w:val="00003B9E"/>
    <w:rsid w:val="00004578"/>
    <w:rsid w:val="00004CF8"/>
    <w:rsid w:val="00005339"/>
    <w:rsid w:val="00005A5D"/>
    <w:rsid w:val="00005CE3"/>
    <w:rsid w:val="00006184"/>
    <w:rsid w:val="0000625B"/>
    <w:rsid w:val="000075BE"/>
    <w:rsid w:val="000100A4"/>
    <w:rsid w:val="00010CD9"/>
    <w:rsid w:val="00012245"/>
    <w:rsid w:val="00012552"/>
    <w:rsid w:val="000133E7"/>
    <w:rsid w:val="00013A65"/>
    <w:rsid w:val="00014813"/>
    <w:rsid w:val="00014E87"/>
    <w:rsid w:val="0001577E"/>
    <w:rsid w:val="00016051"/>
    <w:rsid w:val="00016BDE"/>
    <w:rsid w:val="00017650"/>
    <w:rsid w:val="00017739"/>
    <w:rsid w:val="000179CA"/>
    <w:rsid w:val="00017D50"/>
    <w:rsid w:val="000201C7"/>
    <w:rsid w:val="00020A09"/>
    <w:rsid w:val="000210CF"/>
    <w:rsid w:val="00021EF3"/>
    <w:rsid w:val="00022AB0"/>
    <w:rsid w:val="00023399"/>
    <w:rsid w:val="000236AD"/>
    <w:rsid w:val="00024A52"/>
    <w:rsid w:val="000252CE"/>
    <w:rsid w:val="000261C5"/>
    <w:rsid w:val="00026C88"/>
    <w:rsid w:val="000276BD"/>
    <w:rsid w:val="00027AB2"/>
    <w:rsid w:val="0003041A"/>
    <w:rsid w:val="0003046A"/>
    <w:rsid w:val="000311BA"/>
    <w:rsid w:val="00031C55"/>
    <w:rsid w:val="00032263"/>
    <w:rsid w:val="00032467"/>
    <w:rsid w:val="000338EB"/>
    <w:rsid w:val="0003405E"/>
    <w:rsid w:val="0003423A"/>
    <w:rsid w:val="00034C6B"/>
    <w:rsid w:val="0003530C"/>
    <w:rsid w:val="00036287"/>
    <w:rsid w:val="00036F59"/>
    <w:rsid w:val="00037C89"/>
    <w:rsid w:val="000415DE"/>
    <w:rsid w:val="000429A9"/>
    <w:rsid w:val="00045060"/>
    <w:rsid w:val="00045B4D"/>
    <w:rsid w:val="00046220"/>
    <w:rsid w:val="000463D7"/>
    <w:rsid w:val="00046839"/>
    <w:rsid w:val="00047013"/>
    <w:rsid w:val="00047017"/>
    <w:rsid w:val="000473A7"/>
    <w:rsid w:val="00047C17"/>
    <w:rsid w:val="00050967"/>
    <w:rsid w:val="00050A9D"/>
    <w:rsid w:val="00050E91"/>
    <w:rsid w:val="00050F4A"/>
    <w:rsid w:val="0005170C"/>
    <w:rsid w:val="00054C55"/>
    <w:rsid w:val="00054CDC"/>
    <w:rsid w:val="00055465"/>
    <w:rsid w:val="00055638"/>
    <w:rsid w:val="00055781"/>
    <w:rsid w:val="00055AC4"/>
    <w:rsid w:val="000579A3"/>
    <w:rsid w:val="00060015"/>
    <w:rsid w:val="0006046B"/>
    <w:rsid w:val="000605B5"/>
    <w:rsid w:val="000606B1"/>
    <w:rsid w:val="00060D7D"/>
    <w:rsid w:val="00060DF8"/>
    <w:rsid w:val="000619BE"/>
    <w:rsid w:val="000624C6"/>
    <w:rsid w:val="00062DEE"/>
    <w:rsid w:val="000639D9"/>
    <w:rsid w:val="000662CD"/>
    <w:rsid w:val="00066C2E"/>
    <w:rsid w:val="00067122"/>
    <w:rsid w:val="0006793A"/>
    <w:rsid w:val="00070C4B"/>
    <w:rsid w:val="00070E22"/>
    <w:rsid w:val="000711DA"/>
    <w:rsid w:val="00072163"/>
    <w:rsid w:val="000722C0"/>
    <w:rsid w:val="00072353"/>
    <w:rsid w:val="0007280E"/>
    <w:rsid w:val="00072EEC"/>
    <w:rsid w:val="000733EE"/>
    <w:rsid w:val="00075556"/>
    <w:rsid w:val="00076B84"/>
    <w:rsid w:val="00076FB5"/>
    <w:rsid w:val="00077A44"/>
    <w:rsid w:val="00080047"/>
    <w:rsid w:val="00080735"/>
    <w:rsid w:val="00080BF9"/>
    <w:rsid w:val="000818B4"/>
    <w:rsid w:val="00081FC9"/>
    <w:rsid w:val="000837E2"/>
    <w:rsid w:val="00084652"/>
    <w:rsid w:val="00086349"/>
    <w:rsid w:val="00086BB5"/>
    <w:rsid w:val="00086CD2"/>
    <w:rsid w:val="00087371"/>
    <w:rsid w:val="000876E9"/>
    <w:rsid w:val="000876FB"/>
    <w:rsid w:val="00090992"/>
    <w:rsid w:val="00091903"/>
    <w:rsid w:val="00091D71"/>
    <w:rsid w:val="00091F2C"/>
    <w:rsid w:val="000920F6"/>
    <w:rsid w:val="00092386"/>
    <w:rsid w:val="0009271B"/>
    <w:rsid w:val="00093D7E"/>
    <w:rsid w:val="00093EB6"/>
    <w:rsid w:val="000946DD"/>
    <w:rsid w:val="00094A5E"/>
    <w:rsid w:val="00096168"/>
    <w:rsid w:val="00096303"/>
    <w:rsid w:val="00096B49"/>
    <w:rsid w:val="00097307"/>
    <w:rsid w:val="00097813"/>
    <w:rsid w:val="00099391"/>
    <w:rsid w:val="000A0C2A"/>
    <w:rsid w:val="000A10C9"/>
    <w:rsid w:val="000A203B"/>
    <w:rsid w:val="000A2633"/>
    <w:rsid w:val="000A2F0F"/>
    <w:rsid w:val="000A306E"/>
    <w:rsid w:val="000A3941"/>
    <w:rsid w:val="000A3E37"/>
    <w:rsid w:val="000A404E"/>
    <w:rsid w:val="000A445C"/>
    <w:rsid w:val="000A4814"/>
    <w:rsid w:val="000A491F"/>
    <w:rsid w:val="000A4E1C"/>
    <w:rsid w:val="000A4FC6"/>
    <w:rsid w:val="000A5436"/>
    <w:rsid w:val="000A5DB4"/>
    <w:rsid w:val="000A67ED"/>
    <w:rsid w:val="000A6C86"/>
    <w:rsid w:val="000A6D85"/>
    <w:rsid w:val="000A6EA3"/>
    <w:rsid w:val="000A7F79"/>
    <w:rsid w:val="000B0CDA"/>
    <w:rsid w:val="000B1496"/>
    <w:rsid w:val="000B17D0"/>
    <w:rsid w:val="000B219D"/>
    <w:rsid w:val="000B2317"/>
    <w:rsid w:val="000B2D63"/>
    <w:rsid w:val="000B47CD"/>
    <w:rsid w:val="000B47FB"/>
    <w:rsid w:val="000B61DC"/>
    <w:rsid w:val="000B66E8"/>
    <w:rsid w:val="000B678A"/>
    <w:rsid w:val="000B6D06"/>
    <w:rsid w:val="000B76E0"/>
    <w:rsid w:val="000B7AC0"/>
    <w:rsid w:val="000C0163"/>
    <w:rsid w:val="000C1267"/>
    <w:rsid w:val="000C1456"/>
    <w:rsid w:val="000C176E"/>
    <w:rsid w:val="000C1A27"/>
    <w:rsid w:val="000C1EB0"/>
    <w:rsid w:val="000C2277"/>
    <w:rsid w:val="000C33F0"/>
    <w:rsid w:val="000C34EB"/>
    <w:rsid w:val="000C4460"/>
    <w:rsid w:val="000C57E7"/>
    <w:rsid w:val="000C659B"/>
    <w:rsid w:val="000C6D7D"/>
    <w:rsid w:val="000C7422"/>
    <w:rsid w:val="000C7667"/>
    <w:rsid w:val="000C77E2"/>
    <w:rsid w:val="000D0583"/>
    <w:rsid w:val="000D07EF"/>
    <w:rsid w:val="000D0C6C"/>
    <w:rsid w:val="000D1C41"/>
    <w:rsid w:val="000D20B0"/>
    <w:rsid w:val="000D4056"/>
    <w:rsid w:val="000D486F"/>
    <w:rsid w:val="000D5B41"/>
    <w:rsid w:val="000D6468"/>
    <w:rsid w:val="000D70DD"/>
    <w:rsid w:val="000D7D00"/>
    <w:rsid w:val="000E0979"/>
    <w:rsid w:val="000E0AD6"/>
    <w:rsid w:val="000E1627"/>
    <w:rsid w:val="000E2215"/>
    <w:rsid w:val="000E2E17"/>
    <w:rsid w:val="000E2F15"/>
    <w:rsid w:val="000E30E8"/>
    <w:rsid w:val="000E3679"/>
    <w:rsid w:val="000E3CB5"/>
    <w:rsid w:val="000E47E6"/>
    <w:rsid w:val="000E54D8"/>
    <w:rsid w:val="000E60C8"/>
    <w:rsid w:val="000E65F8"/>
    <w:rsid w:val="000E7D4A"/>
    <w:rsid w:val="000F14F6"/>
    <w:rsid w:val="000F1C7F"/>
    <w:rsid w:val="000F1CA1"/>
    <w:rsid w:val="000F326C"/>
    <w:rsid w:val="000F3439"/>
    <w:rsid w:val="000F343A"/>
    <w:rsid w:val="000F38D2"/>
    <w:rsid w:val="000F452E"/>
    <w:rsid w:val="000F4D2E"/>
    <w:rsid w:val="000F5286"/>
    <w:rsid w:val="000F5B2C"/>
    <w:rsid w:val="000F5C87"/>
    <w:rsid w:val="000F5E69"/>
    <w:rsid w:val="000F5EDA"/>
    <w:rsid w:val="000F6061"/>
    <w:rsid w:val="000F6155"/>
    <w:rsid w:val="00100803"/>
    <w:rsid w:val="00100831"/>
    <w:rsid w:val="00100C17"/>
    <w:rsid w:val="00103D8C"/>
    <w:rsid w:val="0010505A"/>
    <w:rsid w:val="001058BA"/>
    <w:rsid w:val="00105C57"/>
    <w:rsid w:val="0010620C"/>
    <w:rsid w:val="001062C0"/>
    <w:rsid w:val="001063BA"/>
    <w:rsid w:val="001069E0"/>
    <w:rsid w:val="001071A9"/>
    <w:rsid w:val="0010749C"/>
    <w:rsid w:val="00107990"/>
    <w:rsid w:val="001079D2"/>
    <w:rsid w:val="00107DB9"/>
    <w:rsid w:val="0011070E"/>
    <w:rsid w:val="00110FFD"/>
    <w:rsid w:val="0011178B"/>
    <w:rsid w:val="00111901"/>
    <w:rsid w:val="00111EF0"/>
    <w:rsid w:val="001120EE"/>
    <w:rsid w:val="00112CBC"/>
    <w:rsid w:val="00112E30"/>
    <w:rsid w:val="00113336"/>
    <w:rsid w:val="00113738"/>
    <w:rsid w:val="00113AA4"/>
    <w:rsid w:val="00113E5A"/>
    <w:rsid w:val="00114C30"/>
    <w:rsid w:val="0011622F"/>
    <w:rsid w:val="001165A5"/>
    <w:rsid w:val="001165B5"/>
    <w:rsid w:val="00117BBD"/>
    <w:rsid w:val="00117E6B"/>
    <w:rsid w:val="00117EB7"/>
    <w:rsid w:val="00120B29"/>
    <w:rsid w:val="00121140"/>
    <w:rsid w:val="001212BF"/>
    <w:rsid w:val="00121BA3"/>
    <w:rsid w:val="001221EA"/>
    <w:rsid w:val="00122B20"/>
    <w:rsid w:val="001232B2"/>
    <w:rsid w:val="001235D4"/>
    <w:rsid w:val="00125BF2"/>
    <w:rsid w:val="00125EF9"/>
    <w:rsid w:val="00126DED"/>
    <w:rsid w:val="00126EED"/>
    <w:rsid w:val="001278A1"/>
    <w:rsid w:val="00127D0B"/>
    <w:rsid w:val="00127F09"/>
    <w:rsid w:val="001302DB"/>
    <w:rsid w:val="0013053C"/>
    <w:rsid w:val="00130CD3"/>
    <w:rsid w:val="001311B4"/>
    <w:rsid w:val="001312BB"/>
    <w:rsid w:val="0013136F"/>
    <w:rsid w:val="0013197B"/>
    <w:rsid w:val="00131E92"/>
    <w:rsid w:val="00132BD2"/>
    <w:rsid w:val="00134B22"/>
    <w:rsid w:val="00135E1F"/>
    <w:rsid w:val="0013601C"/>
    <w:rsid w:val="0013622B"/>
    <w:rsid w:val="001365A7"/>
    <w:rsid w:val="001368C6"/>
    <w:rsid w:val="00136D93"/>
    <w:rsid w:val="0013785A"/>
    <w:rsid w:val="001378DE"/>
    <w:rsid w:val="00137EC5"/>
    <w:rsid w:val="0014042B"/>
    <w:rsid w:val="00140B2E"/>
    <w:rsid w:val="001410CA"/>
    <w:rsid w:val="001412F0"/>
    <w:rsid w:val="00141AE7"/>
    <w:rsid w:val="00141E59"/>
    <w:rsid w:val="00142205"/>
    <w:rsid w:val="001440CF"/>
    <w:rsid w:val="0014438D"/>
    <w:rsid w:val="00144616"/>
    <w:rsid w:val="00144693"/>
    <w:rsid w:val="00144920"/>
    <w:rsid w:val="00144E53"/>
    <w:rsid w:val="00145C73"/>
    <w:rsid w:val="00146248"/>
    <w:rsid w:val="0014721F"/>
    <w:rsid w:val="00150FBC"/>
    <w:rsid w:val="0015196C"/>
    <w:rsid w:val="001519F3"/>
    <w:rsid w:val="00151A5D"/>
    <w:rsid w:val="00151A71"/>
    <w:rsid w:val="0015286D"/>
    <w:rsid w:val="001534DA"/>
    <w:rsid w:val="00153876"/>
    <w:rsid w:val="00153C89"/>
    <w:rsid w:val="001540A1"/>
    <w:rsid w:val="00154974"/>
    <w:rsid w:val="00154B87"/>
    <w:rsid w:val="00155D95"/>
    <w:rsid w:val="001560EA"/>
    <w:rsid w:val="0015649F"/>
    <w:rsid w:val="00157057"/>
    <w:rsid w:val="001573B1"/>
    <w:rsid w:val="0015745D"/>
    <w:rsid w:val="00157FC2"/>
    <w:rsid w:val="00160D80"/>
    <w:rsid w:val="00161127"/>
    <w:rsid w:val="00161F4B"/>
    <w:rsid w:val="00161FA2"/>
    <w:rsid w:val="00162538"/>
    <w:rsid w:val="00162657"/>
    <w:rsid w:val="0016299A"/>
    <w:rsid w:val="00163D50"/>
    <w:rsid w:val="00164472"/>
    <w:rsid w:val="00164696"/>
    <w:rsid w:val="00164BD6"/>
    <w:rsid w:val="00164CC3"/>
    <w:rsid w:val="0016556E"/>
    <w:rsid w:val="001669E0"/>
    <w:rsid w:val="00166F6A"/>
    <w:rsid w:val="00167793"/>
    <w:rsid w:val="001677B9"/>
    <w:rsid w:val="00170194"/>
    <w:rsid w:val="001703DB"/>
    <w:rsid w:val="00170739"/>
    <w:rsid w:val="00171129"/>
    <w:rsid w:val="001715A6"/>
    <w:rsid w:val="00171F55"/>
    <w:rsid w:val="00172CA4"/>
    <w:rsid w:val="00172CC0"/>
    <w:rsid w:val="0017301F"/>
    <w:rsid w:val="001734FD"/>
    <w:rsid w:val="00173C2C"/>
    <w:rsid w:val="00174072"/>
    <w:rsid w:val="00174287"/>
    <w:rsid w:val="00174513"/>
    <w:rsid w:val="00174B68"/>
    <w:rsid w:val="00175591"/>
    <w:rsid w:val="00175B16"/>
    <w:rsid w:val="00175F06"/>
    <w:rsid w:val="001763A0"/>
    <w:rsid w:val="0017655C"/>
    <w:rsid w:val="001765A4"/>
    <w:rsid w:val="001765B3"/>
    <w:rsid w:val="00176EC5"/>
    <w:rsid w:val="001772D6"/>
    <w:rsid w:val="0017772F"/>
    <w:rsid w:val="00177B7F"/>
    <w:rsid w:val="0018067E"/>
    <w:rsid w:val="00183F49"/>
    <w:rsid w:val="00183F89"/>
    <w:rsid w:val="001841DC"/>
    <w:rsid w:val="00184573"/>
    <w:rsid w:val="00184B59"/>
    <w:rsid w:val="001865D1"/>
    <w:rsid w:val="00186EE4"/>
    <w:rsid w:val="001873F1"/>
    <w:rsid w:val="0018753B"/>
    <w:rsid w:val="00187C85"/>
    <w:rsid w:val="00191603"/>
    <w:rsid w:val="001927CE"/>
    <w:rsid w:val="001927DC"/>
    <w:rsid w:val="00192E42"/>
    <w:rsid w:val="00192EA7"/>
    <w:rsid w:val="001930DC"/>
    <w:rsid w:val="00193866"/>
    <w:rsid w:val="00193B15"/>
    <w:rsid w:val="001940E0"/>
    <w:rsid w:val="00194513"/>
    <w:rsid w:val="00194B44"/>
    <w:rsid w:val="00194C0F"/>
    <w:rsid w:val="00195751"/>
    <w:rsid w:val="00195764"/>
    <w:rsid w:val="00195F4E"/>
    <w:rsid w:val="001963C4"/>
    <w:rsid w:val="0019667E"/>
    <w:rsid w:val="0019798A"/>
    <w:rsid w:val="00197E3A"/>
    <w:rsid w:val="001A0F80"/>
    <w:rsid w:val="001A1888"/>
    <w:rsid w:val="001A1E14"/>
    <w:rsid w:val="001A2082"/>
    <w:rsid w:val="001A28A9"/>
    <w:rsid w:val="001A2EB0"/>
    <w:rsid w:val="001A3114"/>
    <w:rsid w:val="001A5D7D"/>
    <w:rsid w:val="001A62A8"/>
    <w:rsid w:val="001A6353"/>
    <w:rsid w:val="001A6B81"/>
    <w:rsid w:val="001A6C41"/>
    <w:rsid w:val="001A7763"/>
    <w:rsid w:val="001A787C"/>
    <w:rsid w:val="001A7C04"/>
    <w:rsid w:val="001A7D1A"/>
    <w:rsid w:val="001B0572"/>
    <w:rsid w:val="001B1536"/>
    <w:rsid w:val="001B1944"/>
    <w:rsid w:val="001B1C51"/>
    <w:rsid w:val="001B31AB"/>
    <w:rsid w:val="001B33B0"/>
    <w:rsid w:val="001B3DC5"/>
    <w:rsid w:val="001B3FF1"/>
    <w:rsid w:val="001B4024"/>
    <w:rsid w:val="001B4729"/>
    <w:rsid w:val="001B5811"/>
    <w:rsid w:val="001B5AC2"/>
    <w:rsid w:val="001B5BCE"/>
    <w:rsid w:val="001B5CD7"/>
    <w:rsid w:val="001B61F9"/>
    <w:rsid w:val="001B6216"/>
    <w:rsid w:val="001B642D"/>
    <w:rsid w:val="001B6949"/>
    <w:rsid w:val="001B7598"/>
    <w:rsid w:val="001B7D4E"/>
    <w:rsid w:val="001C1B3E"/>
    <w:rsid w:val="001C26E2"/>
    <w:rsid w:val="001C33B2"/>
    <w:rsid w:val="001C3E1B"/>
    <w:rsid w:val="001C451E"/>
    <w:rsid w:val="001C4E81"/>
    <w:rsid w:val="001C55CB"/>
    <w:rsid w:val="001C5981"/>
    <w:rsid w:val="001C5DB2"/>
    <w:rsid w:val="001C6C39"/>
    <w:rsid w:val="001C70E4"/>
    <w:rsid w:val="001D0089"/>
    <w:rsid w:val="001D14DC"/>
    <w:rsid w:val="001D1A0A"/>
    <w:rsid w:val="001D1E9A"/>
    <w:rsid w:val="001D386D"/>
    <w:rsid w:val="001D5875"/>
    <w:rsid w:val="001D6EA8"/>
    <w:rsid w:val="001D6FAA"/>
    <w:rsid w:val="001E14B6"/>
    <w:rsid w:val="001E1C8B"/>
    <w:rsid w:val="001E34CB"/>
    <w:rsid w:val="001E439D"/>
    <w:rsid w:val="001E51F2"/>
    <w:rsid w:val="001E54DA"/>
    <w:rsid w:val="001E60F5"/>
    <w:rsid w:val="001E696E"/>
    <w:rsid w:val="001E6B8F"/>
    <w:rsid w:val="001E7C9B"/>
    <w:rsid w:val="001F000A"/>
    <w:rsid w:val="001F0589"/>
    <w:rsid w:val="001F09D3"/>
    <w:rsid w:val="001F0DC7"/>
    <w:rsid w:val="001F0EEF"/>
    <w:rsid w:val="001F122A"/>
    <w:rsid w:val="001F286A"/>
    <w:rsid w:val="001F3BB1"/>
    <w:rsid w:val="001F3C09"/>
    <w:rsid w:val="001F3CF3"/>
    <w:rsid w:val="001F4F68"/>
    <w:rsid w:val="001F506B"/>
    <w:rsid w:val="001F51C1"/>
    <w:rsid w:val="001F55EE"/>
    <w:rsid w:val="001F5645"/>
    <w:rsid w:val="001F5671"/>
    <w:rsid w:val="001F5E8B"/>
    <w:rsid w:val="001F5F65"/>
    <w:rsid w:val="001F7A04"/>
    <w:rsid w:val="0020014F"/>
    <w:rsid w:val="0020135D"/>
    <w:rsid w:val="0020231A"/>
    <w:rsid w:val="0020269D"/>
    <w:rsid w:val="00202791"/>
    <w:rsid w:val="00203616"/>
    <w:rsid w:val="00203BEB"/>
    <w:rsid w:val="00204544"/>
    <w:rsid w:val="0020499E"/>
    <w:rsid w:val="00204EBD"/>
    <w:rsid w:val="00204FFF"/>
    <w:rsid w:val="00205BC7"/>
    <w:rsid w:val="0020684B"/>
    <w:rsid w:val="0020742C"/>
    <w:rsid w:val="002103A8"/>
    <w:rsid w:val="002109D8"/>
    <w:rsid w:val="00210BFE"/>
    <w:rsid w:val="00210DA7"/>
    <w:rsid w:val="002114B6"/>
    <w:rsid w:val="00211866"/>
    <w:rsid w:val="0021198F"/>
    <w:rsid w:val="00211AFA"/>
    <w:rsid w:val="00212577"/>
    <w:rsid w:val="00212DF3"/>
    <w:rsid w:val="002133AD"/>
    <w:rsid w:val="002133AF"/>
    <w:rsid w:val="00213449"/>
    <w:rsid w:val="00213822"/>
    <w:rsid w:val="00213DC9"/>
    <w:rsid w:val="00214103"/>
    <w:rsid w:val="002146D8"/>
    <w:rsid w:val="002148BA"/>
    <w:rsid w:val="00216673"/>
    <w:rsid w:val="00217B76"/>
    <w:rsid w:val="00220704"/>
    <w:rsid w:val="00220CD2"/>
    <w:rsid w:val="00220E59"/>
    <w:rsid w:val="00224096"/>
    <w:rsid w:val="002251D6"/>
    <w:rsid w:val="00225A01"/>
    <w:rsid w:val="00226A12"/>
    <w:rsid w:val="00226B83"/>
    <w:rsid w:val="002270B9"/>
    <w:rsid w:val="00227B98"/>
    <w:rsid w:val="00227EDD"/>
    <w:rsid w:val="00230665"/>
    <w:rsid w:val="00230A3C"/>
    <w:rsid w:val="00230BA9"/>
    <w:rsid w:val="00230C13"/>
    <w:rsid w:val="00230D81"/>
    <w:rsid w:val="00231336"/>
    <w:rsid w:val="00231BC7"/>
    <w:rsid w:val="00231C85"/>
    <w:rsid w:val="00231E70"/>
    <w:rsid w:val="00231F1D"/>
    <w:rsid w:val="00232CF8"/>
    <w:rsid w:val="00232EA0"/>
    <w:rsid w:val="002333BB"/>
    <w:rsid w:val="002334EF"/>
    <w:rsid w:val="00233A0E"/>
    <w:rsid w:val="00234BDB"/>
    <w:rsid w:val="00234CAF"/>
    <w:rsid w:val="0023561D"/>
    <w:rsid w:val="00235C02"/>
    <w:rsid w:val="00235E60"/>
    <w:rsid w:val="00236445"/>
    <w:rsid w:val="00240B60"/>
    <w:rsid w:val="00240FE7"/>
    <w:rsid w:val="00241052"/>
    <w:rsid w:val="002418B0"/>
    <w:rsid w:val="002419A2"/>
    <w:rsid w:val="002429AF"/>
    <w:rsid w:val="00243183"/>
    <w:rsid w:val="00243522"/>
    <w:rsid w:val="002437A8"/>
    <w:rsid w:val="00243C0F"/>
    <w:rsid w:val="00243C6A"/>
    <w:rsid w:val="00243CE7"/>
    <w:rsid w:val="00243F51"/>
    <w:rsid w:val="0024502D"/>
    <w:rsid w:val="00245A35"/>
    <w:rsid w:val="00245CB5"/>
    <w:rsid w:val="00245F2F"/>
    <w:rsid w:val="00246415"/>
    <w:rsid w:val="00247A08"/>
    <w:rsid w:val="00247A73"/>
    <w:rsid w:val="00250346"/>
    <w:rsid w:val="00250389"/>
    <w:rsid w:val="00250D60"/>
    <w:rsid w:val="00250D9A"/>
    <w:rsid w:val="00251250"/>
    <w:rsid w:val="00252023"/>
    <w:rsid w:val="002530D0"/>
    <w:rsid w:val="00253341"/>
    <w:rsid w:val="002539A2"/>
    <w:rsid w:val="00253AFD"/>
    <w:rsid w:val="00253C73"/>
    <w:rsid w:val="00254462"/>
    <w:rsid w:val="002550C8"/>
    <w:rsid w:val="002554D9"/>
    <w:rsid w:val="00256575"/>
    <w:rsid w:val="00256852"/>
    <w:rsid w:val="002568F1"/>
    <w:rsid w:val="00256EA1"/>
    <w:rsid w:val="00256F5A"/>
    <w:rsid w:val="00257035"/>
    <w:rsid w:val="002577A0"/>
    <w:rsid w:val="002602C4"/>
    <w:rsid w:val="00260C13"/>
    <w:rsid w:val="00262A02"/>
    <w:rsid w:val="00262D1F"/>
    <w:rsid w:val="00263574"/>
    <w:rsid w:val="002637A1"/>
    <w:rsid w:val="00263AB8"/>
    <w:rsid w:val="00263D08"/>
    <w:rsid w:val="002644F6"/>
    <w:rsid w:val="00264805"/>
    <w:rsid w:val="00265FAD"/>
    <w:rsid w:val="0026653F"/>
    <w:rsid w:val="0026685D"/>
    <w:rsid w:val="002676A3"/>
    <w:rsid w:val="00267906"/>
    <w:rsid w:val="00267AB6"/>
    <w:rsid w:val="00267B31"/>
    <w:rsid w:val="00267E88"/>
    <w:rsid w:val="00267F95"/>
    <w:rsid w:val="00270950"/>
    <w:rsid w:val="00270BEC"/>
    <w:rsid w:val="00270E22"/>
    <w:rsid w:val="00270F04"/>
    <w:rsid w:val="00270FFA"/>
    <w:rsid w:val="00271094"/>
    <w:rsid w:val="002712F6"/>
    <w:rsid w:val="00272124"/>
    <w:rsid w:val="002726CF"/>
    <w:rsid w:val="00273DDE"/>
    <w:rsid w:val="00274C61"/>
    <w:rsid w:val="00274C77"/>
    <w:rsid w:val="00275AD1"/>
    <w:rsid w:val="00275C13"/>
    <w:rsid w:val="002762F9"/>
    <w:rsid w:val="0027640C"/>
    <w:rsid w:val="00276D81"/>
    <w:rsid w:val="002777D6"/>
    <w:rsid w:val="00277C35"/>
    <w:rsid w:val="00280E59"/>
    <w:rsid w:val="00281A92"/>
    <w:rsid w:val="00283514"/>
    <w:rsid w:val="0028467A"/>
    <w:rsid w:val="00284C73"/>
    <w:rsid w:val="00284D9A"/>
    <w:rsid w:val="00284EB6"/>
    <w:rsid w:val="00285126"/>
    <w:rsid w:val="0028591B"/>
    <w:rsid w:val="00285CDA"/>
    <w:rsid w:val="00286216"/>
    <w:rsid w:val="00287219"/>
    <w:rsid w:val="002874F2"/>
    <w:rsid w:val="002879CF"/>
    <w:rsid w:val="002879DF"/>
    <w:rsid w:val="0029063A"/>
    <w:rsid w:val="00292776"/>
    <w:rsid w:val="00292B19"/>
    <w:rsid w:val="00294DA3"/>
    <w:rsid w:val="00295286"/>
    <w:rsid w:val="0029571B"/>
    <w:rsid w:val="002962E7"/>
    <w:rsid w:val="002963AE"/>
    <w:rsid w:val="00296F80"/>
    <w:rsid w:val="00297B5B"/>
    <w:rsid w:val="002A2061"/>
    <w:rsid w:val="002A263A"/>
    <w:rsid w:val="002A2E51"/>
    <w:rsid w:val="002A35C1"/>
    <w:rsid w:val="002A4949"/>
    <w:rsid w:val="002A4C28"/>
    <w:rsid w:val="002A6294"/>
    <w:rsid w:val="002A663D"/>
    <w:rsid w:val="002A6E41"/>
    <w:rsid w:val="002AD9D1"/>
    <w:rsid w:val="002B0322"/>
    <w:rsid w:val="002B077E"/>
    <w:rsid w:val="002B088B"/>
    <w:rsid w:val="002B0BBD"/>
    <w:rsid w:val="002B1CB9"/>
    <w:rsid w:val="002B334F"/>
    <w:rsid w:val="002B50C5"/>
    <w:rsid w:val="002B50E9"/>
    <w:rsid w:val="002B5599"/>
    <w:rsid w:val="002B594A"/>
    <w:rsid w:val="002B61B9"/>
    <w:rsid w:val="002B712D"/>
    <w:rsid w:val="002B7159"/>
    <w:rsid w:val="002B71BA"/>
    <w:rsid w:val="002B7AC8"/>
    <w:rsid w:val="002C0099"/>
    <w:rsid w:val="002C05FD"/>
    <w:rsid w:val="002C0E56"/>
    <w:rsid w:val="002C1E52"/>
    <w:rsid w:val="002C1EE9"/>
    <w:rsid w:val="002C26C5"/>
    <w:rsid w:val="002C2846"/>
    <w:rsid w:val="002C2875"/>
    <w:rsid w:val="002C322E"/>
    <w:rsid w:val="002C33FF"/>
    <w:rsid w:val="002C38A7"/>
    <w:rsid w:val="002C398F"/>
    <w:rsid w:val="002C3BA8"/>
    <w:rsid w:val="002C3C0C"/>
    <w:rsid w:val="002C3CD6"/>
    <w:rsid w:val="002C477E"/>
    <w:rsid w:val="002C5002"/>
    <w:rsid w:val="002C5534"/>
    <w:rsid w:val="002C5694"/>
    <w:rsid w:val="002C58DC"/>
    <w:rsid w:val="002C5BCB"/>
    <w:rsid w:val="002C616D"/>
    <w:rsid w:val="002C67B6"/>
    <w:rsid w:val="002C6801"/>
    <w:rsid w:val="002C77AC"/>
    <w:rsid w:val="002C789B"/>
    <w:rsid w:val="002D01F6"/>
    <w:rsid w:val="002D05B3"/>
    <w:rsid w:val="002D12A1"/>
    <w:rsid w:val="002D1771"/>
    <w:rsid w:val="002D1DDA"/>
    <w:rsid w:val="002D1F1D"/>
    <w:rsid w:val="002D238C"/>
    <w:rsid w:val="002D289B"/>
    <w:rsid w:val="002D2F8C"/>
    <w:rsid w:val="002D3AF0"/>
    <w:rsid w:val="002D3B62"/>
    <w:rsid w:val="002D572C"/>
    <w:rsid w:val="002D5C6E"/>
    <w:rsid w:val="002D62AA"/>
    <w:rsid w:val="002D6492"/>
    <w:rsid w:val="002D6C54"/>
    <w:rsid w:val="002D71AB"/>
    <w:rsid w:val="002E0D55"/>
    <w:rsid w:val="002E11F2"/>
    <w:rsid w:val="002E343B"/>
    <w:rsid w:val="002E3612"/>
    <w:rsid w:val="002E39C7"/>
    <w:rsid w:val="002E3AEC"/>
    <w:rsid w:val="002E4C4E"/>
    <w:rsid w:val="002E60A2"/>
    <w:rsid w:val="002E7566"/>
    <w:rsid w:val="002E75E3"/>
    <w:rsid w:val="002E77D0"/>
    <w:rsid w:val="002E79F0"/>
    <w:rsid w:val="002E7D4F"/>
    <w:rsid w:val="002F0107"/>
    <w:rsid w:val="002F01E6"/>
    <w:rsid w:val="002F0822"/>
    <w:rsid w:val="002F09F6"/>
    <w:rsid w:val="002F15B7"/>
    <w:rsid w:val="002F1C13"/>
    <w:rsid w:val="002F2F21"/>
    <w:rsid w:val="002F34B2"/>
    <w:rsid w:val="002F42F8"/>
    <w:rsid w:val="002F4D9C"/>
    <w:rsid w:val="002F4E49"/>
    <w:rsid w:val="002F524E"/>
    <w:rsid w:val="002F5489"/>
    <w:rsid w:val="002F5587"/>
    <w:rsid w:val="002F5BA3"/>
    <w:rsid w:val="002F5D89"/>
    <w:rsid w:val="002F5FB9"/>
    <w:rsid w:val="002F634E"/>
    <w:rsid w:val="002F6C78"/>
    <w:rsid w:val="002F6F3A"/>
    <w:rsid w:val="002F7581"/>
    <w:rsid w:val="002F7CF6"/>
    <w:rsid w:val="00300687"/>
    <w:rsid w:val="003015FF"/>
    <w:rsid w:val="00301741"/>
    <w:rsid w:val="00302291"/>
    <w:rsid w:val="00302EC8"/>
    <w:rsid w:val="003031BD"/>
    <w:rsid w:val="0030382C"/>
    <w:rsid w:val="00303FDE"/>
    <w:rsid w:val="00304023"/>
    <w:rsid w:val="00304580"/>
    <w:rsid w:val="00304647"/>
    <w:rsid w:val="00304DE3"/>
    <w:rsid w:val="00304F58"/>
    <w:rsid w:val="00305208"/>
    <w:rsid w:val="00305CB9"/>
    <w:rsid w:val="00305E75"/>
    <w:rsid w:val="003065D8"/>
    <w:rsid w:val="00306E83"/>
    <w:rsid w:val="0030754B"/>
    <w:rsid w:val="00307D30"/>
    <w:rsid w:val="0031185F"/>
    <w:rsid w:val="00312BE8"/>
    <w:rsid w:val="00312FCE"/>
    <w:rsid w:val="00313463"/>
    <w:rsid w:val="0031369E"/>
    <w:rsid w:val="0031557B"/>
    <w:rsid w:val="00315F6A"/>
    <w:rsid w:val="00316026"/>
    <w:rsid w:val="003162DC"/>
    <w:rsid w:val="0031696E"/>
    <w:rsid w:val="0031710D"/>
    <w:rsid w:val="003176D5"/>
    <w:rsid w:val="00320C65"/>
    <w:rsid w:val="0032134D"/>
    <w:rsid w:val="003214A2"/>
    <w:rsid w:val="00321F40"/>
    <w:rsid w:val="00322BE2"/>
    <w:rsid w:val="00323F89"/>
    <w:rsid w:val="0032454F"/>
    <w:rsid w:val="00324EC7"/>
    <w:rsid w:val="00326840"/>
    <w:rsid w:val="00326FEF"/>
    <w:rsid w:val="0032722B"/>
    <w:rsid w:val="003275C7"/>
    <w:rsid w:val="00327CCD"/>
    <w:rsid w:val="00330D16"/>
    <w:rsid w:val="0033314F"/>
    <w:rsid w:val="00333751"/>
    <w:rsid w:val="00333DC0"/>
    <w:rsid w:val="003343D8"/>
    <w:rsid w:val="003347B7"/>
    <w:rsid w:val="0033483B"/>
    <w:rsid w:val="00334B01"/>
    <w:rsid w:val="00335CBE"/>
    <w:rsid w:val="00335E77"/>
    <w:rsid w:val="00336827"/>
    <w:rsid w:val="00336DD5"/>
    <w:rsid w:val="00337D59"/>
    <w:rsid w:val="0034298D"/>
    <w:rsid w:val="003433F0"/>
    <w:rsid w:val="003446DC"/>
    <w:rsid w:val="0034649B"/>
    <w:rsid w:val="00346B52"/>
    <w:rsid w:val="00347033"/>
    <w:rsid w:val="0034727E"/>
    <w:rsid w:val="003474D1"/>
    <w:rsid w:val="00350792"/>
    <w:rsid w:val="00350B0B"/>
    <w:rsid w:val="0035135A"/>
    <w:rsid w:val="003519CB"/>
    <w:rsid w:val="00351B65"/>
    <w:rsid w:val="00351D5C"/>
    <w:rsid w:val="00351DAA"/>
    <w:rsid w:val="003539D5"/>
    <w:rsid w:val="003558F5"/>
    <w:rsid w:val="003559FB"/>
    <w:rsid w:val="00356AAE"/>
    <w:rsid w:val="00356FEE"/>
    <w:rsid w:val="00357009"/>
    <w:rsid w:val="003574EA"/>
    <w:rsid w:val="0035796D"/>
    <w:rsid w:val="0036064B"/>
    <w:rsid w:val="00360734"/>
    <w:rsid w:val="0036098F"/>
    <w:rsid w:val="00360C33"/>
    <w:rsid w:val="00361205"/>
    <w:rsid w:val="00362DD5"/>
    <w:rsid w:val="003634CA"/>
    <w:rsid w:val="003641E4"/>
    <w:rsid w:val="00364279"/>
    <w:rsid w:val="003663F6"/>
    <w:rsid w:val="003668D7"/>
    <w:rsid w:val="00366E91"/>
    <w:rsid w:val="003677D6"/>
    <w:rsid w:val="00367F0E"/>
    <w:rsid w:val="00371083"/>
    <w:rsid w:val="003710AA"/>
    <w:rsid w:val="003715BF"/>
    <w:rsid w:val="00372533"/>
    <w:rsid w:val="00372568"/>
    <w:rsid w:val="00373926"/>
    <w:rsid w:val="00374CFD"/>
    <w:rsid w:val="00374F91"/>
    <w:rsid w:val="00375987"/>
    <w:rsid w:val="00375FAA"/>
    <w:rsid w:val="00376E8D"/>
    <w:rsid w:val="00376F94"/>
    <w:rsid w:val="003827DA"/>
    <w:rsid w:val="00382B70"/>
    <w:rsid w:val="003837A3"/>
    <w:rsid w:val="00385419"/>
    <w:rsid w:val="00385E06"/>
    <w:rsid w:val="00387044"/>
    <w:rsid w:val="00387163"/>
    <w:rsid w:val="0038718D"/>
    <w:rsid w:val="00387C32"/>
    <w:rsid w:val="00387EB5"/>
    <w:rsid w:val="00387F2C"/>
    <w:rsid w:val="0039028A"/>
    <w:rsid w:val="003916F7"/>
    <w:rsid w:val="003922D3"/>
    <w:rsid w:val="0039502F"/>
    <w:rsid w:val="0039553B"/>
    <w:rsid w:val="003956F6"/>
    <w:rsid w:val="00395C45"/>
    <w:rsid w:val="00396B80"/>
    <w:rsid w:val="00396D54"/>
    <w:rsid w:val="003977D6"/>
    <w:rsid w:val="003A002A"/>
    <w:rsid w:val="003A073F"/>
    <w:rsid w:val="003A1471"/>
    <w:rsid w:val="003A1D87"/>
    <w:rsid w:val="003A22E7"/>
    <w:rsid w:val="003A2480"/>
    <w:rsid w:val="003A325C"/>
    <w:rsid w:val="003A35F9"/>
    <w:rsid w:val="003A445B"/>
    <w:rsid w:val="003A4D7C"/>
    <w:rsid w:val="003A6E37"/>
    <w:rsid w:val="003B006D"/>
    <w:rsid w:val="003B0666"/>
    <w:rsid w:val="003B0ED7"/>
    <w:rsid w:val="003B1BA1"/>
    <w:rsid w:val="003B1EB0"/>
    <w:rsid w:val="003B24F4"/>
    <w:rsid w:val="003B3095"/>
    <w:rsid w:val="003B37B0"/>
    <w:rsid w:val="003B3DC1"/>
    <w:rsid w:val="003B3F32"/>
    <w:rsid w:val="003B4160"/>
    <w:rsid w:val="003B4637"/>
    <w:rsid w:val="003B6381"/>
    <w:rsid w:val="003B64D7"/>
    <w:rsid w:val="003B7546"/>
    <w:rsid w:val="003B75AC"/>
    <w:rsid w:val="003B7C4D"/>
    <w:rsid w:val="003C0AAE"/>
    <w:rsid w:val="003C0E20"/>
    <w:rsid w:val="003C1A12"/>
    <w:rsid w:val="003C1A65"/>
    <w:rsid w:val="003C2A65"/>
    <w:rsid w:val="003C2B8B"/>
    <w:rsid w:val="003C34AF"/>
    <w:rsid w:val="003C3BC4"/>
    <w:rsid w:val="003C4B5E"/>
    <w:rsid w:val="003C4FD0"/>
    <w:rsid w:val="003C5292"/>
    <w:rsid w:val="003C5603"/>
    <w:rsid w:val="003C5902"/>
    <w:rsid w:val="003C5E94"/>
    <w:rsid w:val="003C6728"/>
    <w:rsid w:val="003C6987"/>
    <w:rsid w:val="003C77F1"/>
    <w:rsid w:val="003C7B3B"/>
    <w:rsid w:val="003C7F5E"/>
    <w:rsid w:val="003D03C6"/>
    <w:rsid w:val="003D0C5A"/>
    <w:rsid w:val="003D1EF0"/>
    <w:rsid w:val="003D2B94"/>
    <w:rsid w:val="003D316F"/>
    <w:rsid w:val="003D3E0D"/>
    <w:rsid w:val="003D43CE"/>
    <w:rsid w:val="003D4B41"/>
    <w:rsid w:val="003D4B61"/>
    <w:rsid w:val="003D5A0A"/>
    <w:rsid w:val="003D5F90"/>
    <w:rsid w:val="003D6503"/>
    <w:rsid w:val="003D6F9E"/>
    <w:rsid w:val="003D7CA0"/>
    <w:rsid w:val="003E00CF"/>
    <w:rsid w:val="003E0463"/>
    <w:rsid w:val="003E0EF4"/>
    <w:rsid w:val="003E0F83"/>
    <w:rsid w:val="003E1090"/>
    <w:rsid w:val="003E1B78"/>
    <w:rsid w:val="003E1D74"/>
    <w:rsid w:val="003E24FC"/>
    <w:rsid w:val="003E3ABF"/>
    <w:rsid w:val="003E41EC"/>
    <w:rsid w:val="003E4514"/>
    <w:rsid w:val="003E6D2F"/>
    <w:rsid w:val="003E7027"/>
    <w:rsid w:val="003E71E9"/>
    <w:rsid w:val="003F1661"/>
    <w:rsid w:val="003F1EA6"/>
    <w:rsid w:val="003F2C1E"/>
    <w:rsid w:val="003F341C"/>
    <w:rsid w:val="003F45F2"/>
    <w:rsid w:val="003F59CE"/>
    <w:rsid w:val="003F761A"/>
    <w:rsid w:val="0040010F"/>
    <w:rsid w:val="004007B8"/>
    <w:rsid w:val="00400991"/>
    <w:rsid w:val="004012F3"/>
    <w:rsid w:val="0040275E"/>
    <w:rsid w:val="00402CDC"/>
    <w:rsid w:val="00403410"/>
    <w:rsid w:val="00403BDD"/>
    <w:rsid w:val="00403D50"/>
    <w:rsid w:val="0040528A"/>
    <w:rsid w:val="00405684"/>
    <w:rsid w:val="00405829"/>
    <w:rsid w:val="00405863"/>
    <w:rsid w:val="0040680C"/>
    <w:rsid w:val="00406AAA"/>
    <w:rsid w:val="004072E4"/>
    <w:rsid w:val="004076CE"/>
    <w:rsid w:val="00411650"/>
    <w:rsid w:val="004116E6"/>
    <w:rsid w:val="004118B6"/>
    <w:rsid w:val="00411B0F"/>
    <w:rsid w:val="00412178"/>
    <w:rsid w:val="004129DE"/>
    <w:rsid w:val="00412EA4"/>
    <w:rsid w:val="00413709"/>
    <w:rsid w:val="00413A6B"/>
    <w:rsid w:val="00413D79"/>
    <w:rsid w:val="00414A84"/>
    <w:rsid w:val="0041523C"/>
    <w:rsid w:val="00415942"/>
    <w:rsid w:val="00415C36"/>
    <w:rsid w:val="004162A2"/>
    <w:rsid w:val="00417B6A"/>
    <w:rsid w:val="00420FFF"/>
    <w:rsid w:val="004219DF"/>
    <w:rsid w:val="00422203"/>
    <w:rsid w:val="0042223C"/>
    <w:rsid w:val="00422293"/>
    <w:rsid w:val="00422700"/>
    <w:rsid w:val="0042299A"/>
    <w:rsid w:val="00423CD2"/>
    <w:rsid w:val="00424F01"/>
    <w:rsid w:val="004258CD"/>
    <w:rsid w:val="00425934"/>
    <w:rsid w:val="00425BEB"/>
    <w:rsid w:val="00425F9A"/>
    <w:rsid w:val="00426B37"/>
    <w:rsid w:val="00426BB3"/>
    <w:rsid w:val="00427637"/>
    <w:rsid w:val="00427D99"/>
    <w:rsid w:val="00430738"/>
    <w:rsid w:val="00432513"/>
    <w:rsid w:val="004329C8"/>
    <w:rsid w:val="00432EC0"/>
    <w:rsid w:val="004330E5"/>
    <w:rsid w:val="004336D2"/>
    <w:rsid w:val="00433E6E"/>
    <w:rsid w:val="00433EF4"/>
    <w:rsid w:val="00434001"/>
    <w:rsid w:val="00434021"/>
    <w:rsid w:val="00434227"/>
    <w:rsid w:val="00434FD5"/>
    <w:rsid w:val="00437362"/>
    <w:rsid w:val="004374F7"/>
    <w:rsid w:val="00437B7D"/>
    <w:rsid w:val="00437F2A"/>
    <w:rsid w:val="0044038E"/>
    <w:rsid w:val="00441B65"/>
    <w:rsid w:val="00441C07"/>
    <w:rsid w:val="00441E0C"/>
    <w:rsid w:val="0044225E"/>
    <w:rsid w:val="00444195"/>
    <w:rsid w:val="004455B9"/>
    <w:rsid w:val="00445D06"/>
    <w:rsid w:val="004469A3"/>
    <w:rsid w:val="00446D29"/>
    <w:rsid w:val="00447271"/>
    <w:rsid w:val="00447A3A"/>
    <w:rsid w:val="00450148"/>
    <w:rsid w:val="00450B05"/>
    <w:rsid w:val="00451E4C"/>
    <w:rsid w:val="00452C21"/>
    <w:rsid w:val="00452C37"/>
    <w:rsid w:val="00452C54"/>
    <w:rsid w:val="00453199"/>
    <w:rsid w:val="00453912"/>
    <w:rsid w:val="0045405A"/>
    <w:rsid w:val="004548EF"/>
    <w:rsid w:val="0045490A"/>
    <w:rsid w:val="0045596B"/>
    <w:rsid w:val="004559E2"/>
    <w:rsid w:val="004562D8"/>
    <w:rsid w:val="004562EA"/>
    <w:rsid w:val="00456315"/>
    <w:rsid w:val="0045637D"/>
    <w:rsid w:val="0045692C"/>
    <w:rsid w:val="00457B92"/>
    <w:rsid w:val="00457CED"/>
    <w:rsid w:val="00460E90"/>
    <w:rsid w:val="00460FAB"/>
    <w:rsid w:val="00461A6A"/>
    <w:rsid w:val="00461BA2"/>
    <w:rsid w:val="00462ACC"/>
    <w:rsid w:val="004631C1"/>
    <w:rsid w:val="004632B7"/>
    <w:rsid w:val="00463522"/>
    <w:rsid w:val="00464893"/>
    <w:rsid w:val="00466DB8"/>
    <w:rsid w:val="00466E21"/>
    <w:rsid w:val="00467B21"/>
    <w:rsid w:val="00467DAF"/>
    <w:rsid w:val="00467DD5"/>
    <w:rsid w:val="00471F24"/>
    <w:rsid w:val="00471F28"/>
    <w:rsid w:val="004736FC"/>
    <w:rsid w:val="00474194"/>
    <w:rsid w:val="00475453"/>
    <w:rsid w:val="00475461"/>
    <w:rsid w:val="00475962"/>
    <w:rsid w:val="00476566"/>
    <w:rsid w:val="004765C8"/>
    <w:rsid w:val="00476B0E"/>
    <w:rsid w:val="004774D9"/>
    <w:rsid w:val="00480057"/>
    <w:rsid w:val="00480447"/>
    <w:rsid w:val="004813ED"/>
    <w:rsid w:val="0048159E"/>
    <w:rsid w:val="00481AAF"/>
    <w:rsid w:val="00482283"/>
    <w:rsid w:val="0048300C"/>
    <w:rsid w:val="00483529"/>
    <w:rsid w:val="00483671"/>
    <w:rsid w:val="004838BF"/>
    <w:rsid w:val="00483A78"/>
    <w:rsid w:val="0048437E"/>
    <w:rsid w:val="004844F0"/>
    <w:rsid w:val="00484CBD"/>
    <w:rsid w:val="00487248"/>
    <w:rsid w:val="00487C7C"/>
    <w:rsid w:val="0049068B"/>
    <w:rsid w:val="004906B5"/>
    <w:rsid w:val="00491316"/>
    <w:rsid w:val="004919DE"/>
    <w:rsid w:val="004920BD"/>
    <w:rsid w:val="004927D6"/>
    <w:rsid w:val="00492DA3"/>
    <w:rsid w:val="00492FFD"/>
    <w:rsid w:val="00493B06"/>
    <w:rsid w:val="00493F88"/>
    <w:rsid w:val="004940A6"/>
    <w:rsid w:val="00494753"/>
    <w:rsid w:val="00494E09"/>
    <w:rsid w:val="00496D10"/>
    <w:rsid w:val="00496DCB"/>
    <w:rsid w:val="00497158"/>
    <w:rsid w:val="00497A46"/>
    <w:rsid w:val="004A0187"/>
    <w:rsid w:val="004A02EA"/>
    <w:rsid w:val="004A0923"/>
    <w:rsid w:val="004A0ABE"/>
    <w:rsid w:val="004A10D8"/>
    <w:rsid w:val="004A1784"/>
    <w:rsid w:val="004A27FC"/>
    <w:rsid w:val="004A282E"/>
    <w:rsid w:val="004A2DDA"/>
    <w:rsid w:val="004A3D97"/>
    <w:rsid w:val="004A43FE"/>
    <w:rsid w:val="004A48FF"/>
    <w:rsid w:val="004A4C60"/>
    <w:rsid w:val="004A5063"/>
    <w:rsid w:val="004A5814"/>
    <w:rsid w:val="004A5832"/>
    <w:rsid w:val="004A5EBD"/>
    <w:rsid w:val="004A5FC2"/>
    <w:rsid w:val="004A62AE"/>
    <w:rsid w:val="004A66C4"/>
    <w:rsid w:val="004A724F"/>
    <w:rsid w:val="004A79EE"/>
    <w:rsid w:val="004B0C31"/>
    <w:rsid w:val="004B2287"/>
    <w:rsid w:val="004B28DA"/>
    <w:rsid w:val="004B2F48"/>
    <w:rsid w:val="004B327F"/>
    <w:rsid w:val="004B4A5E"/>
    <w:rsid w:val="004B5480"/>
    <w:rsid w:val="004B6362"/>
    <w:rsid w:val="004B700A"/>
    <w:rsid w:val="004B7285"/>
    <w:rsid w:val="004B75E3"/>
    <w:rsid w:val="004B7ABD"/>
    <w:rsid w:val="004C0693"/>
    <w:rsid w:val="004C0AF7"/>
    <w:rsid w:val="004C12A6"/>
    <w:rsid w:val="004C1738"/>
    <w:rsid w:val="004C18E8"/>
    <w:rsid w:val="004C196E"/>
    <w:rsid w:val="004C197C"/>
    <w:rsid w:val="004C1DD5"/>
    <w:rsid w:val="004C33E2"/>
    <w:rsid w:val="004C3548"/>
    <w:rsid w:val="004C37F0"/>
    <w:rsid w:val="004C3943"/>
    <w:rsid w:val="004C396A"/>
    <w:rsid w:val="004C3B76"/>
    <w:rsid w:val="004C3C7A"/>
    <w:rsid w:val="004C4D63"/>
    <w:rsid w:val="004C515E"/>
    <w:rsid w:val="004C56C4"/>
    <w:rsid w:val="004C60BF"/>
    <w:rsid w:val="004C7D42"/>
    <w:rsid w:val="004D0890"/>
    <w:rsid w:val="004D0F53"/>
    <w:rsid w:val="004D1129"/>
    <w:rsid w:val="004D1553"/>
    <w:rsid w:val="004D1C49"/>
    <w:rsid w:val="004D1EEA"/>
    <w:rsid w:val="004D21A9"/>
    <w:rsid w:val="004D2A85"/>
    <w:rsid w:val="004D3AFA"/>
    <w:rsid w:val="004D3BDC"/>
    <w:rsid w:val="004D3D49"/>
    <w:rsid w:val="004D3EE0"/>
    <w:rsid w:val="004D40C1"/>
    <w:rsid w:val="004D5280"/>
    <w:rsid w:val="004D52ED"/>
    <w:rsid w:val="004D5492"/>
    <w:rsid w:val="004D5A31"/>
    <w:rsid w:val="004D5AB3"/>
    <w:rsid w:val="004D5C91"/>
    <w:rsid w:val="004D6924"/>
    <w:rsid w:val="004D7267"/>
    <w:rsid w:val="004D7632"/>
    <w:rsid w:val="004D78E8"/>
    <w:rsid w:val="004D7FAB"/>
    <w:rsid w:val="004E02AD"/>
    <w:rsid w:val="004E04D5"/>
    <w:rsid w:val="004E0D8F"/>
    <w:rsid w:val="004E0F64"/>
    <w:rsid w:val="004E2231"/>
    <w:rsid w:val="004E2FAE"/>
    <w:rsid w:val="004E3A8C"/>
    <w:rsid w:val="004E4143"/>
    <w:rsid w:val="004E5530"/>
    <w:rsid w:val="004E5CD7"/>
    <w:rsid w:val="004E60E4"/>
    <w:rsid w:val="004E653B"/>
    <w:rsid w:val="004E6810"/>
    <w:rsid w:val="004E6840"/>
    <w:rsid w:val="004E6B53"/>
    <w:rsid w:val="004E7011"/>
    <w:rsid w:val="004E7410"/>
    <w:rsid w:val="004E7485"/>
    <w:rsid w:val="004F16B4"/>
    <w:rsid w:val="004F2012"/>
    <w:rsid w:val="004F252B"/>
    <w:rsid w:val="004F3F23"/>
    <w:rsid w:val="004F4A81"/>
    <w:rsid w:val="004F4B87"/>
    <w:rsid w:val="004F4D59"/>
    <w:rsid w:val="004F5474"/>
    <w:rsid w:val="004F581E"/>
    <w:rsid w:val="004F5A3A"/>
    <w:rsid w:val="004F5BF1"/>
    <w:rsid w:val="004F6740"/>
    <w:rsid w:val="004F725A"/>
    <w:rsid w:val="004F79D9"/>
    <w:rsid w:val="0050050A"/>
    <w:rsid w:val="0050098A"/>
    <w:rsid w:val="00500BF1"/>
    <w:rsid w:val="00501099"/>
    <w:rsid w:val="00501193"/>
    <w:rsid w:val="00501650"/>
    <w:rsid w:val="00501BD7"/>
    <w:rsid w:val="005023BE"/>
    <w:rsid w:val="00503DC1"/>
    <w:rsid w:val="005047E5"/>
    <w:rsid w:val="00504C9C"/>
    <w:rsid w:val="00504D9C"/>
    <w:rsid w:val="00505528"/>
    <w:rsid w:val="00505F54"/>
    <w:rsid w:val="00506D5E"/>
    <w:rsid w:val="00507501"/>
    <w:rsid w:val="00507FA6"/>
    <w:rsid w:val="0051233E"/>
    <w:rsid w:val="00512B59"/>
    <w:rsid w:val="00512CC3"/>
    <w:rsid w:val="0051313E"/>
    <w:rsid w:val="00513429"/>
    <w:rsid w:val="00514403"/>
    <w:rsid w:val="00514B83"/>
    <w:rsid w:val="005151D4"/>
    <w:rsid w:val="00515F43"/>
    <w:rsid w:val="00516D22"/>
    <w:rsid w:val="00517B4E"/>
    <w:rsid w:val="00520039"/>
    <w:rsid w:val="00520A39"/>
    <w:rsid w:val="00522DA6"/>
    <w:rsid w:val="00523727"/>
    <w:rsid w:val="00523E82"/>
    <w:rsid w:val="0052486F"/>
    <w:rsid w:val="00525ABC"/>
    <w:rsid w:val="00525F1A"/>
    <w:rsid w:val="00525FC7"/>
    <w:rsid w:val="00526BB6"/>
    <w:rsid w:val="0052768B"/>
    <w:rsid w:val="00527FCD"/>
    <w:rsid w:val="00530266"/>
    <w:rsid w:val="00531278"/>
    <w:rsid w:val="00531570"/>
    <w:rsid w:val="0053305D"/>
    <w:rsid w:val="00533F1B"/>
    <w:rsid w:val="005347A2"/>
    <w:rsid w:val="00534B1D"/>
    <w:rsid w:val="00534DA4"/>
    <w:rsid w:val="00535D74"/>
    <w:rsid w:val="00536A31"/>
    <w:rsid w:val="00536B2A"/>
    <w:rsid w:val="00536C0B"/>
    <w:rsid w:val="00536D05"/>
    <w:rsid w:val="005375C1"/>
    <w:rsid w:val="00537721"/>
    <w:rsid w:val="00537B77"/>
    <w:rsid w:val="00540CF9"/>
    <w:rsid w:val="00541795"/>
    <w:rsid w:val="0054180F"/>
    <w:rsid w:val="00542585"/>
    <w:rsid w:val="00542E16"/>
    <w:rsid w:val="00542F3B"/>
    <w:rsid w:val="00543EC1"/>
    <w:rsid w:val="005440C0"/>
    <w:rsid w:val="0054502F"/>
    <w:rsid w:val="00545A4F"/>
    <w:rsid w:val="00545A61"/>
    <w:rsid w:val="00546129"/>
    <w:rsid w:val="00547D1A"/>
    <w:rsid w:val="00550366"/>
    <w:rsid w:val="0055062C"/>
    <w:rsid w:val="00550DE4"/>
    <w:rsid w:val="005511BE"/>
    <w:rsid w:val="0055129D"/>
    <w:rsid w:val="00551DF7"/>
    <w:rsid w:val="00552AD3"/>
    <w:rsid w:val="005536BA"/>
    <w:rsid w:val="00553898"/>
    <w:rsid w:val="005548FE"/>
    <w:rsid w:val="0055553F"/>
    <w:rsid w:val="005564E0"/>
    <w:rsid w:val="00556E8D"/>
    <w:rsid w:val="00560290"/>
    <w:rsid w:val="00560443"/>
    <w:rsid w:val="0056069D"/>
    <w:rsid w:val="00560892"/>
    <w:rsid w:val="00560F5F"/>
    <w:rsid w:val="0056144E"/>
    <w:rsid w:val="0056179E"/>
    <w:rsid w:val="00561A8F"/>
    <w:rsid w:val="00561E54"/>
    <w:rsid w:val="005621B4"/>
    <w:rsid w:val="0056237B"/>
    <w:rsid w:val="00563863"/>
    <w:rsid w:val="00564325"/>
    <w:rsid w:val="00565C0F"/>
    <w:rsid w:val="0056641D"/>
    <w:rsid w:val="005702F4"/>
    <w:rsid w:val="0057147E"/>
    <w:rsid w:val="00571E17"/>
    <w:rsid w:val="005724E1"/>
    <w:rsid w:val="00572C38"/>
    <w:rsid w:val="00573A6D"/>
    <w:rsid w:val="0057629A"/>
    <w:rsid w:val="00576A79"/>
    <w:rsid w:val="00576F8C"/>
    <w:rsid w:val="00577517"/>
    <w:rsid w:val="00577F3F"/>
    <w:rsid w:val="00580595"/>
    <w:rsid w:val="0058095E"/>
    <w:rsid w:val="00581D64"/>
    <w:rsid w:val="00581F2C"/>
    <w:rsid w:val="00582250"/>
    <w:rsid w:val="00582B17"/>
    <w:rsid w:val="005839AD"/>
    <w:rsid w:val="00583B34"/>
    <w:rsid w:val="0058409C"/>
    <w:rsid w:val="005847A0"/>
    <w:rsid w:val="005858AD"/>
    <w:rsid w:val="00585B4C"/>
    <w:rsid w:val="00585EE8"/>
    <w:rsid w:val="005860BF"/>
    <w:rsid w:val="0059038F"/>
    <w:rsid w:val="00590C3F"/>
    <w:rsid w:val="00590FE3"/>
    <w:rsid w:val="00591AC7"/>
    <w:rsid w:val="005927D9"/>
    <w:rsid w:val="00592B84"/>
    <w:rsid w:val="00592DD6"/>
    <w:rsid w:val="00593A7A"/>
    <w:rsid w:val="005946CC"/>
    <w:rsid w:val="00594EA9"/>
    <w:rsid w:val="00595554"/>
    <w:rsid w:val="00595AEA"/>
    <w:rsid w:val="00595BAC"/>
    <w:rsid w:val="00595BDC"/>
    <w:rsid w:val="0059604E"/>
    <w:rsid w:val="0059672A"/>
    <w:rsid w:val="00596995"/>
    <w:rsid w:val="005A01A2"/>
    <w:rsid w:val="005A0E0B"/>
    <w:rsid w:val="005A127F"/>
    <w:rsid w:val="005A12D7"/>
    <w:rsid w:val="005A2B39"/>
    <w:rsid w:val="005A2E15"/>
    <w:rsid w:val="005A4066"/>
    <w:rsid w:val="005A4213"/>
    <w:rsid w:val="005A47FA"/>
    <w:rsid w:val="005A4897"/>
    <w:rsid w:val="005A48DB"/>
    <w:rsid w:val="005A4FA1"/>
    <w:rsid w:val="005A5561"/>
    <w:rsid w:val="005A5A18"/>
    <w:rsid w:val="005A677E"/>
    <w:rsid w:val="005A6F4B"/>
    <w:rsid w:val="005A713B"/>
    <w:rsid w:val="005A7C9D"/>
    <w:rsid w:val="005A7DB6"/>
    <w:rsid w:val="005B035B"/>
    <w:rsid w:val="005B0F49"/>
    <w:rsid w:val="005B233B"/>
    <w:rsid w:val="005B24FD"/>
    <w:rsid w:val="005B2A0D"/>
    <w:rsid w:val="005B368C"/>
    <w:rsid w:val="005B3C97"/>
    <w:rsid w:val="005B4918"/>
    <w:rsid w:val="005B4B48"/>
    <w:rsid w:val="005B522B"/>
    <w:rsid w:val="005B5B4E"/>
    <w:rsid w:val="005B688A"/>
    <w:rsid w:val="005B6AFA"/>
    <w:rsid w:val="005B771F"/>
    <w:rsid w:val="005C0211"/>
    <w:rsid w:val="005C0EAC"/>
    <w:rsid w:val="005C14E9"/>
    <w:rsid w:val="005C1859"/>
    <w:rsid w:val="005C18FA"/>
    <w:rsid w:val="005C25DF"/>
    <w:rsid w:val="005C3A74"/>
    <w:rsid w:val="005C5A07"/>
    <w:rsid w:val="005C64B8"/>
    <w:rsid w:val="005C65E3"/>
    <w:rsid w:val="005C693C"/>
    <w:rsid w:val="005C6BB7"/>
    <w:rsid w:val="005C6BC8"/>
    <w:rsid w:val="005C6F15"/>
    <w:rsid w:val="005C798F"/>
    <w:rsid w:val="005C7D46"/>
    <w:rsid w:val="005D00DF"/>
    <w:rsid w:val="005D09F1"/>
    <w:rsid w:val="005D0A12"/>
    <w:rsid w:val="005D0FB8"/>
    <w:rsid w:val="005D16F9"/>
    <w:rsid w:val="005D176A"/>
    <w:rsid w:val="005D1A80"/>
    <w:rsid w:val="005D343F"/>
    <w:rsid w:val="005D3D92"/>
    <w:rsid w:val="005D3FF3"/>
    <w:rsid w:val="005D4434"/>
    <w:rsid w:val="005D54C2"/>
    <w:rsid w:val="005D55C7"/>
    <w:rsid w:val="005D6787"/>
    <w:rsid w:val="005E0BEE"/>
    <w:rsid w:val="005E1ABE"/>
    <w:rsid w:val="005E1ADE"/>
    <w:rsid w:val="005E1F04"/>
    <w:rsid w:val="005E380C"/>
    <w:rsid w:val="005E3A06"/>
    <w:rsid w:val="005E3B53"/>
    <w:rsid w:val="005E3C5A"/>
    <w:rsid w:val="005E3DCC"/>
    <w:rsid w:val="005E4887"/>
    <w:rsid w:val="005E498E"/>
    <w:rsid w:val="005E55B8"/>
    <w:rsid w:val="005E5639"/>
    <w:rsid w:val="005F010A"/>
    <w:rsid w:val="005F0116"/>
    <w:rsid w:val="005F02B7"/>
    <w:rsid w:val="005F0494"/>
    <w:rsid w:val="005F0C26"/>
    <w:rsid w:val="005F1473"/>
    <w:rsid w:val="005F163B"/>
    <w:rsid w:val="005F3282"/>
    <w:rsid w:val="005F4DA5"/>
    <w:rsid w:val="005F4FBB"/>
    <w:rsid w:val="005F5475"/>
    <w:rsid w:val="005F5912"/>
    <w:rsid w:val="005F5E04"/>
    <w:rsid w:val="005F64F2"/>
    <w:rsid w:val="005F676E"/>
    <w:rsid w:val="00600684"/>
    <w:rsid w:val="0060128A"/>
    <w:rsid w:val="0060155C"/>
    <w:rsid w:val="00601CE8"/>
    <w:rsid w:val="00601E6C"/>
    <w:rsid w:val="006029F8"/>
    <w:rsid w:val="006030EA"/>
    <w:rsid w:val="00603552"/>
    <w:rsid w:val="00603838"/>
    <w:rsid w:val="00603B32"/>
    <w:rsid w:val="00603E50"/>
    <w:rsid w:val="006044E4"/>
    <w:rsid w:val="00604D5C"/>
    <w:rsid w:val="006053B8"/>
    <w:rsid w:val="0060640E"/>
    <w:rsid w:val="006073E6"/>
    <w:rsid w:val="006107D8"/>
    <w:rsid w:val="00610E5B"/>
    <w:rsid w:val="00610F6D"/>
    <w:rsid w:val="00611CCC"/>
    <w:rsid w:val="006139DF"/>
    <w:rsid w:val="00613B42"/>
    <w:rsid w:val="0061443C"/>
    <w:rsid w:val="0061475E"/>
    <w:rsid w:val="00616244"/>
    <w:rsid w:val="00616C22"/>
    <w:rsid w:val="0062074D"/>
    <w:rsid w:val="00621423"/>
    <w:rsid w:val="0062163C"/>
    <w:rsid w:val="00622CDF"/>
    <w:rsid w:val="00622FCD"/>
    <w:rsid w:val="006230DA"/>
    <w:rsid w:val="006232D5"/>
    <w:rsid w:val="00623786"/>
    <w:rsid w:val="00625692"/>
    <w:rsid w:val="00627DA8"/>
    <w:rsid w:val="00630CD3"/>
    <w:rsid w:val="00632E92"/>
    <w:rsid w:val="0063338E"/>
    <w:rsid w:val="0063414F"/>
    <w:rsid w:val="006354F6"/>
    <w:rsid w:val="00635672"/>
    <w:rsid w:val="006358B1"/>
    <w:rsid w:val="00635A4E"/>
    <w:rsid w:val="00635F17"/>
    <w:rsid w:val="00635FB0"/>
    <w:rsid w:val="006360CB"/>
    <w:rsid w:val="0063615E"/>
    <w:rsid w:val="00636267"/>
    <w:rsid w:val="0063658F"/>
    <w:rsid w:val="00636ACA"/>
    <w:rsid w:val="0063786C"/>
    <w:rsid w:val="00637FCD"/>
    <w:rsid w:val="006400A8"/>
    <w:rsid w:val="00640B27"/>
    <w:rsid w:val="00640B5A"/>
    <w:rsid w:val="00640D71"/>
    <w:rsid w:val="00640EFD"/>
    <w:rsid w:val="006426BD"/>
    <w:rsid w:val="00642EEA"/>
    <w:rsid w:val="00642FD3"/>
    <w:rsid w:val="0064333A"/>
    <w:rsid w:val="00643812"/>
    <w:rsid w:val="00643865"/>
    <w:rsid w:val="0064491C"/>
    <w:rsid w:val="00644C1F"/>
    <w:rsid w:val="00644D88"/>
    <w:rsid w:val="00645320"/>
    <w:rsid w:val="006466CD"/>
    <w:rsid w:val="00647B5A"/>
    <w:rsid w:val="00647C35"/>
    <w:rsid w:val="006503D7"/>
    <w:rsid w:val="00650AA5"/>
    <w:rsid w:val="00650B2A"/>
    <w:rsid w:val="00650DDA"/>
    <w:rsid w:val="00651010"/>
    <w:rsid w:val="0065132F"/>
    <w:rsid w:val="00652854"/>
    <w:rsid w:val="00652BDC"/>
    <w:rsid w:val="00652DB3"/>
    <w:rsid w:val="00653486"/>
    <w:rsid w:val="00653F2E"/>
    <w:rsid w:val="006547B2"/>
    <w:rsid w:val="00654862"/>
    <w:rsid w:val="00654905"/>
    <w:rsid w:val="00655072"/>
    <w:rsid w:val="006552FA"/>
    <w:rsid w:val="00655323"/>
    <w:rsid w:val="00655FBF"/>
    <w:rsid w:val="006565DE"/>
    <w:rsid w:val="00656E21"/>
    <w:rsid w:val="006605A8"/>
    <w:rsid w:val="006606E6"/>
    <w:rsid w:val="00660A8E"/>
    <w:rsid w:val="00660CDD"/>
    <w:rsid w:val="006622D1"/>
    <w:rsid w:val="00662D5A"/>
    <w:rsid w:val="00663B1E"/>
    <w:rsid w:val="00663F80"/>
    <w:rsid w:val="00664635"/>
    <w:rsid w:val="00664667"/>
    <w:rsid w:val="0066505B"/>
    <w:rsid w:val="0066546C"/>
    <w:rsid w:val="00665F70"/>
    <w:rsid w:val="00666392"/>
    <w:rsid w:val="006666E4"/>
    <w:rsid w:val="00670255"/>
    <w:rsid w:val="006702F3"/>
    <w:rsid w:val="006708AE"/>
    <w:rsid w:val="00670DD8"/>
    <w:rsid w:val="006710AA"/>
    <w:rsid w:val="006711E2"/>
    <w:rsid w:val="0067262A"/>
    <w:rsid w:val="006731CE"/>
    <w:rsid w:val="00673C19"/>
    <w:rsid w:val="00673EC1"/>
    <w:rsid w:val="0067400C"/>
    <w:rsid w:val="00674B00"/>
    <w:rsid w:val="0067530D"/>
    <w:rsid w:val="00675397"/>
    <w:rsid w:val="0067703D"/>
    <w:rsid w:val="0067705D"/>
    <w:rsid w:val="006771EB"/>
    <w:rsid w:val="00677246"/>
    <w:rsid w:val="006776C1"/>
    <w:rsid w:val="00677DFA"/>
    <w:rsid w:val="00681009"/>
    <w:rsid w:val="00681335"/>
    <w:rsid w:val="00681382"/>
    <w:rsid w:val="00681A3F"/>
    <w:rsid w:val="00682D6E"/>
    <w:rsid w:val="006830C3"/>
    <w:rsid w:val="00683777"/>
    <w:rsid w:val="00683D7A"/>
    <w:rsid w:val="00685076"/>
    <w:rsid w:val="006859EC"/>
    <w:rsid w:val="00685B8A"/>
    <w:rsid w:val="00686C58"/>
    <w:rsid w:val="00686E5F"/>
    <w:rsid w:val="00687542"/>
    <w:rsid w:val="006902FE"/>
    <w:rsid w:val="0069182A"/>
    <w:rsid w:val="0069230E"/>
    <w:rsid w:val="0069311C"/>
    <w:rsid w:val="00694A0F"/>
    <w:rsid w:val="00694AC9"/>
    <w:rsid w:val="00696087"/>
    <w:rsid w:val="00696769"/>
    <w:rsid w:val="0069680D"/>
    <w:rsid w:val="00697324"/>
    <w:rsid w:val="0069762F"/>
    <w:rsid w:val="00697DC2"/>
    <w:rsid w:val="00697F99"/>
    <w:rsid w:val="006A052F"/>
    <w:rsid w:val="006A0A03"/>
    <w:rsid w:val="006A14BD"/>
    <w:rsid w:val="006A14E8"/>
    <w:rsid w:val="006A1710"/>
    <w:rsid w:val="006A2469"/>
    <w:rsid w:val="006A248A"/>
    <w:rsid w:val="006A4E46"/>
    <w:rsid w:val="006A5C12"/>
    <w:rsid w:val="006A5D32"/>
    <w:rsid w:val="006A629A"/>
    <w:rsid w:val="006A6541"/>
    <w:rsid w:val="006A73B6"/>
    <w:rsid w:val="006A79B6"/>
    <w:rsid w:val="006A7C7B"/>
    <w:rsid w:val="006A7CEB"/>
    <w:rsid w:val="006A7D97"/>
    <w:rsid w:val="006B0135"/>
    <w:rsid w:val="006B0D58"/>
    <w:rsid w:val="006B0F30"/>
    <w:rsid w:val="006B1084"/>
    <w:rsid w:val="006B1536"/>
    <w:rsid w:val="006B2411"/>
    <w:rsid w:val="006B2784"/>
    <w:rsid w:val="006B2CB2"/>
    <w:rsid w:val="006B31A4"/>
    <w:rsid w:val="006B3335"/>
    <w:rsid w:val="006B4048"/>
    <w:rsid w:val="006B4322"/>
    <w:rsid w:val="006B58B2"/>
    <w:rsid w:val="006B640E"/>
    <w:rsid w:val="006B6F96"/>
    <w:rsid w:val="006B726C"/>
    <w:rsid w:val="006C0A24"/>
    <w:rsid w:val="006C0E94"/>
    <w:rsid w:val="006C13BF"/>
    <w:rsid w:val="006C1441"/>
    <w:rsid w:val="006C1F77"/>
    <w:rsid w:val="006C2B4A"/>
    <w:rsid w:val="006C3758"/>
    <w:rsid w:val="006C430E"/>
    <w:rsid w:val="006C4C77"/>
    <w:rsid w:val="006C5112"/>
    <w:rsid w:val="006C52B5"/>
    <w:rsid w:val="006C5CD4"/>
    <w:rsid w:val="006C6280"/>
    <w:rsid w:val="006C6440"/>
    <w:rsid w:val="006C6A13"/>
    <w:rsid w:val="006C6ABF"/>
    <w:rsid w:val="006C7741"/>
    <w:rsid w:val="006D1855"/>
    <w:rsid w:val="006D1ED0"/>
    <w:rsid w:val="006D28AB"/>
    <w:rsid w:val="006D411D"/>
    <w:rsid w:val="006D490A"/>
    <w:rsid w:val="006D58E9"/>
    <w:rsid w:val="006D623C"/>
    <w:rsid w:val="006D6651"/>
    <w:rsid w:val="006D6A38"/>
    <w:rsid w:val="006D6DA7"/>
    <w:rsid w:val="006D6E03"/>
    <w:rsid w:val="006D755F"/>
    <w:rsid w:val="006D7ACB"/>
    <w:rsid w:val="006D7FE1"/>
    <w:rsid w:val="006E0141"/>
    <w:rsid w:val="006E0470"/>
    <w:rsid w:val="006E0751"/>
    <w:rsid w:val="006E1068"/>
    <w:rsid w:val="006E15BB"/>
    <w:rsid w:val="006E2014"/>
    <w:rsid w:val="006E243B"/>
    <w:rsid w:val="006E53DE"/>
    <w:rsid w:val="006E57CE"/>
    <w:rsid w:val="006E5C22"/>
    <w:rsid w:val="006E5F94"/>
    <w:rsid w:val="006E6108"/>
    <w:rsid w:val="006E6294"/>
    <w:rsid w:val="006E71CA"/>
    <w:rsid w:val="006F20BF"/>
    <w:rsid w:val="006F2527"/>
    <w:rsid w:val="006F2A43"/>
    <w:rsid w:val="006F2EAF"/>
    <w:rsid w:val="006F3303"/>
    <w:rsid w:val="006F3454"/>
    <w:rsid w:val="006F3810"/>
    <w:rsid w:val="006F3B87"/>
    <w:rsid w:val="006F3BC6"/>
    <w:rsid w:val="006F3F2B"/>
    <w:rsid w:val="006F3FBF"/>
    <w:rsid w:val="006F4D4B"/>
    <w:rsid w:val="006F5637"/>
    <w:rsid w:val="006F58E9"/>
    <w:rsid w:val="006F5D22"/>
    <w:rsid w:val="006F5D34"/>
    <w:rsid w:val="006F6ED2"/>
    <w:rsid w:val="006F77FC"/>
    <w:rsid w:val="007001C1"/>
    <w:rsid w:val="00700330"/>
    <w:rsid w:val="007012BA"/>
    <w:rsid w:val="007016C5"/>
    <w:rsid w:val="00701FF0"/>
    <w:rsid w:val="007023F5"/>
    <w:rsid w:val="00702A32"/>
    <w:rsid w:val="00702BE3"/>
    <w:rsid w:val="00702C87"/>
    <w:rsid w:val="00702D7B"/>
    <w:rsid w:val="00702EFC"/>
    <w:rsid w:val="00702FAC"/>
    <w:rsid w:val="007031D5"/>
    <w:rsid w:val="007033E6"/>
    <w:rsid w:val="00703725"/>
    <w:rsid w:val="00704258"/>
    <w:rsid w:val="007047FB"/>
    <w:rsid w:val="00704C4F"/>
    <w:rsid w:val="00705150"/>
    <w:rsid w:val="0070655B"/>
    <w:rsid w:val="0070750F"/>
    <w:rsid w:val="00707D56"/>
    <w:rsid w:val="007101F6"/>
    <w:rsid w:val="0071022B"/>
    <w:rsid w:val="007104FF"/>
    <w:rsid w:val="007106A0"/>
    <w:rsid w:val="00711327"/>
    <w:rsid w:val="00711350"/>
    <w:rsid w:val="00711389"/>
    <w:rsid w:val="00712F1D"/>
    <w:rsid w:val="00712FAA"/>
    <w:rsid w:val="007142D0"/>
    <w:rsid w:val="00714685"/>
    <w:rsid w:val="00714689"/>
    <w:rsid w:val="007158C3"/>
    <w:rsid w:val="0071626D"/>
    <w:rsid w:val="00716727"/>
    <w:rsid w:val="0071685E"/>
    <w:rsid w:val="00717703"/>
    <w:rsid w:val="00721AFA"/>
    <w:rsid w:val="0072201E"/>
    <w:rsid w:val="00723632"/>
    <w:rsid w:val="00723A8A"/>
    <w:rsid w:val="00723E05"/>
    <w:rsid w:val="00723F67"/>
    <w:rsid w:val="00723FDB"/>
    <w:rsid w:val="007241DC"/>
    <w:rsid w:val="00724A2D"/>
    <w:rsid w:val="00724AD7"/>
    <w:rsid w:val="00724B41"/>
    <w:rsid w:val="00724C80"/>
    <w:rsid w:val="0072501D"/>
    <w:rsid w:val="00725177"/>
    <w:rsid w:val="007258B3"/>
    <w:rsid w:val="00725DA9"/>
    <w:rsid w:val="007264EF"/>
    <w:rsid w:val="00726F5D"/>
    <w:rsid w:val="007277EF"/>
    <w:rsid w:val="007300FE"/>
    <w:rsid w:val="007308E5"/>
    <w:rsid w:val="00730B4C"/>
    <w:rsid w:val="00730DEF"/>
    <w:rsid w:val="007315EA"/>
    <w:rsid w:val="007336BF"/>
    <w:rsid w:val="00734283"/>
    <w:rsid w:val="0073468F"/>
    <w:rsid w:val="00735634"/>
    <w:rsid w:val="00736068"/>
    <w:rsid w:val="007368BD"/>
    <w:rsid w:val="00736B7C"/>
    <w:rsid w:val="00737B12"/>
    <w:rsid w:val="00737FFB"/>
    <w:rsid w:val="00740D83"/>
    <w:rsid w:val="007410FF"/>
    <w:rsid w:val="00741740"/>
    <w:rsid w:val="00741829"/>
    <w:rsid w:val="00741B06"/>
    <w:rsid w:val="00742DD2"/>
    <w:rsid w:val="007430CA"/>
    <w:rsid w:val="007432FD"/>
    <w:rsid w:val="00743B5A"/>
    <w:rsid w:val="0074407D"/>
    <w:rsid w:val="00744482"/>
    <w:rsid w:val="007446E3"/>
    <w:rsid w:val="007447C9"/>
    <w:rsid w:val="007456A6"/>
    <w:rsid w:val="00746870"/>
    <w:rsid w:val="00746FE8"/>
    <w:rsid w:val="00747A78"/>
    <w:rsid w:val="00750067"/>
    <w:rsid w:val="00750EC3"/>
    <w:rsid w:val="00751442"/>
    <w:rsid w:val="0075148A"/>
    <w:rsid w:val="007515A7"/>
    <w:rsid w:val="007515BA"/>
    <w:rsid w:val="00751B99"/>
    <w:rsid w:val="00752298"/>
    <w:rsid w:val="00752606"/>
    <w:rsid w:val="00752752"/>
    <w:rsid w:val="00753198"/>
    <w:rsid w:val="007534CF"/>
    <w:rsid w:val="0075512A"/>
    <w:rsid w:val="007553C1"/>
    <w:rsid w:val="007556D0"/>
    <w:rsid w:val="00755721"/>
    <w:rsid w:val="007558AC"/>
    <w:rsid w:val="007563C2"/>
    <w:rsid w:val="00757A6F"/>
    <w:rsid w:val="00760D2A"/>
    <w:rsid w:val="0076135A"/>
    <w:rsid w:val="00761F9E"/>
    <w:rsid w:val="007620B5"/>
    <w:rsid w:val="00762289"/>
    <w:rsid w:val="0076262E"/>
    <w:rsid w:val="00762695"/>
    <w:rsid w:val="00762FEA"/>
    <w:rsid w:val="007633E7"/>
    <w:rsid w:val="0076389A"/>
    <w:rsid w:val="00763AB4"/>
    <w:rsid w:val="00763D74"/>
    <w:rsid w:val="007641D2"/>
    <w:rsid w:val="007648CC"/>
    <w:rsid w:val="007654B8"/>
    <w:rsid w:val="007676DB"/>
    <w:rsid w:val="007679B8"/>
    <w:rsid w:val="00770651"/>
    <w:rsid w:val="00771CAC"/>
    <w:rsid w:val="00772272"/>
    <w:rsid w:val="0077390D"/>
    <w:rsid w:val="00773B3C"/>
    <w:rsid w:val="007742DD"/>
    <w:rsid w:val="00774F63"/>
    <w:rsid w:val="007754AF"/>
    <w:rsid w:val="00775B0A"/>
    <w:rsid w:val="00775CDE"/>
    <w:rsid w:val="00775DC2"/>
    <w:rsid w:val="00776080"/>
    <w:rsid w:val="007760FD"/>
    <w:rsid w:val="00776562"/>
    <w:rsid w:val="007765C7"/>
    <w:rsid w:val="00776DA7"/>
    <w:rsid w:val="00776F7C"/>
    <w:rsid w:val="007802BC"/>
    <w:rsid w:val="00780524"/>
    <w:rsid w:val="00780D1A"/>
    <w:rsid w:val="00780F97"/>
    <w:rsid w:val="007811AE"/>
    <w:rsid w:val="00781282"/>
    <w:rsid w:val="0078175B"/>
    <w:rsid w:val="00781FE4"/>
    <w:rsid w:val="0078284E"/>
    <w:rsid w:val="00783879"/>
    <w:rsid w:val="00784184"/>
    <w:rsid w:val="00785800"/>
    <w:rsid w:val="0078586B"/>
    <w:rsid w:val="00785B20"/>
    <w:rsid w:val="00785B52"/>
    <w:rsid w:val="00785F01"/>
    <w:rsid w:val="007865C4"/>
    <w:rsid w:val="007873F2"/>
    <w:rsid w:val="0078777D"/>
    <w:rsid w:val="00787844"/>
    <w:rsid w:val="00787B44"/>
    <w:rsid w:val="00787CAC"/>
    <w:rsid w:val="007902FE"/>
    <w:rsid w:val="00790349"/>
    <w:rsid w:val="00790478"/>
    <w:rsid w:val="00790769"/>
    <w:rsid w:val="00791190"/>
    <w:rsid w:val="00791C91"/>
    <w:rsid w:val="00793CA8"/>
    <w:rsid w:val="00794047"/>
    <w:rsid w:val="007941DE"/>
    <w:rsid w:val="007942B9"/>
    <w:rsid w:val="00794D96"/>
    <w:rsid w:val="007950EB"/>
    <w:rsid w:val="007952DA"/>
    <w:rsid w:val="007969A6"/>
    <w:rsid w:val="007974E1"/>
    <w:rsid w:val="007975AF"/>
    <w:rsid w:val="00797E34"/>
    <w:rsid w:val="007A0D06"/>
    <w:rsid w:val="007A0EDB"/>
    <w:rsid w:val="007A1257"/>
    <w:rsid w:val="007A1501"/>
    <w:rsid w:val="007A2748"/>
    <w:rsid w:val="007A36D4"/>
    <w:rsid w:val="007A3F40"/>
    <w:rsid w:val="007A4012"/>
    <w:rsid w:val="007A4D74"/>
    <w:rsid w:val="007A5125"/>
    <w:rsid w:val="007A5884"/>
    <w:rsid w:val="007A5DA5"/>
    <w:rsid w:val="007A65DB"/>
    <w:rsid w:val="007A697E"/>
    <w:rsid w:val="007A7124"/>
    <w:rsid w:val="007A7D20"/>
    <w:rsid w:val="007B0144"/>
    <w:rsid w:val="007B0227"/>
    <w:rsid w:val="007B07D4"/>
    <w:rsid w:val="007B0A2E"/>
    <w:rsid w:val="007B0F36"/>
    <w:rsid w:val="007B1280"/>
    <w:rsid w:val="007B1BC3"/>
    <w:rsid w:val="007B1FA0"/>
    <w:rsid w:val="007B29F0"/>
    <w:rsid w:val="007B3B5A"/>
    <w:rsid w:val="007B41DB"/>
    <w:rsid w:val="007B4541"/>
    <w:rsid w:val="007B4974"/>
    <w:rsid w:val="007B4A13"/>
    <w:rsid w:val="007B576D"/>
    <w:rsid w:val="007B60E3"/>
    <w:rsid w:val="007B6141"/>
    <w:rsid w:val="007B678D"/>
    <w:rsid w:val="007B678F"/>
    <w:rsid w:val="007B77FC"/>
    <w:rsid w:val="007C158E"/>
    <w:rsid w:val="007C25AE"/>
    <w:rsid w:val="007C41C2"/>
    <w:rsid w:val="007C540C"/>
    <w:rsid w:val="007C580E"/>
    <w:rsid w:val="007C6443"/>
    <w:rsid w:val="007C67B7"/>
    <w:rsid w:val="007C6FD2"/>
    <w:rsid w:val="007C723D"/>
    <w:rsid w:val="007C7496"/>
    <w:rsid w:val="007C7730"/>
    <w:rsid w:val="007D1024"/>
    <w:rsid w:val="007D1BEF"/>
    <w:rsid w:val="007D1D22"/>
    <w:rsid w:val="007D214F"/>
    <w:rsid w:val="007D2252"/>
    <w:rsid w:val="007D362C"/>
    <w:rsid w:val="007D44DD"/>
    <w:rsid w:val="007D5180"/>
    <w:rsid w:val="007D5930"/>
    <w:rsid w:val="007D5EEB"/>
    <w:rsid w:val="007D67E9"/>
    <w:rsid w:val="007D6968"/>
    <w:rsid w:val="007D7E22"/>
    <w:rsid w:val="007E0D89"/>
    <w:rsid w:val="007E1843"/>
    <w:rsid w:val="007E1B20"/>
    <w:rsid w:val="007E1E6B"/>
    <w:rsid w:val="007E239C"/>
    <w:rsid w:val="007E279D"/>
    <w:rsid w:val="007E4260"/>
    <w:rsid w:val="007E42AD"/>
    <w:rsid w:val="007E4329"/>
    <w:rsid w:val="007E4C3F"/>
    <w:rsid w:val="007E4F1E"/>
    <w:rsid w:val="007E5697"/>
    <w:rsid w:val="007E5D52"/>
    <w:rsid w:val="007E67FE"/>
    <w:rsid w:val="007E6B65"/>
    <w:rsid w:val="007E759C"/>
    <w:rsid w:val="007E762D"/>
    <w:rsid w:val="007E78FF"/>
    <w:rsid w:val="007E7A2B"/>
    <w:rsid w:val="007E7BAC"/>
    <w:rsid w:val="007F064B"/>
    <w:rsid w:val="007F0D18"/>
    <w:rsid w:val="007F0DA7"/>
    <w:rsid w:val="007F0DAB"/>
    <w:rsid w:val="007F108E"/>
    <w:rsid w:val="007F11B0"/>
    <w:rsid w:val="007F2041"/>
    <w:rsid w:val="007F28CB"/>
    <w:rsid w:val="007F327E"/>
    <w:rsid w:val="007F4326"/>
    <w:rsid w:val="007F4E78"/>
    <w:rsid w:val="007F5C8B"/>
    <w:rsid w:val="007F66C5"/>
    <w:rsid w:val="007F7309"/>
    <w:rsid w:val="007F78D1"/>
    <w:rsid w:val="00800103"/>
    <w:rsid w:val="008004D4"/>
    <w:rsid w:val="008005AE"/>
    <w:rsid w:val="00800B87"/>
    <w:rsid w:val="00800BB2"/>
    <w:rsid w:val="00801B32"/>
    <w:rsid w:val="00801C77"/>
    <w:rsid w:val="008025F6"/>
    <w:rsid w:val="008026E7"/>
    <w:rsid w:val="00803117"/>
    <w:rsid w:val="00803D6B"/>
    <w:rsid w:val="008048C2"/>
    <w:rsid w:val="008049F7"/>
    <w:rsid w:val="00805009"/>
    <w:rsid w:val="008050F2"/>
    <w:rsid w:val="008054DC"/>
    <w:rsid w:val="00805B61"/>
    <w:rsid w:val="00806E91"/>
    <w:rsid w:val="00807C93"/>
    <w:rsid w:val="00807CD6"/>
    <w:rsid w:val="00807E56"/>
    <w:rsid w:val="00811D2D"/>
    <w:rsid w:val="008123A8"/>
    <w:rsid w:val="00813075"/>
    <w:rsid w:val="00815087"/>
    <w:rsid w:val="008152AF"/>
    <w:rsid w:val="00815DFC"/>
    <w:rsid w:val="0081620C"/>
    <w:rsid w:val="008165D9"/>
    <w:rsid w:val="008175B6"/>
    <w:rsid w:val="00817B27"/>
    <w:rsid w:val="0082010A"/>
    <w:rsid w:val="0082121D"/>
    <w:rsid w:val="008219F2"/>
    <w:rsid w:val="00821CDF"/>
    <w:rsid w:val="00821F02"/>
    <w:rsid w:val="00822D45"/>
    <w:rsid w:val="00822F14"/>
    <w:rsid w:val="00823479"/>
    <w:rsid w:val="008246CA"/>
    <w:rsid w:val="00825307"/>
    <w:rsid w:val="008253DA"/>
    <w:rsid w:val="00825430"/>
    <w:rsid w:val="00825803"/>
    <w:rsid w:val="00826763"/>
    <w:rsid w:val="0082697F"/>
    <w:rsid w:val="00827664"/>
    <w:rsid w:val="00827D6C"/>
    <w:rsid w:val="00827E6C"/>
    <w:rsid w:val="00830F9A"/>
    <w:rsid w:val="00831773"/>
    <w:rsid w:val="0083185B"/>
    <w:rsid w:val="00832851"/>
    <w:rsid w:val="00832D7E"/>
    <w:rsid w:val="00832F42"/>
    <w:rsid w:val="00833100"/>
    <w:rsid w:val="008331D0"/>
    <w:rsid w:val="00833D25"/>
    <w:rsid w:val="00834D21"/>
    <w:rsid w:val="00834D8E"/>
    <w:rsid w:val="008356F7"/>
    <w:rsid w:val="008356FD"/>
    <w:rsid w:val="00835835"/>
    <w:rsid w:val="008358DB"/>
    <w:rsid w:val="00836598"/>
    <w:rsid w:val="0083661C"/>
    <w:rsid w:val="008371E7"/>
    <w:rsid w:val="00837883"/>
    <w:rsid w:val="00840CC1"/>
    <w:rsid w:val="00840DC4"/>
    <w:rsid w:val="00840E84"/>
    <w:rsid w:val="008416DA"/>
    <w:rsid w:val="00841A17"/>
    <w:rsid w:val="008428E0"/>
    <w:rsid w:val="00842F8C"/>
    <w:rsid w:val="00844F45"/>
    <w:rsid w:val="00844FB8"/>
    <w:rsid w:val="00845E6A"/>
    <w:rsid w:val="00846042"/>
    <w:rsid w:val="00846049"/>
    <w:rsid w:val="008465C0"/>
    <w:rsid w:val="00846C1A"/>
    <w:rsid w:val="00847019"/>
    <w:rsid w:val="00847A04"/>
    <w:rsid w:val="00850033"/>
    <w:rsid w:val="00850255"/>
    <w:rsid w:val="0085054A"/>
    <w:rsid w:val="008519ED"/>
    <w:rsid w:val="00851FB3"/>
    <w:rsid w:val="008526B1"/>
    <w:rsid w:val="00853058"/>
    <w:rsid w:val="008531C4"/>
    <w:rsid w:val="0085360E"/>
    <w:rsid w:val="00854D47"/>
    <w:rsid w:val="0085560F"/>
    <w:rsid w:val="00855841"/>
    <w:rsid w:val="00855DCB"/>
    <w:rsid w:val="008563BB"/>
    <w:rsid w:val="00856569"/>
    <w:rsid w:val="00856D51"/>
    <w:rsid w:val="00857175"/>
    <w:rsid w:val="00857795"/>
    <w:rsid w:val="00857A26"/>
    <w:rsid w:val="00857D3E"/>
    <w:rsid w:val="00860234"/>
    <w:rsid w:val="008607D6"/>
    <w:rsid w:val="00860E81"/>
    <w:rsid w:val="008610F2"/>
    <w:rsid w:val="00861B0A"/>
    <w:rsid w:val="0086257D"/>
    <w:rsid w:val="008626FB"/>
    <w:rsid w:val="00862A4B"/>
    <w:rsid w:val="0086320D"/>
    <w:rsid w:val="00863A68"/>
    <w:rsid w:val="008646E8"/>
    <w:rsid w:val="0086489D"/>
    <w:rsid w:val="00865092"/>
    <w:rsid w:val="008652C3"/>
    <w:rsid w:val="00865C58"/>
    <w:rsid w:val="00866BA8"/>
    <w:rsid w:val="00867682"/>
    <w:rsid w:val="00867903"/>
    <w:rsid w:val="00867A52"/>
    <w:rsid w:val="00867BFC"/>
    <w:rsid w:val="008705C8"/>
    <w:rsid w:val="0087123A"/>
    <w:rsid w:val="00871E7C"/>
    <w:rsid w:val="0087212C"/>
    <w:rsid w:val="00872273"/>
    <w:rsid w:val="00872596"/>
    <w:rsid w:val="0087300F"/>
    <w:rsid w:val="00873249"/>
    <w:rsid w:val="00873E18"/>
    <w:rsid w:val="00874405"/>
    <w:rsid w:val="008744C6"/>
    <w:rsid w:val="0087455F"/>
    <w:rsid w:val="00874ACA"/>
    <w:rsid w:val="00874B99"/>
    <w:rsid w:val="008757A8"/>
    <w:rsid w:val="00875BA0"/>
    <w:rsid w:val="00875DCF"/>
    <w:rsid w:val="00876105"/>
    <w:rsid w:val="00877014"/>
    <w:rsid w:val="00880095"/>
    <w:rsid w:val="0088015C"/>
    <w:rsid w:val="00880A00"/>
    <w:rsid w:val="00880F31"/>
    <w:rsid w:val="0088114C"/>
    <w:rsid w:val="00881857"/>
    <w:rsid w:val="0088248E"/>
    <w:rsid w:val="00882717"/>
    <w:rsid w:val="00882AF3"/>
    <w:rsid w:val="00883E0A"/>
    <w:rsid w:val="008843AF"/>
    <w:rsid w:val="00884F34"/>
    <w:rsid w:val="0088583E"/>
    <w:rsid w:val="008860FD"/>
    <w:rsid w:val="008868FB"/>
    <w:rsid w:val="00886B9F"/>
    <w:rsid w:val="00887226"/>
    <w:rsid w:val="00887F7C"/>
    <w:rsid w:val="00890710"/>
    <w:rsid w:val="0089085A"/>
    <w:rsid w:val="00890966"/>
    <w:rsid w:val="00890B3C"/>
    <w:rsid w:val="00890B9F"/>
    <w:rsid w:val="008917A5"/>
    <w:rsid w:val="008938A3"/>
    <w:rsid w:val="008942BD"/>
    <w:rsid w:val="008942DE"/>
    <w:rsid w:val="00894327"/>
    <w:rsid w:val="008949D2"/>
    <w:rsid w:val="00894A94"/>
    <w:rsid w:val="00894DE6"/>
    <w:rsid w:val="008951E0"/>
    <w:rsid w:val="00895AFC"/>
    <w:rsid w:val="00895D7A"/>
    <w:rsid w:val="00896123"/>
    <w:rsid w:val="00896B47"/>
    <w:rsid w:val="00896BBB"/>
    <w:rsid w:val="00896C65"/>
    <w:rsid w:val="00896C93"/>
    <w:rsid w:val="00897163"/>
    <w:rsid w:val="00897829"/>
    <w:rsid w:val="008A0520"/>
    <w:rsid w:val="008A09EA"/>
    <w:rsid w:val="008A0E2C"/>
    <w:rsid w:val="008A11F9"/>
    <w:rsid w:val="008A15EA"/>
    <w:rsid w:val="008A1F2F"/>
    <w:rsid w:val="008A257B"/>
    <w:rsid w:val="008A2FC7"/>
    <w:rsid w:val="008A3389"/>
    <w:rsid w:val="008A396E"/>
    <w:rsid w:val="008A3C8B"/>
    <w:rsid w:val="008A4E75"/>
    <w:rsid w:val="008A519A"/>
    <w:rsid w:val="008A54FB"/>
    <w:rsid w:val="008A6323"/>
    <w:rsid w:val="008A6906"/>
    <w:rsid w:val="008A6FE0"/>
    <w:rsid w:val="008B02FA"/>
    <w:rsid w:val="008B10AB"/>
    <w:rsid w:val="008B2A2D"/>
    <w:rsid w:val="008B2B89"/>
    <w:rsid w:val="008B2BD0"/>
    <w:rsid w:val="008B35B3"/>
    <w:rsid w:val="008B3A6A"/>
    <w:rsid w:val="008B3CB3"/>
    <w:rsid w:val="008B43B6"/>
    <w:rsid w:val="008B480A"/>
    <w:rsid w:val="008B5622"/>
    <w:rsid w:val="008B6219"/>
    <w:rsid w:val="008B6905"/>
    <w:rsid w:val="008C0528"/>
    <w:rsid w:val="008C0C09"/>
    <w:rsid w:val="008C1336"/>
    <w:rsid w:val="008C171D"/>
    <w:rsid w:val="008C17E1"/>
    <w:rsid w:val="008C191D"/>
    <w:rsid w:val="008C1C91"/>
    <w:rsid w:val="008C2219"/>
    <w:rsid w:val="008C2E2E"/>
    <w:rsid w:val="008C3E53"/>
    <w:rsid w:val="008C460A"/>
    <w:rsid w:val="008C4CB3"/>
    <w:rsid w:val="008C6B25"/>
    <w:rsid w:val="008C7FFC"/>
    <w:rsid w:val="008D01A4"/>
    <w:rsid w:val="008D0421"/>
    <w:rsid w:val="008D1128"/>
    <w:rsid w:val="008D11DF"/>
    <w:rsid w:val="008D1326"/>
    <w:rsid w:val="008D1653"/>
    <w:rsid w:val="008D1E8B"/>
    <w:rsid w:val="008D25AC"/>
    <w:rsid w:val="008D2648"/>
    <w:rsid w:val="008D2827"/>
    <w:rsid w:val="008D2F47"/>
    <w:rsid w:val="008D323C"/>
    <w:rsid w:val="008D3340"/>
    <w:rsid w:val="008D4080"/>
    <w:rsid w:val="008D4434"/>
    <w:rsid w:val="008D558F"/>
    <w:rsid w:val="008D5DBF"/>
    <w:rsid w:val="008D6C3C"/>
    <w:rsid w:val="008D6FCF"/>
    <w:rsid w:val="008D6FD0"/>
    <w:rsid w:val="008D7633"/>
    <w:rsid w:val="008D79CE"/>
    <w:rsid w:val="008E0561"/>
    <w:rsid w:val="008E0C4B"/>
    <w:rsid w:val="008E1709"/>
    <w:rsid w:val="008E1AE7"/>
    <w:rsid w:val="008E1B70"/>
    <w:rsid w:val="008E1B80"/>
    <w:rsid w:val="008E2598"/>
    <w:rsid w:val="008E3BFE"/>
    <w:rsid w:val="008E48DE"/>
    <w:rsid w:val="008E4ED6"/>
    <w:rsid w:val="008E55A8"/>
    <w:rsid w:val="008E5997"/>
    <w:rsid w:val="008E6929"/>
    <w:rsid w:val="008E6EC8"/>
    <w:rsid w:val="008E7E82"/>
    <w:rsid w:val="008E7E8B"/>
    <w:rsid w:val="008F01EF"/>
    <w:rsid w:val="008F0C34"/>
    <w:rsid w:val="008F0D08"/>
    <w:rsid w:val="008F117A"/>
    <w:rsid w:val="008F141C"/>
    <w:rsid w:val="008F16EC"/>
    <w:rsid w:val="008F20A8"/>
    <w:rsid w:val="008F22D6"/>
    <w:rsid w:val="008F3135"/>
    <w:rsid w:val="008F35BB"/>
    <w:rsid w:val="008F4E61"/>
    <w:rsid w:val="008F5F06"/>
    <w:rsid w:val="008F601F"/>
    <w:rsid w:val="008F6C1D"/>
    <w:rsid w:val="008F7931"/>
    <w:rsid w:val="008F7965"/>
    <w:rsid w:val="008F7ABA"/>
    <w:rsid w:val="008F7CB3"/>
    <w:rsid w:val="0090022D"/>
    <w:rsid w:val="009004BB"/>
    <w:rsid w:val="009007A9"/>
    <w:rsid w:val="00900A52"/>
    <w:rsid w:val="00902030"/>
    <w:rsid w:val="009024D7"/>
    <w:rsid w:val="00902A0E"/>
    <w:rsid w:val="00905312"/>
    <w:rsid w:val="009055C1"/>
    <w:rsid w:val="009055E3"/>
    <w:rsid w:val="0090599E"/>
    <w:rsid w:val="00905FD8"/>
    <w:rsid w:val="0090606F"/>
    <w:rsid w:val="00906A58"/>
    <w:rsid w:val="00906D8B"/>
    <w:rsid w:val="00910B52"/>
    <w:rsid w:val="00910D61"/>
    <w:rsid w:val="009111A8"/>
    <w:rsid w:val="009112F7"/>
    <w:rsid w:val="009123E1"/>
    <w:rsid w:val="00912A3F"/>
    <w:rsid w:val="00913A86"/>
    <w:rsid w:val="009144A9"/>
    <w:rsid w:val="0091458C"/>
    <w:rsid w:val="00914C66"/>
    <w:rsid w:val="00915BAE"/>
    <w:rsid w:val="009161B4"/>
    <w:rsid w:val="00917722"/>
    <w:rsid w:val="00917C5F"/>
    <w:rsid w:val="00917C65"/>
    <w:rsid w:val="00920217"/>
    <w:rsid w:val="0092082A"/>
    <w:rsid w:val="00920A03"/>
    <w:rsid w:val="00921387"/>
    <w:rsid w:val="009216BE"/>
    <w:rsid w:val="009216E3"/>
    <w:rsid w:val="00922EA3"/>
    <w:rsid w:val="00923186"/>
    <w:rsid w:val="00923188"/>
    <w:rsid w:val="009241A0"/>
    <w:rsid w:val="00924C6A"/>
    <w:rsid w:val="00924FE0"/>
    <w:rsid w:val="00925135"/>
    <w:rsid w:val="00925245"/>
    <w:rsid w:val="00925CB1"/>
    <w:rsid w:val="00925CCC"/>
    <w:rsid w:val="00926352"/>
    <w:rsid w:val="00927532"/>
    <w:rsid w:val="00927E91"/>
    <w:rsid w:val="0093024E"/>
    <w:rsid w:val="00930C19"/>
    <w:rsid w:val="00931FA8"/>
    <w:rsid w:val="009320A7"/>
    <w:rsid w:val="009322A3"/>
    <w:rsid w:val="009330F7"/>
    <w:rsid w:val="00933654"/>
    <w:rsid w:val="00934336"/>
    <w:rsid w:val="009346E7"/>
    <w:rsid w:val="00934DFF"/>
    <w:rsid w:val="0093509E"/>
    <w:rsid w:val="00935DAB"/>
    <w:rsid w:val="00936EF6"/>
    <w:rsid w:val="00937AA4"/>
    <w:rsid w:val="0094062F"/>
    <w:rsid w:val="00940F0A"/>
    <w:rsid w:val="00941266"/>
    <w:rsid w:val="009415CB"/>
    <w:rsid w:val="009416FB"/>
    <w:rsid w:val="009423A1"/>
    <w:rsid w:val="009429B6"/>
    <w:rsid w:val="00943658"/>
    <w:rsid w:val="00943E49"/>
    <w:rsid w:val="00944073"/>
    <w:rsid w:val="00945602"/>
    <w:rsid w:val="00945951"/>
    <w:rsid w:val="009461C1"/>
    <w:rsid w:val="0094703E"/>
    <w:rsid w:val="00947D0F"/>
    <w:rsid w:val="00950D82"/>
    <w:rsid w:val="0095122F"/>
    <w:rsid w:val="0095123E"/>
    <w:rsid w:val="00951CFD"/>
    <w:rsid w:val="00953513"/>
    <w:rsid w:val="009536F8"/>
    <w:rsid w:val="009537DC"/>
    <w:rsid w:val="009538CC"/>
    <w:rsid w:val="00954B13"/>
    <w:rsid w:val="00954E31"/>
    <w:rsid w:val="00955E1E"/>
    <w:rsid w:val="00955E97"/>
    <w:rsid w:val="0095652C"/>
    <w:rsid w:val="009569BD"/>
    <w:rsid w:val="00956B71"/>
    <w:rsid w:val="00956BA6"/>
    <w:rsid w:val="00956C28"/>
    <w:rsid w:val="00957DF0"/>
    <w:rsid w:val="00960DB3"/>
    <w:rsid w:val="00961392"/>
    <w:rsid w:val="009613BB"/>
    <w:rsid w:val="00961C0C"/>
    <w:rsid w:val="00962B26"/>
    <w:rsid w:val="00962D7A"/>
    <w:rsid w:val="0096355B"/>
    <w:rsid w:val="00963D15"/>
    <w:rsid w:val="00963F74"/>
    <w:rsid w:val="00964014"/>
    <w:rsid w:val="0096403D"/>
    <w:rsid w:val="0096461C"/>
    <w:rsid w:val="009648E4"/>
    <w:rsid w:val="009653A8"/>
    <w:rsid w:val="00965CDC"/>
    <w:rsid w:val="00965D85"/>
    <w:rsid w:val="00966680"/>
    <w:rsid w:val="00966B65"/>
    <w:rsid w:val="009670B5"/>
    <w:rsid w:val="00967469"/>
    <w:rsid w:val="00967DE3"/>
    <w:rsid w:val="009705DC"/>
    <w:rsid w:val="0097210E"/>
    <w:rsid w:val="00973D6F"/>
    <w:rsid w:val="00974834"/>
    <w:rsid w:val="009748E4"/>
    <w:rsid w:val="009750F1"/>
    <w:rsid w:val="0097528C"/>
    <w:rsid w:val="009754F5"/>
    <w:rsid w:val="00975A18"/>
    <w:rsid w:val="00976273"/>
    <w:rsid w:val="009779DB"/>
    <w:rsid w:val="00981E05"/>
    <w:rsid w:val="00981FEC"/>
    <w:rsid w:val="0098209C"/>
    <w:rsid w:val="00984504"/>
    <w:rsid w:val="00985700"/>
    <w:rsid w:val="00985B31"/>
    <w:rsid w:val="009864E4"/>
    <w:rsid w:val="009878DC"/>
    <w:rsid w:val="00987B05"/>
    <w:rsid w:val="00987DCF"/>
    <w:rsid w:val="0099051C"/>
    <w:rsid w:val="00990B43"/>
    <w:rsid w:val="00991896"/>
    <w:rsid w:val="00992243"/>
    <w:rsid w:val="009928F2"/>
    <w:rsid w:val="009929EF"/>
    <w:rsid w:val="00993293"/>
    <w:rsid w:val="009937AC"/>
    <w:rsid w:val="00993A4D"/>
    <w:rsid w:val="00994407"/>
    <w:rsid w:val="0099448A"/>
    <w:rsid w:val="00994FA7"/>
    <w:rsid w:val="0099590F"/>
    <w:rsid w:val="0099608D"/>
    <w:rsid w:val="0099659A"/>
    <w:rsid w:val="00996652"/>
    <w:rsid w:val="00996870"/>
    <w:rsid w:val="0099688A"/>
    <w:rsid w:val="00997C4F"/>
    <w:rsid w:val="009A1203"/>
    <w:rsid w:val="009A1911"/>
    <w:rsid w:val="009A1C5E"/>
    <w:rsid w:val="009A26B3"/>
    <w:rsid w:val="009A283F"/>
    <w:rsid w:val="009A3612"/>
    <w:rsid w:val="009A3865"/>
    <w:rsid w:val="009A394C"/>
    <w:rsid w:val="009A3CAD"/>
    <w:rsid w:val="009A4CD3"/>
    <w:rsid w:val="009A508E"/>
    <w:rsid w:val="009A5B0C"/>
    <w:rsid w:val="009A6AA7"/>
    <w:rsid w:val="009A6C2D"/>
    <w:rsid w:val="009A6F8D"/>
    <w:rsid w:val="009A7274"/>
    <w:rsid w:val="009A75E1"/>
    <w:rsid w:val="009A7A68"/>
    <w:rsid w:val="009B0204"/>
    <w:rsid w:val="009B0894"/>
    <w:rsid w:val="009B08FF"/>
    <w:rsid w:val="009B1B85"/>
    <w:rsid w:val="009B2825"/>
    <w:rsid w:val="009B30D4"/>
    <w:rsid w:val="009B3534"/>
    <w:rsid w:val="009B36BD"/>
    <w:rsid w:val="009B3E27"/>
    <w:rsid w:val="009B4358"/>
    <w:rsid w:val="009B48BB"/>
    <w:rsid w:val="009B4C91"/>
    <w:rsid w:val="009B4DA5"/>
    <w:rsid w:val="009B4E23"/>
    <w:rsid w:val="009B538B"/>
    <w:rsid w:val="009B542E"/>
    <w:rsid w:val="009B6C8F"/>
    <w:rsid w:val="009C0611"/>
    <w:rsid w:val="009C0C29"/>
    <w:rsid w:val="009C1010"/>
    <w:rsid w:val="009C162C"/>
    <w:rsid w:val="009C195A"/>
    <w:rsid w:val="009C1E37"/>
    <w:rsid w:val="009C2312"/>
    <w:rsid w:val="009C26C4"/>
    <w:rsid w:val="009C26F1"/>
    <w:rsid w:val="009C3D8C"/>
    <w:rsid w:val="009C4412"/>
    <w:rsid w:val="009C47B5"/>
    <w:rsid w:val="009C50FE"/>
    <w:rsid w:val="009C5D1D"/>
    <w:rsid w:val="009C6702"/>
    <w:rsid w:val="009C6888"/>
    <w:rsid w:val="009C69D4"/>
    <w:rsid w:val="009C708C"/>
    <w:rsid w:val="009C7C2F"/>
    <w:rsid w:val="009C7DEE"/>
    <w:rsid w:val="009D042A"/>
    <w:rsid w:val="009D0A15"/>
    <w:rsid w:val="009D11C6"/>
    <w:rsid w:val="009D1E8A"/>
    <w:rsid w:val="009D22D0"/>
    <w:rsid w:val="009D2647"/>
    <w:rsid w:val="009D29A6"/>
    <w:rsid w:val="009D351E"/>
    <w:rsid w:val="009D3961"/>
    <w:rsid w:val="009D492A"/>
    <w:rsid w:val="009D56BD"/>
    <w:rsid w:val="009D60B9"/>
    <w:rsid w:val="009D6364"/>
    <w:rsid w:val="009D6EB7"/>
    <w:rsid w:val="009D71D0"/>
    <w:rsid w:val="009D73E5"/>
    <w:rsid w:val="009D7ACC"/>
    <w:rsid w:val="009E0058"/>
    <w:rsid w:val="009E08CD"/>
    <w:rsid w:val="009E09F8"/>
    <w:rsid w:val="009E1648"/>
    <w:rsid w:val="009E1B59"/>
    <w:rsid w:val="009E2288"/>
    <w:rsid w:val="009E252C"/>
    <w:rsid w:val="009E280E"/>
    <w:rsid w:val="009E38C2"/>
    <w:rsid w:val="009E3A81"/>
    <w:rsid w:val="009E42C7"/>
    <w:rsid w:val="009E456E"/>
    <w:rsid w:val="009E45CF"/>
    <w:rsid w:val="009E4747"/>
    <w:rsid w:val="009E572A"/>
    <w:rsid w:val="009E62DB"/>
    <w:rsid w:val="009E6FDE"/>
    <w:rsid w:val="009E7173"/>
    <w:rsid w:val="009E7E34"/>
    <w:rsid w:val="009F0A94"/>
    <w:rsid w:val="009F1528"/>
    <w:rsid w:val="009F280F"/>
    <w:rsid w:val="009F2C71"/>
    <w:rsid w:val="009F2EDA"/>
    <w:rsid w:val="009F329E"/>
    <w:rsid w:val="009F40DE"/>
    <w:rsid w:val="009F4E0B"/>
    <w:rsid w:val="009F57A0"/>
    <w:rsid w:val="009F68ED"/>
    <w:rsid w:val="00A0023F"/>
    <w:rsid w:val="00A007A8"/>
    <w:rsid w:val="00A0244B"/>
    <w:rsid w:val="00A037BB"/>
    <w:rsid w:val="00A04040"/>
    <w:rsid w:val="00A0412E"/>
    <w:rsid w:val="00A04485"/>
    <w:rsid w:val="00A04589"/>
    <w:rsid w:val="00A04B6E"/>
    <w:rsid w:val="00A050B1"/>
    <w:rsid w:val="00A06850"/>
    <w:rsid w:val="00A06A78"/>
    <w:rsid w:val="00A07E16"/>
    <w:rsid w:val="00A10BF5"/>
    <w:rsid w:val="00A11214"/>
    <w:rsid w:val="00A114A4"/>
    <w:rsid w:val="00A11B1F"/>
    <w:rsid w:val="00A128C0"/>
    <w:rsid w:val="00A143B8"/>
    <w:rsid w:val="00A14A93"/>
    <w:rsid w:val="00A1523E"/>
    <w:rsid w:val="00A15657"/>
    <w:rsid w:val="00A15BA2"/>
    <w:rsid w:val="00A165CF"/>
    <w:rsid w:val="00A1665D"/>
    <w:rsid w:val="00A1666E"/>
    <w:rsid w:val="00A174B6"/>
    <w:rsid w:val="00A20A7E"/>
    <w:rsid w:val="00A20AA3"/>
    <w:rsid w:val="00A21491"/>
    <w:rsid w:val="00A2193A"/>
    <w:rsid w:val="00A2309A"/>
    <w:rsid w:val="00A23776"/>
    <w:rsid w:val="00A23A29"/>
    <w:rsid w:val="00A23C01"/>
    <w:rsid w:val="00A240F4"/>
    <w:rsid w:val="00A2428A"/>
    <w:rsid w:val="00A247AC"/>
    <w:rsid w:val="00A250BF"/>
    <w:rsid w:val="00A2524F"/>
    <w:rsid w:val="00A25B4A"/>
    <w:rsid w:val="00A25F04"/>
    <w:rsid w:val="00A26E92"/>
    <w:rsid w:val="00A2741A"/>
    <w:rsid w:val="00A274C5"/>
    <w:rsid w:val="00A30C90"/>
    <w:rsid w:val="00A316F3"/>
    <w:rsid w:val="00A317FB"/>
    <w:rsid w:val="00A31D59"/>
    <w:rsid w:val="00A32408"/>
    <w:rsid w:val="00A337D3"/>
    <w:rsid w:val="00A33A34"/>
    <w:rsid w:val="00A34702"/>
    <w:rsid w:val="00A349C9"/>
    <w:rsid w:val="00A3516A"/>
    <w:rsid w:val="00A35819"/>
    <w:rsid w:val="00A3684B"/>
    <w:rsid w:val="00A36925"/>
    <w:rsid w:val="00A36AAC"/>
    <w:rsid w:val="00A3E33D"/>
    <w:rsid w:val="00A405AE"/>
    <w:rsid w:val="00A4080B"/>
    <w:rsid w:val="00A40EBC"/>
    <w:rsid w:val="00A40FDB"/>
    <w:rsid w:val="00A410F1"/>
    <w:rsid w:val="00A42040"/>
    <w:rsid w:val="00A4280B"/>
    <w:rsid w:val="00A42CB9"/>
    <w:rsid w:val="00A43109"/>
    <w:rsid w:val="00A435D1"/>
    <w:rsid w:val="00A43B4C"/>
    <w:rsid w:val="00A43F87"/>
    <w:rsid w:val="00A45081"/>
    <w:rsid w:val="00A45BF0"/>
    <w:rsid w:val="00A46E01"/>
    <w:rsid w:val="00A47FEE"/>
    <w:rsid w:val="00A50C65"/>
    <w:rsid w:val="00A50F6E"/>
    <w:rsid w:val="00A517A3"/>
    <w:rsid w:val="00A52C7C"/>
    <w:rsid w:val="00A543AD"/>
    <w:rsid w:val="00A548AF"/>
    <w:rsid w:val="00A54AAC"/>
    <w:rsid w:val="00A54E47"/>
    <w:rsid w:val="00A54EBE"/>
    <w:rsid w:val="00A55A3F"/>
    <w:rsid w:val="00A56600"/>
    <w:rsid w:val="00A569FD"/>
    <w:rsid w:val="00A57752"/>
    <w:rsid w:val="00A57D39"/>
    <w:rsid w:val="00A60A45"/>
    <w:rsid w:val="00A60C00"/>
    <w:rsid w:val="00A60E9F"/>
    <w:rsid w:val="00A611C2"/>
    <w:rsid w:val="00A61EE8"/>
    <w:rsid w:val="00A6285A"/>
    <w:rsid w:val="00A62BA1"/>
    <w:rsid w:val="00A6318D"/>
    <w:rsid w:val="00A63B23"/>
    <w:rsid w:val="00A63D81"/>
    <w:rsid w:val="00A651C8"/>
    <w:rsid w:val="00A653E5"/>
    <w:rsid w:val="00A65926"/>
    <w:rsid w:val="00A65D7C"/>
    <w:rsid w:val="00A66CE6"/>
    <w:rsid w:val="00A67359"/>
    <w:rsid w:val="00A67912"/>
    <w:rsid w:val="00A708F6"/>
    <w:rsid w:val="00A7162D"/>
    <w:rsid w:val="00A725DB"/>
    <w:rsid w:val="00A72600"/>
    <w:rsid w:val="00A727F7"/>
    <w:rsid w:val="00A745E3"/>
    <w:rsid w:val="00A74DC1"/>
    <w:rsid w:val="00A75B36"/>
    <w:rsid w:val="00A75F41"/>
    <w:rsid w:val="00A760B8"/>
    <w:rsid w:val="00A76A66"/>
    <w:rsid w:val="00A770A2"/>
    <w:rsid w:val="00A77D07"/>
    <w:rsid w:val="00A80B87"/>
    <w:rsid w:val="00A81EA6"/>
    <w:rsid w:val="00A82173"/>
    <w:rsid w:val="00A82392"/>
    <w:rsid w:val="00A828F3"/>
    <w:rsid w:val="00A82E51"/>
    <w:rsid w:val="00A83044"/>
    <w:rsid w:val="00A83BBA"/>
    <w:rsid w:val="00A84591"/>
    <w:rsid w:val="00A85634"/>
    <w:rsid w:val="00A856E2"/>
    <w:rsid w:val="00A861C1"/>
    <w:rsid w:val="00A862A2"/>
    <w:rsid w:val="00A869FD"/>
    <w:rsid w:val="00A86F6C"/>
    <w:rsid w:val="00A875B8"/>
    <w:rsid w:val="00A90319"/>
    <w:rsid w:val="00A91002"/>
    <w:rsid w:val="00A91A78"/>
    <w:rsid w:val="00A93DC8"/>
    <w:rsid w:val="00A93FB8"/>
    <w:rsid w:val="00A94A3A"/>
    <w:rsid w:val="00A95105"/>
    <w:rsid w:val="00A966BB"/>
    <w:rsid w:val="00A9677D"/>
    <w:rsid w:val="00A97F39"/>
    <w:rsid w:val="00A97FA8"/>
    <w:rsid w:val="00AA0779"/>
    <w:rsid w:val="00AA154B"/>
    <w:rsid w:val="00AA1EED"/>
    <w:rsid w:val="00AA2468"/>
    <w:rsid w:val="00AA2485"/>
    <w:rsid w:val="00AA2B18"/>
    <w:rsid w:val="00AA3260"/>
    <w:rsid w:val="00AA3C95"/>
    <w:rsid w:val="00AA5AC2"/>
    <w:rsid w:val="00AA5C9D"/>
    <w:rsid w:val="00AA6558"/>
    <w:rsid w:val="00AA667C"/>
    <w:rsid w:val="00AA6B52"/>
    <w:rsid w:val="00AA7BF0"/>
    <w:rsid w:val="00AB009A"/>
    <w:rsid w:val="00AB02C4"/>
    <w:rsid w:val="00AB032C"/>
    <w:rsid w:val="00AB0D6E"/>
    <w:rsid w:val="00AB0E1E"/>
    <w:rsid w:val="00AB0F11"/>
    <w:rsid w:val="00AB113B"/>
    <w:rsid w:val="00AB1833"/>
    <w:rsid w:val="00AB1AE6"/>
    <w:rsid w:val="00AB2253"/>
    <w:rsid w:val="00AB2AD8"/>
    <w:rsid w:val="00AB2B6C"/>
    <w:rsid w:val="00AB346F"/>
    <w:rsid w:val="00AB4311"/>
    <w:rsid w:val="00AB431D"/>
    <w:rsid w:val="00AB4665"/>
    <w:rsid w:val="00AB49C5"/>
    <w:rsid w:val="00AB4FDF"/>
    <w:rsid w:val="00AB5627"/>
    <w:rsid w:val="00AB56FC"/>
    <w:rsid w:val="00AB5898"/>
    <w:rsid w:val="00AB6016"/>
    <w:rsid w:val="00AB688C"/>
    <w:rsid w:val="00AB69E6"/>
    <w:rsid w:val="00AB6B2D"/>
    <w:rsid w:val="00AB762C"/>
    <w:rsid w:val="00AB7C6D"/>
    <w:rsid w:val="00AC02FD"/>
    <w:rsid w:val="00AC140B"/>
    <w:rsid w:val="00AC31CE"/>
    <w:rsid w:val="00AC358A"/>
    <w:rsid w:val="00AC3610"/>
    <w:rsid w:val="00AC3C4C"/>
    <w:rsid w:val="00AC4730"/>
    <w:rsid w:val="00AC5545"/>
    <w:rsid w:val="00AC7772"/>
    <w:rsid w:val="00AD1513"/>
    <w:rsid w:val="00AD195B"/>
    <w:rsid w:val="00AD2153"/>
    <w:rsid w:val="00AD22C7"/>
    <w:rsid w:val="00AD28A5"/>
    <w:rsid w:val="00AD2ADB"/>
    <w:rsid w:val="00AD30D4"/>
    <w:rsid w:val="00AD392C"/>
    <w:rsid w:val="00AD39B4"/>
    <w:rsid w:val="00AD3F58"/>
    <w:rsid w:val="00AD43C0"/>
    <w:rsid w:val="00AD4776"/>
    <w:rsid w:val="00AD6A34"/>
    <w:rsid w:val="00AD732C"/>
    <w:rsid w:val="00AD794B"/>
    <w:rsid w:val="00AE10F5"/>
    <w:rsid w:val="00AE1826"/>
    <w:rsid w:val="00AE1C06"/>
    <w:rsid w:val="00AE1EBA"/>
    <w:rsid w:val="00AE24D1"/>
    <w:rsid w:val="00AE31C6"/>
    <w:rsid w:val="00AE3753"/>
    <w:rsid w:val="00AE3955"/>
    <w:rsid w:val="00AE41D2"/>
    <w:rsid w:val="00AE53E4"/>
    <w:rsid w:val="00AE54F0"/>
    <w:rsid w:val="00AE570C"/>
    <w:rsid w:val="00AE5C49"/>
    <w:rsid w:val="00AE5CD7"/>
    <w:rsid w:val="00AE674B"/>
    <w:rsid w:val="00AE6917"/>
    <w:rsid w:val="00AE759C"/>
    <w:rsid w:val="00AEA842"/>
    <w:rsid w:val="00AF0B39"/>
    <w:rsid w:val="00AF0EAD"/>
    <w:rsid w:val="00AF16D7"/>
    <w:rsid w:val="00AF2E61"/>
    <w:rsid w:val="00AF3C05"/>
    <w:rsid w:val="00AF43B8"/>
    <w:rsid w:val="00AF4CB5"/>
    <w:rsid w:val="00AF5096"/>
    <w:rsid w:val="00AF57B1"/>
    <w:rsid w:val="00AF5B39"/>
    <w:rsid w:val="00AF6231"/>
    <w:rsid w:val="00AF6A7D"/>
    <w:rsid w:val="00AF6A80"/>
    <w:rsid w:val="00AF6AB6"/>
    <w:rsid w:val="00AF6E32"/>
    <w:rsid w:val="00AF6F3B"/>
    <w:rsid w:val="00AF7E7D"/>
    <w:rsid w:val="00B010B2"/>
    <w:rsid w:val="00B01397"/>
    <w:rsid w:val="00B01413"/>
    <w:rsid w:val="00B021AF"/>
    <w:rsid w:val="00B02344"/>
    <w:rsid w:val="00B024C1"/>
    <w:rsid w:val="00B05B47"/>
    <w:rsid w:val="00B06A7A"/>
    <w:rsid w:val="00B076EA"/>
    <w:rsid w:val="00B07DBC"/>
    <w:rsid w:val="00B111C1"/>
    <w:rsid w:val="00B11A71"/>
    <w:rsid w:val="00B11D09"/>
    <w:rsid w:val="00B12053"/>
    <w:rsid w:val="00B1211B"/>
    <w:rsid w:val="00B12B3E"/>
    <w:rsid w:val="00B13673"/>
    <w:rsid w:val="00B13BA7"/>
    <w:rsid w:val="00B141E2"/>
    <w:rsid w:val="00B14A4D"/>
    <w:rsid w:val="00B14E49"/>
    <w:rsid w:val="00B150F9"/>
    <w:rsid w:val="00B15CF9"/>
    <w:rsid w:val="00B15D15"/>
    <w:rsid w:val="00B16014"/>
    <w:rsid w:val="00B16454"/>
    <w:rsid w:val="00B165C9"/>
    <w:rsid w:val="00B16C48"/>
    <w:rsid w:val="00B16F8A"/>
    <w:rsid w:val="00B1773A"/>
    <w:rsid w:val="00B17E84"/>
    <w:rsid w:val="00B20455"/>
    <w:rsid w:val="00B20874"/>
    <w:rsid w:val="00B20B1C"/>
    <w:rsid w:val="00B21ED9"/>
    <w:rsid w:val="00B226C3"/>
    <w:rsid w:val="00B22A61"/>
    <w:rsid w:val="00B22B80"/>
    <w:rsid w:val="00B245C5"/>
    <w:rsid w:val="00B248DB"/>
    <w:rsid w:val="00B26093"/>
    <w:rsid w:val="00B267C8"/>
    <w:rsid w:val="00B27505"/>
    <w:rsid w:val="00B27938"/>
    <w:rsid w:val="00B30956"/>
    <w:rsid w:val="00B31EFA"/>
    <w:rsid w:val="00B31FB6"/>
    <w:rsid w:val="00B327C6"/>
    <w:rsid w:val="00B33418"/>
    <w:rsid w:val="00B3389E"/>
    <w:rsid w:val="00B33B8B"/>
    <w:rsid w:val="00B341BE"/>
    <w:rsid w:val="00B34A22"/>
    <w:rsid w:val="00B34FEC"/>
    <w:rsid w:val="00B35EF1"/>
    <w:rsid w:val="00B364FA"/>
    <w:rsid w:val="00B36548"/>
    <w:rsid w:val="00B3692D"/>
    <w:rsid w:val="00B3775C"/>
    <w:rsid w:val="00B37A36"/>
    <w:rsid w:val="00B401B1"/>
    <w:rsid w:val="00B4052D"/>
    <w:rsid w:val="00B417B5"/>
    <w:rsid w:val="00B423B6"/>
    <w:rsid w:val="00B425C8"/>
    <w:rsid w:val="00B42AE8"/>
    <w:rsid w:val="00B452B7"/>
    <w:rsid w:val="00B4554C"/>
    <w:rsid w:val="00B455B7"/>
    <w:rsid w:val="00B46008"/>
    <w:rsid w:val="00B469CD"/>
    <w:rsid w:val="00B4FC03"/>
    <w:rsid w:val="00B5040A"/>
    <w:rsid w:val="00B5087A"/>
    <w:rsid w:val="00B50E6C"/>
    <w:rsid w:val="00B52089"/>
    <w:rsid w:val="00B52C42"/>
    <w:rsid w:val="00B53C7F"/>
    <w:rsid w:val="00B53E4E"/>
    <w:rsid w:val="00B5481C"/>
    <w:rsid w:val="00B55AED"/>
    <w:rsid w:val="00B55E6A"/>
    <w:rsid w:val="00B56871"/>
    <w:rsid w:val="00B56D91"/>
    <w:rsid w:val="00B576CE"/>
    <w:rsid w:val="00B60272"/>
    <w:rsid w:val="00B6039C"/>
    <w:rsid w:val="00B60444"/>
    <w:rsid w:val="00B6049C"/>
    <w:rsid w:val="00B60958"/>
    <w:rsid w:val="00B60B2F"/>
    <w:rsid w:val="00B60C15"/>
    <w:rsid w:val="00B6108D"/>
    <w:rsid w:val="00B63089"/>
    <w:rsid w:val="00B637F4"/>
    <w:rsid w:val="00B63B57"/>
    <w:rsid w:val="00B63D5D"/>
    <w:rsid w:val="00B646D1"/>
    <w:rsid w:val="00B6573A"/>
    <w:rsid w:val="00B65AB1"/>
    <w:rsid w:val="00B65CF2"/>
    <w:rsid w:val="00B664F7"/>
    <w:rsid w:val="00B6689A"/>
    <w:rsid w:val="00B66D57"/>
    <w:rsid w:val="00B67349"/>
    <w:rsid w:val="00B7013D"/>
    <w:rsid w:val="00B70577"/>
    <w:rsid w:val="00B71390"/>
    <w:rsid w:val="00B716CE"/>
    <w:rsid w:val="00B71BF1"/>
    <w:rsid w:val="00B74780"/>
    <w:rsid w:val="00B74ADB"/>
    <w:rsid w:val="00B7531A"/>
    <w:rsid w:val="00B75D26"/>
    <w:rsid w:val="00B75D34"/>
    <w:rsid w:val="00B76FA4"/>
    <w:rsid w:val="00B77331"/>
    <w:rsid w:val="00B77A9F"/>
    <w:rsid w:val="00B80EDE"/>
    <w:rsid w:val="00B80EFD"/>
    <w:rsid w:val="00B81E42"/>
    <w:rsid w:val="00B82E30"/>
    <w:rsid w:val="00B831A3"/>
    <w:rsid w:val="00B83C33"/>
    <w:rsid w:val="00B86114"/>
    <w:rsid w:val="00B90628"/>
    <w:rsid w:val="00B906F3"/>
    <w:rsid w:val="00B90CFB"/>
    <w:rsid w:val="00B92267"/>
    <w:rsid w:val="00B9312A"/>
    <w:rsid w:val="00B93C76"/>
    <w:rsid w:val="00B943FD"/>
    <w:rsid w:val="00B94AB8"/>
    <w:rsid w:val="00B95C00"/>
    <w:rsid w:val="00B96121"/>
    <w:rsid w:val="00B97096"/>
    <w:rsid w:val="00B978FB"/>
    <w:rsid w:val="00B97E2A"/>
    <w:rsid w:val="00B97E45"/>
    <w:rsid w:val="00BA0117"/>
    <w:rsid w:val="00BA0E9B"/>
    <w:rsid w:val="00BA1C28"/>
    <w:rsid w:val="00BA2C2E"/>
    <w:rsid w:val="00BA3576"/>
    <w:rsid w:val="00BA579E"/>
    <w:rsid w:val="00BA5A69"/>
    <w:rsid w:val="00BA638D"/>
    <w:rsid w:val="00BA7637"/>
    <w:rsid w:val="00BB0917"/>
    <w:rsid w:val="00BB14B6"/>
    <w:rsid w:val="00BB1712"/>
    <w:rsid w:val="00BB1A8E"/>
    <w:rsid w:val="00BB1D01"/>
    <w:rsid w:val="00BB1EC6"/>
    <w:rsid w:val="00BB2E82"/>
    <w:rsid w:val="00BB37DC"/>
    <w:rsid w:val="00BB4866"/>
    <w:rsid w:val="00BB4AA9"/>
    <w:rsid w:val="00BB57BE"/>
    <w:rsid w:val="00BB59A6"/>
    <w:rsid w:val="00BB7258"/>
    <w:rsid w:val="00BB76A8"/>
    <w:rsid w:val="00BC06BE"/>
    <w:rsid w:val="00BC1057"/>
    <w:rsid w:val="00BC1174"/>
    <w:rsid w:val="00BC1523"/>
    <w:rsid w:val="00BC2770"/>
    <w:rsid w:val="00BC3901"/>
    <w:rsid w:val="00BC405E"/>
    <w:rsid w:val="00BC4E9B"/>
    <w:rsid w:val="00BC5570"/>
    <w:rsid w:val="00BC61E4"/>
    <w:rsid w:val="00BC657F"/>
    <w:rsid w:val="00BC674C"/>
    <w:rsid w:val="00BC6E2B"/>
    <w:rsid w:val="00BC7639"/>
    <w:rsid w:val="00BC770D"/>
    <w:rsid w:val="00BC7B2A"/>
    <w:rsid w:val="00BC7C52"/>
    <w:rsid w:val="00BD1035"/>
    <w:rsid w:val="00BD14E5"/>
    <w:rsid w:val="00BD1BC4"/>
    <w:rsid w:val="00BD1E7E"/>
    <w:rsid w:val="00BD22AB"/>
    <w:rsid w:val="00BD294B"/>
    <w:rsid w:val="00BD4A5E"/>
    <w:rsid w:val="00BD511D"/>
    <w:rsid w:val="00BD53D1"/>
    <w:rsid w:val="00BD548C"/>
    <w:rsid w:val="00BD62B0"/>
    <w:rsid w:val="00BD64C2"/>
    <w:rsid w:val="00BD6D20"/>
    <w:rsid w:val="00BD7958"/>
    <w:rsid w:val="00BD7A6F"/>
    <w:rsid w:val="00BD7CEE"/>
    <w:rsid w:val="00BE0EB5"/>
    <w:rsid w:val="00BE0FEC"/>
    <w:rsid w:val="00BE2762"/>
    <w:rsid w:val="00BE2C62"/>
    <w:rsid w:val="00BE2E29"/>
    <w:rsid w:val="00BE3481"/>
    <w:rsid w:val="00BE3EEC"/>
    <w:rsid w:val="00BE42B7"/>
    <w:rsid w:val="00BE45F0"/>
    <w:rsid w:val="00BE4DDB"/>
    <w:rsid w:val="00BE5C07"/>
    <w:rsid w:val="00BE6040"/>
    <w:rsid w:val="00BE672F"/>
    <w:rsid w:val="00BE76AC"/>
    <w:rsid w:val="00BE7F3D"/>
    <w:rsid w:val="00BF038A"/>
    <w:rsid w:val="00BF11D0"/>
    <w:rsid w:val="00BF1640"/>
    <w:rsid w:val="00BF1A97"/>
    <w:rsid w:val="00BF1E63"/>
    <w:rsid w:val="00BF22EF"/>
    <w:rsid w:val="00BF2D2D"/>
    <w:rsid w:val="00BF2F52"/>
    <w:rsid w:val="00BF30EC"/>
    <w:rsid w:val="00BF37F2"/>
    <w:rsid w:val="00BF3B19"/>
    <w:rsid w:val="00BF4136"/>
    <w:rsid w:val="00BF4CF7"/>
    <w:rsid w:val="00BF53ED"/>
    <w:rsid w:val="00BF54D9"/>
    <w:rsid w:val="00BF606F"/>
    <w:rsid w:val="00BF6FCC"/>
    <w:rsid w:val="00BF75D6"/>
    <w:rsid w:val="00BF7B65"/>
    <w:rsid w:val="00C0193E"/>
    <w:rsid w:val="00C01FA5"/>
    <w:rsid w:val="00C024F2"/>
    <w:rsid w:val="00C03D0B"/>
    <w:rsid w:val="00C03E13"/>
    <w:rsid w:val="00C04A96"/>
    <w:rsid w:val="00C0589B"/>
    <w:rsid w:val="00C05BCC"/>
    <w:rsid w:val="00C0608F"/>
    <w:rsid w:val="00C063E0"/>
    <w:rsid w:val="00C07B7F"/>
    <w:rsid w:val="00C102E7"/>
    <w:rsid w:val="00C10D1E"/>
    <w:rsid w:val="00C1266B"/>
    <w:rsid w:val="00C1360B"/>
    <w:rsid w:val="00C152A4"/>
    <w:rsid w:val="00C1537B"/>
    <w:rsid w:val="00C15DBD"/>
    <w:rsid w:val="00C162C2"/>
    <w:rsid w:val="00C162ED"/>
    <w:rsid w:val="00C1696C"/>
    <w:rsid w:val="00C16A5E"/>
    <w:rsid w:val="00C16BA8"/>
    <w:rsid w:val="00C17127"/>
    <w:rsid w:val="00C174ED"/>
    <w:rsid w:val="00C19C62"/>
    <w:rsid w:val="00C2047D"/>
    <w:rsid w:val="00C20583"/>
    <w:rsid w:val="00C20C10"/>
    <w:rsid w:val="00C2118E"/>
    <w:rsid w:val="00C212F1"/>
    <w:rsid w:val="00C2183A"/>
    <w:rsid w:val="00C22154"/>
    <w:rsid w:val="00C224F3"/>
    <w:rsid w:val="00C22A96"/>
    <w:rsid w:val="00C22DB0"/>
    <w:rsid w:val="00C22FA7"/>
    <w:rsid w:val="00C24475"/>
    <w:rsid w:val="00C24738"/>
    <w:rsid w:val="00C24B5F"/>
    <w:rsid w:val="00C24BD6"/>
    <w:rsid w:val="00C24CEA"/>
    <w:rsid w:val="00C25295"/>
    <w:rsid w:val="00C2568F"/>
    <w:rsid w:val="00C26822"/>
    <w:rsid w:val="00C276FF"/>
    <w:rsid w:val="00C31517"/>
    <w:rsid w:val="00C318FC"/>
    <w:rsid w:val="00C3205A"/>
    <w:rsid w:val="00C32213"/>
    <w:rsid w:val="00C32985"/>
    <w:rsid w:val="00C33454"/>
    <w:rsid w:val="00C33D87"/>
    <w:rsid w:val="00C341D9"/>
    <w:rsid w:val="00C353BE"/>
    <w:rsid w:val="00C3568B"/>
    <w:rsid w:val="00C35807"/>
    <w:rsid w:val="00C35C3A"/>
    <w:rsid w:val="00C364C0"/>
    <w:rsid w:val="00C369DF"/>
    <w:rsid w:val="00C36D33"/>
    <w:rsid w:val="00C37428"/>
    <w:rsid w:val="00C3750A"/>
    <w:rsid w:val="00C40E36"/>
    <w:rsid w:val="00C41565"/>
    <w:rsid w:val="00C4156C"/>
    <w:rsid w:val="00C41580"/>
    <w:rsid w:val="00C41852"/>
    <w:rsid w:val="00C4217F"/>
    <w:rsid w:val="00C4221F"/>
    <w:rsid w:val="00C42277"/>
    <w:rsid w:val="00C42287"/>
    <w:rsid w:val="00C432C1"/>
    <w:rsid w:val="00C44530"/>
    <w:rsid w:val="00C45524"/>
    <w:rsid w:val="00C4606F"/>
    <w:rsid w:val="00C46851"/>
    <w:rsid w:val="00C47F2F"/>
    <w:rsid w:val="00C505BD"/>
    <w:rsid w:val="00C50A51"/>
    <w:rsid w:val="00C51659"/>
    <w:rsid w:val="00C51C7C"/>
    <w:rsid w:val="00C5217B"/>
    <w:rsid w:val="00C52AC5"/>
    <w:rsid w:val="00C52F1B"/>
    <w:rsid w:val="00C533D2"/>
    <w:rsid w:val="00C53939"/>
    <w:rsid w:val="00C53B2E"/>
    <w:rsid w:val="00C545C4"/>
    <w:rsid w:val="00C553B6"/>
    <w:rsid w:val="00C55468"/>
    <w:rsid w:val="00C554A2"/>
    <w:rsid w:val="00C5573A"/>
    <w:rsid w:val="00C5633C"/>
    <w:rsid w:val="00C566C0"/>
    <w:rsid w:val="00C567B8"/>
    <w:rsid w:val="00C56B20"/>
    <w:rsid w:val="00C5754F"/>
    <w:rsid w:val="00C62A5F"/>
    <w:rsid w:val="00C62CC7"/>
    <w:rsid w:val="00C62E07"/>
    <w:rsid w:val="00C63068"/>
    <w:rsid w:val="00C635C7"/>
    <w:rsid w:val="00C63860"/>
    <w:rsid w:val="00C63D8E"/>
    <w:rsid w:val="00C645F6"/>
    <w:rsid w:val="00C6461F"/>
    <w:rsid w:val="00C647A7"/>
    <w:rsid w:val="00C651BE"/>
    <w:rsid w:val="00C6624B"/>
    <w:rsid w:val="00C66F8F"/>
    <w:rsid w:val="00C672F4"/>
    <w:rsid w:val="00C676B8"/>
    <w:rsid w:val="00C67ADF"/>
    <w:rsid w:val="00C67D70"/>
    <w:rsid w:val="00C67E19"/>
    <w:rsid w:val="00C70231"/>
    <w:rsid w:val="00C70966"/>
    <w:rsid w:val="00C70AFE"/>
    <w:rsid w:val="00C71002"/>
    <w:rsid w:val="00C71437"/>
    <w:rsid w:val="00C71454"/>
    <w:rsid w:val="00C71792"/>
    <w:rsid w:val="00C718C8"/>
    <w:rsid w:val="00C724AE"/>
    <w:rsid w:val="00C72677"/>
    <w:rsid w:val="00C727C1"/>
    <w:rsid w:val="00C72F5F"/>
    <w:rsid w:val="00C7369A"/>
    <w:rsid w:val="00C741AE"/>
    <w:rsid w:val="00C74874"/>
    <w:rsid w:val="00C74928"/>
    <w:rsid w:val="00C74EC9"/>
    <w:rsid w:val="00C74F44"/>
    <w:rsid w:val="00C761C8"/>
    <w:rsid w:val="00C7715C"/>
    <w:rsid w:val="00C7749B"/>
    <w:rsid w:val="00C7787C"/>
    <w:rsid w:val="00C7794A"/>
    <w:rsid w:val="00C80049"/>
    <w:rsid w:val="00C812FA"/>
    <w:rsid w:val="00C81674"/>
    <w:rsid w:val="00C81A0D"/>
    <w:rsid w:val="00C8242F"/>
    <w:rsid w:val="00C830D3"/>
    <w:rsid w:val="00C83D3D"/>
    <w:rsid w:val="00C84E10"/>
    <w:rsid w:val="00C859CE"/>
    <w:rsid w:val="00C85C74"/>
    <w:rsid w:val="00C860CA"/>
    <w:rsid w:val="00C86AFF"/>
    <w:rsid w:val="00C86CE6"/>
    <w:rsid w:val="00C87568"/>
    <w:rsid w:val="00C87B45"/>
    <w:rsid w:val="00C87BB5"/>
    <w:rsid w:val="00C87CF4"/>
    <w:rsid w:val="00C87D4D"/>
    <w:rsid w:val="00C903DA"/>
    <w:rsid w:val="00C907EB"/>
    <w:rsid w:val="00C90BE5"/>
    <w:rsid w:val="00C90D24"/>
    <w:rsid w:val="00C914AE"/>
    <w:rsid w:val="00C91C73"/>
    <w:rsid w:val="00C91E67"/>
    <w:rsid w:val="00C924FB"/>
    <w:rsid w:val="00C92668"/>
    <w:rsid w:val="00C93104"/>
    <w:rsid w:val="00C93A28"/>
    <w:rsid w:val="00C93BFE"/>
    <w:rsid w:val="00C95083"/>
    <w:rsid w:val="00C9609C"/>
    <w:rsid w:val="00C9738F"/>
    <w:rsid w:val="00CA0476"/>
    <w:rsid w:val="00CA0C4D"/>
    <w:rsid w:val="00CA0E2B"/>
    <w:rsid w:val="00CA229D"/>
    <w:rsid w:val="00CA26E5"/>
    <w:rsid w:val="00CA2821"/>
    <w:rsid w:val="00CA2DDC"/>
    <w:rsid w:val="00CA30A0"/>
    <w:rsid w:val="00CA3965"/>
    <w:rsid w:val="00CA559D"/>
    <w:rsid w:val="00CA59C7"/>
    <w:rsid w:val="00CA6002"/>
    <w:rsid w:val="00CA757D"/>
    <w:rsid w:val="00CA7B1A"/>
    <w:rsid w:val="00CB03D3"/>
    <w:rsid w:val="00CB179F"/>
    <w:rsid w:val="00CB20BB"/>
    <w:rsid w:val="00CB2AA9"/>
    <w:rsid w:val="00CB2D05"/>
    <w:rsid w:val="00CB36A2"/>
    <w:rsid w:val="00CB5F53"/>
    <w:rsid w:val="00CB61EE"/>
    <w:rsid w:val="00CB7200"/>
    <w:rsid w:val="00CB7D56"/>
    <w:rsid w:val="00CB7DD5"/>
    <w:rsid w:val="00CC0C4E"/>
    <w:rsid w:val="00CC1782"/>
    <w:rsid w:val="00CC2A45"/>
    <w:rsid w:val="00CC3DD4"/>
    <w:rsid w:val="00CC4940"/>
    <w:rsid w:val="00CC4E73"/>
    <w:rsid w:val="00CC5853"/>
    <w:rsid w:val="00CC5943"/>
    <w:rsid w:val="00CC603B"/>
    <w:rsid w:val="00CC6A57"/>
    <w:rsid w:val="00CC7772"/>
    <w:rsid w:val="00CC7CD8"/>
    <w:rsid w:val="00CC7F41"/>
    <w:rsid w:val="00CD0EF0"/>
    <w:rsid w:val="00CD179B"/>
    <w:rsid w:val="00CD4F49"/>
    <w:rsid w:val="00CD504E"/>
    <w:rsid w:val="00CD58DD"/>
    <w:rsid w:val="00CD62C4"/>
    <w:rsid w:val="00CD65B7"/>
    <w:rsid w:val="00CD65F0"/>
    <w:rsid w:val="00CD75E4"/>
    <w:rsid w:val="00CD7A66"/>
    <w:rsid w:val="00CD7A6D"/>
    <w:rsid w:val="00CE0131"/>
    <w:rsid w:val="00CE0708"/>
    <w:rsid w:val="00CE0CB0"/>
    <w:rsid w:val="00CE0EDA"/>
    <w:rsid w:val="00CE1391"/>
    <w:rsid w:val="00CE16E8"/>
    <w:rsid w:val="00CE208B"/>
    <w:rsid w:val="00CE3010"/>
    <w:rsid w:val="00CE3471"/>
    <w:rsid w:val="00CE3E33"/>
    <w:rsid w:val="00CE3ED3"/>
    <w:rsid w:val="00CE420C"/>
    <w:rsid w:val="00CE4765"/>
    <w:rsid w:val="00CE4A5E"/>
    <w:rsid w:val="00CE50CF"/>
    <w:rsid w:val="00CE5C36"/>
    <w:rsid w:val="00CE62B3"/>
    <w:rsid w:val="00CE640C"/>
    <w:rsid w:val="00CE6DA1"/>
    <w:rsid w:val="00CE704F"/>
    <w:rsid w:val="00CE74F5"/>
    <w:rsid w:val="00CF0186"/>
    <w:rsid w:val="00CF035F"/>
    <w:rsid w:val="00CF0E3C"/>
    <w:rsid w:val="00CF0EA3"/>
    <w:rsid w:val="00CF1635"/>
    <w:rsid w:val="00CF2681"/>
    <w:rsid w:val="00CF2A16"/>
    <w:rsid w:val="00CF2CC6"/>
    <w:rsid w:val="00CF35A2"/>
    <w:rsid w:val="00CF3E6B"/>
    <w:rsid w:val="00CF41EE"/>
    <w:rsid w:val="00CF55A1"/>
    <w:rsid w:val="00CF58E2"/>
    <w:rsid w:val="00CF65CE"/>
    <w:rsid w:val="00CF6AB2"/>
    <w:rsid w:val="00CF6C6B"/>
    <w:rsid w:val="00CF72A7"/>
    <w:rsid w:val="00CF757F"/>
    <w:rsid w:val="00D00909"/>
    <w:rsid w:val="00D01DDA"/>
    <w:rsid w:val="00D01FDF"/>
    <w:rsid w:val="00D03224"/>
    <w:rsid w:val="00D03B9A"/>
    <w:rsid w:val="00D03E8D"/>
    <w:rsid w:val="00D04493"/>
    <w:rsid w:val="00D04BE8"/>
    <w:rsid w:val="00D053D1"/>
    <w:rsid w:val="00D053F3"/>
    <w:rsid w:val="00D06431"/>
    <w:rsid w:val="00D065B4"/>
    <w:rsid w:val="00D07B98"/>
    <w:rsid w:val="00D07BD8"/>
    <w:rsid w:val="00D10278"/>
    <w:rsid w:val="00D10482"/>
    <w:rsid w:val="00D113C4"/>
    <w:rsid w:val="00D1157D"/>
    <w:rsid w:val="00D12122"/>
    <w:rsid w:val="00D133BA"/>
    <w:rsid w:val="00D14C68"/>
    <w:rsid w:val="00D15331"/>
    <w:rsid w:val="00D166FF"/>
    <w:rsid w:val="00D1785F"/>
    <w:rsid w:val="00D20822"/>
    <w:rsid w:val="00D2092F"/>
    <w:rsid w:val="00D211BA"/>
    <w:rsid w:val="00D21A73"/>
    <w:rsid w:val="00D2354C"/>
    <w:rsid w:val="00D238A3"/>
    <w:rsid w:val="00D23A06"/>
    <w:rsid w:val="00D23CED"/>
    <w:rsid w:val="00D24679"/>
    <w:rsid w:val="00D24A89"/>
    <w:rsid w:val="00D24AD7"/>
    <w:rsid w:val="00D24D0F"/>
    <w:rsid w:val="00D2522B"/>
    <w:rsid w:val="00D25947"/>
    <w:rsid w:val="00D270A0"/>
    <w:rsid w:val="00D27D8F"/>
    <w:rsid w:val="00D30136"/>
    <w:rsid w:val="00D30AC9"/>
    <w:rsid w:val="00D31080"/>
    <w:rsid w:val="00D31325"/>
    <w:rsid w:val="00D317F3"/>
    <w:rsid w:val="00D31A04"/>
    <w:rsid w:val="00D31D1B"/>
    <w:rsid w:val="00D31DDF"/>
    <w:rsid w:val="00D324E6"/>
    <w:rsid w:val="00D32A47"/>
    <w:rsid w:val="00D333A3"/>
    <w:rsid w:val="00D3396F"/>
    <w:rsid w:val="00D342DD"/>
    <w:rsid w:val="00D34408"/>
    <w:rsid w:val="00D35E1D"/>
    <w:rsid w:val="00D360A5"/>
    <w:rsid w:val="00D36BEA"/>
    <w:rsid w:val="00D4072B"/>
    <w:rsid w:val="00D4162D"/>
    <w:rsid w:val="00D41865"/>
    <w:rsid w:val="00D42783"/>
    <w:rsid w:val="00D433AE"/>
    <w:rsid w:val="00D43DDD"/>
    <w:rsid w:val="00D45D1D"/>
    <w:rsid w:val="00D45F5C"/>
    <w:rsid w:val="00D46168"/>
    <w:rsid w:val="00D46DEB"/>
    <w:rsid w:val="00D474FA"/>
    <w:rsid w:val="00D50C58"/>
    <w:rsid w:val="00D51315"/>
    <w:rsid w:val="00D519D3"/>
    <w:rsid w:val="00D52998"/>
    <w:rsid w:val="00D535A7"/>
    <w:rsid w:val="00D536DC"/>
    <w:rsid w:val="00D553B4"/>
    <w:rsid w:val="00D55B35"/>
    <w:rsid w:val="00D57402"/>
    <w:rsid w:val="00D601EA"/>
    <w:rsid w:val="00D60ACE"/>
    <w:rsid w:val="00D61112"/>
    <w:rsid w:val="00D630AE"/>
    <w:rsid w:val="00D63231"/>
    <w:rsid w:val="00D632D4"/>
    <w:rsid w:val="00D639AC"/>
    <w:rsid w:val="00D647AD"/>
    <w:rsid w:val="00D648EC"/>
    <w:rsid w:val="00D64C1C"/>
    <w:rsid w:val="00D65073"/>
    <w:rsid w:val="00D65DFD"/>
    <w:rsid w:val="00D6613B"/>
    <w:rsid w:val="00D66D38"/>
    <w:rsid w:val="00D70160"/>
    <w:rsid w:val="00D710D3"/>
    <w:rsid w:val="00D71619"/>
    <w:rsid w:val="00D717E5"/>
    <w:rsid w:val="00D71E77"/>
    <w:rsid w:val="00D71F36"/>
    <w:rsid w:val="00D71FFF"/>
    <w:rsid w:val="00D721E2"/>
    <w:rsid w:val="00D72980"/>
    <w:rsid w:val="00D7327C"/>
    <w:rsid w:val="00D73739"/>
    <w:rsid w:val="00D73CA6"/>
    <w:rsid w:val="00D7502C"/>
    <w:rsid w:val="00D75BC5"/>
    <w:rsid w:val="00D76A7F"/>
    <w:rsid w:val="00D76EF3"/>
    <w:rsid w:val="00D771A0"/>
    <w:rsid w:val="00D777BA"/>
    <w:rsid w:val="00D77CED"/>
    <w:rsid w:val="00D8023E"/>
    <w:rsid w:val="00D80393"/>
    <w:rsid w:val="00D810FF"/>
    <w:rsid w:val="00D81132"/>
    <w:rsid w:val="00D82DBA"/>
    <w:rsid w:val="00D82FF4"/>
    <w:rsid w:val="00D836D9"/>
    <w:rsid w:val="00D83AAE"/>
    <w:rsid w:val="00D84776"/>
    <w:rsid w:val="00D84AAE"/>
    <w:rsid w:val="00D84C40"/>
    <w:rsid w:val="00D84DBA"/>
    <w:rsid w:val="00D850EF"/>
    <w:rsid w:val="00D853B3"/>
    <w:rsid w:val="00D86524"/>
    <w:rsid w:val="00D871DC"/>
    <w:rsid w:val="00D87217"/>
    <w:rsid w:val="00D879B0"/>
    <w:rsid w:val="00D90A84"/>
    <w:rsid w:val="00D91E8F"/>
    <w:rsid w:val="00D923BB"/>
    <w:rsid w:val="00D93A29"/>
    <w:rsid w:val="00D94B5F"/>
    <w:rsid w:val="00D94C0E"/>
    <w:rsid w:val="00D96ADA"/>
    <w:rsid w:val="00D96F4A"/>
    <w:rsid w:val="00D97451"/>
    <w:rsid w:val="00D97872"/>
    <w:rsid w:val="00DA03A8"/>
    <w:rsid w:val="00DA03AF"/>
    <w:rsid w:val="00DA052D"/>
    <w:rsid w:val="00DA0F65"/>
    <w:rsid w:val="00DA228F"/>
    <w:rsid w:val="00DA27AE"/>
    <w:rsid w:val="00DA2A74"/>
    <w:rsid w:val="00DA34E5"/>
    <w:rsid w:val="00DA350E"/>
    <w:rsid w:val="00DA41E9"/>
    <w:rsid w:val="00DA432E"/>
    <w:rsid w:val="00DA47AE"/>
    <w:rsid w:val="00DA49FD"/>
    <w:rsid w:val="00DA4FDD"/>
    <w:rsid w:val="00DA5F51"/>
    <w:rsid w:val="00DA68BC"/>
    <w:rsid w:val="00DA6AA4"/>
    <w:rsid w:val="00DA6CE3"/>
    <w:rsid w:val="00DA7176"/>
    <w:rsid w:val="00DB04D1"/>
    <w:rsid w:val="00DB0EB0"/>
    <w:rsid w:val="00DB12BB"/>
    <w:rsid w:val="00DB3D28"/>
    <w:rsid w:val="00DB45C0"/>
    <w:rsid w:val="00DB4C5C"/>
    <w:rsid w:val="00DB577C"/>
    <w:rsid w:val="00DB5D28"/>
    <w:rsid w:val="00DB601A"/>
    <w:rsid w:val="00DB618A"/>
    <w:rsid w:val="00DB6E67"/>
    <w:rsid w:val="00DB72DF"/>
    <w:rsid w:val="00DC002D"/>
    <w:rsid w:val="00DC0159"/>
    <w:rsid w:val="00DC02D5"/>
    <w:rsid w:val="00DC07F6"/>
    <w:rsid w:val="00DC0B50"/>
    <w:rsid w:val="00DC0BE7"/>
    <w:rsid w:val="00DC1684"/>
    <w:rsid w:val="00DC1B76"/>
    <w:rsid w:val="00DC1E15"/>
    <w:rsid w:val="00DC1F1F"/>
    <w:rsid w:val="00DC1FB6"/>
    <w:rsid w:val="00DC24A6"/>
    <w:rsid w:val="00DC35A0"/>
    <w:rsid w:val="00DC35F0"/>
    <w:rsid w:val="00DC3634"/>
    <w:rsid w:val="00DC4DAD"/>
    <w:rsid w:val="00DC51E7"/>
    <w:rsid w:val="00DC6317"/>
    <w:rsid w:val="00DC64D3"/>
    <w:rsid w:val="00DC73E9"/>
    <w:rsid w:val="00DD02E6"/>
    <w:rsid w:val="00DD2532"/>
    <w:rsid w:val="00DD31F4"/>
    <w:rsid w:val="00DD3BF2"/>
    <w:rsid w:val="00DD406C"/>
    <w:rsid w:val="00DD44FA"/>
    <w:rsid w:val="00DD4EAC"/>
    <w:rsid w:val="00DD5482"/>
    <w:rsid w:val="00DD61B1"/>
    <w:rsid w:val="00DD714D"/>
    <w:rsid w:val="00DD7A9F"/>
    <w:rsid w:val="00DE02AF"/>
    <w:rsid w:val="00DE07F6"/>
    <w:rsid w:val="00DE252E"/>
    <w:rsid w:val="00DE258C"/>
    <w:rsid w:val="00DE2D8F"/>
    <w:rsid w:val="00DE375C"/>
    <w:rsid w:val="00DE384E"/>
    <w:rsid w:val="00DE3D20"/>
    <w:rsid w:val="00DE43EA"/>
    <w:rsid w:val="00DE4996"/>
    <w:rsid w:val="00DE5B6E"/>
    <w:rsid w:val="00DE5DEE"/>
    <w:rsid w:val="00DE6AEB"/>
    <w:rsid w:val="00DE6B12"/>
    <w:rsid w:val="00DE7266"/>
    <w:rsid w:val="00DE7F3B"/>
    <w:rsid w:val="00DF0262"/>
    <w:rsid w:val="00DF0B33"/>
    <w:rsid w:val="00DF17A9"/>
    <w:rsid w:val="00DF209A"/>
    <w:rsid w:val="00DF24B2"/>
    <w:rsid w:val="00DF296A"/>
    <w:rsid w:val="00DF3491"/>
    <w:rsid w:val="00DF39FE"/>
    <w:rsid w:val="00DF428E"/>
    <w:rsid w:val="00DF42C7"/>
    <w:rsid w:val="00DF4C2A"/>
    <w:rsid w:val="00DF4EFD"/>
    <w:rsid w:val="00DF5C4F"/>
    <w:rsid w:val="00DF6339"/>
    <w:rsid w:val="00DF6788"/>
    <w:rsid w:val="00DF6AF7"/>
    <w:rsid w:val="00DF6FDD"/>
    <w:rsid w:val="00E00330"/>
    <w:rsid w:val="00E00FAB"/>
    <w:rsid w:val="00E0207D"/>
    <w:rsid w:val="00E020D5"/>
    <w:rsid w:val="00E0215C"/>
    <w:rsid w:val="00E024C1"/>
    <w:rsid w:val="00E02528"/>
    <w:rsid w:val="00E02A9C"/>
    <w:rsid w:val="00E02B60"/>
    <w:rsid w:val="00E02F2E"/>
    <w:rsid w:val="00E02F5A"/>
    <w:rsid w:val="00E0349C"/>
    <w:rsid w:val="00E036CC"/>
    <w:rsid w:val="00E03897"/>
    <w:rsid w:val="00E05BF7"/>
    <w:rsid w:val="00E07582"/>
    <w:rsid w:val="00E0798D"/>
    <w:rsid w:val="00E10ABC"/>
    <w:rsid w:val="00E10FDB"/>
    <w:rsid w:val="00E118D9"/>
    <w:rsid w:val="00E121DD"/>
    <w:rsid w:val="00E12C2C"/>
    <w:rsid w:val="00E138E2"/>
    <w:rsid w:val="00E13E15"/>
    <w:rsid w:val="00E14F29"/>
    <w:rsid w:val="00E1568B"/>
    <w:rsid w:val="00E16783"/>
    <w:rsid w:val="00E1735D"/>
    <w:rsid w:val="00E17627"/>
    <w:rsid w:val="00E176B0"/>
    <w:rsid w:val="00E20617"/>
    <w:rsid w:val="00E2093E"/>
    <w:rsid w:val="00E21002"/>
    <w:rsid w:val="00E21261"/>
    <w:rsid w:val="00E21C51"/>
    <w:rsid w:val="00E229B8"/>
    <w:rsid w:val="00E23465"/>
    <w:rsid w:val="00E24135"/>
    <w:rsid w:val="00E250F1"/>
    <w:rsid w:val="00E25642"/>
    <w:rsid w:val="00E25C88"/>
    <w:rsid w:val="00E26500"/>
    <w:rsid w:val="00E26549"/>
    <w:rsid w:val="00E2697F"/>
    <w:rsid w:val="00E26A3A"/>
    <w:rsid w:val="00E26C6C"/>
    <w:rsid w:val="00E26CAF"/>
    <w:rsid w:val="00E27221"/>
    <w:rsid w:val="00E27A65"/>
    <w:rsid w:val="00E27C25"/>
    <w:rsid w:val="00E30677"/>
    <w:rsid w:val="00E30923"/>
    <w:rsid w:val="00E30C02"/>
    <w:rsid w:val="00E31A30"/>
    <w:rsid w:val="00E32758"/>
    <w:rsid w:val="00E32DD6"/>
    <w:rsid w:val="00E33621"/>
    <w:rsid w:val="00E33DAE"/>
    <w:rsid w:val="00E349B8"/>
    <w:rsid w:val="00E35F28"/>
    <w:rsid w:val="00E36005"/>
    <w:rsid w:val="00E3614F"/>
    <w:rsid w:val="00E366B2"/>
    <w:rsid w:val="00E368A0"/>
    <w:rsid w:val="00E369B4"/>
    <w:rsid w:val="00E37538"/>
    <w:rsid w:val="00E418EE"/>
    <w:rsid w:val="00E41A1D"/>
    <w:rsid w:val="00E42355"/>
    <w:rsid w:val="00E432FD"/>
    <w:rsid w:val="00E43387"/>
    <w:rsid w:val="00E435E8"/>
    <w:rsid w:val="00E44063"/>
    <w:rsid w:val="00E44B32"/>
    <w:rsid w:val="00E453A8"/>
    <w:rsid w:val="00E45538"/>
    <w:rsid w:val="00E45E0F"/>
    <w:rsid w:val="00E45E61"/>
    <w:rsid w:val="00E462F1"/>
    <w:rsid w:val="00E47669"/>
    <w:rsid w:val="00E47C80"/>
    <w:rsid w:val="00E50055"/>
    <w:rsid w:val="00E50772"/>
    <w:rsid w:val="00E50B1F"/>
    <w:rsid w:val="00E51077"/>
    <w:rsid w:val="00E51A42"/>
    <w:rsid w:val="00E51A92"/>
    <w:rsid w:val="00E52458"/>
    <w:rsid w:val="00E5274B"/>
    <w:rsid w:val="00E52E58"/>
    <w:rsid w:val="00E53ACB"/>
    <w:rsid w:val="00E53FB2"/>
    <w:rsid w:val="00E543F8"/>
    <w:rsid w:val="00E548C7"/>
    <w:rsid w:val="00E54BAC"/>
    <w:rsid w:val="00E55009"/>
    <w:rsid w:val="00E55123"/>
    <w:rsid w:val="00E559B5"/>
    <w:rsid w:val="00E57354"/>
    <w:rsid w:val="00E574A4"/>
    <w:rsid w:val="00E574E1"/>
    <w:rsid w:val="00E57B40"/>
    <w:rsid w:val="00E57B54"/>
    <w:rsid w:val="00E60700"/>
    <w:rsid w:val="00E60BAC"/>
    <w:rsid w:val="00E60E73"/>
    <w:rsid w:val="00E61059"/>
    <w:rsid w:val="00E62428"/>
    <w:rsid w:val="00E625A4"/>
    <w:rsid w:val="00E62C7F"/>
    <w:rsid w:val="00E62D44"/>
    <w:rsid w:val="00E63487"/>
    <w:rsid w:val="00E63FB1"/>
    <w:rsid w:val="00E64088"/>
    <w:rsid w:val="00E6438E"/>
    <w:rsid w:val="00E64AD7"/>
    <w:rsid w:val="00E64B7E"/>
    <w:rsid w:val="00E64CF8"/>
    <w:rsid w:val="00E658D5"/>
    <w:rsid w:val="00E65C09"/>
    <w:rsid w:val="00E65F28"/>
    <w:rsid w:val="00E66646"/>
    <w:rsid w:val="00E66695"/>
    <w:rsid w:val="00E66D34"/>
    <w:rsid w:val="00E70621"/>
    <w:rsid w:val="00E711FD"/>
    <w:rsid w:val="00E71235"/>
    <w:rsid w:val="00E71835"/>
    <w:rsid w:val="00E71C2D"/>
    <w:rsid w:val="00E725E3"/>
    <w:rsid w:val="00E7305F"/>
    <w:rsid w:val="00E743FD"/>
    <w:rsid w:val="00E7452C"/>
    <w:rsid w:val="00E75117"/>
    <w:rsid w:val="00E7517C"/>
    <w:rsid w:val="00E759A0"/>
    <w:rsid w:val="00E75D45"/>
    <w:rsid w:val="00E75F8D"/>
    <w:rsid w:val="00E76155"/>
    <w:rsid w:val="00E769E9"/>
    <w:rsid w:val="00E76BF0"/>
    <w:rsid w:val="00E76CE4"/>
    <w:rsid w:val="00E773A6"/>
    <w:rsid w:val="00E80D24"/>
    <w:rsid w:val="00E81371"/>
    <w:rsid w:val="00E81F70"/>
    <w:rsid w:val="00E82761"/>
    <w:rsid w:val="00E82E10"/>
    <w:rsid w:val="00E83A9B"/>
    <w:rsid w:val="00E8445C"/>
    <w:rsid w:val="00E8479B"/>
    <w:rsid w:val="00E84840"/>
    <w:rsid w:val="00E85C34"/>
    <w:rsid w:val="00E85DD7"/>
    <w:rsid w:val="00E87284"/>
    <w:rsid w:val="00E87E7F"/>
    <w:rsid w:val="00E900A3"/>
    <w:rsid w:val="00E90140"/>
    <w:rsid w:val="00E90515"/>
    <w:rsid w:val="00E91736"/>
    <w:rsid w:val="00E920A6"/>
    <w:rsid w:val="00E92C6E"/>
    <w:rsid w:val="00E9375F"/>
    <w:rsid w:val="00E93A38"/>
    <w:rsid w:val="00E9421B"/>
    <w:rsid w:val="00E960F5"/>
    <w:rsid w:val="00E96C7A"/>
    <w:rsid w:val="00EA0485"/>
    <w:rsid w:val="00EA07F1"/>
    <w:rsid w:val="00EA1D89"/>
    <w:rsid w:val="00EA2473"/>
    <w:rsid w:val="00EA2554"/>
    <w:rsid w:val="00EA340D"/>
    <w:rsid w:val="00EA3677"/>
    <w:rsid w:val="00EA3A7D"/>
    <w:rsid w:val="00EA447B"/>
    <w:rsid w:val="00EA5215"/>
    <w:rsid w:val="00EA5DA2"/>
    <w:rsid w:val="00EA6824"/>
    <w:rsid w:val="00EA6B02"/>
    <w:rsid w:val="00EA718E"/>
    <w:rsid w:val="00EA7B1C"/>
    <w:rsid w:val="00EB0237"/>
    <w:rsid w:val="00EB0909"/>
    <w:rsid w:val="00EB09F8"/>
    <w:rsid w:val="00EB1BFE"/>
    <w:rsid w:val="00EB2FA8"/>
    <w:rsid w:val="00EB345D"/>
    <w:rsid w:val="00EB3C5E"/>
    <w:rsid w:val="00EB4A8C"/>
    <w:rsid w:val="00EB529F"/>
    <w:rsid w:val="00EB5A74"/>
    <w:rsid w:val="00EB5AF7"/>
    <w:rsid w:val="00EB67FD"/>
    <w:rsid w:val="00EB697D"/>
    <w:rsid w:val="00EB79F0"/>
    <w:rsid w:val="00EB7F38"/>
    <w:rsid w:val="00EC0497"/>
    <w:rsid w:val="00EC0AEC"/>
    <w:rsid w:val="00EC0B20"/>
    <w:rsid w:val="00EC1A88"/>
    <w:rsid w:val="00EC1E33"/>
    <w:rsid w:val="00EC1F9A"/>
    <w:rsid w:val="00EC2002"/>
    <w:rsid w:val="00EC22C9"/>
    <w:rsid w:val="00EC27E8"/>
    <w:rsid w:val="00EC2F18"/>
    <w:rsid w:val="00EC3A23"/>
    <w:rsid w:val="00EC4B11"/>
    <w:rsid w:val="00EC4E85"/>
    <w:rsid w:val="00EC5004"/>
    <w:rsid w:val="00EC6045"/>
    <w:rsid w:val="00EC68E9"/>
    <w:rsid w:val="00EC78D9"/>
    <w:rsid w:val="00EC79AE"/>
    <w:rsid w:val="00EC7D76"/>
    <w:rsid w:val="00ED09BE"/>
    <w:rsid w:val="00ED0F1B"/>
    <w:rsid w:val="00ED1AEB"/>
    <w:rsid w:val="00ED23AB"/>
    <w:rsid w:val="00ED344F"/>
    <w:rsid w:val="00ED364E"/>
    <w:rsid w:val="00ED36B5"/>
    <w:rsid w:val="00ED476D"/>
    <w:rsid w:val="00ED6454"/>
    <w:rsid w:val="00ED7524"/>
    <w:rsid w:val="00EE034E"/>
    <w:rsid w:val="00EE066A"/>
    <w:rsid w:val="00EE102D"/>
    <w:rsid w:val="00EE1228"/>
    <w:rsid w:val="00EE1F87"/>
    <w:rsid w:val="00EE2106"/>
    <w:rsid w:val="00EE27BD"/>
    <w:rsid w:val="00EE2B41"/>
    <w:rsid w:val="00EE2BB5"/>
    <w:rsid w:val="00EE33CB"/>
    <w:rsid w:val="00EE3C80"/>
    <w:rsid w:val="00EE41D9"/>
    <w:rsid w:val="00EE46B6"/>
    <w:rsid w:val="00EE4D32"/>
    <w:rsid w:val="00EE5B36"/>
    <w:rsid w:val="00EE5EEB"/>
    <w:rsid w:val="00EE5F6E"/>
    <w:rsid w:val="00EE61CD"/>
    <w:rsid w:val="00EE6424"/>
    <w:rsid w:val="00EE6FE1"/>
    <w:rsid w:val="00EE7BDD"/>
    <w:rsid w:val="00EF1414"/>
    <w:rsid w:val="00EF1F52"/>
    <w:rsid w:val="00EF248A"/>
    <w:rsid w:val="00EF28AE"/>
    <w:rsid w:val="00EF2CFB"/>
    <w:rsid w:val="00EF36A5"/>
    <w:rsid w:val="00EF4029"/>
    <w:rsid w:val="00EF5D33"/>
    <w:rsid w:val="00EF6299"/>
    <w:rsid w:val="00EF7660"/>
    <w:rsid w:val="00F003D0"/>
    <w:rsid w:val="00F01792"/>
    <w:rsid w:val="00F01F9D"/>
    <w:rsid w:val="00F021DC"/>
    <w:rsid w:val="00F033C2"/>
    <w:rsid w:val="00F03DCA"/>
    <w:rsid w:val="00F03F31"/>
    <w:rsid w:val="00F04C8C"/>
    <w:rsid w:val="00F05596"/>
    <w:rsid w:val="00F0601F"/>
    <w:rsid w:val="00F06AC0"/>
    <w:rsid w:val="00F06D1C"/>
    <w:rsid w:val="00F06D9E"/>
    <w:rsid w:val="00F07364"/>
    <w:rsid w:val="00F07F07"/>
    <w:rsid w:val="00F10614"/>
    <w:rsid w:val="00F10984"/>
    <w:rsid w:val="00F114EF"/>
    <w:rsid w:val="00F1265F"/>
    <w:rsid w:val="00F127EE"/>
    <w:rsid w:val="00F13126"/>
    <w:rsid w:val="00F13EDF"/>
    <w:rsid w:val="00F140CD"/>
    <w:rsid w:val="00F14885"/>
    <w:rsid w:val="00F14939"/>
    <w:rsid w:val="00F15A62"/>
    <w:rsid w:val="00F15B99"/>
    <w:rsid w:val="00F15E36"/>
    <w:rsid w:val="00F16CC2"/>
    <w:rsid w:val="00F16EFB"/>
    <w:rsid w:val="00F16F54"/>
    <w:rsid w:val="00F20E0D"/>
    <w:rsid w:val="00F20E96"/>
    <w:rsid w:val="00F20EFA"/>
    <w:rsid w:val="00F20FBB"/>
    <w:rsid w:val="00F236FA"/>
    <w:rsid w:val="00F23E30"/>
    <w:rsid w:val="00F249F6"/>
    <w:rsid w:val="00F24C79"/>
    <w:rsid w:val="00F26E61"/>
    <w:rsid w:val="00F26FA8"/>
    <w:rsid w:val="00F2759C"/>
    <w:rsid w:val="00F27CFC"/>
    <w:rsid w:val="00F303BD"/>
    <w:rsid w:val="00F3041A"/>
    <w:rsid w:val="00F30FCB"/>
    <w:rsid w:val="00F31355"/>
    <w:rsid w:val="00F321B6"/>
    <w:rsid w:val="00F321D5"/>
    <w:rsid w:val="00F3260E"/>
    <w:rsid w:val="00F32652"/>
    <w:rsid w:val="00F32D78"/>
    <w:rsid w:val="00F34AA2"/>
    <w:rsid w:val="00F34B76"/>
    <w:rsid w:val="00F351C3"/>
    <w:rsid w:val="00F3637B"/>
    <w:rsid w:val="00F36B0B"/>
    <w:rsid w:val="00F36BB4"/>
    <w:rsid w:val="00F373B6"/>
    <w:rsid w:val="00F37B07"/>
    <w:rsid w:val="00F4000A"/>
    <w:rsid w:val="00F404E6"/>
    <w:rsid w:val="00F40540"/>
    <w:rsid w:val="00F405FB"/>
    <w:rsid w:val="00F40990"/>
    <w:rsid w:val="00F414AE"/>
    <w:rsid w:val="00F416A4"/>
    <w:rsid w:val="00F41AFA"/>
    <w:rsid w:val="00F41B32"/>
    <w:rsid w:val="00F41F6D"/>
    <w:rsid w:val="00F424D3"/>
    <w:rsid w:val="00F42504"/>
    <w:rsid w:val="00F429C3"/>
    <w:rsid w:val="00F42FEF"/>
    <w:rsid w:val="00F43093"/>
    <w:rsid w:val="00F432F4"/>
    <w:rsid w:val="00F4393C"/>
    <w:rsid w:val="00F46915"/>
    <w:rsid w:val="00F501FE"/>
    <w:rsid w:val="00F50BA2"/>
    <w:rsid w:val="00F50E27"/>
    <w:rsid w:val="00F51A79"/>
    <w:rsid w:val="00F51CB5"/>
    <w:rsid w:val="00F51EA6"/>
    <w:rsid w:val="00F52212"/>
    <w:rsid w:val="00F52493"/>
    <w:rsid w:val="00F52776"/>
    <w:rsid w:val="00F52D99"/>
    <w:rsid w:val="00F537E7"/>
    <w:rsid w:val="00F53B32"/>
    <w:rsid w:val="00F5450E"/>
    <w:rsid w:val="00F54892"/>
    <w:rsid w:val="00F55123"/>
    <w:rsid w:val="00F55BB5"/>
    <w:rsid w:val="00F57027"/>
    <w:rsid w:val="00F5737A"/>
    <w:rsid w:val="00F57EAA"/>
    <w:rsid w:val="00F57EFB"/>
    <w:rsid w:val="00F60776"/>
    <w:rsid w:val="00F60823"/>
    <w:rsid w:val="00F60958"/>
    <w:rsid w:val="00F60EF7"/>
    <w:rsid w:val="00F61675"/>
    <w:rsid w:val="00F6219E"/>
    <w:rsid w:val="00F6262C"/>
    <w:rsid w:val="00F62F2A"/>
    <w:rsid w:val="00F63265"/>
    <w:rsid w:val="00F6434A"/>
    <w:rsid w:val="00F64423"/>
    <w:rsid w:val="00F64778"/>
    <w:rsid w:val="00F64974"/>
    <w:rsid w:val="00F65589"/>
    <w:rsid w:val="00F65F0C"/>
    <w:rsid w:val="00F66509"/>
    <w:rsid w:val="00F66F49"/>
    <w:rsid w:val="00F6711B"/>
    <w:rsid w:val="00F7015B"/>
    <w:rsid w:val="00F7062B"/>
    <w:rsid w:val="00F70978"/>
    <w:rsid w:val="00F709E2"/>
    <w:rsid w:val="00F71A51"/>
    <w:rsid w:val="00F7238E"/>
    <w:rsid w:val="00F72635"/>
    <w:rsid w:val="00F73E0B"/>
    <w:rsid w:val="00F74183"/>
    <w:rsid w:val="00F74CDF"/>
    <w:rsid w:val="00F74EDE"/>
    <w:rsid w:val="00F751A7"/>
    <w:rsid w:val="00F7554F"/>
    <w:rsid w:val="00F765C1"/>
    <w:rsid w:val="00F77966"/>
    <w:rsid w:val="00F77E05"/>
    <w:rsid w:val="00F80CDE"/>
    <w:rsid w:val="00F81283"/>
    <w:rsid w:val="00F8135D"/>
    <w:rsid w:val="00F82EAA"/>
    <w:rsid w:val="00F8379A"/>
    <w:rsid w:val="00F83CFD"/>
    <w:rsid w:val="00F8444A"/>
    <w:rsid w:val="00F84CCF"/>
    <w:rsid w:val="00F8520C"/>
    <w:rsid w:val="00F8570E"/>
    <w:rsid w:val="00F85CC7"/>
    <w:rsid w:val="00F85D3D"/>
    <w:rsid w:val="00F85F51"/>
    <w:rsid w:val="00F8610A"/>
    <w:rsid w:val="00F864E7"/>
    <w:rsid w:val="00F8695A"/>
    <w:rsid w:val="00F869F1"/>
    <w:rsid w:val="00F87635"/>
    <w:rsid w:val="00F87CE4"/>
    <w:rsid w:val="00F9035B"/>
    <w:rsid w:val="00F906B3"/>
    <w:rsid w:val="00F90C5A"/>
    <w:rsid w:val="00F90FD9"/>
    <w:rsid w:val="00F916EF"/>
    <w:rsid w:val="00F921A5"/>
    <w:rsid w:val="00F92638"/>
    <w:rsid w:val="00F9279D"/>
    <w:rsid w:val="00F93347"/>
    <w:rsid w:val="00F93514"/>
    <w:rsid w:val="00F935F8"/>
    <w:rsid w:val="00F9387B"/>
    <w:rsid w:val="00F93CBF"/>
    <w:rsid w:val="00F94622"/>
    <w:rsid w:val="00F94EB2"/>
    <w:rsid w:val="00F95105"/>
    <w:rsid w:val="00F951FF"/>
    <w:rsid w:val="00F95C97"/>
    <w:rsid w:val="00F96326"/>
    <w:rsid w:val="00F96B44"/>
    <w:rsid w:val="00F96DCB"/>
    <w:rsid w:val="00F9738B"/>
    <w:rsid w:val="00F97EF4"/>
    <w:rsid w:val="00F97F99"/>
    <w:rsid w:val="00FA00C8"/>
    <w:rsid w:val="00FA0476"/>
    <w:rsid w:val="00FA0EB4"/>
    <w:rsid w:val="00FA129C"/>
    <w:rsid w:val="00FA19BC"/>
    <w:rsid w:val="00FA1AC2"/>
    <w:rsid w:val="00FA1BB5"/>
    <w:rsid w:val="00FA1D68"/>
    <w:rsid w:val="00FA28D3"/>
    <w:rsid w:val="00FA5F2E"/>
    <w:rsid w:val="00FA5F5D"/>
    <w:rsid w:val="00FA6492"/>
    <w:rsid w:val="00FA6911"/>
    <w:rsid w:val="00FA6F53"/>
    <w:rsid w:val="00FA7729"/>
    <w:rsid w:val="00FA7744"/>
    <w:rsid w:val="00FA785C"/>
    <w:rsid w:val="00FA7C2F"/>
    <w:rsid w:val="00FA7DBE"/>
    <w:rsid w:val="00FB0024"/>
    <w:rsid w:val="00FB0429"/>
    <w:rsid w:val="00FB0D8E"/>
    <w:rsid w:val="00FB0EE3"/>
    <w:rsid w:val="00FB2270"/>
    <w:rsid w:val="00FB2C23"/>
    <w:rsid w:val="00FB30A9"/>
    <w:rsid w:val="00FB329D"/>
    <w:rsid w:val="00FB3A73"/>
    <w:rsid w:val="00FB43FB"/>
    <w:rsid w:val="00FB44AD"/>
    <w:rsid w:val="00FB538D"/>
    <w:rsid w:val="00FB562F"/>
    <w:rsid w:val="00FB591B"/>
    <w:rsid w:val="00FB5F16"/>
    <w:rsid w:val="00FB67D3"/>
    <w:rsid w:val="00FB6A8F"/>
    <w:rsid w:val="00FB6FA8"/>
    <w:rsid w:val="00FB721F"/>
    <w:rsid w:val="00FB7328"/>
    <w:rsid w:val="00FC03EE"/>
    <w:rsid w:val="00FC0C4F"/>
    <w:rsid w:val="00FC19F5"/>
    <w:rsid w:val="00FC227D"/>
    <w:rsid w:val="00FC3250"/>
    <w:rsid w:val="00FC3FD3"/>
    <w:rsid w:val="00FC41EF"/>
    <w:rsid w:val="00FC4487"/>
    <w:rsid w:val="00FC45E0"/>
    <w:rsid w:val="00FC472F"/>
    <w:rsid w:val="00FC5FFC"/>
    <w:rsid w:val="00FC71E8"/>
    <w:rsid w:val="00FC7A50"/>
    <w:rsid w:val="00FC7BDD"/>
    <w:rsid w:val="00FD0093"/>
    <w:rsid w:val="00FD0D94"/>
    <w:rsid w:val="00FD0FCE"/>
    <w:rsid w:val="00FD158D"/>
    <w:rsid w:val="00FD26FF"/>
    <w:rsid w:val="00FD2F07"/>
    <w:rsid w:val="00FD34BF"/>
    <w:rsid w:val="00FD3549"/>
    <w:rsid w:val="00FD4806"/>
    <w:rsid w:val="00FD4A07"/>
    <w:rsid w:val="00FD578B"/>
    <w:rsid w:val="00FD5C06"/>
    <w:rsid w:val="00FD5D85"/>
    <w:rsid w:val="00FD6C56"/>
    <w:rsid w:val="00FD7251"/>
    <w:rsid w:val="00FD7649"/>
    <w:rsid w:val="00FD76EF"/>
    <w:rsid w:val="00FD7E77"/>
    <w:rsid w:val="00FE0013"/>
    <w:rsid w:val="00FE0640"/>
    <w:rsid w:val="00FE0B6A"/>
    <w:rsid w:val="00FE0E12"/>
    <w:rsid w:val="00FE14EE"/>
    <w:rsid w:val="00FE1A06"/>
    <w:rsid w:val="00FE2306"/>
    <w:rsid w:val="00FE2A84"/>
    <w:rsid w:val="00FE3136"/>
    <w:rsid w:val="00FE46BC"/>
    <w:rsid w:val="00FE49A5"/>
    <w:rsid w:val="00FE4C0E"/>
    <w:rsid w:val="00FE4E9D"/>
    <w:rsid w:val="00FE6BD0"/>
    <w:rsid w:val="00FE738A"/>
    <w:rsid w:val="00FE74DB"/>
    <w:rsid w:val="00FE772B"/>
    <w:rsid w:val="00FE7A9C"/>
    <w:rsid w:val="00FF032D"/>
    <w:rsid w:val="00FF05BC"/>
    <w:rsid w:val="00FF0D2F"/>
    <w:rsid w:val="00FF1188"/>
    <w:rsid w:val="00FF128B"/>
    <w:rsid w:val="00FF1D9A"/>
    <w:rsid w:val="00FF2336"/>
    <w:rsid w:val="00FF35FB"/>
    <w:rsid w:val="00FF381A"/>
    <w:rsid w:val="00FF435F"/>
    <w:rsid w:val="00FF5C01"/>
    <w:rsid w:val="00FF615F"/>
    <w:rsid w:val="00FF61BD"/>
    <w:rsid w:val="00FF642F"/>
    <w:rsid w:val="00FF73E5"/>
    <w:rsid w:val="00FF7E3A"/>
    <w:rsid w:val="012058AE"/>
    <w:rsid w:val="014CDBA5"/>
    <w:rsid w:val="01583B45"/>
    <w:rsid w:val="018F993A"/>
    <w:rsid w:val="01B49C20"/>
    <w:rsid w:val="01C49AB7"/>
    <w:rsid w:val="01C8D647"/>
    <w:rsid w:val="0239D75E"/>
    <w:rsid w:val="0258B85B"/>
    <w:rsid w:val="02622AD0"/>
    <w:rsid w:val="0272D806"/>
    <w:rsid w:val="02B32A07"/>
    <w:rsid w:val="02C881D2"/>
    <w:rsid w:val="02DCDBF9"/>
    <w:rsid w:val="02E38F08"/>
    <w:rsid w:val="02E8E977"/>
    <w:rsid w:val="02F34C8E"/>
    <w:rsid w:val="0329BBE8"/>
    <w:rsid w:val="03326BBA"/>
    <w:rsid w:val="033FDBF6"/>
    <w:rsid w:val="03465A21"/>
    <w:rsid w:val="0350BB78"/>
    <w:rsid w:val="0366BBE3"/>
    <w:rsid w:val="037F9DB1"/>
    <w:rsid w:val="0396C44B"/>
    <w:rsid w:val="03D1DBA2"/>
    <w:rsid w:val="03D8B8C0"/>
    <w:rsid w:val="0405EF76"/>
    <w:rsid w:val="043556A1"/>
    <w:rsid w:val="04876654"/>
    <w:rsid w:val="049018E7"/>
    <w:rsid w:val="04CC9D58"/>
    <w:rsid w:val="04E6CB11"/>
    <w:rsid w:val="04EA98F7"/>
    <w:rsid w:val="04EFAA04"/>
    <w:rsid w:val="04F9F1EF"/>
    <w:rsid w:val="0511D9EA"/>
    <w:rsid w:val="05272228"/>
    <w:rsid w:val="052916CB"/>
    <w:rsid w:val="053BECAD"/>
    <w:rsid w:val="056E258C"/>
    <w:rsid w:val="057DFD6E"/>
    <w:rsid w:val="05A1155F"/>
    <w:rsid w:val="05A90776"/>
    <w:rsid w:val="05FCF37C"/>
    <w:rsid w:val="06053ADD"/>
    <w:rsid w:val="0611B79F"/>
    <w:rsid w:val="0616DCC5"/>
    <w:rsid w:val="061A9FEB"/>
    <w:rsid w:val="061FECE8"/>
    <w:rsid w:val="06203236"/>
    <w:rsid w:val="0638E2E5"/>
    <w:rsid w:val="063EFBFA"/>
    <w:rsid w:val="064B0E05"/>
    <w:rsid w:val="06514606"/>
    <w:rsid w:val="068289ED"/>
    <w:rsid w:val="06848A65"/>
    <w:rsid w:val="069823E7"/>
    <w:rsid w:val="069B148D"/>
    <w:rsid w:val="06BD18D8"/>
    <w:rsid w:val="06CFA60C"/>
    <w:rsid w:val="06D24CBC"/>
    <w:rsid w:val="06FB7057"/>
    <w:rsid w:val="0746CF94"/>
    <w:rsid w:val="07620239"/>
    <w:rsid w:val="076F2B07"/>
    <w:rsid w:val="07B8FA04"/>
    <w:rsid w:val="07BECC0A"/>
    <w:rsid w:val="07D664CA"/>
    <w:rsid w:val="07DE38E0"/>
    <w:rsid w:val="07FA6028"/>
    <w:rsid w:val="080CF7D6"/>
    <w:rsid w:val="08105668"/>
    <w:rsid w:val="08330975"/>
    <w:rsid w:val="084EE074"/>
    <w:rsid w:val="0850FAAD"/>
    <w:rsid w:val="085F5810"/>
    <w:rsid w:val="088C9DBA"/>
    <w:rsid w:val="08A3C511"/>
    <w:rsid w:val="08B7CA68"/>
    <w:rsid w:val="08C399BE"/>
    <w:rsid w:val="08D29025"/>
    <w:rsid w:val="08EB5A10"/>
    <w:rsid w:val="08F4ECB1"/>
    <w:rsid w:val="090CEBFD"/>
    <w:rsid w:val="093660A3"/>
    <w:rsid w:val="09502C20"/>
    <w:rsid w:val="09638DFD"/>
    <w:rsid w:val="096CD5A9"/>
    <w:rsid w:val="096E70BD"/>
    <w:rsid w:val="09A45989"/>
    <w:rsid w:val="09B40965"/>
    <w:rsid w:val="09B41C77"/>
    <w:rsid w:val="09D11FB5"/>
    <w:rsid w:val="09D2B54F"/>
    <w:rsid w:val="09D6B989"/>
    <w:rsid w:val="09E827DE"/>
    <w:rsid w:val="09FA03C4"/>
    <w:rsid w:val="0A286E1B"/>
    <w:rsid w:val="0A409E62"/>
    <w:rsid w:val="0A4A0071"/>
    <w:rsid w:val="0A4BE2B3"/>
    <w:rsid w:val="0A5C30B0"/>
    <w:rsid w:val="0A63661C"/>
    <w:rsid w:val="0A7F5644"/>
    <w:rsid w:val="0A875E2C"/>
    <w:rsid w:val="0A888940"/>
    <w:rsid w:val="0A93DC9C"/>
    <w:rsid w:val="0A965EB0"/>
    <w:rsid w:val="0AB7DCDD"/>
    <w:rsid w:val="0AC492A4"/>
    <w:rsid w:val="0AF0267B"/>
    <w:rsid w:val="0B0B7C28"/>
    <w:rsid w:val="0B1D0E9A"/>
    <w:rsid w:val="0B1FBDD6"/>
    <w:rsid w:val="0B9C5B42"/>
    <w:rsid w:val="0BC43E7C"/>
    <w:rsid w:val="0BC80089"/>
    <w:rsid w:val="0BD9ADCF"/>
    <w:rsid w:val="0BFEAF5F"/>
    <w:rsid w:val="0C109F1F"/>
    <w:rsid w:val="0C52D248"/>
    <w:rsid w:val="0C583AE8"/>
    <w:rsid w:val="0C65DF10"/>
    <w:rsid w:val="0C86C682"/>
    <w:rsid w:val="0C933E41"/>
    <w:rsid w:val="0CB68D32"/>
    <w:rsid w:val="0CF3A6C9"/>
    <w:rsid w:val="0D41ABA6"/>
    <w:rsid w:val="0D4D4FFA"/>
    <w:rsid w:val="0D512851"/>
    <w:rsid w:val="0D85332C"/>
    <w:rsid w:val="0DB1A427"/>
    <w:rsid w:val="0DC64682"/>
    <w:rsid w:val="0E0C5F07"/>
    <w:rsid w:val="0E20D3C3"/>
    <w:rsid w:val="0E83D6B9"/>
    <w:rsid w:val="0E8CFE15"/>
    <w:rsid w:val="0E94A497"/>
    <w:rsid w:val="0EB10468"/>
    <w:rsid w:val="0EBB8EA6"/>
    <w:rsid w:val="0EC20F9C"/>
    <w:rsid w:val="0EC3236E"/>
    <w:rsid w:val="0F1D33D7"/>
    <w:rsid w:val="0F35BAF0"/>
    <w:rsid w:val="0F57FCF5"/>
    <w:rsid w:val="0F66295A"/>
    <w:rsid w:val="0F719C11"/>
    <w:rsid w:val="0F8B2051"/>
    <w:rsid w:val="0F8E062B"/>
    <w:rsid w:val="0F8E0770"/>
    <w:rsid w:val="0F9BDAE1"/>
    <w:rsid w:val="0FA02F8A"/>
    <w:rsid w:val="0FA9E040"/>
    <w:rsid w:val="0FCCD68F"/>
    <w:rsid w:val="0FE33860"/>
    <w:rsid w:val="0FF2A00B"/>
    <w:rsid w:val="10060572"/>
    <w:rsid w:val="1057659D"/>
    <w:rsid w:val="107576C5"/>
    <w:rsid w:val="1084F301"/>
    <w:rsid w:val="1090FDB0"/>
    <w:rsid w:val="10DFDD45"/>
    <w:rsid w:val="10E17ED9"/>
    <w:rsid w:val="10ED7008"/>
    <w:rsid w:val="110E652A"/>
    <w:rsid w:val="113E5DF1"/>
    <w:rsid w:val="1150F451"/>
    <w:rsid w:val="1159E4B2"/>
    <w:rsid w:val="116F6D65"/>
    <w:rsid w:val="1176C1F5"/>
    <w:rsid w:val="1178CCE8"/>
    <w:rsid w:val="1187E973"/>
    <w:rsid w:val="11CAD02D"/>
    <w:rsid w:val="11D4284A"/>
    <w:rsid w:val="11DB2E21"/>
    <w:rsid w:val="11E5FDF1"/>
    <w:rsid w:val="12276E70"/>
    <w:rsid w:val="123506E0"/>
    <w:rsid w:val="12529F9F"/>
    <w:rsid w:val="129BFC41"/>
    <w:rsid w:val="12AEE980"/>
    <w:rsid w:val="12BD4FB9"/>
    <w:rsid w:val="12C210CA"/>
    <w:rsid w:val="12E4C1F8"/>
    <w:rsid w:val="13279847"/>
    <w:rsid w:val="1331CC43"/>
    <w:rsid w:val="135AAD91"/>
    <w:rsid w:val="13770C53"/>
    <w:rsid w:val="137F8373"/>
    <w:rsid w:val="13914958"/>
    <w:rsid w:val="13D9E8FE"/>
    <w:rsid w:val="13F4E19F"/>
    <w:rsid w:val="14293171"/>
    <w:rsid w:val="142FB5D0"/>
    <w:rsid w:val="143092C7"/>
    <w:rsid w:val="1435538D"/>
    <w:rsid w:val="1455CFB4"/>
    <w:rsid w:val="1487F589"/>
    <w:rsid w:val="14C5782B"/>
    <w:rsid w:val="14CFC1F2"/>
    <w:rsid w:val="14D2F977"/>
    <w:rsid w:val="14E127B4"/>
    <w:rsid w:val="14F6D089"/>
    <w:rsid w:val="1501E381"/>
    <w:rsid w:val="15146C1F"/>
    <w:rsid w:val="155AADA6"/>
    <w:rsid w:val="155E8A59"/>
    <w:rsid w:val="15B11265"/>
    <w:rsid w:val="15BA123F"/>
    <w:rsid w:val="15C9B342"/>
    <w:rsid w:val="15D2F9A7"/>
    <w:rsid w:val="15D3FEA1"/>
    <w:rsid w:val="15E23E31"/>
    <w:rsid w:val="15F8F2C0"/>
    <w:rsid w:val="1659CB95"/>
    <w:rsid w:val="166E4C87"/>
    <w:rsid w:val="16711922"/>
    <w:rsid w:val="167C04F1"/>
    <w:rsid w:val="167D91A2"/>
    <w:rsid w:val="1696BD40"/>
    <w:rsid w:val="16D3A17D"/>
    <w:rsid w:val="16DE6F89"/>
    <w:rsid w:val="170673F8"/>
    <w:rsid w:val="174A54BC"/>
    <w:rsid w:val="174BFE42"/>
    <w:rsid w:val="17531FB3"/>
    <w:rsid w:val="17580F26"/>
    <w:rsid w:val="176FE02B"/>
    <w:rsid w:val="17A63910"/>
    <w:rsid w:val="17AB2532"/>
    <w:rsid w:val="17C5B6AA"/>
    <w:rsid w:val="17C8A5AF"/>
    <w:rsid w:val="17CC1B67"/>
    <w:rsid w:val="17F1762A"/>
    <w:rsid w:val="180D8781"/>
    <w:rsid w:val="1831A7E5"/>
    <w:rsid w:val="183C8491"/>
    <w:rsid w:val="1873072E"/>
    <w:rsid w:val="18BA0BA0"/>
    <w:rsid w:val="18C08240"/>
    <w:rsid w:val="18DE43BD"/>
    <w:rsid w:val="18E0D145"/>
    <w:rsid w:val="18F2FF95"/>
    <w:rsid w:val="18FF250B"/>
    <w:rsid w:val="1901BD45"/>
    <w:rsid w:val="19521ACE"/>
    <w:rsid w:val="196D2089"/>
    <w:rsid w:val="19747BF2"/>
    <w:rsid w:val="19B80A05"/>
    <w:rsid w:val="19BADA59"/>
    <w:rsid w:val="19F817BF"/>
    <w:rsid w:val="1A416535"/>
    <w:rsid w:val="1A6D74BA"/>
    <w:rsid w:val="1A8B6ECF"/>
    <w:rsid w:val="1AB4ED57"/>
    <w:rsid w:val="1B1FA3A0"/>
    <w:rsid w:val="1B49943C"/>
    <w:rsid w:val="1B600A21"/>
    <w:rsid w:val="1BA9ABB6"/>
    <w:rsid w:val="1BAE5B99"/>
    <w:rsid w:val="1BB3959A"/>
    <w:rsid w:val="1BB9E3CA"/>
    <w:rsid w:val="1BF7E35D"/>
    <w:rsid w:val="1C02C801"/>
    <w:rsid w:val="1C076A13"/>
    <w:rsid w:val="1C087359"/>
    <w:rsid w:val="1C0C5B44"/>
    <w:rsid w:val="1C1497E2"/>
    <w:rsid w:val="1CAF0FBE"/>
    <w:rsid w:val="1CB4D0C8"/>
    <w:rsid w:val="1CB4FCDC"/>
    <w:rsid w:val="1D075FB3"/>
    <w:rsid w:val="1D233F31"/>
    <w:rsid w:val="1D3C69D1"/>
    <w:rsid w:val="1D3CF158"/>
    <w:rsid w:val="1D4C68C3"/>
    <w:rsid w:val="1DB43433"/>
    <w:rsid w:val="1DC6D6C2"/>
    <w:rsid w:val="1DCE8334"/>
    <w:rsid w:val="1DD0F09B"/>
    <w:rsid w:val="1DE5970B"/>
    <w:rsid w:val="1DFA4712"/>
    <w:rsid w:val="1E273701"/>
    <w:rsid w:val="1E3BA19E"/>
    <w:rsid w:val="1E46C281"/>
    <w:rsid w:val="1E47B26A"/>
    <w:rsid w:val="1E498D5A"/>
    <w:rsid w:val="1EC5D1FE"/>
    <w:rsid w:val="1ECC08A6"/>
    <w:rsid w:val="1ED08D4B"/>
    <w:rsid w:val="1ED3BE76"/>
    <w:rsid w:val="1EEE6C94"/>
    <w:rsid w:val="1F0F6EC4"/>
    <w:rsid w:val="1F63282F"/>
    <w:rsid w:val="1F854532"/>
    <w:rsid w:val="1F8E7009"/>
    <w:rsid w:val="1FA09B85"/>
    <w:rsid w:val="1FA878CB"/>
    <w:rsid w:val="1FACEB04"/>
    <w:rsid w:val="1FB13CD3"/>
    <w:rsid w:val="1FB342A1"/>
    <w:rsid w:val="1FDB5DDC"/>
    <w:rsid w:val="2004F85B"/>
    <w:rsid w:val="20211768"/>
    <w:rsid w:val="203F054B"/>
    <w:rsid w:val="2041D684"/>
    <w:rsid w:val="2047ECC4"/>
    <w:rsid w:val="206BE052"/>
    <w:rsid w:val="209BA989"/>
    <w:rsid w:val="20A38520"/>
    <w:rsid w:val="20C4B8DE"/>
    <w:rsid w:val="210F7BFA"/>
    <w:rsid w:val="210F8583"/>
    <w:rsid w:val="215B765C"/>
    <w:rsid w:val="216F0684"/>
    <w:rsid w:val="21A55E1C"/>
    <w:rsid w:val="21A5AA23"/>
    <w:rsid w:val="21CAE6EB"/>
    <w:rsid w:val="2234F1E7"/>
    <w:rsid w:val="2242D66B"/>
    <w:rsid w:val="226CBC6E"/>
    <w:rsid w:val="227454A8"/>
    <w:rsid w:val="22799062"/>
    <w:rsid w:val="227FBDBA"/>
    <w:rsid w:val="228A9500"/>
    <w:rsid w:val="22A956AC"/>
    <w:rsid w:val="22AF65F2"/>
    <w:rsid w:val="2309C79D"/>
    <w:rsid w:val="2320D401"/>
    <w:rsid w:val="23317CF7"/>
    <w:rsid w:val="233A7EE9"/>
    <w:rsid w:val="233E0CE2"/>
    <w:rsid w:val="235EAF54"/>
    <w:rsid w:val="238D2F27"/>
    <w:rsid w:val="23A11622"/>
    <w:rsid w:val="23A5689F"/>
    <w:rsid w:val="23CE91D5"/>
    <w:rsid w:val="242D7744"/>
    <w:rsid w:val="24345956"/>
    <w:rsid w:val="247BFACA"/>
    <w:rsid w:val="24B51FB0"/>
    <w:rsid w:val="25004C88"/>
    <w:rsid w:val="257E3A94"/>
    <w:rsid w:val="2594F190"/>
    <w:rsid w:val="25AD0B33"/>
    <w:rsid w:val="25AE5661"/>
    <w:rsid w:val="25CF9D1C"/>
    <w:rsid w:val="264194C9"/>
    <w:rsid w:val="2653F156"/>
    <w:rsid w:val="265ACEAF"/>
    <w:rsid w:val="265BDF22"/>
    <w:rsid w:val="2664A495"/>
    <w:rsid w:val="26AB4FF1"/>
    <w:rsid w:val="26AB8B17"/>
    <w:rsid w:val="26C2094C"/>
    <w:rsid w:val="26DCBB04"/>
    <w:rsid w:val="26F5EE03"/>
    <w:rsid w:val="271365B2"/>
    <w:rsid w:val="277FFF69"/>
    <w:rsid w:val="27A88597"/>
    <w:rsid w:val="27DEC602"/>
    <w:rsid w:val="281ACFD1"/>
    <w:rsid w:val="281BB6B5"/>
    <w:rsid w:val="285768CD"/>
    <w:rsid w:val="28610E52"/>
    <w:rsid w:val="28784BF1"/>
    <w:rsid w:val="2881C805"/>
    <w:rsid w:val="2899756C"/>
    <w:rsid w:val="28A709E4"/>
    <w:rsid w:val="28EB95F6"/>
    <w:rsid w:val="28EE9FF3"/>
    <w:rsid w:val="28FE6138"/>
    <w:rsid w:val="290C86C8"/>
    <w:rsid w:val="291F3998"/>
    <w:rsid w:val="29249EBB"/>
    <w:rsid w:val="2924D503"/>
    <w:rsid w:val="2928B4EC"/>
    <w:rsid w:val="292F8AB9"/>
    <w:rsid w:val="293A2ACD"/>
    <w:rsid w:val="293DB3D7"/>
    <w:rsid w:val="297392F3"/>
    <w:rsid w:val="297A67E7"/>
    <w:rsid w:val="29901FEC"/>
    <w:rsid w:val="29CD404E"/>
    <w:rsid w:val="29E240B0"/>
    <w:rsid w:val="29EBDBEB"/>
    <w:rsid w:val="2A37466A"/>
    <w:rsid w:val="2A595CCE"/>
    <w:rsid w:val="2A715702"/>
    <w:rsid w:val="2A955747"/>
    <w:rsid w:val="2AB750A9"/>
    <w:rsid w:val="2ACF549C"/>
    <w:rsid w:val="2AFBC6C8"/>
    <w:rsid w:val="2B0924E9"/>
    <w:rsid w:val="2B1A6B1B"/>
    <w:rsid w:val="2B31975B"/>
    <w:rsid w:val="2B3AFFCB"/>
    <w:rsid w:val="2B3CDC94"/>
    <w:rsid w:val="2B3D0337"/>
    <w:rsid w:val="2BB0CC57"/>
    <w:rsid w:val="2BD27145"/>
    <w:rsid w:val="2C078E28"/>
    <w:rsid w:val="2C270D5D"/>
    <w:rsid w:val="2C310722"/>
    <w:rsid w:val="2C4B5382"/>
    <w:rsid w:val="2C79A4A6"/>
    <w:rsid w:val="2C91C973"/>
    <w:rsid w:val="2CB40639"/>
    <w:rsid w:val="2CF04889"/>
    <w:rsid w:val="2CF3B67E"/>
    <w:rsid w:val="2D1583AD"/>
    <w:rsid w:val="2D2A97B0"/>
    <w:rsid w:val="2D2BA76F"/>
    <w:rsid w:val="2D83A7D9"/>
    <w:rsid w:val="2D8F7159"/>
    <w:rsid w:val="2D92D95C"/>
    <w:rsid w:val="2DA393DA"/>
    <w:rsid w:val="2DB0A5BD"/>
    <w:rsid w:val="2DC8E455"/>
    <w:rsid w:val="2DDDEF91"/>
    <w:rsid w:val="2E071BD2"/>
    <w:rsid w:val="2E2C95D8"/>
    <w:rsid w:val="2E332625"/>
    <w:rsid w:val="2E57AF92"/>
    <w:rsid w:val="2E9A296B"/>
    <w:rsid w:val="2EBC0E9E"/>
    <w:rsid w:val="2EDEAA71"/>
    <w:rsid w:val="2EE514C2"/>
    <w:rsid w:val="2F258912"/>
    <w:rsid w:val="2F3FC2AB"/>
    <w:rsid w:val="2F4A9D0A"/>
    <w:rsid w:val="2F58630C"/>
    <w:rsid w:val="2F5A6629"/>
    <w:rsid w:val="2F79EF41"/>
    <w:rsid w:val="2F92B0C1"/>
    <w:rsid w:val="2FC35E39"/>
    <w:rsid w:val="2FC66616"/>
    <w:rsid w:val="2FD1075A"/>
    <w:rsid w:val="2FD96A63"/>
    <w:rsid w:val="301037EC"/>
    <w:rsid w:val="302706BB"/>
    <w:rsid w:val="305CC0E3"/>
    <w:rsid w:val="306F3274"/>
    <w:rsid w:val="30837A80"/>
    <w:rsid w:val="308C4023"/>
    <w:rsid w:val="30A4514C"/>
    <w:rsid w:val="30B30034"/>
    <w:rsid w:val="30BB498C"/>
    <w:rsid w:val="30E76E82"/>
    <w:rsid w:val="30F33745"/>
    <w:rsid w:val="31239F4F"/>
    <w:rsid w:val="3143FA8F"/>
    <w:rsid w:val="31709A40"/>
    <w:rsid w:val="3185CF17"/>
    <w:rsid w:val="318D906F"/>
    <w:rsid w:val="31A176B8"/>
    <w:rsid w:val="31B1498D"/>
    <w:rsid w:val="31DF6DA8"/>
    <w:rsid w:val="31EF4F1A"/>
    <w:rsid w:val="321AC8E9"/>
    <w:rsid w:val="321F2F91"/>
    <w:rsid w:val="324301E8"/>
    <w:rsid w:val="32551E2F"/>
    <w:rsid w:val="3292CC78"/>
    <w:rsid w:val="331E71CF"/>
    <w:rsid w:val="333DD5EC"/>
    <w:rsid w:val="336A13A3"/>
    <w:rsid w:val="337D3873"/>
    <w:rsid w:val="3382A66B"/>
    <w:rsid w:val="338C06E6"/>
    <w:rsid w:val="33F5F532"/>
    <w:rsid w:val="33FE8B68"/>
    <w:rsid w:val="3416D3D7"/>
    <w:rsid w:val="342C7153"/>
    <w:rsid w:val="34427CA5"/>
    <w:rsid w:val="344B6F7B"/>
    <w:rsid w:val="3452520C"/>
    <w:rsid w:val="3470043F"/>
    <w:rsid w:val="34791F87"/>
    <w:rsid w:val="347A0E90"/>
    <w:rsid w:val="347A9396"/>
    <w:rsid w:val="348EABE6"/>
    <w:rsid w:val="34A99448"/>
    <w:rsid w:val="34AB4C8B"/>
    <w:rsid w:val="3513D147"/>
    <w:rsid w:val="35176182"/>
    <w:rsid w:val="356E0286"/>
    <w:rsid w:val="358FC282"/>
    <w:rsid w:val="35952636"/>
    <w:rsid w:val="35BBD0EA"/>
    <w:rsid w:val="35D48DF1"/>
    <w:rsid w:val="35EB566E"/>
    <w:rsid w:val="35FEBD4B"/>
    <w:rsid w:val="3610EE74"/>
    <w:rsid w:val="362EC69A"/>
    <w:rsid w:val="363D30BE"/>
    <w:rsid w:val="363E0130"/>
    <w:rsid w:val="36613CCB"/>
    <w:rsid w:val="366EB77D"/>
    <w:rsid w:val="36A7A1BB"/>
    <w:rsid w:val="36AC6C68"/>
    <w:rsid w:val="36AFE1D1"/>
    <w:rsid w:val="36B71D59"/>
    <w:rsid w:val="36CEB281"/>
    <w:rsid w:val="36D5966A"/>
    <w:rsid w:val="36E8B55E"/>
    <w:rsid w:val="36F3D16E"/>
    <w:rsid w:val="372A91B6"/>
    <w:rsid w:val="3740714E"/>
    <w:rsid w:val="37526725"/>
    <w:rsid w:val="3765C97F"/>
    <w:rsid w:val="37A8CAD6"/>
    <w:rsid w:val="37C0B5DA"/>
    <w:rsid w:val="37D52E0C"/>
    <w:rsid w:val="37D557B9"/>
    <w:rsid w:val="3821F6FF"/>
    <w:rsid w:val="38381053"/>
    <w:rsid w:val="3867F43D"/>
    <w:rsid w:val="38797107"/>
    <w:rsid w:val="38BD2470"/>
    <w:rsid w:val="39233813"/>
    <w:rsid w:val="3986D21C"/>
    <w:rsid w:val="399868D7"/>
    <w:rsid w:val="39A3361F"/>
    <w:rsid w:val="39A97DF2"/>
    <w:rsid w:val="3A01CA2C"/>
    <w:rsid w:val="3A16E945"/>
    <w:rsid w:val="3A2E3D58"/>
    <w:rsid w:val="3A36278A"/>
    <w:rsid w:val="3A4478D8"/>
    <w:rsid w:val="3A9BCC48"/>
    <w:rsid w:val="3AD9F688"/>
    <w:rsid w:val="3AF8D4B9"/>
    <w:rsid w:val="3B095153"/>
    <w:rsid w:val="3B1EB214"/>
    <w:rsid w:val="3B5A7A3C"/>
    <w:rsid w:val="3B6233D3"/>
    <w:rsid w:val="3B7EA8BE"/>
    <w:rsid w:val="3BEAFA2B"/>
    <w:rsid w:val="3C0637DE"/>
    <w:rsid w:val="3C0CA217"/>
    <w:rsid w:val="3C2A6309"/>
    <w:rsid w:val="3C4483D1"/>
    <w:rsid w:val="3C5C7967"/>
    <w:rsid w:val="3CB7388E"/>
    <w:rsid w:val="3D1F7F7C"/>
    <w:rsid w:val="3D4216BD"/>
    <w:rsid w:val="3D625DC5"/>
    <w:rsid w:val="3D64826E"/>
    <w:rsid w:val="3D74621C"/>
    <w:rsid w:val="3DCFE90A"/>
    <w:rsid w:val="3DFB2FFA"/>
    <w:rsid w:val="3E0F1871"/>
    <w:rsid w:val="3E1CA077"/>
    <w:rsid w:val="3E4C10C2"/>
    <w:rsid w:val="3E8FF776"/>
    <w:rsid w:val="3E93FC24"/>
    <w:rsid w:val="3EAFA9D1"/>
    <w:rsid w:val="3EC31624"/>
    <w:rsid w:val="3ED214E4"/>
    <w:rsid w:val="3EDA7802"/>
    <w:rsid w:val="3EDE756A"/>
    <w:rsid w:val="3F00EE3B"/>
    <w:rsid w:val="3F1ECA87"/>
    <w:rsid w:val="3F29D545"/>
    <w:rsid w:val="3FA57B7C"/>
    <w:rsid w:val="3FCCE266"/>
    <w:rsid w:val="3FD03FFD"/>
    <w:rsid w:val="3FE50A39"/>
    <w:rsid w:val="3FEC46BC"/>
    <w:rsid w:val="3FF5738B"/>
    <w:rsid w:val="3FFCC21E"/>
    <w:rsid w:val="403E6B36"/>
    <w:rsid w:val="4046D712"/>
    <w:rsid w:val="408A9076"/>
    <w:rsid w:val="408F905B"/>
    <w:rsid w:val="40900C1A"/>
    <w:rsid w:val="409596BD"/>
    <w:rsid w:val="40A8DC79"/>
    <w:rsid w:val="40BF108D"/>
    <w:rsid w:val="40CF2A7A"/>
    <w:rsid w:val="41272415"/>
    <w:rsid w:val="413F5139"/>
    <w:rsid w:val="41622B8E"/>
    <w:rsid w:val="416CC91A"/>
    <w:rsid w:val="417300FE"/>
    <w:rsid w:val="41AD2224"/>
    <w:rsid w:val="41C51595"/>
    <w:rsid w:val="41DAC727"/>
    <w:rsid w:val="41E105BA"/>
    <w:rsid w:val="41EEB78F"/>
    <w:rsid w:val="4222CCE0"/>
    <w:rsid w:val="425B8936"/>
    <w:rsid w:val="4272B7D5"/>
    <w:rsid w:val="427A483E"/>
    <w:rsid w:val="4282EE03"/>
    <w:rsid w:val="42922DA8"/>
    <w:rsid w:val="42A1A7DE"/>
    <w:rsid w:val="42EE0666"/>
    <w:rsid w:val="42F796A9"/>
    <w:rsid w:val="431D18A1"/>
    <w:rsid w:val="432E7934"/>
    <w:rsid w:val="4331CC6F"/>
    <w:rsid w:val="4358EBAD"/>
    <w:rsid w:val="435912F3"/>
    <w:rsid w:val="43C7A5DD"/>
    <w:rsid w:val="43C843A3"/>
    <w:rsid w:val="43F272D1"/>
    <w:rsid w:val="43FC8E95"/>
    <w:rsid w:val="43FD726D"/>
    <w:rsid w:val="4401F0E8"/>
    <w:rsid w:val="4407B23E"/>
    <w:rsid w:val="442732B9"/>
    <w:rsid w:val="44392C66"/>
    <w:rsid w:val="445E6931"/>
    <w:rsid w:val="44BA9618"/>
    <w:rsid w:val="44C3E779"/>
    <w:rsid w:val="44DB6D3A"/>
    <w:rsid w:val="44DC6D7B"/>
    <w:rsid w:val="451FCCE5"/>
    <w:rsid w:val="4537E74E"/>
    <w:rsid w:val="45529439"/>
    <w:rsid w:val="45644906"/>
    <w:rsid w:val="459CE59C"/>
    <w:rsid w:val="45E6CA3A"/>
    <w:rsid w:val="45FB4FD0"/>
    <w:rsid w:val="45FC3ADE"/>
    <w:rsid w:val="4608B617"/>
    <w:rsid w:val="4643E881"/>
    <w:rsid w:val="4658FDEC"/>
    <w:rsid w:val="46595A03"/>
    <w:rsid w:val="466BEFDE"/>
    <w:rsid w:val="4684CEA5"/>
    <w:rsid w:val="46AD6466"/>
    <w:rsid w:val="46E13063"/>
    <w:rsid w:val="46EA2CB4"/>
    <w:rsid w:val="470345C5"/>
    <w:rsid w:val="471523A1"/>
    <w:rsid w:val="47176464"/>
    <w:rsid w:val="471FFFB9"/>
    <w:rsid w:val="4726F0A2"/>
    <w:rsid w:val="47346304"/>
    <w:rsid w:val="474832AD"/>
    <w:rsid w:val="4793441D"/>
    <w:rsid w:val="47E3FB07"/>
    <w:rsid w:val="47F36DC1"/>
    <w:rsid w:val="47FFAC0C"/>
    <w:rsid w:val="4801CE2D"/>
    <w:rsid w:val="4812BC40"/>
    <w:rsid w:val="48209F06"/>
    <w:rsid w:val="4836D2C7"/>
    <w:rsid w:val="4837E08F"/>
    <w:rsid w:val="485F10B2"/>
    <w:rsid w:val="48614E32"/>
    <w:rsid w:val="48F030AA"/>
    <w:rsid w:val="4900FA6F"/>
    <w:rsid w:val="4910A489"/>
    <w:rsid w:val="4911B031"/>
    <w:rsid w:val="491F8FB9"/>
    <w:rsid w:val="4921B18C"/>
    <w:rsid w:val="493FE0D6"/>
    <w:rsid w:val="4951006E"/>
    <w:rsid w:val="4968BE04"/>
    <w:rsid w:val="496A98FE"/>
    <w:rsid w:val="49BC6F67"/>
    <w:rsid w:val="49E86CEF"/>
    <w:rsid w:val="4A03787A"/>
    <w:rsid w:val="4A0998E0"/>
    <w:rsid w:val="4A125983"/>
    <w:rsid w:val="4A127EA6"/>
    <w:rsid w:val="4A1CBB1C"/>
    <w:rsid w:val="4A47448B"/>
    <w:rsid w:val="4A5CD550"/>
    <w:rsid w:val="4A892934"/>
    <w:rsid w:val="4A8FD901"/>
    <w:rsid w:val="4A939CCD"/>
    <w:rsid w:val="4AA09A2F"/>
    <w:rsid w:val="4ABF3E32"/>
    <w:rsid w:val="4ADB0539"/>
    <w:rsid w:val="4B0B8DD7"/>
    <w:rsid w:val="4B4A5D02"/>
    <w:rsid w:val="4B59D888"/>
    <w:rsid w:val="4B85B15E"/>
    <w:rsid w:val="4B88BC2B"/>
    <w:rsid w:val="4BC477E4"/>
    <w:rsid w:val="4BDEFDF1"/>
    <w:rsid w:val="4C2BB0BF"/>
    <w:rsid w:val="4C3EE09F"/>
    <w:rsid w:val="4C3F775D"/>
    <w:rsid w:val="4C7CA582"/>
    <w:rsid w:val="4C91C0A3"/>
    <w:rsid w:val="4CD971BF"/>
    <w:rsid w:val="4D19D504"/>
    <w:rsid w:val="4D41269E"/>
    <w:rsid w:val="4D4CCB32"/>
    <w:rsid w:val="4D58634A"/>
    <w:rsid w:val="4D69720F"/>
    <w:rsid w:val="4D7EE54D"/>
    <w:rsid w:val="4D964D64"/>
    <w:rsid w:val="4DD6FD18"/>
    <w:rsid w:val="4DF87A9B"/>
    <w:rsid w:val="4E099B3E"/>
    <w:rsid w:val="4E4DB2CE"/>
    <w:rsid w:val="4E58787A"/>
    <w:rsid w:val="4E5EEE0A"/>
    <w:rsid w:val="4E77ADC1"/>
    <w:rsid w:val="4E898D46"/>
    <w:rsid w:val="4EE43552"/>
    <w:rsid w:val="4F0765B0"/>
    <w:rsid w:val="4F0DCBB9"/>
    <w:rsid w:val="4F12D142"/>
    <w:rsid w:val="4F6098F6"/>
    <w:rsid w:val="4F61AA9A"/>
    <w:rsid w:val="4F798834"/>
    <w:rsid w:val="4F7B517A"/>
    <w:rsid w:val="4F9B9D14"/>
    <w:rsid w:val="4F9BC204"/>
    <w:rsid w:val="4FA7F513"/>
    <w:rsid w:val="4FBACD84"/>
    <w:rsid w:val="4FCEDAFD"/>
    <w:rsid w:val="5022CFEC"/>
    <w:rsid w:val="505F5071"/>
    <w:rsid w:val="50BE8928"/>
    <w:rsid w:val="50C2CD18"/>
    <w:rsid w:val="5119E0C0"/>
    <w:rsid w:val="511A02F6"/>
    <w:rsid w:val="511F5231"/>
    <w:rsid w:val="51501426"/>
    <w:rsid w:val="51548701"/>
    <w:rsid w:val="51895326"/>
    <w:rsid w:val="5193B558"/>
    <w:rsid w:val="51C5F284"/>
    <w:rsid w:val="51CADD4D"/>
    <w:rsid w:val="51FAC8C4"/>
    <w:rsid w:val="521F6AD3"/>
    <w:rsid w:val="523E8050"/>
    <w:rsid w:val="52C2FEAF"/>
    <w:rsid w:val="52E0F448"/>
    <w:rsid w:val="52E4DDF9"/>
    <w:rsid w:val="52E9B4EC"/>
    <w:rsid w:val="532E4CFE"/>
    <w:rsid w:val="5399962E"/>
    <w:rsid w:val="53A9DE12"/>
    <w:rsid w:val="53AD76D6"/>
    <w:rsid w:val="53BDA268"/>
    <w:rsid w:val="53C85928"/>
    <w:rsid w:val="53CDE405"/>
    <w:rsid w:val="53D358EF"/>
    <w:rsid w:val="53DED80F"/>
    <w:rsid w:val="540AC78A"/>
    <w:rsid w:val="544C407D"/>
    <w:rsid w:val="548A54B2"/>
    <w:rsid w:val="54A35D1E"/>
    <w:rsid w:val="54B9B88A"/>
    <w:rsid w:val="54C25DA9"/>
    <w:rsid w:val="54D887D2"/>
    <w:rsid w:val="550D51FC"/>
    <w:rsid w:val="551AEFDF"/>
    <w:rsid w:val="554EBCE4"/>
    <w:rsid w:val="555A34AB"/>
    <w:rsid w:val="55692098"/>
    <w:rsid w:val="559F084A"/>
    <w:rsid w:val="55B28A8C"/>
    <w:rsid w:val="55D6203F"/>
    <w:rsid w:val="55E262CD"/>
    <w:rsid w:val="560421DA"/>
    <w:rsid w:val="562155AE"/>
    <w:rsid w:val="5627D9D6"/>
    <w:rsid w:val="5643DD6A"/>
    <w:rsid w:val="56468E05"/>
    <w:rsid w:val="56660B46"/>
    <w:rsid w:val="56706BD7"/>
    <w:rsid w:val="5672AC83"/>
    <w:rsid w:val="5674E414"/>
    <w:rsid w:val="568765C8"/>
    <w:rsid w:val="5691514F"/>
    <w:rsid w:val="5696048D"/>
    <w:rsid w:val="56B24DA1"/>
    <w:rsid w:val="570F607A"/>
    <w:rsid w:val="572AF5D4"/>
    <w:rsid w:val="5739624F"/>
    <w:rsid w:val="5767AA3F"/>
    <w:rsid w:val="57759AC5"/>
    <w:rsid w:val="578310E2"/>
    <w:rsid w:val="578BE2AD"/>
    <w:rsid w:val="5796A854"/>
    <w:rsid w:val="579FF23B"/>
    <w:rsid w:val="57D9B763"/>
    <w:rsid w:val="57DE54AA"/>
    <w:rsid w:val="57E15965"/>
    <w:rsid w:val="57E547D5"/>
    <w:rsid w:val="5801ABE6"/>
    <w:rsid w:val="58073093"/>
    <w:rsid w:val="5815D8AF"/>
    <w:rsid w:val="5823CC56"/>
    <w:rsid w:val="58268B82"/>
    <w:rsid w:val="585564FF"/>
    <w:rsid w:val="587A2652"/>
    <w:rsid w:val="588188DC"/>
    <w:rsid w:val="5883C069"/>
    <w:rsid w:val="58BB05F9"/>
    <w:rsid w:val="58C5C007"/>
    <w:rsid w:val="58CED0D5"/>
    <w:rsid w:val="58CFA2F7"/>
    <w:rsid w:val="590AE54A"/>
    <w:rsid w:val="590DF55B"/>
    <w:rsid w:val="5915A59F"/>
    <w:rsid w:val="5953EB1A"/>
    <w:rsid w:val="595A8670"/>
    <w:rsid w:val="5971E497"/>
    <w:rsid w:val="59992386"/>
    <w:rsid w:val="59A61689"/>
    <w:rsid w:val="59A7B4FE"/>
    <w:rsid w:val="59DAD641"/>
    <w:rsid w:val="59F1C240"/>
    <w:rsid w:val="5A3BEAC2"/>
    <w:rsid w:val="5A443FF8"/>
    <w:rsid w:val="5A489E9F"/>
    <w:rsid w:val="5A499235"/>
    <w:rsid w:val="5A6965F2"/>
    <w:rsid w:val="5A7659EE"/>
    <w:rsid w:val="5A76C156"/>
    <w:rsid w:val="5A78C505"/>
    <w:rsid w:val="5A8FB8DD"/>
    <w:rsid w:val="5A913B05"/>
    <w:rsid w:val="5AAF5793"/>
    <w:rsid w:val="5B124EEC"/>
    <w:rsid w:val="5B231923"/>
    <w:rsid w:val="5B2758D1"/>
    <w:rsid w:val="5B2AEF10"/>
    <w:rsid w:val="5B5982A2"/>
    <w:rsid w:val="5B6E4C35"/>
    <w:rsid w:val="5B8AAFF7"/>
    <w:rsid w:val="5B929E26"/>
    <w:rsid w:val="5BB48DFB"/>
    <w:rsid w:val="5BB9C76D"/>
    <w:rsid w:val="5BBC3A96"/>
    <w:rsid w:val="5BBE7A52"/>
    <w:rsid w:val="5BDEDBB6"/>
    <w:rsid w:val="5BF54E19"/>
    <w:rsid w:val="5C0CEDD4"/>
    <w:rsid w:val="5C1CD567"/>
    <w:rsid w:val="5C3DD713"/>
    <w:rsid w:val="5C5711F3"/>
    <w:rsid w:val="5C88828C"/>
    <w:rsid w:val="5C9F42CC"/>
    <w:rsid w:val="5CE202DD"/>
    <w:rsid w:val="5CEFF7AB"/>
    <w:rsid w:val="5CFECA05"/>
    <w:rsid w:val="5D71F935"/>
    <w:rsid w:val="5DA32A76"/>
    <w:rsid w:val="5DB92714"/>
    <w:rsid w:val="5DDB089E"/>
    <w:rsid w:val="5DE4CE89"/>
    <w:rsid w:val="5E1D6E16"/>
    <w:rsid w:val="5E2DD3EC"/>
    <w:rsid w:val="5E37F2DD"/>
    <w:rsid w:val="5E49BC44"/>
    <w:rsid w:val="5E4CDACD"/>
    <w:rsid w:val="5EA26A7D"/>
    <w:rsid w:val="5EA6CB24"/>
    <w:rsid w:val="5EBA5FEB"/>
    <w:rsid w:val="5EDF29A1"/>
    <w:rsid w:val="5EE04326"/>
    <w:rsid w:val="5EF883FF"/>
    <w:rsid w:val="5F268D40"/>
    <w:rsid w:val="5F5993C7"/>
    <w:rsid w:val="5FC1B2ED"/>
    <w:rsid w:val="5FDC7136"/>
    <w:rsid w:val="5FF6582A"/>
    <w:rsid w:val="6045A999"/>
    <w:rsid w:val="60765C0F"/>
    <w:rsid w:val="60794497"/>
    <w:rsid w:val="6081F579"/>
    <w:rsid w:val="60AFEFF4"/>
    <w:rsid w:val="6109904D"/>
    <w:rsid w:val="6158CDCE"/>
    <w:rsid w:val="615CAC27"/>
    <w:rsid w:val="61DB2177"/>
    <w:rsid w:val="61EDCD9A"/>
    <w:rsid w:val="61F2B823"/>
    <w:rsid w:val="6200C1D5"/>
    <w:rsid w:val="62066FF6"/>
    <w:rsid w:val="620F4C53"/>
    <w:rsid w:val="620F9C32"/>
    <w:rsid w:val="6227D00C"/>
    <w:rsid w:val="622FD8C4"/>
    <w:rsid w:val="624D2001"/>
    <w:rsid w:val="625F0ED5"/>
    <w:rsid w:val="62916D75"/>
    <w:rsid w:val="62AF4278"/>
    <w:rsid w:val="62BE753C"/>
    <w:rsid w:val="62C15F8A"/>
    <w:rsid w:val="62C7CC85"/>
    <w:rsid w:val="62D0C5E4"/>
    <w:rsid w:val="62F95601"/>
    <w:rsid w:val="633AB4F7"/>
    <w:rsid w:val="633CB774"/>
    <w:rsid w:val="6341FCF4"/>
    <w:rsid w:val="6385543D"/>
    <w:rsid w:val="638F1E21"/>
    <w:rsid w:val="63AB4D08"/>
    <w:rsid w:val="640B7C33"/>
    <w:rsid w:val="64886581"/>
    <w:rsid w:val="6491096B"/>
    <w:rsid w:val="649E8F0C"/>
    <w:rsid w:val="64A211BB"/>
    <w:rsid w:val="64D5C492"/>
    <w:rsid w:val="64E970E8"/>
    <w:rsid w:val="64EB6DA3"/>
    <w:rsid w:val="64FE47A4"/>
    <w:rsid w:val="650580EA"/>
    <w:rsid w:val="6508226D"/>
    <w:rsid w:val="6512EC50"/>
    <w:rsid w:val="6515210F"/>
    <w:rsid w:val="65212E72"/>
    <w:rsid w:val="653D2877"/>
    <w:rsid w:val="654047EB"/>
    <w:rsid w:val="65529C32"/>
    <w:rsid w:val="657E9D49"/>
    <w:rsid w:val="659C2E36"/>
    <w:rsid w:val="65BF3FB5"/>
    <w:rsid w:val="65C21416"/>
    <w:rsid w:val="65CED9BF"/>
    <w:rsid w:val="65CEE2F9"/>
    <w:rsid w:val="65DA750F"/>
    <w:rsid w:val="65ECEBF7"/>
    <w:rsid w:val="65F644BF"/>
    <w:rsid w:val="66301659"/>
    <w:rsid w:val="663A52F4"/>
    <w:rsid w:val="6647F544"/>
    <w:rsid w:val="66496A0B"/>
    <w:rsid w:val="66552DCF"/>
    <w:rsid w:val="665859CC"/>
    <w:rsid w:val="66887C68"/>
    <w:rsid w:val="66B55F72"/>
    <w:rsid w:val="66D0FBE4"/>
    <w:rsid w:val="6720FB8D"/>
    <w:rsid w:val="6740EC60"/>
    <w:rsid w:val="674BD411"/>
    <w:rsid w:val="67529019"/>
    <w:rsid w:val="676EDE0C"/>
    <w:rsid w:val="67F2FFF7"/>
    <w:rsid w:val="68052A07"/>
    <w:rsid w:val="6818FE66"/>
    <w:rsid w:val="6838C030"/>
    <w:rsid w:val="68430295"/>
    <w:rsid w:val="68B9665F"/>
    <w:rsid w:val="68BA7B93"/>
    <w:rsid w:val="68CBF008"/>
    <w:rsid w:val="68CF6C31"/>
    <w:rsid w:val="691A68B0"/>
    <w:rsid w:val="6931052D"/>
    <w:rsid w:val="6943146C"/>
    <w:rsid w:val="696749EE"/>
    <w:rsid w:val="69767633"/>
    <w:rsid w:val="6985E390"/>
    <w:rsid w:val="699827E2"/>
    <w:rsid w:val="699C8BA8"/>
    <w:rsid w:val="69A8A9C8"/>
    <w:rsid w:val="69AA3EAD"/>
    <w:rsid w:val="69B5C5AA"/>
    <w:rsid w:val="69C12695"/>
    <w:rsid w:val="69D53172"/>
    <w:rsid w:val="6A0BD16A"/>
    <w:rsid w:val="6A1EADF1"/>
    <w:rsid w:val="6A2773E5"/>
    <w:rsid w:val="6A2E4705"/>
    <w:rsid w:val="6A8D3349"/>
    <w:rsid w:val="6AB0F312"/>
    <w:rsid w:val="6AE21CC2"/>
    <w:rsid w:val="6B1395B3"/>
    <w:rsid w:val="6B3838BA"/>
    <w:rsid w:val="6B39D7F5"/>
    <w:rsid w:val="6B67B4C1"/>
    <w:rsid w:val="6B7101D3"/>
    <w:rsid w:val="6B961E3F"/>
    <w:rsid w:val="6B9DD45F"/>
    <w:rsid w:val="6BAF9D47"/>
    <w:rsid w:val="6BEEA875"/>
    <w:rsid w:val="6BF9EED6"/>
    <w:rsid w:val="6BFAEAEE"/>
    <w:rsid w:val="6C57C324"/>
    <w:rsid w:val="6CA224A1"/>
    <w:rsid w:val="6CCCB1A0"/>
    <w:rsid w:val="6CD620F6"/>
    <w:rsid w:val="6CE81B46"/>
    <w:rsid w:val="6CE8B740"/>
    <w:rsid w:val="6CEF4953"/>
    <w:rsid w:val="6D031AD5"/>
    <w:rsid w:val="6D0E9F38"/>
    <w:rsid w:val="6D243850"/>
    <w:rsid w:val="6D3B2CBB"/>
    <w:rsid w:val="6DB8EEBE"/>
    <w:rsid w:val="6DBCAB53"/>
    <w:rsid w:val="6DCC7468"/>
    <w:rsid w:val="6DD3E730"/>
    <w:rsid w:val="6DE41E66"/>
    <w:rsid w:val="6DFA10F4"/>
    <w:rsid w:val="6E002A22"/>
    <w:rsid w:val="6E076291"/>
    <w:rsid w:val="6E0B4144"/>
    <w:rsid w:val="6E1BAFC8"/>
    <w:rsid w:val="6E337AA8"/>
    <w:rsid w:val="6E391AC3"/>
    <w:rsid w:val="6EBB8771"/>
    <w:rsid w:val="6F0ABEC8"/>
    <w:rsid w:val="6F28CC11"/>
    <w:rsid w:val="6F3BFA07"/>
    <w:rsid w:val="6F52BA33"/>
    <w:rsid w:val="6F6952BB"/>
    <w:rsid w:val="6F69E60F"/>
    <w:rsid w:val="6F7730E0"/>
    <w:rsid w:val="6FB8ECC3"/>
    <w:rsid w:val="6FC24D9C"/>
    <w:rsid w:val="6FD45A5E"/>
    <w:rsid w:val="6FDF666D"/>
    <w:rsid w:val="6FE4D3FE"/>
    <w:rsid w:val="6FEA29E3"/>
    <w:rsid w:val="70226410"/>
    <w:rsid w:val="7038EDF4"/>
    <w:rsid w:val="70492E22"/>
    <w:rsid w:val="704BC3DB"/>
    <w:rsid w:val="705473FA"/>
    <w:rsid w:val="70CAB1B1"/>
    <w:rsid w:val="70D4B6EA"/>
    <w:rsid w:val="70DB5B30"/>
    <w:rsid w:val="71101563"/>
    <w:rsid w:val="7130713E"/>
    <w:rsid w:val="713C34C7"/>
    <w:rsid w:val="71411686"/>
    <w:rsid w:val="7143248E"/>
    <w:rsid w:val="71461FFE"/>
    <w:rsid w:val="71A2D42B"/>
    <w:rsid w:val="71B393B2"/>
    <w:rsid w:val="71F59D77"/>
    <w:rsid w:val="72149BB1"/>
    <w:rsid w:val="7235F538"/>
    <w:rsid w:val="725933C7"/>
    <w:rsid w:val="7273B82E"/>
    <w:rsid w:val="7281A740"/>
    <w:rsid w:val="7283DF39"/>
    <w:rsid w:val="72980F98"/>
    <w:rsid w:val="72B5C2C1"/>
    <w:rsid w:val="72C44B1B"/>
    <w:rsid w:val="72DF9471"/>
    <w:rsid w:val="7306D56D"/>
    <w:rsid w:val="73148C2B"/>
    <w:rsid w:val="7343F689"/>
    <w:rsid w:val="736AAD23"/>
    <w:rsid w:val="737074D6"/>
    <w:rsid w:val="7372BD8D"/>
    <w:rsid w:val="737A9543"/>
    <w:rsid w:val="738CF494"/>
    <w:rsid w:val="739F68E6"/>
    <w:rsid w:val="73FE7B9E"/>
    <w:rsid w:val="740D12EE"/>
    <w:rsid w:val="749B57FC"/>
    <w:rsid w:val="74CE89CB"/>
    <w:rsid w:val="74EBF96B"/>
    <w:rsid w:val="75418395"/>
    <w:rsid w:val="75622A73"/>
    <w:rsid w:val="75826C4F"/>
    <w:rsid w:val="75839855"/>
    <w:rsid w:val="758FD4AD"/>
    <w:rsid w:val="75AD457B"/>
    <w:rsid w:val="75E7605E"/>
    <w:rsid w:val="760ABBCB"/>
    <w:rsid w:val="76266B4D"/>
    <w:rsid w:val="763F8079"/>
    <w:rsid w:val="76563405"/>
    <w:rsid w:val="767D033C"/>
    <w:rsid w:val="76878141"/>
    <w:rsid w:val="76A55CDC"/>
    <w:rsid w:val="76CB5922"/>
    <w:rsid w:val="76EE1487"/>
    <w:rsid w:val="7704B7BD"/>
    <w:rsid w:val="772BB423"/>
    <w:rsid w:val="7735B1CA"/>
    <w:rsid w:val="773965A3"/>
    <w:rsid w:val="773CEE9D"/>
    <w:rsid w:val="77618683"/>
    <w:rsid w:val="776B5682"/>
    <w:rsid w:val="776DCD9C"/>
    <w:rsid w:val="7798B504"/>
    <w:rsid w:val="77ACE5B6"/>
    <w:rsid w:val="77B84CAD"/>
    <w:rsid w:val="77BDDB42"/>
    <w:rsid w:val="77CC0D58"/>
    <w:rsid w:val="77DD0DA3"/>
    <w:rsid w:val="77DFD333"/>
    <w:rsid w:val="77E59A99"/>
    <w:rsid w:val="78060B35"/>
    <w:rsid w:val="78070D65"/>
    <w:rsid w:val="7814F06A"/>
    <w:rsid w:val="783D13EA"/>
    <w:rsid w:val="7847CBD2"/>
    <w:rsid w:val="7851E69E"/>
    <w:rsid w:val="78573335"/>
    <w:rsid w:val="789B4D2B"/>
    <w:rsid w:val="78BAA29A"/>
    <w:rsid w:val="78EDE491"/>
    <w:rsid w:val="78FF4341"/>
    <w:rsid w:val="79168B7E"/>
    <w:rsid w:val="791E875D"/>
    <w:rsid w:val="79D8D887"/>
    <w:rsid w:val="79E3D68C"/>
    <w:rsid w:val="7A3E492C"/>
    <w:rsid w:val="7A50C8AD"/>
    <w:rsid w:val="7A736B11"/>
    <w:rsid w:val="7ABE71E4"/>
    <w:rsid w:val="7AC44FB2"/>
    <w:rsid w:val="7AD4E8B7"/>
    <w:rsid w:val="7B223E30"/>
    <w:rsid w:val="7B3C998E"/>
    <w:rsid w:val="7B466E46"/>
    <w:rsid w:val="7B63FF8F"/>
    <w:rsid w:val="7B8F27F6"/>
    <w:rsid w:val="7B960CCE"/>
    <w:rsid w:val="7BED44BD"/>
    <w:rsid w:val="7BF657BA"/>
    <w:rsid w:val="7BFBB8F4"/>
    <w:rsid w:val="7C248346"/>
    <w:rsid w:val="7C6AB359"/>
    <w:rsid w:val="7C7AD408"/>
    <w:rsid w:val="7C8134F0"/>
    <w:rsid w:val="7CAC008A"/>
    <w:rsid w:val="7CB44DAB"/>
    <w:rsid w:val="7CDFC774"/>
    <w:rsid w:val="7CF2263F"/>
    <w:rsid w:val="7CF8409A"/>
    <w:rsid w:val="7CFC198D"/>
    <w:rsid w:val="7D139F44"/>
    <w:rsid w:val="7D1446D6"/>
    <w:rsid w:val="7D252D32"/>
    <w:rsid w:val="7D283B3B"/>
    <w:rsid w:val="7D6C8E15"/>
    <w:rsid w:val="7D9E2D3A"/>
    <w:rsid w:val="7DC4EE8E"/>
    <w:rsid w:val="7DDF72FE"/>
    <w:rsid w:val="7E016C93"/>
    <w:rsid w:val="7E1F241C"/>
    <w:rsid w:val="7E546750"/>
    <w:rsid w:val="7E64C381"/>
    <w:rsid w:val="7E6BE053"/>
    <w:rsid w:val="7E84903E"/>
    <w:rsid w:val="7EA4C105"/>
    <w:rsid w:val="7EA9B611"/>
    <w:rsid w:val="7EC468E3"/>
    <w:rsid w:val="7EDC3D30"/>
    <w:rsid w:val="7EDD388D"/>
    <w:rsid w:val="7EDE74C3"/>
    <w:rsid w:val="7EE1F69E"/>
    <w:rsid w:val="7EEF333E"/>
    <w:rsid w:val="7F086E16"/>
    <w:rsid w:val="7F12D7E0"/>
    <w:rsid w:val="7F3BB2E5"/>
    <w:rsid w:val="7F3BC118"/>
    <w:rsid w:val="7F3C5580"/>
    <w:rsid w:val="7FB70324"/>
    <w:rsid w:val="7FBAFC29"/>
    <w:rsid w:val="7FC90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B04EA1B-A599-444A-97F9-20C68A23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ide">
    <w:name w:val="Conside"/>
    <w:basedOn w:val="Formuledadoption"/>
  </w:style>
  <w:style w:type="character" w:styleId="Hyperlink">
    <w:name w:val="Hyperlink"/>
    <w:uiPriority w:val="99"/>
    <w:rPr>
      <w:color w:val="0000FF"/>
      <w:u w:val="single"/>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5"/>
      </w:numPr>
      <w:contextualSpacing/>
    </w:pPr>
  </w:style>
  <w:style w:type="paragraph" w:styleId="ListNumber2">
    <w:name w:val="List Number 2"/>
    <w:basedOn w:val="Normal"/>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nhideWhenUsed/>
    <w:pPr>
      <w:numPr>
        <w:numId w:val="8"/>
      </w:numPr>
      <w:contextualSpacing/>
    </w:p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pPr>
      <w:spacing w:before="0" w:after="0"/>
      <w:ind w:left="720"/>
      <w:jc w:val="left"/>
    </w:pPr>
    <w:rPr>
      <w:rFonts w:ascii="Calibri" w:hAnsi="Calibri"/>
      <w:sz w:val="22"/>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nhideWhenUsed/>
    <w:rPr>
      <w:color w:val="800080" w:themeColor="followedHyperlink"/>
      <w:u w:val="single"/>
    </w:rPr>
  </w:style>
  <w:style w:type="paragraph" w:customStyle="1" w:styleId="Footn">
    <w:name w:val="Footn"/>
    <w:basedOn w:val="FootnoteText"/>
  </w:style>
  <w:style w:type="paragraph" w:customStyle="1" w:styleId="title-doc-first">
    <w:name w:val="title-doc-first"/>
    <w:basedOn w:val="Normal"/>
    <w:rsid w:val="00017650"/>
    <w:pPr>
      <w:spacing w:before="100" w:beforeAutospacing="1" w:after="100" w:afterAutospacing="1"/>
      <w:jc w:val="left"/>
    </w:pPr>
    <w:rPr>
      <w:rFonts w:eastAsia="Times New Roman"/>
      <w:szCs w:val="24"/>
      <w:lang w:eastAsia="en-GB"/>
    </w:rPr>
  </w:style>
  <w:style w:type="paragraph" w:customStyle="1" w:styleId="title-doc-last">
    <w:name w:val="title-doc-last"/>
    <w:basedOn w:val="Normal"/>
    <w:rsid w:val="00017650"/>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C224F3"/>
    <w:pPr>
      <w:spacing w:before="100" w:beforeAutospacing="1" w:after="100" w:afterAutospacing="1"/>
      <w:jc w:val="left"/>
    </w:pPr>
    <w:rPr>
      <w:rFonts w:eastAsia="Times New Roman"/>
      <w:szCs w:val="24"/>
      <w:lang w:eastAsia="en-GB"/>
    </w:rPr>
  </w:style>
  <w:style w:type="paragraph" w:customStyle="1" w:styleId="Time">
    <w:name w:val="Time"/>
    <w:basedOn w:val="Normal"/>
    <w:rsid w:val="004162A2"/>
    <w:rPr>
      <w:rFonts w:eastAsia="Times New Roman"/>
      <w:szCs w:val="24"/>
      <w:lang w:eastAsia="de-DE"/>
    </w:rPr>
  </w:style>
  <w:style w:type="character" w:customStyle="1" w:styleId="UnresolvedMention">
    <w:name w:val="Unresolved Mention"/>
    <w:basedOn w:val="DefaultParagraphFont"/>
    <w:uiPriority w:val="99"/>
    <w:unhideWhenUsed/>
    <w:rsid w:val="00C44530"/>
    <w:rPr>
      <w:color w:val="605E5C"/>
      <w:shd w:val="clear" w:color="auto" w:fill="E1DFDD"/>
    </w:rPr>
  </w:style>
  <w:style w:type="character" w:customStyle="1" w:styleId="Mention">
    <w:name w:val="Mention"/>
    <w:basedOn w:val="DefaultParagraphFont"/>
    <w:uiPriority w:val="99"/>
    <w:unhideWhenUsed/>
    <w:rsid w:val="00C44530"/>
    <w:rPr>
      <w:color w:val="2B579A"/>
      <w:shd w:val="clear" w:color="auto" w:fill="E1DFDD"/>
    </w:rPr>
  </w:style>
  <w:style w:type="paragraph" w:customStyle="1" w:styleId="li">
    <w:name w:val="li"/>
    <w:basedOn w:val="Normal"/>
    <w:rsid w:val="0066505B"/>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66505B"/>
  </w:style>
  <w:style w:type="character" w:customStyle="1" w:styleId="Mention1">
    <w:name w:val="Mention1"/>
    <w:basedOn w:val="DefaultParagraphFont"/>
    <w:uiPriority w:val="99"/>
    <w:unhideWhenUsed/>
    <w:rsid w:val="00E36005"/>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E36005"/>
    <w:rPr>
      <w:rFonts w:ascii="Calibri" w:hAnsi="Calibri" w:cs="Times New Roman"/>
      <w:lang w:val="ro-RO"/>
    </w:rPr>
  </w:style>
  <w:style w:type="paragraph" w:customStyle="1" w:styleId="oj-normal">
    <w:name w:val="oj-normal"/>
    <w:basedOn w:val="Normal"/>
    <w:rsid w:val="00E36005"/>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36005"/>
    <w:rPr>
      <w:color w:val="605E5C"/>
      <w:shd w:val="clear" w:color="auto" w:fill="E1DFDD"/>
    </w:rPr>
  </w:style>
  <w:style w:type="character" w:styleId="Emphasis">
    <w:name w:val="Emphasis"/>
    <w:basedOn w:val="DefaultParagraphFont"/>
    <w:qFormat/>
    <w:rsid w:val="00E36005"/>
    <w:rPr>
      <w:i/>
      <w:iCs/>
    </w:rPr>
  </w:style>
  <w:style w:type="paragraph" w:customStyle="1" w:styleId="ManualNumPar110">
    <w:name w:val="Manual NumPar 110"/>
    <w:basedOn w:val="Normal"/>
    <w:next w:val="Text1"/>
    <w:rsid w:val="00E36005"/>
    <w:pPr>
      <w:ind w:left="850" w:hanging="850"/>
    </w:pPr>
  </w:style>
  <w:style w:type="paragraph" w:customStyle="1" w:styleId="ListBullet1">
    <w:name w:val="List Bullet 1"/>
    <w:basedOn w:val="Normal"/>
    <w:rsid w:val="00E36005"/>
    <w:pPr>
      <w:numPr>
        <w:numId w:val="20"/>
      </w:numPr>
    </w:pPr>
    <w:rPr>
      <w:rFonts w:eastAsia="Times New Roman"/>
      <w:lang w:eastAsia="de-DE"/>
    </w:rPr>
  </w:style>
  <w:style w:type="paragraph" w:customStyle="1" w:styleId="ListDash">
    <w:name w:val="List Dash"/>
    <w:basedOn w:val="Normal"/>
    <w:rsid w:val="00E36005"/>
    <w:pPr>
      <w:numPr>
        <w:numId w:val="21"/>
      </w:numPr>
    </w:pPr>
    <w:rPr>
      <w:rFonts w:eastAsia="Times New Roman"/>
      <w:lang w:eastAsia="de-DE"/>
    </w:rPr>
  </w:style>
  <w:style w:type="paragraph" w:customStyle="1" w:styleId="ListDash1">
    <w:name w:val="List Dash 1"/>
    <w:basedOn w:val="Normal"/>
    <w:rsid w:val="00E36005"/>
    <w:pPr>
      <w:numPr>
        <w:numId w:val="22"/>
      </w:numPr>
    </w:pPr>
    <w:rPr>
      <w:rFonts w:eastAsia="Times New Roman"/>
      <w:lang w:eastAsia="de-DE"/>
    </w:rPr>
  </w:style>
  <w:style w:type="paragraph" w:customStyle="1" w:styleId="ListDash2">
    <w:name w:val="List Dash 2"/>
    <w:basedOn w:val="Normal"/>
    <w:rsid w:val="00E36005"/>
    <w:pPr>
      <w:numPr>
        <w:numId w:val="23"/>
      </w:numPr>
    </w:pPr>
    <w:rPr>
      <w:rFonts w:eastAsia="Times New Roman"/>
      <w:lang w:eastAsia="de-DE"/>
    </w:rPr>
  </w:style>
  <w:style w:type="paragraph" w:customStyle="1" w:styleId="ListNumberLevel2">
    <w:name w:val="List Number (Level 2)"/>
    <w:basedOn w:val="Normal"/>
    <w:rsid w:val="00E36005"/>
    <w:pPr>
      <w:tabs>
        <w:tab w:val="num" w:pos="1417"/>
      </w:tabs>
      <w:ind w:left="1417" w:hanging="708"/>
    </w:pPr>
    <w:rPr>
      <w:rFonts w:eastAsia="Times New Roman"/>
      <w:lang w:eastAsia="de-DE"/>
    </w:rPr>
  </w:style>
  <w:style w:type="paragraph" w:customStyle="1" w:styleId="ListNumberLevel3">
    <w:name w:val="List Number (Level 3)"/>
    <w:basedOn w:val="Normal"/>
    <w:rsid w:val="00E36005"/>
    <w:pPr>
      <w:tabs>
        <w:tab w:val="num" w:pos="2126"/>
      </w:tabs>
      <w:ind w:left="2126" w:hanging="709"/>
    </w:pPr>
    <w:rPr>
      <w:rFonts w:eastAsia="Times New Roman"/>
      <w:lang w:eastAsia="de-DE"/>
    </w:rPr>
  </w:style>
  <w:style w:type="paragraph" w:customStyle="1" w:styleId="ListNumberLevel4">
    <w:name w:val="List Number (Level 4)"/>
    <w:basedOn w:val="Normal"/>
    <w:rsid w:val="00E36005"/>
    <w:pPr>
      <w:tabs>
        <w:tab w:val="num" w:pos="2835"/>
      </w:tabs>
      <w:ind w:left="2835" w:hanging="709"/>
    </w:pPr>
    <w:rPr>
      <w:rFonts w:eastAsia="Times New Roman"/>
      <w:lang w:eastAsia="de-DE"/>
    </w:rPr>
  </w:style>
  <w:style w:type="table" w:styleId="TableGrid">
    <w:name w:val="Table Grid"/>
    <w:basedOn w:val="TableNormal"/>
    <w:uiPriority w:val="39"/>
    <w:rsid w:val="00E3600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E36005"/>
    <w:pPr>
      <w:numPr>
        <w:numId w:val="24"/>
      </w:numPr>
    </w:pPr>
    <w:rPr>
      <w:rFonts w:eastAsia="Times New Roman"/>
      <w:lang w:eastAsia="en-GB"/>
    </w:rPr>
  </w:style>
  <w:style w:type="paragraph" w:customStyle="1" w:styleId="ListDash4">
    <w:name w:val="List Dash 4"/>
    <w:basedOn w:val="Normal"/>
    <w:rsid w:val="00E36005"/>
    <w:pPr>
      <w:numPr>
        <w:numId w:val="25"/>
      </w:numPr>
    </w:pPr>
    <w:rPr>
      <w:rFonts w:eastAsia="Times New Roman"/>
      <w:lang w:eastAsia="en-GB"/>
    </w:rPr>
  </w:style>
  <w:style w:type="paragraph" w:customStyle="1" w:styleId="ListNumber1">
    <w:name w:val="List Number 1"/>
    <w:basedOn w:val="Text1"/>
    <w:rsid w:val="00E36005"/>
    <w:pPr>
      <w:numPr>
        <w:numId w:val="26"/>
      </w:numPr>
    </w:pPr>
    <w:rPr>
      <w:rFonts w:eastAsia="Times New Roman"/>
      <w:lang w:eastAsia="en-GB"/>
    </w:rPr>
  </w:style>
  <w:style w:type="paragraph" w:customStyle="1" w:styleId="ListNumber1Level2">
    <w:name w:val="List Number 1 (Level 2)"/>
    <w:basedOn w:val="Text1"/>
    <w:rsid w:val="00E36005"/>
    <w:pPr>
      <w:tabs>
        <w:tab w:val="num" w:pos="2268"/>
      </w:tabs>
      <w:ind w:left="2268" w:hanging="708"/>
    </w:pPr>
    <w:rPr>
      <w:rFonts w:eastAsia="Times New Roman"/>
      <w:lang w:eastAsia="en-GB"/>
    </w:rPr>
  </w:style>
  <w:style w:type="paragraph" w:customStyle="1" w:styleId="ListNumber2Level2">
    <w:name w:val="List Number 2 (Level 2)"/>
    <w:basedOn w:val="Text2"/>
    <w:rsid w:val="00E36005"/>
    <w:pPr>
      <w:tabs>
        <w:tab w:val="num" w:pos="2268"/>
      </w:tabs>
      <w:ind w:left="2268" w:hanging="708"/>
    </w:pPr>
    <w:rPr>
      <w:rFonts w:eastAsia="Times New Roman"/>
      <w:lang w:eastAsia="en-GB"/>
    </w:rPr>
  </w:style>
  <w:style w:type="paragraph" w:customStyle="1" w:styleId="ListNumber3Level2">
    <w:name w:val="List Number 3 (Level 2)"/>
    <w:basedOn w:val="Text3"/>
    <w:rsid w:val="00E36005"/>
    <w:pPr>
      <w:tabs>
        <w:tab w:val="num" w:pos="2268"/>
      </w:tabs>
      <w:ind w:left="2268" w:hanging="708"/>
    </w:pPr>
    <w:rPr>
      <w:rFonts w:eastAsia="Times New Roman"/>
      <w:lang w:eastAsia="en-GB"/>
    </w:rPr>
  </w:style>
  <w:style w:type="paragraph" w:customStyle="1" w:styleId="ListNumber4Level2">
    <w:name w:val="List Number 4 (Level 2)"/>
    <w:basedOn w:val="Text4"/>
    <w:rsid w:val="00E36005"/>
    <w:pPr>
      <w:tabs>
        <w:tab w:val="num" w:pos="2268"/>
      </w:tabs>
      <w:ind w:left="2268" w:hanging="708"/>
    </w:pPr>
    <w:rPr>
      <w:rFonts w:eastAsia="Times New Roman"/>
      <w:lang w:eastAsia="en-GB"/>
    </w:rPr>
  </w:style>
  <w:style w:type="paragraph" w:customStyle="1" w:styleId="ListNumber1Level3">
    <w:name w:val="List Number 1 (Level 3)"/>
    <w:basedOn w:val="Text1"/>
    <w:rsid w:val="00E36005"/>
    <w:pPr>
      <w:numPr>
        <w:ilvl w:val="2"/>
        <w:numId w:val="26"/>
      </w:numPr>
    </w:pPr>
    <w:rPr>
      <w:rFonts w:eastAsia="Times New Roman"/>
      <w:lang w:eastAsia="en-GB"/>
    </w:rPr>
  </w:style>
  <w:style w:type="paragraph" w:customStyle="1" w:styleId="ListNumber2Level3">
    <w:name w:val="List Number 2 (Level 3)"/>
    <w:basedOn w:val="Text2"/>
    <w:rsid w:val="00E36005"/>
    <w:pPr>
      <w:tabs>
        <w:tab w:val="num" w:pos="2977"/>
      </w:tabs>
      <w:ind w:left="2977" w:hanging="709"/>
    </w:pPr>
    <w:rPr>
      <w:rFonts w:eastAsia="Times New Roman"/>
      <w:lang w:eastAsia="en-GB"/>
    </w:rPr>
  </w:style>
  <w:style w:type="paragraph" w:customStyle="1" w:styleId="ListNumber3Level3">
    <w:name w:val="List Number 3 (Level 3)"/>
    <w:basedOn w:val="Text3"/>
    <w:rsid w:val="00E36005"/>
    <w:pPr>
      <w:tabs>
        <w:tab w:val="num" w:pos="2977"/>
      </w:tabs>
      <w:ind w:left="2977" w:hanging="709"/>
    </w:pPr>
    <w:rPr>
      <w:rFonts w:eastAsia="Times New Roman"/>
      <w:lang w:eastAsia="en-GB"/>
    </w:rPr>
  </w:style>
  <w:style w:type="paragraph" w:customStyle="1" w:styleId="ListNumber4Level3">
    <w:name w:val="List Number 4 (Level 3)"/>
    <w:basedOn w:val="Text4"/>
    <w:rsid w:val="00E36005"/>
    <w:pPr>
      <w:tabs>
        <w:tab w:val="num" w:pos="2977"/>
      </w:tabs>
      <w:ind w:left="2977" w:hanging="709"/>
    </w:pPr>
    <w:rPr>
      <w:rFonts w:eastAsia="Times New Roman"/>
      <w:lang w:eastAsia="en-GB"/>
    </w:rPr>
  </w:style>
  <w:style w:type="paragraph" w:customStyle="1" w:styleId="ListNumber1Level4">
    <w:name w:val="List Number 1 (Level 4)"/>
    <w:basedOn w:val="Text1"/>
    <w:rsid w:val="00E36005"/>
    <w:pPr>
      <w:numPr>
        <w:ilvl w:val="3"/>
        <w:numId w:val="26"/>
      </w:numPr>
    </w:pPr>
    <w:rPr>
      <w:rFonts w:eastAsia="Times New Roman"/>
      <w:lang w:eastAsia="en-GB"/>
    </w:rPr>
  </w:style>
  <w:style w:type="paragraph" w:customStyle="1" w:styleId="ListNumber2Level4">
    <w:name w:val="List Number 2 (Level 4)"/>
    <w:basedOn w:val="Text2"/>
    <w:rsid w:val="00E36005"/>
    <w:pPr>
      <w:tabs>
        <w:tab w:val="num" w:pos="3686"/>
      </w:tabs>
      <w:ind w:left="3686" w:hanging="709"/>
    </w:pPr>
    <w:rPr>
      <w:rFonts w:eastAsia="Times New Roman"/>
      <w:lang w:eastAsia="en-GB"/>
    </w:rPr>
  </w:style>
  <w:style w:type="paragraph" w:customStyle="1" w:styleId="ListNumber3Level4">
    <w:name w:val="List Number 3 (Level 4)"/>
    <w:basedOn w:val="Text3"/>
    <w:rsid w:val="00E36005"/>
    <w:pPr>
      <w:tabs>
        <w:tab w:val="num" w:pos="3686"/>
      </w:tabs>
      <w:ind w:left="3686" w:hanging="709"/>
    </w:pPr>
    <w:rPr>
      <w:rFonts w:eastAsia="Times New Roman"/>
      <w:lang w:eastAsia="en-GB"/>
    </w:rPr>
  </w:style>
  <w:style w:type="paragraph" w:customStyle="1" w:styleId="ListNumber4Level4">
    <w:name w:val="List Number 4 (Level 4)"/>
    <w:basedOn w:val="Text4"/>
    <w:rsid w:val="00E36005"/>
    <w:pPr>
      <w:tabs>
        <w:tab w:val="num" w:pos="3686"/>
      </w:tabs>
      <w:ind w:left="3686" w:hanging="709"/>
    </w:pPr>
    <w:rPr>
      <w:rFonts w:eastAsia="Times New Roman"/>
      <w:lang w:eastAsia="en-GB"/>
    </w:rPr>
  </w:style>
  <w:style w:type="paragraph" w:customStyle="1" w:styleId="Annexetitreacte">
    <w:name w:val="Annexe titre (acte)"/>
    <w:basedOn w:val="Normal"/>
    <w:next w:val="Normal"/>
    <w:rsid w:val="00E36005"/>
    <w:pPr>
      <w:jc w:val="center"/>
    </w:pPr>
    <w:rPr>
      <w:rFonts w:eastAsia="Times New Roman"/>
      <w:b/>
      <w:u w:val="single"/>
      <w:lang w:eastAsia="en-GB"/>
    </w:rPr>
  </w:style>
  <w:style w:type="paragraph" w:customStyle="1" w:styleId="Annexetitreexposglobal">
    <w:name w:val="Annexe titre (exposé global)"/>
    <w:basedOn w:val="Normal"/>
    <w:next w:val="Normal"/>
    <w:rsid w:val="00E36005"/>
    <w:pPr>
      <w:jc w:val="center"/>
    </w:pPr>
    <w:rPr>
      <w:rFonts w:eastAsia="Times New Roman"/>
      <w:b/>
      <w:u w:val="single"/>
      <w:lang w:eastAsia="en-GB"/>
    </w:rPr>
  </w:style>
  <w:style w:type="paragraph" w:customStyle="1" w:styleId="Annexetitrefichefinacte">
    <w:name w:val="Annexe titre (fiche fin. acte)"/>
    <w:basedOn w:val="Normal"/>
    <w:next w:val="Normal"/>
    <w:rsid w:val="00E36005"/>
    <w:pPr>
      <w:jc w:val="center"/>
    </w:pPr>
    <w:rPr>
      <w:rFonts w:eastAsia="Times New Roman"/>
      <w:b/>
      <w:u w:val="single"/>
      <w:lang w:eastAsia="en-GB"/>
    </w:rPr>
  </w:style>
  <w:style w:type="paragraph" w:customStyle="1" w:styleId="Annexetitrefichefinglobale">
    <w:name w:val="Annexe titre (fiche fin. globale)"/>
    <w:basedOn w:val="Normal"/>
    <w:next w:val="Normal"/>
    <w:rsid w:val="00E36005"/>
    <w:pPr>
      <w:jc w:val="center"/>
    </w:pPr>
    <w:rPr>
      <w:rFonts w:eastAsia="Times New Roman"/>
      <w:b/>
      <w:u w:val="single"/>
      <w:lang w:eastAsia="en-GB"/>
    </w:rPr>
  </w:style>
  <w:style w:type="paragraph" w:customStyle="1" w:styleId="Annexetitreglobale">
    <w:name w:val="Annexe titre (globale)"/>
    <w:basedOn w:val="Normal"/>
    <w:next w:val="Normal"/>
    <w:rsid w:val="00E36005"/>
    <w:pPr>
      <w:jc w:val="center"/>
    </w:pPr>
    <w:rPr>
      <w:rFonts w:eastAsia="Times New Roman"/>
      <w:b/>
      <w:u w:val="single"/>
      <w:lang w:eastAsia="en-GB"/>
    </w:rPr>
  </w:style>
  <w:style w:type="paragraph" w:customStyle="1" w:styleId="Exposdesmotifstitreglobal">
    <w:name w:val="Exposé des motifs titre (global)"/>
    <w:basedOn w:val="Normal"/>
    <w:next w:val="Normal"/>
    <w:rsid w:val="00E36005"/>
    <w:pPr>
      <w:jc w:val="center"/>
    </w:pPr>
    <w:rPr>
      <w:rFonts w:eastAsia="Times New Roman"/>
      <w:b/>
      <w:u w:val="single"/>
      <w:lang w:eastAsia="en-GB"/>
    </w:rPr>
  </w:style>
  <w:style w:type="paragraph" w:customStyle="1" w:styleId="Langueoriginale">
    <w:name w:val="Langue originale"/>
    <w:basedOn w:val="Normal"/>
    <w:rsid w:val="00E36005"/>
    <w:pPr>
      <w:spacing w:before="360"/>
      <w:jc w:val="center"/>
    </w:pPr>
    <w:rPr>
      <w:rFonts w:eastAsia="Times New Roman"/>
      <w:caps/>
      <w:lang w:eastAsia="en-GB"/>
    </w:rPr>
  </w:style>
  <w:style w:type="paragraph" w:customStyle="1" w:styleId="Phrasefinale">
    <w:name w:val="Phrase finale"/>
    <w:basedOn w:val="Normal"/>
    <w:next w:val="Normal"/>
    <w:rsid w:val="00E36005"/>
    <w:pPr>
      <w:spacing w:before="360" w:after="0"/>
      <w:jc w:val="center"/>
    </w:pPr>
    <w:rPr>
      <w:rFonts w:eastAsia="Times New Roman"/>
      <w:lang w:eastAsia="en-GB"/>
    </w:rPr>
  </w:style>
  <w:style w:type="paragraph" w:customStyle="1" w:styleId="Prliminairetitre">
    <w:name w:val="Préliminaire titre"/>
    <w:basedOn w:val="Normal"/>
    <w:next w:val="Normal"/>
    <w:rsid w:val="00E36005"/>
    <w:pPr>
      <w:spacing w:before="360" w:after="360"/>
      <w:jc w:val="center"/>
    </w:pPr>
    <w:rPr>
      <w:rFonts w:eastAsia="Times New Roman"/>
      <w:b/>
      <w:lang w:eastAsia="en-GB"/>
    </w:rPr>
  </w:style>
  <w:style w:type="paragraph" w:customStyle="1" w:styleId="Prliminairetype">
    <w:name w:val="Préliminaire type"/>
    <w:basedOn w:val="Normal"/>
    <w:next w:val="Normal"/>
    <w:rsid w:val="00E3600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E3600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E3600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E36005"/>
    <w:pPr>
      <w:spacing w:before="0" w:after="0"/>
      <w:ind w:left="5103"/>
      <w:jc w:val="left"/>
    </w:pPr>
    <w:rPr>
      <w:rFonts w:eastAsia="Times New Roman"/>
      <w:lang w:eastAsia="en-GB"/>
    </w:rPr>
  </w:style>
  <w:style w:type="paragraph" w:customStyle="1" w:styleId="Sous-titreobjetprliminaire">
    <w:name w:val="Sous-titre objet (préliminaire)"/>
    <w:basedOn w:val="Normal"/>
    <w:rsid w:val="00E36005"/>
    <w:pPr>
      <w:spacing w:before="0" w:after="0"/>
      <w:jc w:val="center"/>
    </w:pPr>
    <w:rPr>
      <w:rFonts w:eastAsia="Times New Roman"/>
      <w:b/>
      <w:lang w:eastAsia="en-GB"/>
    </w:rPr>
  </w:style>
  <w:style w:type="paragraph" w:customStyle="1" w:styleId="Statutprliminaire">
    <w:name w:val="Statut (préliminaire)"/>
    <w:basedOn w:val="Normal"/>
    <w:next w:val="Normal"/>
    <w:rsid w:val="00E36005"/>
    <w:pPr>
      <w:spacing w:before="360" w:after="0"/>
      <w:jc w:val="center"/>
    </w:pPr>
    <w:rPr>
      <w:rFonts w:eastAsia="Times New Roman"/>
      <w:lang w:eastAsia="en-GB"/>
    </w:rPr>
  </w:style>
  <w:style w:type="paragraph" w:customStyle="1" w:styleId="Titreobjetprliminaire">
    <w:name w:val="Titre objet (préliminaire)"/>
    <w:basedOn w:val="Normal"/>
    <w:next w:val="Normal"/>
    <w:rsid w:val="00E3600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E3600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E3600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E36005"/>
    <w:pPr>
      <w:jc w:val="center"/>
    </w:pPr>
    <w:rPr>
      <w:rFonts w:eastAsia="Times New Roman"/>
      <w:b/>
      <w:u w:val="single"/>
      <w:lang w:eastAsia="en-GB"/>
    </w:rPr>
  </w:style>
  <w:style w:type="paragraph" w:customStyle="1" w:styleId="Fichefinanciretravailtitre">
    <w:name w:val="Fiche financière (travail) titre"/>
    <w:basedOn w:val="Normal"/>
    <w:next w:val="Normal"/>
    <w:rsid w:val="00E3600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E3600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E3600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E36005"/>
    <w:pPr>
      <w:jc w:val="center"/>
    </w:pPr>
    <w:rPr>
      <w:rFonts w:eastAsia="Times New Roman"/>
      <w:b/>
      <w:u w:val="single"/>
      <w:lang w:eastAsia="en-GB"/>
    </w:rPr>
  </w:style>
  <w:style w:type="character" w:styleId="PageNumber">
    <w:name w:val="page number"/>
    <w:rsid w:val="00E36005"/>
  </w:style>
  <w:style w:type="character" w:customStyle="1" w:styleId="tw4winMark">
    <w:name w:val="tw4winMark"/>
    <w:rsid w:val="00E36005"/>
    <w:rPr>
      <w:vanish/>
      <w:color w:val="800080"/>
      <w:vertAlign w:val="subscript"/>
    </w:rPr>
  </w:style>
  <w:style w:type="paragraph" w:customStyle="1" w:styleId="FooterCoverPage">
    <w:name w:val="Footer Cover Page"/>
    <w:basedOn w:val="Normal"/>
    <w:link w:val="FooterCoverPageChar"/>
    <w:rsid w:val="00E3600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36005"/>
    <w:rPr>
      <w:rFonts w:ascii="Times New Roman" w:hAnsi="Times New Roman" w:cs="Times New Roman"/>
      <w:b/>
      <w:sz w:val="28"/>
      <w:lang w:val="ro-RO"/>
    </w:rPr>
  </w:style>
  <w:style w:type="character" w:customStyle="1" w:styleId="FooterCoverPageChar">
    <w:name w:val="Footer Cover Page Char"/>
    <w:link w:val="FooterCoverPage"/>
    <w:rsid w:val="00E36005"/>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E3600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36005"/>
    <w:rPr>
      <w:rFonts w:ascii="Times New Roman" w:eastAsia="Calibri" w:hAnsi="Times New Roman" w:cs="Times New Roman"/>
      <w:sz w:val="24"/>
      <w:lang w:val="ro-RO" w:eastAsia="en-GB"/>
    </w:rPr>
  </w:style>
  <w:style w:type="character" w:customStyle="1" w:styleId="FooterSensitivityChar">
    <w:name w:val="Footer Sensitivity Char"/>
    <w:rsid w:val="00E36005"/>
    <w:rPr>
      <w:rFonts w:ascii="Times New Roman" w:hAnsi="Times New Roman" w:cs="Times New Roman"/>
      <w:b/>
      <w:sz w:val="32"/>
      <w:lang w:val="ro-RO"/>
    </w:rPr>
  </w:style>
  <w:style w:type="character" w:customStyle="1" w:styleId="HeaderSensitivityChar">
    <w:name w:val="Header Sensitivity Char"/>
    <w:rsid w:val="00E36005"/>
    <w:rPr>
      <w:rFonts w:ascii="Times New Roman" w:hAnsi="Times New Roman" w:cs="Times New Roman"/>
      <w:b/>
      <w:sz w:val="32"/>
      <w:lang w:val="ro-RO"/>
    </w:rPr>
  </w:style>
  <w:style w:type="character" w:customStyle="1" w:styleId="HeaderSensitivityRightChar">
    <w:name w:val="Header Sensitivity Right Char"/>
    <w:rsid w:val="00E36005"/>
    <w:rPr>
      <w:rFonts w:ascii="Times New Roman" w:hAnsi="Times New Roman" w:cs="Times New Roman"/>
      <w:sz w:val="28"/>
      <w:lang w:val="ro-RO"/>
    </w:rPr>
  </w:style>
  <w:style w:type="paragraph" w:customStyle="1" w:styleId="LegalNumPar">
    <w:name w:val="LegalNumPar"/>
    <w:basedOn w:val="Normal"/>
    <w:rsid w:val="00E36005"/>
    <w:pPr>
      <w:numPr>
        <w:ilvl w:val="1"/>
        <w:numId w:val="27"/>
      </w:numPr>
      <w:spacing w:line="360" w:lineRule="auto"/>
      <w:ind w:left="476" w:hanging="476"/>
    </w:pPr>
    <w:rPr>
      <w:rFonts w:eastAsia="Times New Roman"/>
      <w:lang w:eastAsia="en-GB"/>
    </w:rPr>
  </w:style>
  <w:style w:type="paragraph" w:customStyle="1" w:styleId="LegalNumPar2">
    <w:name w:val="LegalNumPar2"/>
    <w:basedOn w:val="Normal"/>
    <w:rsid w:val="00E36005"/>
    <w:pPr>
      <w:spacing w:line="360" w:lineRule="auto"/>
      <w:ind w:left="953" w:hanging="477"/>
    </w:pPr>
    <w:rPr>
      <w:rFonts w:eastAsia="Times New Roman"/>
      <w:lang w:eastAsia="en-GB"/>
    </w:rPr>
  </w:style>
  <w:style w:type="paragraph" w:customStyle="1" w:styleId="LegalNumPar3">
    <w:name w:val="LegalNumPar3"/>
    <w:basedOn w:val="Normal"/>
    <w:rsid w:val="00E36005"/>
    <w:pPr>
      <w:tabs>
        <w:tab w:val="num" w:pos="3685"/>
      </w:tabs>
      <w:spacing w:line="360" w:lineRule="auto"/>
      <w:ind w:left="3685" w:hanging="567"/>
    </w:pPr>
    <w:rPr>
      <w:rFonts w:eastAsia="Times New Roman"/>
      <w:lang w:eastAsia="en-GB"/>
    </w:rPr>
  </w:style>
  <w:style w:type="character" w:styleId="Strong">
    <w:name w:val="Strong"/>
    <w:basedOn w:val="DefaultParagraphFont"/>
    <w:qFormat/>
    <w:rsid w:val="00E36005"/>
    <w:rPr>
      <w:b/>
      <w:bCs/>
    </w:rPr>
  </w:style>
  <w:style w:type="character" w:customStyle="1" w:styleId="normaltextrun">
    <w:name w:val="normaltextrun"/>
    <w:basedOn w:val="DefaultParagraphFont"/>
    <w:rsid w:val="00E36005"/>
  </w:style>
  <w:style w:type="character" w:customStyle="1" w:styleId="eop">
    <w:name w:val="eop"/>
    <w:basedOn w:val="DefaultParagraphFont"/>
    <w:rsid w:val="00E36005"/>
  </w:style>
  <w:style w:type="character" w:customStyle="1" w:styleId="cf01">
    <w:name w:val="cf01"/>
    <w:basedOn w:val="DefaultParagraphFont"/>
    <w:rsid w:val="00E36005"/>
    <w:rPr>
      <w:rFonts w:ascii="Segoe UI" w:hAnsi="Segoe UI" w:cs="Segoe UI" w:hint="default"/>
      <w:sz w:val="18"/>
      <w:szCs w:val="18"/>
    </w:rPr>
  </w:style>
  <w:style w:type="character" w:customStyle="1" w:styleId="HeaderChar">
    <w:name w:val="Header Char"/>
    <w:basedOn w:val="DefaultParagraphFont"/>
    <w:link w:val="Header"/>
    <w:uiPriority w:val="99"/>
    <w:rsid w:val="003275C7"/>
    <w:rPr>
      <w:rFonts w:ascii="Times New Roman" w:hAnsi="Times New Roman" w:cs="Times New Roman"/>
      <w:sz w:val="24"/>
      <w:lang w:val="ro-RO"/>
    </w:rPr>
  </w:style>
  <w:style w:type="character" w:customStyle="1" w:styleId="FooterChar">
    <w:name w:val="Footer Char"/>
    <w:basedOn w:val="DefaultParagraphFont"/>
    <w:link w:val="Footer"/>
    <w:uiPriority w:val="99"/>
    <w:rsid w:val="003275C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275C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275C7"/>
    <w:pPr>
      <w:spacing w:before="0"/>
      <w:jc w:val="right"/>
    </w:pPr>
    <w:rPr>
      <w:sz w:val="28"/>
    </w:rPr>
  </w:style>
  <w:style w:type="paragraph" w:customStyle="1" w:styleId="FooterSensitivity">
    <w:name w:val="Footer Sensitivity"/>
    <w:basedOn w:val="Normal"/>
    <w:rsid w:val="003275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275C7"/>
    <w:pPr>
      <w:tabs>
        <w:tab w:val="center" w:pos="4535"/>
        <w:tab w:val="right" w:pos="9071"/>
      </w:tabs>
      <w:spacing w:before="0"/>
    </w:pPr>
  </w:style>
  <w:style w:type="paragraph" w:customStyle="1" w:styleId="HeaderLandscape">
    <w:name w:val="HeaderLandscape"/>
    <w:basedOn w:val="Normal"/>
    <w:rsid w:val="003275C7"/>
    <w:pPr>
      <w:tabs>
        <w:tab w:val="center" w:pos="7285"/>
        <w:tab w:val="right" w:pos="14003"/>
      </w:tabs>
      <w:spacing w:before="0"/>
    </w:pPr>
  </w:style>
  <w:style w:type="paragraph" w:styleId="Footer">
    <w:name w:val="footer"/>
    <w:basedOn w:val="Normal"/>
    <w:link w:val="FooterChar"/>
    <w:uiPriority w:val="99"/>
    <w:unhideWhenUsed/>
    <w:rsid w:val="003275C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275C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398">
      <w:bodyDiv w:val="1"/>
      <w:marLeft w:val="0"/>
      <w:marRight w:val="0"/>
      <w:marTop w:val="0"/>
      <w:marBottom w:val="0"/>
      <w:divBdr>
        <w:top w:val="none" w:sz="0" w:space="0" w:color="auto"/>
        <w:left w:val="none" w:sz="0" w:space="0" w:color="auto"/>
        <w:bottom w:val="none" w:sz="0" w:space="0" w:color="auto"/>
        <w:right w:val="none" w:sz="0" w:space="0" w:color="auto"/>
      </w:divBdr>
    </w:div>
    <w:div w:id="54017003">
      <w:bodyDiv w:val="1"/>
      <w:marLeft w:val="390"/>
      <w:marRight w:val="390"/>
      <w:marTop w:val="0"/>
      <w:marBottom w:val="0"/>
      <w:divBdr>
        <w:top w:val="none" w:sz="0" w:space="0" w:color="auto"/>
        <w:left w:val="none" w:sz="0" w:space="0" w:color="auto"/>
        <w:bottom w:val="none" w:sz="0" w:space="0" w:color="auto"/>
        <w:right w:val="none" w:sz="0" w:space="0" w:color="auto"/>
      </w:divBdr>
    </w:div>
    <w:div w:id="62263422">
      <w:bodyDiv w:val="1"/>
      <w:marLeft w:val="0"/>
      <w:marRight w:val="0"/>
      <w:marTop w:val="0"/>
      <w:marBottom w:val="0"/>
      <w:divBdr>
        <w:top w:val="none" w:sz="0" w:space="0" w:color="auto"/>
        <w:left w:val="none" w:sz="0" w:space="0" w:color="auto"/>
        <w:bottom w:val="none" w:sz="0" w:space="0" w:color="auto"/>
        <w:right w:val="none" w:sz="0" w:space="0" w:color="auto"/>
      </w:divBdr>
    </w:div>
    <w:div w:id="95517508">
      <w:bodyDiv w:val="1"/>
      <w:marLeft w:val="390"/>
      <w:marRight w:val="390"/>
      <w:marTop w:val="0"/>
      <w:marBottom w:val="0"/>
      <w:divBdr>
        <w:top w:val="none" w:sz="0" w:space="0" w:color="auto"/>
        <w:left w:val="none" w:sz="0" w:space="0" w:color="auto"/>
        <w:bottom w:val="none" w:sz="0" w:space="0" w:color="auto"/>
        <w:right w:val="none" w:sz="0" w:space="0" w:color="auto"/>
      </w:divBdr>
    </w:div>
    <w:div w:id="173035306">
      <w:bodyDiv w:val="1"/>
      <w:marLeft w:val="390"/>
      <w:marRight w:val="390"/>
      <w:marTop w:val="0"/>
      <w:marBottom w:val="0"/>
      <w:divBdr>
        <w:top w:val="none" w:sz="0" w:space="0" w:color="auto"/>
        <w:left w:val="none" w:sz="0" w:space="0" w:color="auto"/>
        <w:bottom w:val="none" w:sz="0" w:space="0" w:color="auto"/>
        <w:right w:val="none" w:sz="0" w:space="0" w:color="auto"/>
      </w:divBdr>
    </w:div>
    <w:div w:id="245694899">
      <w:bodyDiv w:val="1"/>
      <w:marLeft w:val="0"/>
      <w:marRight w:val="0"/>
      <w:marTop w:val="0"/>
      <w:marBottom w:val="0"/>
      <w:divBdr>
        <w:top w:val="none" w:sz="0" w:space="0" w:color="auto"/>
        <w:left w:val="none" w:sz="0" w:space="0" w:color="auto"/>
        <w:bottom w:val="none" w:sz="0" w:space="0" w:color="auto"/>
        <w:right w:val="none" w:sz="0" w:space="0" w:color="auto"/>
      </w:divBdr>
    </w:div>
    <w:div w:id="280845556">
      <w:bodyDiv w:val="1"/>
      <w:marLeft w:val="0"/>
      <w:marRight w:val="0"/>
      <w:marTop w:val="0"/>
      <w:marBottom w:val="0"/>
      <w:divBdr>
        <w:top w:val="none" w:sz="0" w:space="0" w:color="auto"/>
        <w:left w:val="none" w:sz="0" w:space="0" w:color="auto"/>
        <w:bottom w:val="none" w:sz="0" w:space="0" w:color="auto"/>
        <w:right w:val="none" w:sz="0" w:space="0" w:color="auto"/>
      </w:divBdr>
    </w:div>
    <w:div w:id="322976074">
      <w:bodyDiv w:val="1"/>
      <w:marLeft w:val="0"/>
      <w:marRight w:val="0"/>
      <w:marTop w:val="0"/>
      <w:marBottom w:val="0"/>
      <w:divBdr>
        <w:top w:val="none" w:sz="0" w:space="0" w:color="auto"/>
        <w:left w:val="none" w:sz="0" w:space="0" w:color="auto"/>
        <w:bottom w:val="none" w:sz="0" w:space="0" w:color="auto"/>
        <w:right w:val="none" w:sz="0" w:space="0" w:color="auto"/>
      </w:divBdr>
    </w:div>
    <w:div w:id="406148694">
      <w:bodyDiv w:val="1"/>
      <w:marLeft w:val="0"/>
      <w:marRight w:val="0"/>
      <w:marTop w:val="0"/>
      <w:marBottom w:val="0"/>
      <w:divBdr>
        <w:top w:val="none" w:sz="0" w:space="0" w:color="auto"/>
        <w:left w:val="none" w:sz="0" w:space="0" w:color="auto"/>
        <w:bottom w:val="none" w:sz="0" w:space="0" w:color="auto"/>
        <w:right w:val="none" w:sz="0" w:space="0" w:color="auto"/>
      </w:divBdr>
    </w:div>
    <w:div w:id="428811905">
      <w:bodyDiv w:val="1"/>
      <w:marLeft w:val="0"/>
      <w:marRight w:val="0"/>
      <w:marTop w:val="0"/>
      <w:marBottom w:val="0"/>
      <w:divBdr>
        <w:top w:val="none" w:sz="0" w:space="0" w:color="auto"/>
        <w:left w:val="none" w:sz="0" w:space="0" w:color="auto"/>
        <w:bottom w:val="none" w:sz="0" w:space="0" w:color="auto"/>
        <w:right w:val="none" w:sz="0" w:space="0" w:color="auto"/>
      </w:divBdr>
    </w:div>
    <w:div w:id="435295587">
      <w:bodyDiv w:val="1"/>
      <w:marLeft w:val="0"/>
      <w:marRight w:val="0"/>
      <w:marTop w:val="0"/>
      <w:marBottom w:val="0"/>
      <w:divBdr>
        <w:top w:val="none" w:sz="0" w:space="0" w:color="auto"/>
        <w:left w:val="none" w:sz="0" w:space="0" w:color="auto"/>
        <w:bottom w:val="none" w:sz="0" w:space="0" w:color="auto"/>
        <w:right w:val="none" w:sz="0" w:space="0" w:color="auto"/>
      </w:divBdr>
    </w:div>
    <w:div w:id="519703607">
      <w:bodyDiv w:val="1"/>
      <w:marLeft w:val="0"/>
      <w:marRight w:val="0"/>
      <w:marTop w:val="0"/>
      <w:marBottom w:val="0"/>
      <w:divBdr>
        <w:top w:val="none" w:sz="0" w:space="0" w:color="auto"/>
        <w:left w:val="none" w:sz="0" w:space="0" w:color="auto"/>
        <w:bottom w:val="none" w:sz="0" w:space="0" w:color="auto"/>
        <w:right w:val="none" w:sz="0" w:space="0" w:color="auto"/>
      </w:divBdr>
    </w:div>
    <w:div w:id="528877114">
      <w:bodyDiv w:val="1"/>
      <w:marLeft w:val="390"/>
      <w:marRight w:val="390"/>
      <w:marTop w:val="0"/>
      <w:marBottom w:val="0"/>
      <w:divBdr>
        <w:top w:val="none" w:sz="0" w:space="0" w:color="auto"/>
        <w:left w:val="none" w:sz="0" w:space="0" w:color="auto"/>
        <w:bottom w:val="none" w:sz="0" w:space="0" w:color="auto"/>
        <w:right w:val="none" w:sz="0" w:space="0" w:color="auto"/>
      </w:divBdr>
    </w:div>
    <w:div w:id="649136940">
      <w:bodyDiv w:val="1"/>
      <w:marLeft w:val="0"/>
      <w:marRight w:val="0"/>
      <w:marTop w:val="0"/>
      <w:marBottom w:val="0"/>
      <w:divBdr>
        <w:top w:val="none" w:sz="0" w:space="0" w:color="auto"/>
        <w:left w:val="none" w:sz="0" w:space="0" w:color="auto"/>
        <w:bottom w:val="none" w:sz="0" w:space="0" w:color="auto"/>
        <w:right w:val="none" w:sz="0" w:space="0" w:color="auto"/>
      </w:divBdr>
    </w:div>
    <w:div w:id="781652863">
      <w:bodyDiv w:val="1"/>
      <w:marLeft w:val="0"/>
      <w:marRight w:val="0"/>
      <w:marTop w:val="0"/>
      <w:marBottom w:val="0"/>
      <w:divBdr>
        <w:top w:val="none" w:sz="0" w:space="0" w:color="auto"/>
        <w:left w:val="none" w:sz="0" w:space="0" w:color="auto"/>
        <w:bottom w:val="none" w:sz="0" w:space="0" w:color="auto"/>
        <w:right w:val="none" w:sz="0" w:space="0" w:color="auto"/>
      </w:divBdr>
    </w:div>
    <w:div w:id="859273497">
      <w:bodyDiv w:val="1"/>
      <w:marLeft w:val="0"/>
      <w:marRight w:val="0"/>
      <w:marTop w:val="0"/>
      <w:marBottom w:val="0"/>
      <w:divBdr>
        <w:top w:val="none" w:sz="0" w:space="0" w:color="auto"/>
        <w:left w:val="none" w:sz="0" w:space="0" w:color="auto"/>
        <w:bottom w:val="none" w:sz="0" w:space="0" w:color="auto"/>
        <w:right w:val="none" w:sz="0" w:space="0" w:color="auto"/>
      </w:divBdr>
    </w:div>
    <w:div w:id="995063542">
      <w:bodyDiv w:val="1"/>
      <w:marLeft w:val="0"/>
      <w:marRight w:val="0"/>
      <w:marTop w:val="0"/>
      <w:marBottom w:val="0"/>
      <w:divBdr>
        <w:top w:val="none" w:sz="0" w:space="0" w:color="auto"/>
        <w:left w:val="none" w:sz="0" w:space="0" w:color="auto"/>
        <w:bottom w:val="none" w:sz="0" w:space="0" w:color="auto"/>
        <w:right w:val="none" w:sz="0" w:space="0" w:color="auto"/>
      </w:divBdr>
    </w:div>
    <w:div w:id="1121268582">
      <w:bodyDiv w:val="1"/>
      <w:marLeft w:val="0"/>
      <w:marRight w:val="0"/>
      <w:marTop w:val="0"/>
      <w:marBottom w:val="0"/>
      <w:divBdr>
        <w:top w:val="none" w:sz="0" w:space="0" w:color="auto"/>
        <w:left w:val="none" w:sz="0" w:space="0" w:color="auto"/>
        <w:bottom w:val="none" w:sz="0" w:space="0" w:color="auto"/>
        <w:right w:val="none" w:sz="0" w:space="0" w:color="auto"/>
      </w:divBdr>
    </w:div>
    <w:div w:id="1138380475">
      <w:bodyDiv w:val="1"/>
      <w:marLeft w:val="0"/>
      <w:marRight w:val="0"/>
      <w:marTop w:val="0"/>
      <w:marBottom w:val="0"/>
      <w:divBdr>
        <w:top w:val="none" w:sz="0" w:space="0" w:color="auto"/>
        <w:left w:val="none" w:sz="0" w:space="0" w:color="auto"/>
        <w:bottom w:val="none" w:sz="0" w:space="0" w:color="auto"/>
        <w:right w:val="none" w:sz="0" w:space="0" w:color="auto"/>
      </w:divBdr>
    </w:div>
    <w:div w:id="1198352068">
      <w:bodyDiv w:val="1"/>
      <w:marLeft w:val="0"/>
      <w:marRight w:val="0"/>
      <w:marTop w:val="0"/>
      <w:marBottom w:val="0"/>
      <w:divBdr>
        <w:top w:val="none" w:sz="0" w:space="0" w:color="auto"/>
        <w:left w:val="none" w:sz="0" w:space="0" w:color="auto"/>
        <w:bottom w:val="none" w:sz="0" w:space="0" w:color="auto"/>
        <w:right w:val="none" w:sz="0" w:space="0" w:color="auto"/>
      </w:divBdr>
    </w:div>
    <w:div w:id="1258173808">
      <w:bodyDiv w:val="1"/>
      <w:marLeft w:val="0"/>
      <w:marRight w:val="0"/>
      <w:marTop w:val="0"/>
      <w:marBottom w:val="0"/>
      <w:divBdr>
        <w:top w:val="none" w:sz="0" w:space="0" w:color="auto"/>
        <w:left w:val="none" w:sz="0" w:space="0" w:color="auto"/>
        <w:bottom w:val="none" w:sz="0" w:space="0" w:color="auto"/>
        <w:right w:val="none" w:sz="0" w:space="0" w:color="auto"/>
      </w:divBdr>
    </w:div>
    <w:div w:id="1278679986">
      <w:bodyDiv w:val="1"/>
      <w:marLeft w:val="0"/>
      <w:marRight w:val="0"/>
      <w:marTop w:val="0"/>
      <w:marBottom w:val="0"/>
      <w:divBdr>
        <w:top w:val="none" w:sz="0" w:space="0" w:color="auto"/>
        <w:left w:val="none" w:sz="0" w:space="0" w:color="auto"/>
        <w:bottom w:val="none" w:sz="0" w:space="0" w:color="auto"/>
        <w:right w:val="none" w:sz="0" w:space="0" w:color="auto"/>
      </w:divBdr>
    </w:div>
    <w:div w:id="1330333464">
      <w:bodyDiv w:val="1"/>
      <w:marLeft w:val="0"/>
      <w:marRight w:val="0"/>
      <w:marTop w:val="0"/>
      <w:marBottom w:val="0"/>
      <w:divBdr>
        <w:top w:val="none" w:sz="0" w:space="0" w:color="auto"/>
        <w:left w:val="none" w:sz="0" w:space="0" w:color="auto"/>
        <w:bottom w:val="none" w:sz="0" w:space="0" w:color="auto"/>
        <w:right w:val="none" w:sz="0" w:space="0" w:color="auto"/>
      </w:divBdr>
    </w:div>
    <w:div w:id="1346514764">
      <w:bodyDiv w:val="1"/>
      <w:marLeft w:val="0"/>
      <w:marRight w:val="0"/>
      <w:marTop w:val="0"/>
      <w:marBottom w:val="0"/>
      <w:divBdr>
        <w:top w:val="none" w:sz="0" w:space="0" w:color="auto"/>
        <w:left w:val="none" w:sz="0" w:space="0" w:color="auto"/>
        <w:bottom w:val="none" w:sz="0" w:space="0" w:color="auto"/>
        <w:right w:val="none" w:sz="0" w:space="0" w:color="auto"/>
      </w:divBdr>
    </w:div>
    <w:div w:id="1363018421">
      <w:bodyDiv w:val="1"/>
      <w:marLeft w:val="0"/>
      <w:marRight w:val="0"/>
      <w:marTop w:val="0"/>
      <w:marBottom w:val="0"/>
      <w:divBdr>
        <w:top w:val="none" w:sz="0" w:space="0" w:color="auto"/>
        <w:left w:val="none" w:sz="0" w:space="0" w:color="auto"/>
        <w:bottom w:val="none" w:sz="0" w:space="0" w:color="auto"/>
        <w:right w:val="none" w:sz="0" w:space="0" w:color="auto"/>
      </w:divBdr>
    </w:div>
    <w:div w:id="1411192304">
      <w:bodyDiv w:val="1"/>
      <w:marLeft w:val="0"/>
      <w:marRight w:val="0"/>
      <w:marTop w:val="0"/>
      <w:marBottom w:val="0"/>
      <w:divBdr>
        <w:top w:val="none" w:sz="0" w:space="0" w:color="auto"/>
        <w:left w:val="none" w:sz="0" w:space="0" w:color="auto"/>
        <w:bottom w:val="none" w:sz="0" w:space="0" w:color="auto"/>
        <w:right w:val="none" w:sz="0" w:space="0" w:color="auto"/>
      </w:divBdr>
      <w:divsChild>
        <w:div w:id="1024592645">
          <w:marLeft w:val="0"/>
          <w:marRight w:val="0"/>
          <w:marTop w:val="0"/>
          <w:marBottom w:val="0"/>
          <w:divBdr>
            <w:top w:val="none" w:sz="0" w:space="0" w:color="auto"/>
            <w:left w:val="none" w:sz="0" w:space="0" w:color="auto"/>
            <w:bottom w:val="none" w:sz="0" w:space="0" w:color="auto"/>
            <w:right w:val="none" w:sz="0" w:space="0" w:color="auto"/>
          </w:divBdr>
          <w:divsChild>
            <w:div w:id="147138708">
              <w:marLeft w:val="0"/>
              <w:marRight w:val="0"/>
              <w:marTop w:val="0"/>
              <w:marBottom w:val="0"/>
              <w:divBdr>
                <w:top w:val="none" w:sz="0" w:space="0" w:color="auto"/>
                <w:left w:val="none" w:sz="0" w:space="0" w:color="auto"/>
                <w:bottom w:val="none" w:sz="0" w:space="0" w:color="auto"/>
                <w:right w:val="none" w:sz="0" w:space="0" w:color="auto"/>
              </w:divBdr>
              <w:divsChild>
                <w:div w:id="468590407">
                  <w:marLeft w:val="0"/>
                  <w:marRight w:val="0"/>
                  <w:marTop w:val="0"/>
                  <w:marBottom w:val="0"/>
                  <w:divBdr>
                    <w:top w:val="none" w:sz="0" w:space="0" w:color="auto"/>
                    <w:left w:val="none" w:sz="0" w:space="0" w:color="auto"/>
                    <w:bottom w:val="none" w:sz="0" w:space="0" w:color="auto"/>
                    <w:right w:val="none" w:sz="0" w:space="0" w:color="auto"/>
                  </w:divBdr>
                  <w:divsChild>
                    <w:div w:id="2060395346">
                      <w:marLeft w:val="1"/>
                      <w:marRight w:val="1"/>
                      <w:marTop w:val="0"/>
                      <w:marBottom w:val="0"/>
                      <w:divBdr>
                        <w:top w:val="none" w:sz="0" w:space="0" w:color="auto"/>
                        <w:left w:val="none" w:sz="0" w:space="0" w:color="auto"/>
                        <w:bottom w:val="none" w:sz="0" w:space="0" w:color="auto"/>
                        <w:right w:val="none" w:sz="0" w:space="0" w:color="auto"/>
                      </w:divBdr>
                      <w:divsChild>
                        <w:div w:id="893085076">
                          <w:marLeft w:val="0"/>
                          <w:marRight w:val="0"/>
                          <w:marTop w:val="0"/>
                          <w:marBottom w:val="0"/>
                          <w:divBdr>
                            <w:top w:val="none" w:sz="0" w:space="0" w:color="auto"/>
                            <w:left w:val="none" w:sz="0" w:space="0" w:color="auto"/>
                            <w:bottom w:val="none" w:sz="0" w:space="0" w:color="auto"/>
                            <w:right w:val="none" w:sz="0" w:space="0" w:color="auto"/>
                          </w:divBdr>
                          <w:divsChild>
                            <w:div w:id="1975136461">
                              <w:marLeft w:val="0"/>
                              <w:marRight w:val="0"/>
                              <w:marTop w:val="0"/>
                              <w:marBottom w:val="0"/>
                              <w:divBdr>
                                <w:top w:val="none" w:sz="0" w:space="0" w:color="auto"/>
                                <w:left w:val="none" w:sz="0" w:space="0" w:color="auto"/>
                                <w:bottom w:val="none" w:sz="0" w:space="0" w:color="auto"/>
                                <w:right w:val="none" w:sz="0" w:space="0" w:color="auto"/>
                              </w:divBdr>
                              <w:divsChild>
                                <w:div w:id="130708541">
                                  <w:marLeft w:val="0"/>
                                  <w:marRight w:val="0"/>
                                  <w:marTop w:val="0"/>
                                  <w:marBottom w:val="360"/>
                                  <w:divBdr>
                                    <w:top w:val="none" w:sz="0" w:space="0" w:color="auto"/>
                                    <w:left w:val="none" w:sz="0" w:space="0" w:color="auto"/>
                                    <w:bottom w:val="none" w:sz="0" w:space="0" w:color="auto"/>
                                    <w:right w:val="none" w:sz="0" w:space="0" w:color="auto"/>
                                  </w:divBdr>
                                  <w:divsChild>
                                    <w:div w:id="1718971667">
                                      <w:marLeft w:val="0"/>
                                      <w:marRight w:val="0"/>
                                      <w:marTop w:val="0"/>
                                      <w:marBottom w:val="0"/>
                                      <w:divBdr>
                                        <w:top w:val="none" w:sz="0" w:space="0" w:color="auto"/>
                                        <w:left w:val="none" w:sz="0" w:space="0" w:color="auto"/>
                                        <w:bottom w:val="none" w:sz="0" w:space="0" w:color="auto"/>
                                        <w:right w:val="none" w:sz="0" w:space="0" w:color="auto"/>
                                      </w:divBdr>
                                      <w:divsChild>
                                        <w:div w:id="3373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311098">
      <w:bodyDiv w:val="1"/>
      <w:marLeft w:val="0"/>
      <w:marRight w:val="0"/>
      <w:marTop w:val="0"/>
      <w:marBottom w:val="0"/>
      <w:divBdr>
        <w:top w:val="none" w:sz="0" w:space="0" w:color="auto"/>
        <w:left w:val="none" w:sz="0" w:space="0" w:color="auto"/>
        <w:bottom w:val="none" w:sz="0" w:space="0" w:color="auto"/>
        <w:right w:val="none" w:sz="0" w:space="0" w:color="auto"/>
      </w:divBdr>
    </w:div>
    <w:div w:id="1475369766">
      <w:bodyDiv w:val="1"/>
      <w:marLeft w:val="0"/>
      <w:marRight w:val="0"/>
      <w:marTop w:val="0"/>
      <w:marBottom w:val="0"/>
      <w:divBdr>
        <w:top w:val="none" w:sz="0" w:space="0" w:color="auto"/>
        <w:left w:val="none" w:sz="0" w:space="0" w:color="auto"/>
        <w:bottom w:val="none" w:sz="0" w:space="0" w:color="auto"/>
        <w:right w:val="none" w:sz="0" w:space="0" w:color="auto"/>
      </w:divBdr>
    </w:div>
    <w:div w:id="1495298185">
      <w:bodyDiv w:val="1"/>
      <w:marLeft w:val="0"/>
      <w:marRight w:val="0"/>
      <w:marTop w:val="0"/>
      <w:marBottom w:val="0"/>
      <w:divBdr>
        <w:top w:val="none" w:sz="0" w:space="0" w:color="auto"/>
        <w:left w:val="none" w:sz="0" w:space="0" w:color="auto"/>
        <w:bottom w:val="none" w:sz="0" w:space="0" w:color="auto"/>
        <w:right w:val="none" w:sz="0" w:space="0" w:color="auto"/>
      </w:divBdr>
    </w:div>
    <w:div w:id="1528906303">
      <w:bodyDiv w:val="1"/>
      <w:marLeft w:val="0"/>
      <w:marRight w:val="0"/>
      <w:marTop w:val="0"/>
      <w:marBottom w:val="0"/>
      <w:divBdr>
        <w:top w:val="none" w:sz="0" w:space="0" w:color="auto"/>
        <w:left w:val="none" w:sz="0" w:space="0" w:color="auto"/>
        <w:bottom w:val="none" w:sz="0" w:space="0" w:color="auto"/>
        <w:right w:val="none" w:sz="0" w:space="0" w:color="auto"/>
      </w:divBdr>
    </w:div>
    <w:div w:id="1564750886">
      <w:bodyDiv w:val="1"/>
      <w:marLeft w:val="0"/>
      <w:marRight w:val="0"/>
      <w:marTop w:val="0"/>
      <w:marBottom w:val="0"/>
      <w:divBdr>
        <w:top w:val="none" w:sz="0" w:space="0" w:color="auto"/>
        <w:left w:val="none" w:sz="0" w:space="0" w:color="auto"/>
        <w:bottom w:val="none" w:sz="0" w:space="0" w:color="auto"/>
        <w:right w:val="none" w:sz="0" w:space="0" w:color="auto"/>
      </w:divBdr>
    </w:div>
    <w:div w:id="1577740227">
      <w:bodyDiv w:val="1"/>
      <w:marLeft w:val="0"/>
      <w:marRight w:val="0"/>
      <w:marTop w:val="0"/>
      <w:marBottom w:val="0"/>
      <w:divBdr>
        <w:top w:val="none" w:sz="0" w:space="0" w:color="auto"/>
        <w:left w:val="none" w:sz="0" w:space="0" w:color="auto"/>
        <w:bottom w:val="none" w:sz="0" w:space="0" w:color="auto"/>
        <w:right w:val="none" w:sz="0" w:space="0" w:color="auto"/>
      </w:divBdr>
    </w:div>
    <w:div w:id="1619754394">
      <w:bodyDiv w:val="1"/>
      <w:marLeft w:val="0"/>
      <w:marRight w:val="0"/>
      <w:marTop w:val="0"/>
      <w:marBottom w:val="0"/>
      <w:divBdr>
        <w:top w:val="none" w:sz="0" w:space="0" w:color="auto"/>
        <w:left w:val="none" w:sz="0" w:space="0" w:color="auto"/>
        <w:bottom w:val="none" w:sz="0" w:space="0" w:color="auto"/>
        <w:right w:val="none" w:sz="0" w:space="0" w:color="auto"/>
      </w:divBdr>
    </w:div>
    <w:div w:id="1629429348">
      <w:bodyDiv w:val="1"/>
      <w:marLeft w:val="0"/>
      <w:marRight w:val="0"/>
      <w:marTop w:val="0"/>
      <w:marBottom w:val="0"/>
      <w:divBdr>
        <w:top w:val="none" w:sz="0" w:space="0" w:color="auto"/>
        <w:left w:val="none" w:sz="0" w:space="0" w:color="auto"/>
        <w:bottom w:val="none" w:sz="0" w:space="0" w:color="auto"/>
        <w:right w:val="none" w:sz="0" w:space="0" w:color="auto"/>
      </w:divBdr>
    </w:div>
    <w:div w:id="1681737586">
      <w:bodyDiv w:val="1"/>
      <w:marLeft w:val="0"/>
      <w:marRight w:val="0"/>
      <w:marTop w:val="0"/>
      <w:marBottom w:val="0"/>
      <w:divBdr>
        <w:top w:val="none" w:sz="0" w:space="0" w:color="auto"/>
        <w:left w:val="none" w:sz="0" w:space="0" w:color="auto"/>
        <w:bottom w:val="none" w:sz="0" w:space="0" w:color="auto"/>
        <w:right w:val="none" w:sz="0" w:space="0" w:color="auto"/>
      </w:divBdr>
    </w:div>
    <w:div w:id="1712074421">
      <w:bodyDiv w:val="1"/>
      <w:marLeft w:val="0"/>
      <w:marRight w:val="0"/>
      <w:marTop w:val="0"/>
      <w:marBottom w:val="0"/>
      <w:divBdr>
        <w:top w:val="none" w:sz="0" w:space="0" w:color="auto"/>
        <w:left w:val="none" w:sz="0" w:space="0" w:color="auto"/>
        <w:bottom w:val="none" w:sz="0" w:space="0" w:color="auto"/>
        <w:right w:val="none" w:sz="0" w:space="0" w:color="auto"/>
      </w:divBdr>
    </w:div>
    <w:div w:id="1748922748">
      <w:bodyDiv w:val="1"/>
      <w:marLeft w:val="0"/>
      <w:marRight w:val="0"/>
      <w:marTop w:val="0"/>
      <w:marBottom w:val="0"/>
      <w:divBdr>
        <w:top w:val="none" w:sz="0" w:space="0" w:color="auto"/>
        <w:left w:val="none" w:sz="0" w:space="0" w:color="auto"/>
        <w:bottom w:val="none" w:sz="0" w:space="0" w:color="auto"/>
        <w:right w:val="none" w:sz="0" w:space="0" w:color="auto"/>
      </w:divBdr>
    </w:div>
    <w:div w:id="1930263281">
      <w:bodyDiv w:val="1"/>
      <w:marLeft w:val="0"/>
      <w:marRight w:val="0"/>
      <w:marTop w:val="0"/>
      <w:marBottom w:val="0"/>
      <w:divBdr>
        <w:top w:val="none" w:sz="0" w:space="0" w:color="auto"/>
        <w:left w:val="none" w:sz="0" w:space="0" w:color="auto"/>
        <w:bottom w:val="none" w:sz="0" w:space="0" w:color="auto"/>
        <w:right w:val="none" w:sz="0" w:space="0" w:color="auto"/>
      </w:divBdr>
    </w:div>
    <w:div w:id="1941719859">
      <w:bodyDiv w:val="1"/>
      <w:marLeft w:val="0"/>
      <w:marRight w:val="0"/>
      <w:marTop w:val="0"/>
      <w:marBottom w:val="0"/>
      <w:divBdr>
        <w:top w:val="none" w:sz="0" w:space="0" w:color="auto"/>
        <w:left w:val="none" w:sz="0" w:space="0" w:color="auto"/>
        <w:bottom w:val="none" w:sz="0" w:space="0" w:color="auto"/>
        <w:right w:val="none" w:sz="0" w:space="0" w:color="auto"/>
      </w:divBdr>
    </w:div>
    <w:div w:id="2029327318">
      <w:bodyDiv w:val="1"/>
      <w:marLeft w:val="0"/>
      <w:marRight w:val="0"/>
      <w:marTop w:val="0"/>
      <w:marBottom w:val="0"/>
      <w:divBdr>
        <w:top w:val="none" w:sz="0" w:space="0" w:color="auto"/>
        <w:left w:val="none" w:sz="0" w:space="0" w:color="auto"/>
        <w:bottom w:val="none" w:sz="0" w:space="0" w:color="auto"/>
        <w:right w:val="none" w:sz="0" w:space="0" w:color="auto"/>
      </w:divBdr>
      <w:divsChild>
        <w:div w:id="410854020">
          <w:marLeft w:val="0"/>
          <w:marRight w:val="0"/>
          <w:marTop w:val="0"/>
          <w:marBottom w:val="0"/>
          <w:divBdr>
            <w:top w:val="none" w:sz="0" w:space="0" w:color="auto"/>
            <w:left w:val="none" w:sz="0" w:space="0" w:color="auto"/>
            <w:bottom w:val="none" w:sz="0" w:space="0" w:color="auto"/>
            <w:right w:val="none" w:sz="0" w:space="0" w:color="auto"/>
          </w:divBdr>
        </w:div>
        <w:div w:id="959457482">
          <w:marLeft w:val="0"/>
          <w:marRight w:val="0"/>
          <w:marTop w:val="0"/>
          <w:marBottom w:val="0"/>
          <w:divBdr>
            <w:top w:val="none" w:sz="0" w:space="0" w:color="auto"/>
            <w:left w:val="none" w:sz="0" w:space="0" w:color="auto"/>
            <w:bottom w:val="none" w:sz="0" w:space="0" w:color="auto"/>
            <w:right w:val="none" w:sz="0" w:space="0" w:color="auto"/>
          </w:divBdr>
        </w:div>
        <w:div w:id="1173766228">
          <w:marLeft w:val="0"/>
          <w:marRight w:val="0"/>
          <w:marTop w:val="0"/>
          <w:marBottom w:val="0"/>
          <w:divBdr>
            <w:top w:val="none" w:sz="0" w:space="0" w:color="auto"/>
            <w:left w:val="none" w:sz="0" w:space="0" w:color="auto"/>
            <w:bottom w:val="none" w:sz="0" w:space="0" w:color="auto"/>
            <w:right w:val="none" w:sz="0" w:space="0" w:color="auto"/>
          </w:divBdr>
        </w:div>
        <w:div w:id="1923948164">
          <w:marLeft w:val="0"/>
          <w:marRight w:val="0"/>
          <w:marTop w:val="0"/>
          <w:marBottom w:val="0"/>
          <w:divBdr>
            <w:top w:val="none" w:sz="0" w:space="0" w:color="auto"/>
            <w:left w:val="none" w:sz="0" w:space="0" w:color="auto"/>
            <w:bottom w:val="none" w:sz="0" w:space="0" w:color="auto"/>
            <w:right w:val="none" w:sz="0" w:space="0" w:color="auto"/>
          </w:divBdr>
        </w:div>
      </w:divsChild>
    </w:div>
    <w:div w:id="207149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95/ices.advice.24799266" TargetMode="External"/><Relationship Id="rId13" Type="http://schemas.openxmlformats.org/officeDocument/2006/relationships/hyperlink" Target="https://doi.org/10.17895/ices.advice.27202842" TargetMode="External"/><Relationship Id="rId3" Type="http://schemas.openxmlformats.org/officeDocument/2006/relationships/hyperlink" Target="http://www.ices.dk/advice/Pages/Latest-Advice.aspx" TargetMode="External"/><Relationship Id="rId7" Type="http://schemas.openxmlformats.org/officeDocument/2006/relationships/hyperlink" Target="https://doi.org/10.17895/ices.advice.5649" TargetMode="External"/><Relationship Id="rId12" Type="http://schemas.openxmlformats.org/officeDocument/2006/relationships/hyperlink" Target="https://doi.org/10.17895/ices.advice.27202839" TargetMode="External"/><Relationship Id="rId2" Type="http://schemas.openxmlformats.org/officeDocument/2006/relationships/hyperlink" Target="http://data.europa.eu/eli/reg/2016/1139/oj" TargetMode="External"/><Relationship Id="rId16" Type="http://schemas.openxmlformats.org/officeDocument/2006/relationships/hyperlink" Target="http://data.europa.eu/eli/reg/2019/1241/oj" TargetMode="External"/><Relationship Id="rId1" Type="http://schemas.openxmlformats.org/officeDocument/2006/relationships/hyperlink" Target="http://data.europa.eu/eli/reg/2013/1380/2023-01-01" TargetMode="External"/><Relationship Id="rId6" Type="http://schemas.openxmlformats.org/officeDocument/2006/relationships/hyperlink" Target="https://doi.org/10.17895/ices.advice.5276" TargetMode="External"/><Relationship Id="rId11" Type="http://schemas.openxmlformats.org/officeDocument/2006/relationships/hyperlink" Target="https://doi.org/10.17895/ices.advice.30932087" TargetMode="External"/><Relationship Id="rId5" Type="http://schemas.openxmlformats.org/officeDocument/2006/relationships/hyperlink" Target="https://doi.org/10.17895/ices.advice.30932015" TargetMode="External"/><Relationship Id="rId15" Type="http://schemas.openxmlformats.org/officeDocument/2006/relationships/hyperlink" Target="http://data.europa.eu/eli/reg/2016/1139/oj" TargetMode="External"/><Relationship Id="rId10" Type="http://schemas.openxmlformats.org/officeDocument/2006/relationships/hyperlink" Target="https://doi.org/10.17895/ices.advice.30932261"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reg_del/2024/3093/oj" TargetMode="External"/><Relationship Id="rId14" Type="http://schemas.openxmlformats.org/officeDocument/2006/relationships/hyperlink" Target="http://data.europa.eu/eli/reg/2013/138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E6689-18B7-4FD2-A165-99321603286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50AA9DA2-E887-413C-9885-AC4B59DD2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3B1532-2621-40E2-8359-4307B2A06BFB}">
  <ds:schemaRefs>
    <ds:schemaRef ds:uri="http://schemas.microsoft.com/sharepoint/v3/contenttype/forms"/>
  </ds:schemaRefs>
</ds:datastoreItem>
</file>

<file path=customXml/itemProps4.xml><?xml version="1.0" encoding="utf-8"?>
<ds:datastoreItem xmlns:ds="http://schemas.openxmlformats.org/officeDocument/2006/customXml" ds:itemID="{A1CFF476-74BA-427D-ACF2-F987F517C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15</Pages>
  <Words>9095</Words>
  <Characters>51847</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2026-08-13T10:17:00Z</dcterms:created>
  <dcterms:modified xsi:type="dcterms:W3CDTF">2026-08-18T07:24:00Z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2026-07-01T17:33:01Z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9308071a-2af8-46ab-bfda-6f32cfe5f57f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ContentTypeId">
    <vt:lpwstr>0x010100BAD999D84E12C74482EA5120F5227F6F00217DECAAC21D6B43958DFE68658C192E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SJ-016</vt:lpwstr>
  </property>
  <property fmtid="{D5CDD505-2E9C-101B-9397-08002B2CF9AE}" pid="18" name="DQCStatus">
    <vt:lpwstr>Green (DQC version 03)</vt:lpwstr>
  </property>
</Properties>
</file>