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2444439-666D-440B-BDB6-2F047908E3E8" style="width:455.25pt;height:357.7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r>
        <w:rPr>
          <w:noProof/>
        </w:rPr>
        <w:t>1.</w:t>
      </w:r>
      <w:r>
        <w:rPr>
          <w:noProof/>
        </w:rPr>
        <w:tab/>
        <w:t>CONTEXTUL PROPUNERII</w:t>
      </w:r>
    </w:p>
    <w:p>
      <w:pPr>
        <w:pStyle w:val="ManualHeading2"/>
        <w:rPr>
          <w:rFonts w:eastAsia="Arial Unicode MS"/>
          <w:noProof/>
        </w:rPr>
      </w:pPr>
      <w:r>
        <w:rPr>
          <w:noProof/>
          <w:color w:val="000000"/>
          <w:u w:color="000000"/>
          <w:bdr w:val="nil"/>
        </w:rPr>
        <w:t>•</w:t>
      </w:r>
      <w:r>
        <w:rPr>
          <w:noProof/>
        </w:rPr>
        <w:tab/>
        <w:t>Motivele și obiectivele propunerii</w:t>
      </w:r>
    </w:p>
    <w:p>
      <w:pPr>
        <w:rPr>
          <w:noProof/>
        </w:rPr>
      </w:pPr>
      <w:r>
        <w:rPr>
          <w:noProof/>
        </w:rPr>
        <w:t xml:space="preserve">Înainte de adoptarea prezentei decizii, evoluțiile geopolitice din Orientul Mijlociu, care au afectat lanțurile de aprovizionare cu petrol și produse petroliere la nivel mondial, au declanșat creșteri bruște și persistente ale prețurilor angro și cu amănuntul ale produselor energetice. Evoluțiile respective au avut efecte negative semnificative asupra gospodăriilor, în special asupra consumatorilor vulnerabili, și asupra întreprinderilor, inclusiv asupra întreprinderilor mici și mijlocii, prezentând astfel un risc grav pentru coeziunea socială, stabilitatea economică și buna funcționare a pieței interne. </w:t>
      </w:r>
    </w:p>
    <w:p>
      <w:pPr>
        <w:rPr>
          <w:noProof/>
        </w:rPr>
      </w:pPr>
      <w:r>
        <w:rPr>
          <w:noProof/>
        </w:rPr>
        <w:t>În concluziile sale din 19 martie 2026</w:t>
      </w:r>
      <w:r>
        <w:rPr>
          <w:rStyle w:val="FootnoteReference"/>
          <w:noProof/>
        </w:rPr>
        <w:footnoteReference w:id="1"/>
      </w:r>
      <w:r>
        <w:rPr>
          <w:noProof/>
        </w:rPr>
        <w:t>, Consiliul European a recunoscut caracterul extraordinar al situației de pe piața energiei și implicațiile sale macroeconomice. Consiliul a invitat Comisia să colaboreze îndeaproape cu statele membre pentru a elabora măsuri naționale temporare și specifice de atenuare a impactului semnificativ al creșterilor prețurilor combustibililor generate de criza din Orientul Mijlociu și a subliniat, în special, necesitatea unui răspuns coordonat, întrucât conflictul din Orientul Mijlociu are un impact imediat asupra prețurilor la energie pentru cetățenii și întreprinderile Uniunii.</w:t>
      </w:r>
    </w:p>
    <w:p>
      <w:pPr>
        <w:pBdr>
          <w:top w:val="nil"/>
          <w:left w:val="nil"/>
          <w:bottom w:val="nil"/>
          <w:right w:val="nil"/>
          <w:between w:val="nil"/>
          <w:bar w:val="nil"/>
        </w:pBdr>
        <w:spacing w:before="0" w:after="240"/>
        <w:rPr>
          <w:noProof/>
        </w:rPr>
      </w:pPr>
      <w:r>
        <w:rPr>
          <w:noProof/>
        </w:rPr>
        <w:t>Impozitarea produselor energetice și a energiei electrice în Uniune este reglementată de Directiva 2003/96/CE a Consiliului din 27 octombrie 2003 privind restructurarea cadrului comunitar de impozitare a produselor energetice și a electricității</w:t>
      </w:r>
      <w:r>
        <w:rPr>
          <w:rStyle w:val="FootnoteReference"/>
          <w:rFonts w:eastAsia="Arial Unicode MS"/>
          <w:noProof/>
        </w:rPr>
        <w:footnoteReference w:id="2"/>
      </w:r>
      <w:r>
        <w:rPr>
          <w:noProof/>
        </w:rPr>
        <w:t xml:space="preserve"> (denumită în continuare „directiva”).</w:t>
      </w:r>
    </w:p>
    <w:p>
      <w:pPr>
        <w:pBdr>
          <w:top w:val="nil"/>
          <w:left w:val="nil"/>
          <w:bottom w:val="nil"/>
          <w:right w:val="nil"/>
          <w:between w:val="nil"/>
          <w:bar w:val="nil"/>
        </w:pBdr>
        <w:spacing w:before="0" w:after="240"/>
        <w:rPr>
          <w:noProof/>
        </w:rPr>
      </w:pPr>
      <w:r>
        <w:rPr>
          <w:noProof/>
        </w:rPr>
        <w:t>În conformitate cu articolul 19 alineatul (1) din directivă, pe lângă dispozițiile prevăzute în special la articolele 5, 15 și 17, Consiliul, hotărând în unanimitate la propunerea Comisiei, poate autoriza orice stat membru să introducă alte scutiri sau reduceri ale nivelului de impozitare din motive de politică specifice.</w:t>
      </w:r>
    </w:p>
    <w:p>
      <w:pPr>
        <w:pBdr>
          <w:top w:val="nil"/>
          <w:left w:val="nil"/>
          <w:bottom w:val="nil"/>
          <w:right w:val="nil"/>
          <w:between w:val="nil"/>
          <w:bar w:val="nil"/>
        </w:pBdr>
        <w:spacing w:before="0" w:after="240"/>
        <w:rPr>
          <w:noProof/>
        </w:rPr>
      </w:pPr>
      <w:bookmarkStart w:id="0" w:name="_Hlk235439923"/>
      <w:r>
        <w:rPr>
          <w:noProof/>
        </w:rPr>
        <w:t xml:space="preserve">Printr-o scrisoare din data de 29 iunie 2026, autoritățile spaniole au informat Comisia cu privire la intenția lor de a solicita autorizarea aplicării unei reduceri temporare a nivelurilor minime de impozitare prevăzute la articolul 7 și în tabelul A din anexa I la Directiva 2003/96/CE </w:t>
      </w:r>
      <w:bookmarkEnd w:id="0"/>
      <w:r>
        <w:rPr>
          <w:noProof/>
        </w:rPr>
        <w:t>pentru următoarele produse energetice și perioade:</w:t>
      </w:r>
    </w:p>
    <w:tbl>
      <w:tblPr>
        <w:tblStyle w:val="TableGrid"/>
        <w:tblW w:w="0" w:type="auto"/>
        <w:tblLook w:val="04A0" w:firstRow="1" w:lastRow="0" w:firstColumn="1" w:lastColumn="0" w:noHBand="0" w:noVBand="1"/>
      </w:tblPr>
      <w:tblGrid>
        <w:gridCol w:w="5009"/>
        <w:gridCol w:w="1416"/>
        <w:gridCol w:w="1343"/>
        <w:gridCol w:w="1521"/>
      </w:tblGrid>
      <w:tr>
        <w:tc>
          <w:tcPr>
            <w:tcW w:w="0" w:type="auto"/>
            <w:hideMark/>
          </w:tcPr>
          <w:p>
            <w:pPr>
              <w:spacing w:before="0" w:after="0"/>
              <w:jc w:val="center"/>
              <w:rPr>
                <w:rFonts w:eastAsia="Times New Roman"/>
                <w:b/>
                <w:bCs/>
                <w:noProof/>
                <w:szCs w:val="24"/>
              </w:rPr>
            </w:pPr>
            <w:r>
              <w:rPr>
                <w:b/>
                <w:noProof/>
              </w:rPr>
              <w:t>Produs energetic</w:t>
            </w:r>
          </w:p>
        </w:tc>
        <w:tc>
          <w:tcPr>
            <w:tcW w:w="0" w:type="auto"/>
            <w:hideMark/>
          </w:tcPr>
          <w:p>
            <w:pPr>
              <w:spacing w:before="0" w:after="0"/>
              <w:jc w:val="right"/>
              <w:rPr>
                <w:rFonts w:eastAsia="Times New Roman"/>
                <w:b/>
                <w:bCs/>
                <w:noProof/>
                <w:szCs w:val="24"/>
              </w:rPr>
            </w:pPr>
            <w:r>
              <w:rPr>
                <w:b/>
                <w:noProof/>
              </w:rPr>
              <w:t>Iulie 2026</w:t>
            </w:r>
          </w:p>
        </w:tc>
        <w:tc>
          <w:tcPr>
            <w:tcW w:w="0" w:type="auto"/>
            <w:hideMark/>
          </w:tcPr>
          <w:p>
            <w:pPr>
              <w:spacing w:before="0" w:after="0"/>
              <w:jc w:val="right"/>
              <w:rPr>
                <w:rFonts w:eastAsia="Times New Roman"/>
                <w:b/>
                <w:bCs/>
                <w:noProof/>
                <w:szCs w:val="24"/>
              </w:rPr>
            </w:pPr>
            <w:r>
              <w:rPr>
                <w:b/>
                <w:noProof/>
              </w:rPr>
              <w:t>August 2026</w:t>
            </w:r>
          </w:p>
        </w:tc>
        <w:tc>
          <w:tcPr>
            <w:tcW w:w="0" w:type="auto"/>
            <w:hideMark/>
          </w:tcPr>
          <w:p>
            <w:pPr>
              <w:spacing w:before="0" w:after="0"/>
              <w:jc w:val="right"/>
              <w:rPr>
                <w:rFonts w:eastAsia="Times New Roman"/>
                <w:b/>
                <w:bCs/>
                <w:noProof/>
                <w:szCs w:val="24"/>
              </w:rPr>
            </w:pPr>
            <w:r>
              <w:rPr>
                <w:b/>
                <w:noProof/>
              </w:rPr>
              <w:t>Septembrie 2026</w:t>
            </w:r>
          </w:p>
        </w:tc>
      </w:tr>
      <w:tr>
        <w:tc>
          <w:tcPr>
            <w:tcW w:w="0" w:type="auto"/>
            <w:hideMark/>
          </w:tcPr>
          <w:p>
            <w:pPr>
              <w:spacing w:before="0" w:after="0"/>
              <w:jc w:val="left"/>
              <w:rPr>
                <w:rFonts w:eastAsia="Times New Roman"/>
                <w:noProof/>
                <w:szCs w:val="24"/>
              </w:rPr>
            </w:pPr>
            <w:r>
              <w:rPr>
                <w:b/>
                <w:noProof/>
              </w:rPr>
              <w:t xml:space="preserve">Benzină fără plumb (COR 98 sau mai mult) </w:t>
            </w:r>
            <w:r>
              <w:rPr>
                <w:noProof/>
              </w:rPr>
              <w:t>și amestecuri cu bioetanol sau biometanol</w:t>
            </w:r>
          </w:p>
        </w:tc>
        <w:tc>
          <w:tcPr>
            <w:tcW w:w="0" w:type="auto"/>
            <w:hideMark/>
          </w:tcPr>
          <w:p>
            <w:pPr>
              <w:spacing w:before="0" w:after="0"/>
              <w:jc w:val="right"/>
              <w:rPr>
                <w:rFonts w:eastAsia="Times New Roman"/>
                <w:noProof/>
                <w:szCs w:val="24"/>
              </w:rPr>
            </w:pPr>
            <w:r>
              <w:rPr>
                <w:noProof/>
              </w:rPr>
              <w:t xml:space="preserve">5,08 EUR </w:t>
            </w:r>
          </w:p>
        </w:tc>
        <w:tc>
          <w:tcPr>
            <w:tcW w:w="0" w:type="auto"/>
            <w:hideMark/>
          </w:tcPr>
          <w:p>
            <w:pPr>
              <w:spacing w:before="0" w:after="0"/>
              <w:jc w:val="right"/>
              <w:rPr>
                <w:rFonts w:eastAsia="Times New Roman"/>
                <w:noProof/>
                <w:szCs w:val="24"/>
              </w:rPr>
            </w:pPr>
            <w:r>
              <w:rPr>
                <w:noProof/>
              </w:rPr>
              <w:t xml:space="preserve">0 EUR </w:t>
            </w:r>
          </w:p>
        </w:tc>
        <w:tc>
          <w:tcPr>
            <w:tcW w:w="0" w:type="auto"/>
            <w:hideMark/>
          </w:tcPr>
          <w:p>
            <w:pPr>
              <w:spacing w:before="0" w:after="0"/>
              <w:jc w:val="right"/>
              <w:rPr>
                <w:rFonts w:eastAsia="Times New Roman"/>
                <w:noProof/>
                <w:szCs w:val="24"/>
              </w:rPr>
            </w:pPr>
            <w:r>
              <w:rPr>
                <w:noProof/>
              </w:rPr>
              <w:t xml:space="preserve">0 EUR </w:t>
            </w:r>
          </w:p>
        </w:tc>
      </w:tr>
      <w:tr>
        <w:tc>
          <w:tcPr>
            <w:tcW w:w="0" w:type="auto"/>
            <w:hideMark/>
          </w:tcPr>
          <w:p>
            <w:pPr>
              <w:spacing w:before="0" w:after="0"/>
              <w:jc w:val="left"/>
              <w:rPr>
                <w:rFonts w:eastAsia="Times New Roman"/>
                <w:noProof/>
                <w:szCs w:val="24"/>
              </w:rPr>
            </w:pPr>
            <w:r>
              <w:rPr>
                <w:b/>
                <w:noProof/>
              </w:rPr>
              <w:t xml:space="preserve">Benzină fără plumb (sub COR 98) </w:t>
            </w:r>
            <w:r>
              <w:rPr>
                <w:noProof/>
              </w:rPr>
              <w:t>și amestecuri cu bioetanol sau biometanol</w:t>
            </w:r>
          </w:p>
        </w:tc>
        <w:tc>
          <w:tcPr>
            <w:tcW w:w="0" w:type="auto"/>
            <w:hideMark/>
          </w:tcPr>
          <w:p>
            <w:pPr>
              <w:spacing w:before="0" w:after="0"/>
              <w:jc w:val="right"/>
              <w:rPr>
                <w:rFonts w:eastAsia="Times New Roman"/>
                <w:noProof/>
                <w:szCs w:val="24"/>
              </w:rPr>
            </w:pPr>
            <w:r>
              <w:rPr>
                <w:noProof/>
              </w:rPr>
              <w:t>36,31 EUR</w:t>
            </w:r>
          </w:p>
        </w:tc>
        <w:tc>
          <w:tcPr>
            <w:tcW w:w="0" w:type="auto"/>
            <w:hideMark/>
          </w:tcPr>
          <w:p>
            <w:pPr>
              <w:spacing w:before="0" w:after="0"/>
              <w:jc w:val="right"/>
              <w:rPr>
                <w:rFonts w:eastAsia="Times New Roman"/>
                <w:noProof/>
                <w:szCs w:val="24"/>
              </w:rPr>
            </w:pPr>
            <w:r>
              <w:rPr>
                <w:noProof/>
              </w:rPr>
              <w:t xml:space="preserve">0 EUR </w:t>
            </w:r>
          </w:p>
        </w:tc>
        <w:tc>
          <w:tcPr>
            <w:tcW w:w="0" w:type="auto"/>
            <w:hideMark/>
          </w:tcPr>
          <w:p>
            <w:pPr>
              <w:spacing w:before="0" w:after="0"/>
              <w:jc w:val="right"/>
              <w:rPr>
                <w:rFonts w:eastAsia="Times New Roman"/>
                <w:noProof/>
                <w:szCs w:val="24"/>
              </w:rPr>
            </w:pPr>
            <w:r>
              <w:rPr>
                <w:noProof/>
              </w:rPr>
              <w:t>0 EUR</w:t>
            </w:r>
          </w:p>
        </w:tc>
      </w:tr>
      <w:tr>
        <w:tc>
          <w:tcPr>
            <w:tcW w:w="0" w:type="auto"/>
            <w:hideMark/>
          </w:tcPr>
          <w:p>
            <w:pPr>
              <w:spacing w:before="0" w:after="0"/>
              <w:jc w:val="left"/>
              <w:rPr>
                <w:rFonts w:eastAsia="Times New Roman"/>
                <w:noProof/>
                <w:szCs w:val="24"/>
              </w:rPr>
            </w:pPr>
            <w:r>
              <w:rPr>
                <w:b/>
                <w:noProof/>
              </w:rPr>
              <w:t xml:space="preserve">Motorină utilizată drept carburant </w:t>
            </w:r>
            <w:r>
              <w:rPr>
                <w:noProof/>
              </w:rPr>
              <w:t>[alta decât utilizările menționate la articolul 8 alineatul (2) din Directiva 2003/96/CE] și amestecuri de motorină și biomotorină</w:t>
            </w:r>
          </w:p>
        </w:tc>
        <w:tc>
          <w:tcPr>
            <w:tcW w:w="0" w:type="auto"/>
            <w:hideMark/>
          </w:tcPr>
          <w:p>
            <w:pPr>
              <w:spacing w:before="0" w:after="0"/>
              <w:jc w:val="right"/>
              <w:rPr>
                <w:rFonts w:eastAsia="Times New Roman"/>
                <w:noProof/>
                <w:szCs w:val="24"/>
              </w:rPr>
            </w:pPr>
            <w:r>
              <w:rPr>
                <w:noProof/>
              </w:rPr>
              <w:t>101,00 EUR</w:t>
            </w:r>
          </w:p>
        </w:tc>
        <w:tc>
          <w:tcPr>
            <w:tcW w:w="0" w:type="auto"/>
            <w:hideMark/>
          </w:tcPr>
          <w:p>
            <w:pPr>
              <w:spacing w:before="0" w:after="0"/>
              <w:jc w:val="right"/>
              <w:rPr>
                <w:rFonts w:eastAsia="Times New Roman"/>
                <w:noProof/>
                <w:szCs w:val="24"/>
              </w:rPr>
            </w:pPr>
            <w:r>
              <w:rPr>
                <w:noProof/>
              </w:rPr>
              <w:t>51,00 EUR</w:t>
            </w:r>
          </w:p>
        </w:tc>
        <w:tc>
          <w:tcPr>
            <w:tcW w:w="0" w:type="auto"/>
            <w:hideMark/>
          </w:tcPr>
          <w:p>
            <w:pPr>
              <w:spacing w:before="0" w:after="0"/>
              <w:jc w:val="right"/>
              <w:rPr>
                <w:rFonts w:eastAsia="Times New Roman"/>
                <w:noProof/>
                <w:szCs w:val="24"/>
              </w:rPr>
            </w:pPr>
            <w:r>
              <w:rPr>
                <w:noProof/>
              </w:rPr>
              <w:t>1,00 EUR</w:t>
            </w:r>
          </w:p>
        </w:tc>
      </w:tr>
    </w:tbl>
    <w:p>
      <w:pPr>
        <w:pBdr>
          <w:top w:val="nil"/>
          <w:left w:val="nil"/>
          <w:bottom w:val="nil"/>
          <w:right w:val="nil"/>
          <w:between w:val="nil"/>
          <w:bar w:val="nil"/>
        </w:pBdr>
        <w:spacing w:before="0" w:after="240"/>
        <w:rPr>
          <w:noProof/>
        </w:rPr>
      </w:pPr>
    </w:p>
    <w:p>
      <w:pPr>
        <w:pBdr>
          <w:top w:val="nil"/>
          <w:left w:val="nil"/>
          <w:bottom w:val="nil"/>
          <w:right w:val="nil"/>
          <w:between w:val="nil"/>
          <w:bar w:val="nil"/>
        </w:pBdr>
        <w:spacing w:before="0" w:after="240"/>
        <w:rPr>
          <w:noProof/>
        </w:rPr>
      </w:pPr>
      <w:r>
        <w:rPr>
          <w:noProof/>
        </w:rPr>
        <w:lastRenderedPageBreak/>
        <w:t xml:space="preserve">Cu toate acestea, în cazul în care, </w:t>
      </w:r>
      <w:r>
        <w:rPr>
          <w:b/>
          <w:noProof/>
        </w:rPr>
        <w:t>în iunie 2026</w:t>
      </w:r>
      <w:r>
        <w:rPr>
          <w:noProof/>
        </w:rPr>
        <w:t xml:space="preserve">, IPC pentru produsele menționate mai sus depășește IPC pentru aceeași lună a anului precedent cu mai mult de 15 %, conform informațiilor publicate în iulie de Institutul Național de Statistică, reducerea ratelor de impozitare pentru produsele menționate mai sus la un nivel inferior nivelului minim de impozitare stabilit în directivă este următoarea (rate în EUR/1000L): </w:t>
      </w:r>
    </w:p>
    <w:tbl>
      <w:tblPr>
        <w:tblStyle w:val="TableGrid"/>
        <w:tblW w:w="0" w:type="auto"/>
        <w:tblLook w:val="04A0" w:firstRow="1" w:lastRow="0" w:firstColumn="1" w:lastColumn="0" w:noHBand="0" w:noVBand="1"/>
      </w:tblPr>
      <w:tblGrid>
        <w:gridCol w:w="6264"/>
        <w:gridCol w:w="1440"/>
        <w:gridCol w:w="1585"/>
      </w:tblGrid>
      <w:tr>
        <w:tc>
          <w:tcPr>
            <w:tcW w:w="0" w:type="auto"/>
            <w:hideMark/>
          </w:tcPr>
          <w:p>
            <w:pPr>
              <w:pBdr>
                <w:top w:val="nil"/>
                <w:left w:val="nil"/>
                <w:bottom w:val="nil"/>
                <w:right w:val="nil"/>
                <w:between w:val="nil"/>
                <w:bar w:val="nil"/>
              </w:pBdr>
              <w:spacing w:before="0" w:after="240"/>
              <w:rPr>
                <w:b/>
                <w:bCs/>
                <w:noProof/>
              </w:rPr>
            </w:pPr>
            <w:r>
              <w:rPr>
                <w:b/>
                <w:noProof/>
              </w:rPr>
              <w:t>Produs energetic</w:t>
            </w:r>
          </w:p>
        </w:tc>
        <w:tc>
          <w:tcPr>
            <w:tcW w:w="0" w:type="auto"/>
            <w:hideMark/>
          </w:tcPr>
          <w:p>
            <w:pPr>
              <w:pBdr>
                <w:top w:val="nil"/>
                <w:left w:val="nil"/>
                <w:bottom w:val="nil"/>
                <w:right w:val="nil"/>
                <w:between w:val="nil"/>
                <w:bar w:val="nil"/>
              </w:pBdr>
              <w:spacing w:before="0" w:after="240"/>
              <w:rPr>
                <w:b/>
                <w:bCs/>
                <w:noProof/>
              </w:rPr>
            </w:pPr>
            <w:r>
              <w:rPr>
                <w:b/>
                <w:noProof/>
              </w:rPr>
              <w:t>August 2026</w:t>
            </w:r>
          </w:p>
        </w:tc>
        <w:tc>
          <w:tcPr>
            <w:tcW w:w="0" w:type="auto"/>
            <w:hideMark/>
          </w:tcPr>
          <w:p>
            <w:pPr>
              <w:pBdr>
                <w:top w:val="nil"/>
                <w:left w:val="nil"/>
                <w:bottom w:val="nil"/>
                <w:right w:val="nil"/>
                <w:between w:val="nil"/>
                <w:bar w:val="nil"/>
              </w:pBdr>
              <w:spacing w:before="0" w:after="240"/>
              <w:rPr>
                <w:b/>
                <w:bCs/>
                <w:noProof/>
              </w:rPr>
            </w:pPr>
            <w:r>
              <w:rPr>
                <w:b/>
                <w:noProof/>
              </w:rPr>
              <w:t>Septembrie 2026</w:t>
            </w:r>
          </w:p>
        </w:tc>
      </w:tr>
      <w:tr>
        <w:tc>
          <w:tcPr>
            <w:tcW w:w="0" w:type="auto"/>
            <w:hideMark/>
          </w:tcPr>
          <w:p>
            <w:pPr>
              <w:pBdr>
                <w:top w:val="nil"/>
                <w:left w:val="nil"/>
                <w:bottom w:val="nil"/>
                <w:right w:val="nil"/>
                <w:between w:val="nil"/>
                <w:bar w:val="nil"/>
              </w:pBdr>
              <w:spacing w:before="0" w:after="240"/>
              <w:rPr>
                <w:noProof/>
              </w:rPr>
            </w:pPr>
            <w:r>
              <w:rPr>
                <w:b/>
                <w:noProof/>
              </w:rPr>
              <w:t xml:space="preserve">Benzină fără plumb (COR 98 sau mai mult) </w:t>
            </w:r>
            <w:r>
              <w:rPr>
                <w:noProof/>
              </w:rPr>
              <w:t>și amestecuri cu bioetanol sau biometanol</w:t>
            </w:r>
          </w:p>
        </w:tc>
        <w:tc>
          <w:tcPr>
            <w:tcW w:w="0" w:type="auto"/>
            <w:hideMark/>
          </w:tcPr>
          <w:p>
            <w:pPr>
              <w:pBdr>
                <w:top w:val="nil"/>
                <w:left w:val="nil"/>
                <w:bottom w:val="nil"/>
                <w:right w:val="nil"/>
                <w:between w:val="nil"/>
                <w:bar w:val="nil"/>
              </w:pBdr>
              <w:spacing w:before="0" w:after="240"/>
              <w:rPr>
                <w:noProof/>
              </w:rPr>
            </w:pPr>
            <w:r>
              <w:rPr>
                <w:noProof/>
              </w:rPr>
              <w:t>55,08 EUR</w:t>
            </w:r>
          </w:p>
        </w:tc>
        <w:tc>
          <w:tcPr>
            <w:tcW w:w="0" w:type="auto"/>
            <w:hideMark/>
          </w:tcPr>
          <w:p>
            <w:pPr>
              <w:pBdr>
                <w:top w:val="nil"/>
                <w:left w:val="nil"/>
                <w:bottom w:val="nil"/>
                <w:right w:val="nil"/>
                <w:between w:val="nil"/>
                <w:bar w:val="nil"/>
              </w:pBdr>
              <w:spacing w:before="0" w:after="240"/>
              <w:rPr>
                <w:noProof/>
              </w:rPr>
            </w:pPr>
            <w:r>
              <w:rPr>
                <w:noProof/>
              </w:rPr>
              <w:t>5,08 EUR</w:t>
            </w:r>
          </w:p>
        </w:tc>
      </w:tr>
      <w:tr>
        <w:tc>
          <w:tcPr>
            <w:tcW w:w="0" w:type="auto"/>
            <w:hideMark/>
          </w:tcPr>
          <w:p>
            <w:pPr>
              <w:pBdr>
                <w:top w:val="nil"/>
                <w:left w:val="nil"/>
                <w:bottom w:val="nil"/>
                <w:right w:val="nil"/>
                <w:between w:val="nil"/>
                <w:bar w:val="nil"/>
              </w:pBdr>
              <w:spacing w:before="0" w:after="240"/>
              <w:rPr>
                <w:noProof/>
              </w:rPr>
            </w:pPr>
            <w:r>
              <w:rPr>
                <w:b/>
                <w:noProof/>
              </w:rPr>
              <w:t xml:space="preserve">Benzină fără plumb (sub COR 98) </w:t>
            </w:r>
            <w:r>
              <w:rPr>
                <w:noProof/>
              </w:rPr>
              <w:t>și amestecuri cu bioetanol sau biometanol</w:t>
            </w:r>
          </w:p>
        </w:tc>
        <w:tc>
          <w:tcPr>
            <w:tcW w:w="0" w:type="auto"/>
            <w:hideMark/>
          </w:tcPr>
          <w:p>
            <w:pPr>
              <w:pBdr>
                <w:top w:val="nil"/>
                <w:left w:val="nil"/>
                <w:bottom w:val="nil"/>
                <w:right w:val="nil"/>
                <w:between w:val="nil"/>
                <w:bar w:val="nil"/>
              </w:pBdr>
              <w:spacing w:before="0" w:after="240"/>
              <w:rPr>
                <w:noProof/>
              </w:rPr>
            </w:pPr>
            <w:r>
              <w:rPr>
                <w:noProof/>
              </w:rPr>
              <w:t>86,31 EUR</w:t>
            </w:r>
          </w:p>
        </w:tc>
        <w:tc>
          <w:tcPr>
            <w:tcW w:w="0" w:type="auto"/>
            <w:hideMark/>
          </w:tcPr>
          <w:p>
            <w:pPr>
              <w:pBdr>
                <w:top w:val="nil"/>
                <w:left w:val="nil"/>
                <w:bottom w:val="nil"/>
                <w:right w:val="nil"/>
                <w:between w:val="nil"/>
                <w:bar w:val="nil"/>
              </w:pBdr>
              <w:spacing w:before="0" w:after="240"/>
              <w:rPr>
                <w:noProof/>
              </w:rPr>
            </w:pPr>
            <w:r>
              <w:rPr>
                <w:noProof/>
              </w:rPr>
              <w:t>36,31 EUR</w:t>
            </w:r>
          </w:p>
        </w:tc>
      </w:tr>
      <w:tr>
        <w:tc>
          <w:tcPr>
            <w:tcW w:w="0" w:type="auto"/>
            <w:hideMark/>
          </w:tcPr>
          <w:p>
            <w:pPr>
              <w:pBdr>
                <w:top w:val="nil"/>
                <w:left w:val="nil"/>
                <w:bottom w:val="nil"/>
                <w:right w:val="nil"/>
                <w:between w:val="nil"/>
                <w:bar w:val="nil"/>
              </w:pBdr>
              <w:spacing w:before="0" w:after="240"/>
              <w:rPr>
                <w:noProof/>
              </w:rPr>
            </w:pPr>
            <w:r>
              <w:rPr>
                <w:b/>
                <w:noProof/>
              </w:rPr>
              <w:t xml:space="preserve">Motorină utilizată drept carburant </w:t>
            </w:r>
            <w:r>
              <w:rPr>
                <w:noProof/>
              </w:rPr>
              <w:t>[alta decât utilizările menționate la articolul 8 alineatul (2) din Directiva 2003/96/CE] și amestecuri de motorină și biomotorină</w:t>
            </w:r>
          </w:p>
        </w:tc>
        <w:tc>
          <w:tcPr>
            <w:tcW w:w="0" w:type="auto"/>
            <w:hideMark/>
          </w:tcPr>
          <w:p>
            <w:pPr>
              <w:pBdr>
                <w:top w:val="nil"/>
                <w:left w:val="nil"/>
                <w:bottom w:val="nil"/>
                <w:right w:val="nil"/>
                <w:between w:val="nil"/>
                <w:bar w:val="nil"/>
              </w:pBdr>
              <w:spacing w:before="0" w:after="240"/>
              <w:rPr>
                <w:noProof/>
              </w:rPr>
            </w:pPr>
            <w:r>
              <w:rPr>
                <w:noProof/>
              </w:rPr>
              <w:t>151,00 EUR</w:t>
            </w:r>
          </w:p>
        </w:tc>
        <w:tc>
          <w:tcPr>
            <w:tcW w:w="0" w:type="auto"/>
            <w:hideMark/>
          </w:tcPr>
          <w:p>
            <w:pPr>
              <w:pBdr>
                <w:top w:val="nil"/>
                <w:left w:val="nil"/>
                <w:bottom w:val="nil"/>
                <w:right w:val="nil"/>
                <w:between w:val="nil"/>
                <w:bar w:val="nil"/>
              </w:pBdr>
              <w:spacing w:before="0" w:after="240"/>
              <w:rPr>
                <w:noProof/>
              </w:rPr>
            </w:pPr>
            <w:r>
              <w:rPr>
                <w:noProof/>
              </w:rPr>
              <w:t>101,00 EUR</w:t>
            </w:r>
          </w:p>
        </w:tc>
      </w:tr>
    </w:tbl>
    <w:p>
      <w:pPr>
        <w:rPr>
          <w:noProof/>
        </w:rPr>
      </w:pPr>
    </w:p>
    <w:p>
      <w:pPr>
        <w:pBdr>
          <w:top w:val="nil"/>
          <w:left w:val="nil"/>
          <w:bottom w:val="nil"/>
          <w:right w:val="nil"/>
          <w:between w:val="nil"/>
          <w:bar w:val="nil"/>
        </w:pBdr>
        <w:spacing w:before="0" w:after="240"/>
        <w:rPr>
          <w:noProof/>
        </w:rPr>
      </w:pPr>
      <w:r>
        <w:rPr>
          <w:noProof/>
        </w:rPr>
        <w:t xml:space="preserve">Cu toate acestea, în cazul în care, </w:t>
      </w:r>
      <w:r>
        <w:rPr>
          <w:b/>
          <w:noProof/>
        </w:rPr>
        <w:t>în iulie 2026</w:t>
      </w:r>
      <w:r>
        <w:rPr>
          <w:noProof/>
        </w:rPr>
        <w:t>, IPC pentru produsele menționate mai sus depășește IPC pentru aceeași lună a anului precedent cu mai mult de 15 %, conform informațiilor publicate în august de Institutul Național de Statistică, reducerea ratelor de impozitare sub nivelul minim de impozitare prevăzut în directivă ar fi după cum urmează (ratele în EUR/1000L):</w:t>
      </w:r>
    </w:p>
    <w:tbl>
      <w:tblPr>
        <w:tblStyle w:val="TableGrid"/>
        <w:tblW w:w="0" w:type="auto"/>
        <w:tblLook w:val="04A0" w:firstRow="1" w:lastRow="0" w:firstColumn="1" w:lastColumn="0" w:noHBand="0" w:noVBand="1"/>
      </w:tblPr>
      <w:tblGrid>
        <w:gridCol w:w="7655"/>
        <w:gridCol w:w="1634"/>
      </w:tblGrid>
      <w:tr>
        <w:tc>
          <w:tcPr>
            <w:tcW w:w="0" w:type="auto"/>
            <w:hideMark/>
          </w:tcPr>
          <w:p>
            <w:pPr>
              <w:pBdr>
                <w:top w:val="nil"/>
                <w:left w:val="nil"/>
                <w:bottom w:val="nil"/>
                <w:right w:val="nil"/>
                <w:between w:val="nil"/>
                <w:bar w:val="nil"/>
              </w:pBdr>
              <w:spacing w:before="0" w:after="240"/>
              <w:rPr>
                <w:b/>
                <w:bCs/>
                <w:noProof/>
              </w:rPr>
            </w:pPr>
            <w:r>
              <w:rPr>
                <w:b/>
                <w:noProof/>
              </w:rPr>
              <w:t>Produs energetic</w:t>
            </w:r>
          </w:p>
        </w:tc>
        <w:tc>
          <w:tcPr>
            <w:tcW w:w="0" w:type="auto"/>
            <w:hideMark/>
          </w:tcPr>
          <w:p>
            <w:pPr>
              <w:pBdr>
                <w:top w:val="nil"/>
                <w:left w:val="nil"/>
                <w:bottom w:val="nil"/>
                <w:right w:val="nil"/>
                <w:between w:val="nil"/>
                <w:bar w:val="nil"/>
              </w:pBdr>
              <w:spacing w:before="0" w:after="240"/>
              <w:rPr>
                <w:b/>
                <w:bCs/>
                <w:noProof/>
              </w:rPr>
            </w:pPr>
            <w:r>
              <w:rPr>
                <w:b/>
                <w:noProof/>
              </w:rPr>
              <w:t>Septembrie 2026</w:t>
            </w:r>
          </w:p>
        </w:tc>
      </w:tr>
      <w:tr>
        <w:tc>
          <w:tcPr>
            <w:tcW w:w="0" w:type="auto"/>
            <w:hideMark/>
          </w:tcPr>
          <w:p>
            <w:pPr>
              <w:pBdr>
                <w:top w:val="nil"/>
                <w:left w:val="nil"/>
                <w:bottom w:val="nil"/>
                <w:right w:val="nil"/>
                <w:between w:val="nil"/>
                <w:bar w:val="nil"/>
              </w:pBdr>
              <w:spacing w:before="0" w:after="240"/>
              <w:rPr>
                <w:noProof/>
              </w:rPr>
            </w:pPr>
            <w:r>
              <w:rPr>
                <w:b/>
                <w:noProof/>
              </w:rPr>
              <w:t xml:space="preserve">Benzină fără plumb (COR 98 sau mai mult) </w:t>
            </w:r>
            <w:r>
              <w:rPr>
                <w:noProof/>
              </w:rPr>
              <w:t>și amestecuri cu bioetanol sau biometanol</w:t>
            </w:r>
          </w:p>
        </w:tc>
        <w:tc>
          <w:tcPr>
            <w:tcW w:w="0" w:type="auto"/>
            <w:hideMark/>
          </w:tcPr>
          <w:p>
            <w:pPr>
              <w:pBdr>
                <w:top w:val="nil"/>
                <w:left w:val="nil"/>
                <w:bottom w:val="nil"/>
                <w:right w:val="nil"/>
                <w:between w:val="nil"/>
                <w:bar w:val="nil"/>
              </w:pBdr>
              <w:spacing w:before="0" w:after="240"/>
              <w:rPr>
                <w:noProof/>
              </w:rPr>
            </w:pPr>
            <w:r>
              <w:rPr>
                <w:noProof/>
              </w:rPr>
              <w:t>55,08 EUR</w:t>
            </w:r>
          </w:p>
        </w:tc>
      </w:tr>
      <w:tr>
        <w:tc>
          <w:tcPr>
            <w:tcW w:w="0" w:type="auto"/>
            <w:hideMark/>
          </w:tcPr>
          <w:p>
            <w:pPr>
              <w:pBdr>
                <w:top w:val="nil"/>
                <w:left w:val="nil"/>
                <w:bottom w:val="nil"/>
                <w:right w:val="nil"/>
                <w:between w:val="nil"/>
                <w:bar w:val="nil"/>
              </w:pBdr>
              <w:spacing w:before="0" w:after="240"/>
              <w:rPr>
                <w:noProof/>
              </w:rPr>
            </w:pPr>
            <w:r>
              <w:rPr>
                <w:b/>
                <w:noProof/>
              </w:rPr>
              <w:t xml:space="preserve">Benzină fără plumb (sub COR 98) </w:t>
            </w:r>
            <w:r>
              <w:rPr>
                <w:noProof/>
              </w:rPr>
              <w:t>și amestecuri cu bioetanol sau biometanol</w:t>
            </w:r>
          </w:p>
        </w:tc>
        <w:tc>
          <w:tcPr>
            <w:tcW w:w="0" w:type="auto"/>
            <w:hideMark/>
          </w:tcPr>
          <w:p>
            <w:pPr>
              <w:pBdr>
                <w:top w:val="nil"/>
                <w:left w:val="nil"/>
                <w:bottom w:val="nil"/>
                <w:right w:val="nil"/>
                <w:between w:val="nil"/>
                <w:bar w:val="nil"/>
              </w:pBdr>
              <w:spacing w:before="0" w:after="240"/>
              <w:rPr>
                <w:noProof/>
              </w:rPr>
            </w:pPr>
            <w:r>
              <w:rPr>
                <w:noProof/>
              </w:rPr>
              <w:t>86,31 EUR</w:t>
            </w:r>
          </w:p>
        </w:tc>
      </w:tr>
      <w:tr>
        <w:tc>
          <w:tcPr>
            <w:tcW w:w="0" w:type="auto"/>
            <w:hideMark/>
          </w:tcPr>
          <w:p>
            <w:pPr>
              <w:pBdr>
                <w:top w:val="nil"/>
                <w:left w:val="nil"/>
                <w:bottom w:val="nil"/>
                <w:right w:val="nil"/>
                <w:between w:val="nil"/>
                <w:bar w:val="nil"/>
              </w:pBdr>
              <w:spacing w:before="0" w:after="240"/>
              <w:rPr>
                <w:noProof/>
              </w:rPr>
            </w:pPr>
            <w:r>
              <w:rPr>
                <w:b/>
                <w:noProof/>
              </w:rPr>
              <w:t xml:space="preserve">Motorină utilizată drept carburant </w:t>
            </w:r>
            <w:r>
              <w:rPr>
                <w:noProof/>
              </w:rPr>
              <w:t>[alta decât utilizările menționate la articolul 8 alineatul (2) din Directiva 2003/96/CE] și amestecuri de motorină și biomotorină</w:t>
            </w:r>
          </w:p>
        </w:tc>
        <w:tc>
          <w:tcPr>
            <w:tcW w:w="0" w:type="auto"/>
            <w:hideMark/>
          </w:tcPr>
          <w:p>
            <w:pPr>
              <w:pBdr>
                <w:top w:val="nil"/>
                <w:left w:val="nil"/>
                <w:bottom w:val="nil"/>
                <w:right w:val="nil"/>
                <w:between w:val="nil"/>
                <w:bar w:val="nil"/>
              </w:pBdr>
              <w:spacing w:before="0" w:after="240"/>
              <w:rPr>
                <w:noProof/>
              </w:rPr>
            </w:pPr>
            <w:r>
              <w:rPr>
                <w:noProof/>
              </w:rPr>
              <w:t>151,00 EUR</w:t>
            </w:r>
          </w:p>
        </w:tc>
      </w:tr>
    </w:tbl>
    <w:p>
      <w:pPr>
        <w:pBdr>
          <w:top w:val="nil"/>
          <w:left w:val="nil"/>
          <w:bottom w:val="nil"/>
          <w:right w:val="nil"/>
          <w:between w:val="nil"/>
          <w:bar w:val="nil"/>
        </w:pBdr>
        <w:spacing w:before="0" w:after="240"/>
        <w:rPr>
          <w:noProof/>
        </w:rPr>
      </w:pPr>
    </w:p>
    <w:p>
      <w:pPr>
        <w:pBdr>
          <w:top w:val="nil"/>
          <w:left w:val="nil"/>
          <w:bottom w:val="nil"/>
          <w:right w:val="nil"/>
          <w:between w:val="nil"/>
          <w:bar w:val="nil"/>
        </w:pBdr>
        <w:spacing w:before="0" w:after="240"/>
        <w:rPr>
          <w:rFonts w:eastAsia="Arial Unicode MS"/>
          <w:noProof/>
        </w:rPr>
      </w:pPr>
      <w:r>
        <w:rPr>
          <w:noProof/>
        </w:rPr>
        <w:t>Prin e-mailul din 15 iulie 2026, autoritățile spaniole au răspuns solicitărilor de informații suplimentare din partea Comisiei Europene.</w:t>
      </w:r>
    </w:p>
    <w:p>
      <w:pPr>
        <w:pBdr>
          <w:top w:val="nil"/>
          <w:left w:val="nil"/>
          <w:bottom w:val="nil"/>
          <w:right w:val="nil"/>
          <w:between w:val="nil"/>
          <w:bar w:val="nil"/>
        </w:pBdr>
        <w:spacing w:before="0" w:after="240"/>
        <w:rPr>
          <w:rFonts w:eastAsia="Arial Unicode MS"/>
          <w:noProof/>
        </w:rPr>
      </w:pPr>
      <w:r>
        <w:rPr>
          <w:noProof/>
        </w:rPr>
        <w:t>Perioada de valabilitate solicitată a măsurii este de 3 luni: de la 1 iulie 2026 până la 30 septembrie 2026, încadrându-se în perioada maximă permisă de articolul 19 alineatul (2) din directivă.</w:t>
      </w:r>
    </w:p>
    <w:p>
      <w:pPr>
        <w:pBdr>
          <w:top w:val="nil"/>
          <w:left w:val="nil"/>
          <w:bottom w:val="nil"/>
          <w:right w:val="nil"/>
          <w:between w:val="nil"/>
          <w:bar w:val="nil"/>
        </w:pBdr>
        <w:spacing w:before="0" w:after="240"/>
        <w:rPr>
          <w:rFonts w:eastAsia="Arial Unicode MS"/>
          <w:noProof/>
        </w:rPr>
      </w:pPr>
      <w:r>
        <w:rPr>
          <w:noProof/>
        </w:rPr>
        <w:t>Potrivit autorităților spaniole, reducerile temporare ale ratelor, prin faptul că au un impact direct asupra prețurilor produselor, oferă un ajutor rapid gospodăriilor și întreprinderilor. Prin urmare, în contextul actual, acestea sunt considerate un instrument adecvat pentru atenuarea consecințelor economice ale prețurilor ridicate la energie, în special prin reducerea impactului lor negativ asupra gospodăriilor și asupra economiei în ansamblu.</w:t>
      </w:r>
    </w:p>
    <w:p>
      <w:pPr>
        <w:pBdr>
          <w:top w:val="nil"/>
          <w:left w:val="nil"/>
          <w:bottom w:val="nil"/>
          <w:right w:val="nil"/>
          <w:between w:val="nil"/>
          <w:bar w:val="nil"/>
        </w:pBdr>
        <w:spacing w:before="0" w:after="240"/>
        <w:rPr>
          <w:noProof/>
        </w:rPr>
      </w:pPr>
      <w:r>
        <w:rPr>
          <w:noProof/>
        </w:rPr>
        <w:t>În concluziile sale din 19 martie 2026, Consiliul European a subliniat că tranziția energetică rămâne cea mai eficace strategie pentru realizarea autonomiei strategice a Europei, consolidarea rezilienței, scăderea structurală a prețurilor la energie și furnizarea energiei curate, abundente și autohtone necesare pentru a alimenta economia viitorului.</w:t>
      </w:r>
    </w:p>
    <w:p>
      <w:pPr>
        <w:pBdr>
          <w:top w:val="nil"/>
          <w:left w:val="nil"/>
          <w:bottom w:val="nil"/>
          <w:right w:val="nil"/>
          <w:between w:val="nil"/>
          <w:bar w:val="nil"/>
        </w:pBdr>
        <w:spacing w:before="0" w:after="240"/>
        <w:rPr>
          <w:noProof/>
        </w:rPr>
      </w:pPr>
      <w:r>
        <w:rPr>
          <w:noProof/>
        </w:rPr>
        <w:t xml:space="preserve">În același timp, Consiliul European a recunoscut că sunt necesare soluții specifice pe termen scurt pentru a asigura disponibilitatea energiei la prețuri accesibile, ținând seama de neutralitatea tehnologică și de situațiile specifice ale statelor membre, de expunerea deosebită a anumitor sectoare industriale la riscul de relocare și de necesitatea de a îmbunătăți condițiile pentru sectoarele inovatoare mari consumatoare de energie, fără a submina previzibilitatea și condițiile de concurență echitabile. </w:t>
      </w:r>
    </w:p>
    <w:p>
      <w:pPr>
        <w:pBdr>
          <w:top w:val="nil"/>
          <w:left w:val="nil"/>
          <w:bottom w:val="nil"/>
          <w:right w:val="nil"/>
          <w:between w:val="nil"/>
          <w:bar w:val="nil"/>
        </w:pBdr>
        <w:spacing w:before="0" w:after="240"/>
        <w:rPr>
          <w:noProof/>
        </w:rPr>
      </w:pPr>
      <w:r>
        <w:rPr>
          <w:noProof/>
        </w:rPr>
        <w:t>În acest context, Consiliul European a invitat Comisia să prezinte fără întârziere un set de măsuri temporare specifice pentru a răspunde recentelor creșteri bruște ale prețurilor combustibililor fosili importați cauzate de criza din Orientul Mijlociu. Concluziile Consiliului European oferă orientări politice din partea statelor membre și constituie un mandat politic pentru adoptarea de măsuri fiscale care să permită flexibilitățile solicitate. Aceste concluzii pledează în mod clar pentru utilizarea deplină a derogărilor și a flexibilităților prevăzute în directivă, printre care adoptarea unor rate reduse temporare, strâns legate de circumstanțele extraordinare și de obiectivele privind accesibilitatea energiei.</w:t>
      </w:r>
    </w:p>
    <w:p>
      <w:pPr>
        <w:pBdr>
          <w:top w:val="nil"/>
          <w:left w:val="nil"/>
          <w:bottom w:val="nil"/>
          <w:right w:val="nil"/>
          <w:between w:val="nil"/>
          <w:bar w:val="nil"/>
        </w:pBdr>
        <w:spacing w:before="0" w:after="240"/>
        <w:rPr>
          <w:noProof/>
        </w:rPr>
      </w:pPr>
      <w:r>
        <w:rPr>
          <w:noProof/>
        </w:rPr>
        <w:t>Obiectivul acestor măsuri ar fi de a le permite statelor membre să elaboreze soluții specifice și temporare pentru a face față impactului negativ al crizei energetice actuale asupra prețurilor. Aceste soluții sunt necesare pe termen scurt pentru a asigura o energie la prețuri accesibile, ținând seama de neutralitatea tehnologică și de situațiile specifice ale statelor membre, de expunerea deosebită a anumitor sectoare industriale la riscul de relocare și de necesitatea de a îmbunătăți condițiile pentru sectoarele inovatoare mari consumatoare de energie, fără a submina previzibilitatea și condițiile de concurență echitabile.</w:t>
      </w:r>
    </w:p>
    <w:p>
      <w:pPr>
        <w:rPr>
          <w:noProof/>
        </w:rPr>
      </w:pPr>
      <w:r>
        <w:rPr>
          <w:noProof/>
        </w:rPr>
        <w:t>În acest context, Spania a adoptat o serie de măsuri prin Decretul-lege regal nr. 7/2026 din 20 martie, aprobând Planul cuprinzător de răspuns la criza din Orientul Mijlociu, cu scopul de a atenua impactul creșterii prețurilor la energie. Ratele impozitului pe uleiurile minerale au fost reduse la nivelurile minime permise în temeiul Directivei 2003/96/CE a Consiliului din 27 octombrie 2003 privind restructurarea cadrului comunitar de impozitare a produselor energetice și a electricității. Se intenționa ca aceste măsuri fiscale să rămână în vigoare până la 30 iunie 2026.</w:t>
      </w:r>
    </w:p>
    <w:p>
      <w:pPr>
        <w:rPr>
          <w:noProof/>
        </w:rPr>
      </w:pPr>
      <w:r>
        <w:rPr>
          <w:noProof/>
        </w:rPr>
        <w:t>Cu toate acestea, conflictul din Orientul Mijlociu rămâne activ, volatilitatea piețelor petrolului și gazelor și prețurile continuând să se mențină peste nivelurile anterioare crizei.</w:t>
      </w:r>
    </w:p>
    <w:p>
      <w:pPr>
        <w:rPr>
          <w:noProof/>
        </w:rPr>
      </w:pPr>
      <w:r>
        <w:rPr>
          <w:noProof/>
        </w:rPr>
        <w:t>În acest context, Spania a decis să mențină temporar anumite măsuri introduse prin Decretul-lege regal nr. 7/2026 din 20 martie, prevăzând, în același timp, retragerea treptată a acestora în cazul în care piețele energiei se stabilizează iar riscurile asociate situației geopolitice actuale se diminuează.</w:t>
      </w:r>
    </w:p>
    <w:p>
      <w:pPr>
        <w:rPr>
          <w:noProof/>
        </w:rPr>
      </w:pPr>
      <w:r>
        <w:rPr>
          <w:noProof/>
        </w:rPr>
        <w:t>Mai precis, măsurile introduse prin Decretul-lege regal nr. 18/2026 din 29 iunie de adoptare a anumitor măsuri în cadrul Planului cuprinzător de răspuns la criza din Orientul Mijlociu, care afectează motorina, benzina fără plumb și produsele constând în amestecuri de benzină sau motorină cu bioetanol, biometanol sau biomotorină, constau, printre altele, în reducerea în continuare a ratelor impozitului pe uleiurile minerale.</w:t>
      </w:r>
    </w:p>
    <w:p>
      <w:pPr>
        <w:rPr>
          <w:noProof/>
        </w:rPr>
      </w:pPr>
      <w:r>
        <w:rPr>
          <w:noProof/>
        </w:rPr>
        <w:t>În special, reducerile ratelor impozitului pe uleiurile minerale în iulie 2026 se ridică la 15 eurocenți pe litru în comparație cu ratele aplicabile înainte de izbucnirea conflictului din Orientul Mijlociu. Cu toate acestea, în cazul în care indicii prețurilor de consum pentru benzină și motorină ar evolua în mod nefavorabil, ceea ce ar duce la prețuri cu 15 % mai mari decât nivelurile lor anterioare conflictului, reducerile fiscale ar fi majorate.</w:t>
      </w:r>
    </w:p>
    <w:p>
      <w:pPr>
        <w:pBdr>
          <w:top w:val="nil"/>
          <w:left w:val="nil"/>
          <w:bottom w:val="nil"/>
          <w:right w:val="nil"/>
          <w:between w:val="nil"/>
          <w:bar w:val="nil"/>
        </w:pBdr>
        <w:spacing w:before="0" w:after="240"/>
        <w:rPr>
          <w:noProof/>
        </w:rPr>
      </w:pPr>
      <w:r>
        <w:rPr>
          <w:noProof/>
        </w:rPr>
        <w:t>În perioada de aplicare a acestei derogări, se preconizează că prețurile petrolului și gazelor vor continua să fie volatile. Se preconizează că prețurile petrolului vor rămâne ridicate pe durata conflictului și a perturbării Strâmtorii Ormuz. Prețurile carburanților urmează dinamica prețului țițeiului cu o întârziere de o săptămână sau două, cu diferența că prețurile benzinei tind să reacționeze mai puțin direct la prețurile petrolului, în timp ce prețul motorinei pe care UE o importă tinde să fie mai volatil decât prețurile țițeiului.</w:t>
      </w:r>
    </w:p>
    <w:p>
      <w:pPr>
        <w:rPr>
          <w:noProof/>
        </w:rPr>
      </w:pPr>
      <w:r>
        <w:rPr>
          <w:noProof/>
        </w:rPr>
        <w:t>Caracterul mondial al prețurilor petrolului și influența limitată a statelor membre asupra acestor prețuri fac ca această criză să fie o criză exogenă. Prețurile mondiale ale produselor energetice vor fi similare pentru toate statele membre. Cu toate acestea, capacitatea de a face față creșterii prețurilor va varia în mod semnificativ, depinzând, de exemplu, de venituri, de modul de transport, de sursa de încălzire și de eficiența energetică a locuințelor. Acest lucru va face ca efectele creșterii prețurilor să fie asimetrice. În plus, gospodăriile cu venituri mai mici tind să cheltuiască o parte mai mare a veniturilor lor pentru consum, și nu pe investiții sau economii, ceea ce face ca creșterile prețurilor de consum să aibă un impact mai mare pentru aceste gospodării.</w:t>
      </w:r>
    </w:p>
    <w:p>
      <w:pPr>
        <w:rPr>
          <w:noProof/>
        </w:rPr>
      </w:pPr>
      <w:r>
        <w:rPr>
          <w:noProof/>
        </w:rPr>
        <w:t>Spania depinde în mare măsură de transportul rutier atât de pasageri, cât și de mărfuri, precum și de autoturismele personale și de autobuze pentru naveta zilnică, inclusiv pentru deplasarea la locurile de muncă și la instituțiile de învățământ.</w:t>
      </w:r>
    </w:p>
    <w:p>
      <w:pPr>
        <w:rPr>
          <w:noProof/>
        </w:rPr>
      </w:pPr>
    </w:p>
    <w:p>
      <w:pPr>
        <w:pStyle w:val="ManualHeading2"/>
        <w:rPr>
          <w:rFonts w:eastAsia="Arial Unicode MS"/>
          <w:noProof/>
        </w:rPr>
      </w:pPr>
      <w:r>
        <w:rPr>
          <w:noProof/>
          <w:color w:val="000000"/>
          <w:u w:color="000000"/>
          <w:bdr w:val="nil"/>
        </w:rPr>
        <w:t>•</w:t>
      </w:r>
      <w:r>
        <w:rPr>
          <w:noProof/>
        </w:rPr>
        <w:tab/>
        <w:t>Coerența cu dispozițiile de politică existente în domeniul de politică vizat</w:t>
      </w:r>
    </w:p>
    <w:p>
      <w:pPr>
        <w:pBdr>
          <w:top w:val="nil"/>
          <w:left w:val="nil"/>
          <w:bottom w:val="nil"/>
          <w:right w:val="nil"/>
          <w:between w:val="nil"/>
          <w:bar w:val="nil"/>
        </w:pBdr>
        <w:spacing w:before="0" w:after="240"/>
        <w:rPr>
          <w:noProof/>
        </w:rPr>
      </w:pPr>
      <w:r>
        <w:rPr>
          <w:noProof/>
        </w:rPr>
        <w:t xml:space="preserve">Articolul 19 alineatul (1) primul paragraf din Directiva 2003/96 a Consiliului are următorul conținut: </w:t>
      </w:r>
    </w:p>
    <w:p>
      <w:pPr>
        <w:pBdr>
          <w:top w:val="nil"/>
          <w:left w:val="nil"/>
          <w:bottom w:val="nil"/>
          <w:right w:val="nil"/>
          <w:between w:val="nil"/>
          <w:bar w:val="nil"/>
        </w:pBdr>
        <w:spacing w:before="0" w:after="240"/>
        <w:rPr>
          <w:noProof/>
        </w:rPr>
      </w:pPr>
      <w:r>
        <w:rPr>
          <w:noProof/>
        </w:rPr>
        <w:t>„</w:t>
      </w:r>
      <w:r>
        <w:rPr>
          <w:i/>
          <w:noProof/>
        </w:rPr>
        <w:t>Pe lângă dispozițiile prevăzute în articolele anterioare, în special articolele 5, 15 și 17, Consiliul, hotărând în unanimitate la propunerea Comisiei, poate autoriza orice stat membru să introducă alte scutiri sau reduceri din motive de politică specifice</w:t>
      </w:r>
      <w:r>
        <w:rPr>
          <w:noProof/>
        </w:rPr>
        <w:t>.”</w:t>
      </w:r>
    </w:p>
    <w:p>
      <w:pPr>
        <w:pBdr>
          <w:top w:val="nil"/>
          <w:left w:val="nil"/>
          <w:bottom w:val="nil"/>
          <w:right w:val="nil"/>
          <w:between w:val="nil"/>
          <w:bar w:val="nil"/>
        </w:pBdr>
        <w:spacing w:before="0" w:after="240"/>
        <w:rPr>
          <w:rFonts w:eastAsia="Arial Unicode MS"/>
          <w:iCs/>
          <w:noProof/>
          <w:color w:val="000000" w:themeColor="text1"/>
        </w:rPr>
      </w:pPr>
      <w:r>
        <w:rPr>
          <w:noProof/>
          <w:color w:val="000000" w:themeColor="text1"/>
        </w:rPr>
        <w:t>Prin intermediul reducerilor fiscale în cauză, autoritățile spaniole intenționează să contribuie la atenuarea efectelor prețurilor cu amănuntul ridicate ale motorinei asupra sectorului transportului rutier declanșate de ostilitățile din Orientul Mijlociu.</w:t>
      </w:r>
    </w:p>
    <w:p>
      <w:pPr>
        <w:pBdr>
          <w:top w:val="nil"/>
          <w:left w:val="nil"/>
          <w:bottom w:val="nil"/>
          <w:right w:val="nil"/>
          <w:between w:val="nil"/>
          <w:bar w:val="nil"/>
        </w:pBdr>
        <w:spacing w:before="0" w:after="240"/>
        <w:rPr>
          <w:rFonts w:eastAsia="Arial Unicode MS"/>
          <w:noProof/>
        </w:rPr>
      </w:pPr>
      <w:r>
        <w:rPr>
          <w:noProof/>
        </w:rPr>
        <w:t xml:space="preserve">Aceste reduceri fiscale ar conduce la o situație în care destinatarii ar beneficia de rate efective ale accizelor situate sub rata minimă a UE în temeiul directivei, ceea ce explică autorizația în discuție. </w:t>
      </w:r>
    </w:p>
    <w:p>
      <w:pPr>
        <w:pBdr>
          <w:top w:val="nil"/>
          <w:left w:val="nil"/>
          <w:bottom w:val="nil"/>
          <w:right w:val="nil"/>
          <w:between w:val="nil"/>
          <w:bar w:val="nil"/>
        </w:pBdr>
        <w:spacing w:before="0" w:after="240"/>
        <w:rPr>
          <w:rFonts w:eastAsia="Arial Unicode MS"/>
          <w:iCs/>
          <w:noProof/>
          <w:color w:val="000000" w:themeColor="text1"/>
        </w:rPr>
      </w:pPr>
      <w:r>
        <w:rPr>
          <w:noProof/>
          <w:color w:val="000000" w:themeColor="text1"/>
        </w:rPr>
        <w:t xml:space="preserve">Posibilitatea de a introduce astfel de rate ale impozitelor efective poate fi avută în vedere în temeiul articolului 19 din directivă, întrucât scopul acestuia este de a permite statelor membre să introducă noi scutiri, rambursări sau reduceri din motive de politică specifice. </w:t>
      </w:r>
    </w:p>
    <w:p>
      <w:pPr>
        <w:pBdr>
          <w:top w:val="nil"/>
          <w:left w:val="nil"/>
          <w:bottom w:val="nil"/>
          <w:right w:val="nil"/>
          <w:between w:val="nil"/>
          <w:bar w:val="nil"/>
        </w:pBdr>
        <w:spacing w:before="0" w:after="240"/>
        <w:rPr>
          <w:rFonts w:eastAsia="Arial Unicode MS"/>
          <w:iCs/>
          <w:noProof/>
        </w:rPr>
      </w:pPr>
      <w:r>
        <w:rPr>
          <w:noProof/>
        </w:rPr>
        <w:t>Perioada de valabilitate limitată se încadrează în perioada maximă permisă de articolul 19 alineatul (2) din directivă, cu posibilitatea de reînnoire.</w:t>
      </w:r>
    </w:p>
    <w:p>
      <w:pPr>
        <w:pBdr>
          <w:top w:val="nil"/>
          <w:left w:val="nil"/>
          <w:bottom w:val="nil"/>
          <w:right w:val="nil"/>
          <w:between w:val="nil"/>
          <w:bar w:val="nil"/>
        </w:pBdr>
        <w:spacing w:before="0" w:after="240"/>
        <w:rPr>
          <w:rFonts w:eastAsia="Arial Unicode MS"/>
          <w:iCs/>
          <w:noProof/>
        </w:rPr>
      </w:pPr>
      <w:r>
        <w:rPr>
          <w:noProof/>
        </w:rPr>
        <w:t>În fine, reducerea fiscală nu este cumulativă cu alte tipuri de reduceri fiscale.</w:t>
      </w:r>
    </w:p>
    <w:p>
      <w:pPr>
        <w:pBdr>
          <w:top w:val="nil"/>
          <w:left w:val="nil"/>
          <w:bottom w:val="nil"/>
          <w:right w:val="nil"/>
          <w:between w:val="nil"/>
          <w:bar w:val="nil"/>
        </w:pBdr>
        <w:spacing w:before="0" w:after="240"/>
        <w:rPr>
          <w:rFonts w:eastAsia="Arial Unicode MS"/>
          <w:iCs/>
          <w:noProof/>
        </w:rPr>
      </w:pPr>
      <w:r>
        <w:rPr>
          <w:noProof/>
        </w:rPr>
        <w:t>În aceste circumstanțe, pare oportun să se acorde autorizația pentru perioada solicitată.</w:t>
      </w:r>
    </w:p>
    <w:p>
      <w:pPr>
        <w:pBdr>
          <w:top w:val="nil"/>
          <w:left w:val="nil"/>
          <w:bottom w:val="nil"/>
          <w:right w:val="nil"/>
          <w:between w:val="nil"/>
          <w:bar w:val="nil"/>
        </w:pBdr>
        <w:spacing w:before="0" w:after="240"/>
        <w:rPr>
          <w:rFonts w:eastAsia="Arial Unicode MS"/>
          <w:iCs/>
          <w:noProof/>
        </w:rPr>
      </w:pPr>
      <w:r>
        <w:rPr>
          <w:noProof/>
        </w:rPr>
        <w:t>În același timp, reducerile fiscale implică costuri bugetare și tind să determine o creștere a cererii de combustibili fosili, exacerbând astfel dezechilibrul dintre cerere și ofertă. Prin urmare, măsura trebuie să rămână strict limitată în timp, iar impactul său preconizat asupra cererii de combustibili fosili și costul său bugetar trebuie evaluate. Dacă este necesar, trebuie luate măsuri compensatorii.</w:t>
      </w:r>
    </w:p>
    <w:p>
      <w:pPr>
        <w:pBdr>
          <w:top w:val="nil"/>
          <w:left w:val="nil"/>
          <w:bottom w:val="nil"/>
          <w:right w:val="nil"/>
          <w:between w:val="nil"/>
          <w:bar w:val="nil"/>
        </w:pBdr>
        <w:spacing w:before="0" w:after="240"/>
        <w:rPr>
          <w:rFonts w:eastAsia="Arial Unicode MS"/>
          <w:i/>
          <w:noProof/>
        </w:rPr>
      </w:pPr>
      <w:r>
        <w:rPr>
          <w:i/>
          <w:noProof/>
        </w:rPr>
        <w:t>Norme privind ajutoarele de stat</w:t>
      </w:r>
    </w:p>
    <w:p>
      <w:pPr>
        <w:rPr>
          <w:noProof/>
        </w:rPr>
      </w:pPr>
      <w:r>
        <w:rPr>
          <w:noProof/>
        </w:rPr>
        <w:t>Reducerea temporară a ratelor de impozitare solicitată de autoritățile spaniole va duce la atingerea unor rate situate sub nivelurile minime de impozitare a carburanților, astfel cum sunt prevăzute la articolul 7 și în tabelul A din anexa I la directivă.</w:t>
      </w:r>
    </w:p>
    <w:p>
      <w:pPr>
        <w:rPr>
          <w:iCs/>
          <w:noProof/>
        </w:rPr>
      </w:pPr>
      <w:r>
        <w:rPr>
          <w:noProof/>
        </w:rPr>
        <w:t>Prezenta propunere nu aduce atingere niciunei evaluări a măsurii spaniole în temeiul normelor privind ajutoarele de stat. În plus, propunerea de decizie de punere în aplicare a Consiliului nu aduce atingere obligației statului membru respectiv de a asigura respectarea normelor privind ajutoarele de stat.</w:t>
      </w:r>
    </w:p>
    <w:p>
      <w:pPr>
        <w:pBdr>
          <w:top w:val="nil"/>
          <w:left w:val="nil"/>
          <w:bottom w:val="nil"/>
          <w:right w:val="nil"/>
          <w:between w:val="nil"/>
          <w:bar w:val="nil"/>
        </w:pBdr>
        <w:spacing w:before="0" w:after="240"/>
        <w:rPr>
          <w:rFonts w:eastAsia="Arial Unicode MS"/>
          <w:iCs/>
          <w:noProof/>
        </w:rPr>
      </w:pPr>
    </w:p>
    <w:p>
      <w:pPr>
        <w:pStyle w:val="ManualHeading2"/>
        <w:rPr>
          <w:rFonts w:eastAsia="Arial Unicode MS"/>
          <w:noProof/>
        </w:rPr>
      </w:pPr>
      <w:r>
        <w:rPr>
          <w:noProof/>
          <w:color w:val="000000"/>
          <w:u w:color="000000"/>
          <w:bdr w:val="nil"/>
        </w:rPr>
        <w:t>•</w:t>
      </w:r>
      <w:r>
        <w:rPr>
          <w:noProof/>
        </w:rPr>
        <w:tab/>
        <w:t>Coerența cu alte politici ale Uniunii</w:t>
      </w:r>
    </w:p>
    <w:p>
      <w:pPr>
        <w:rPr>
          <w:rFonts w:eastAsia="Arial Unicode MS"/>
          <w:iCs/>
          <w:noProof/>
        </w:rPr>
      </w:pPr>
      <w:r>
        <w:rPr>
          <w:noProof/>
        </w:rPr>
        <w:t xml:space="preserve">Comisia trebuie să examineze fiecare proiect de derogare în temeiul articolului 19 din Directiva privind impozitarea energiei luând în considerare buna funcționare a pieței interne, necesitatea de a asigura o concurență loială și politicile UE privind sănătatea, mediul, energia și transporturile. </w:t>
      </w:r>
    </w:p>
    <w:p>
      <w:pPr>
        <w:rPr>
          <w:rFonts w:eastAsia="Arial Unicode MS"/>
          <w:iCs/>
          <w:noProof/>
        </w:rPr>
      </w:pPr>
      <w:r>
        <w:rPr>
          <w:noProof/>
        </w:rPr>
        <w:t>Potrivit autorităților spaniole, reducerea fiscală avută în vedere ar trebui să atenueze parțial prețurile cu amănuntul ridicate ale benzinei și motorinei din cauza recentelor creșteri ale prețurilor combustibililor pentru transport, cauzate, de asemenea, de ostilitățile din Orientul Mijlociu și de perturbarea Strâmtorii Hormuz.</w:t>
      </w:r>
    </w:p>
    <w:p>
      <w:pPr>
        <w:rPr>
          <w:rFonts w:eastAsia="Arial Unicode MS"/>
          <w:iCs/>
          <w:noProof/>
        </w:rPr>
      </w:pPr>
      <w:r>
        <w:rPr>
          <w:noProof/>
        </w:rPr>
        <w:t xml:space="preserve">Ca urmare a acestei situații excepționale, este puțin probabil ca această măsură temporară să afecteze comerțul intra-UE. Per ansamblu, măsura pare acceptabilă din punctul de vedere al bunei funcționări a pieței interne și al necesității de a asigura o concurență loială. Având în vedere că atât durata, cât și efectele sale sunt limitate, măsura nu ar trebui să denatureze concurența sau să împiedice funcționarea pieței interne. </w:t>
      </w:r>
    </w:p>
    <w:p>
      <w:pPr>
        <w:pBdr>
          <w:top w:val="nil"/>
          <w:left w:val="nil"/>
          <w:bottom w:val="nil"/>
          <w:right w:val="nil"/>
          <w:between w:val="nil"/>
          <w:bar w:val="nil"/>
        </w:pBdr>
        <w:spacing w:before="0" w:after="240"/>
        <w:rPr>
          <w:rFonts w:eastAsia="Arial Unicode MS"/>
          <w:b/>
          <w:bCs/>
          <w:noProof/>
        </w:rPr>
      </w:pPr>
      <w:r>
        <w:rPr>
          <w:b/>
          <w:noProof/>
        </w:rPr>
        <w:t>Politica privind mediul și clima</w:t>
      </w:r>
    </w:p>
    <w:p>
      <w:pPr>
        <w:pBdr>
          <w:top w:val="nil"/>
          <w:left w:val="nil"/>
          <w:bottom w:val="nil"/>
          <w:right w:val="nil"/>
          <w:between w:val="nil"/>
          <w:bar w:val="nil"/>
        </w:pBdr>
        <w:spacing w:before="0" w:after="240"/>
        <w:rPr>
          <w:rFonts w:eastAsia="Arial Unicode MS"/>
          <w:noProof/>
        </w:rPr>
      </w:pPr>
      <w:r>
        <w:rPr>
          <w:noProof/>
        </w:rPr>
        <w:t>Uniunea își menține angajamentul ferm față de obiectivele sale în materie de climă și energie, astfel cum se prevede în Legea europeană a climei [Regulamentul (UE) 2021/1119]. Reducerile fiscale temporare permise de acest act nu ar trebui să conducă la o slăbire structurală a semnalelor de preț care încurajează eficiența energetică și tranziția către surse regenerabile de energie.</w:t>
      </w:r>
    </w:p>
    <w:p>
      <w:pPr>
        <w:pBdr>
          <w:top w:val="nil"/>
          <w:left w:val="nil"/>
          <w:bottom w:val="nil"/>
          <w:right w:val="nil"/>
          <w:between w:val="nil"/>
          <w:bar w:val="nil"/>
        </w:pBdr>
        <w:spacing w:before="0" w:after="240"/>
        <w:rPr>
          <w:rFonts w:eastAsia="Arial Unicode MS"/>
          <w:b/>
          <w:bCs/>
          <w:noProof/>
        </w:rPr>
      </w:pPr>
      <w:r>
        <w:rPr>
          <w:b/>
          <w:noProof/>
        </w:rPr>
        <w:t>Politica energetică</w:t>
      </w:r>
    </w:p>
    <w:p>
      <w:pPr>
        <w:rPr>
          <w:noProof/>
        </w:rPr>
      </w:pPr>
      <w:r>
        <w:rPr>
          <w:noProof/>
        </w:rPr>
        <w:t xml:space="preserve">Având în vedere amploarea actualei creșteri bruște a prețurilor energiei care rezultă din situația din Orientul Mijlociu, statele membre pot solicita să li se permită să reducă temporar ratele accizelor sub ratele minime ale UE pentru produse. </w:t>
      </w:r>
    </w:p>
    <w:p>
      <w:pPr>
        <w:rPr>
          <w:rFonts w:eastAsia="Arial Unicode MS"/>
          <w:noProof/>
        </w:rPr>
      </w:pPr>
      <w:r>
        <w:rPr>
          <w:noProof/>
        </w:rPr>
        <w:t xml:space="preserve">Având în vedere durata sa scurtă și circumstanțele excepționale actuale legate de situația geopolitică, precum și prețul de piață excepțional de ridicat al produselor energetice, posibilitatea de a reduce ratele accizelor sub ratele minime stabilite în temeiul directivei este considerată adecvată și proporțională cu necesitatea de a echilibra obiectivele de politică specifice enumerate la articolul 19 din directivă și, în special, politica de mediu a UE cu imperativul urgent de a asigura accesibilitatea pentru întreprinderi și gospodării. </w:t>
      </w:r>
    </w:p>
    <w:p>
      <w:pPr>
        <w:pBdr>
          <w:top w:val="nil"/>
          <w:left w:val="nil"/>
          <w:bottom w:val="nil"/>
          <w:right w:val="nil"/>
          <w:between w:val="nil"/>
          <w:bar w:val="nil"/>
        </w:pBdr>
        <w:spacing w:before="0" w:after="240"/>
        <w:rPr>
          <w:rFonts w:eastAsia="Arial Unicode MS"/>
          <w:b/>
          <w:bCs/>
          <w:noProof/>
        </w:rPr>
      </w:pPr>
      <w:r>
        <w:rPr>
          <w:b/>
          <w:noProof/>
        </w:rPr>
        <w:t>Politica privind piața internă și concurența loială</w:t>
      </w:r>
    </w:p>
    <w:p>
      <w:pPr>
        <w:rPr>
          <w:rFonts w:eastAsia="Arial Unicode MS"/>
          <w:iCs/>
          <w:noProof/>
        </w:rPr>
      </w:pPr>
      <w:r>
        <w:rPr>
          <w:noProof/>
        </w:rPr>
        <w:t xml:space="preserve">Ca urmare a situației excepționale, este puțin probabil ca această măsură temporară să afecteze comerțul intra-UE. Per ansamblu, măsura pare acceptabilă din punctul de vedere al bunei funcționări a pieței interne și al necesității de a asigura o concurență loială. Având în vedere că atât durata, cât și efectele sale sunt limitate, măsura nu ar trebui să denatureze concurența sau să împiedice funcționarea pieței interne. </w:t>
      </w:r>
    </w:p>
    <w:p>
      <w:pPr>
        <w:rPr>
          <w:rFonts w:eastAsia="Arial Unicode MS"/>
          <w:b/>
          <w:bCs/>
          <w:noProof/>
        </w:rPr>
      </w:pPr>
      <w:r>
        <w:rPr>
          <w:b/>
          <w:noProof/>
        </w:rPr>
        <w:t xml:space="preserve">Politica socială </w:t>
      </w:r>
    </w:p>
    <w:p>
      <w:pPr>
        <w:rPr>
          <w:rFonts w:eastAsia="Arial Unicode MS"/>
          <w:noProof/>
        </w:rPr>
      </w:pPr>
      <w:r>
        <w:rPr>
          <w:noProof/>
        </w:rPr>
        <w:t>Creșterea observată și preconizată a costului energiei în întreaga Uniune și efectele secundare rezultate au un impact disproporționat asupra gospodăriilor cu venituri mici</w:t>
      </w:r>
      <w:r>
        <w:rPr>
          <w:rStyle w:val="FootnoteReference"/>
          <w:rFonts w:eastAsia="Arial Unicode MS"/>
          <w:noProof/>
        </w:rPr>
        <w:footnoteReference w:id="3"/>
      </w:r>
      <w:r>
        <w:rPr>
          <w:noProof/>
        </w:rPr>
        <w:t xml:space="preserve">. Prin urmare, reducerile de accize care vizează operatorii de transport rutier și de transport cu autobuzul pot avea un impact social pozitiv, contribuind la minimizarea creșterii costurilor pentru gospodăriile cu venituri mici. </w:t>
      </w:r>
    </w:p>
    <w:p>
      <w:pPr>
        <w:rPr>
          <w:rFonts w:eastAsia="Arial Unicode MS"/>
          <w:iCs/>
          <w:noProof/>
        </w:rPr>
      </w:pPr>
    </w:p>
    <w:p>
      <w:pPr>
        <w:pStyle w:val="ManualHeading1"/>
        <w:rPr>
          <w:noProof/>
        </w:rPr>
      </w:pPr>
      <w:r>
        <w:rPr>
          <w:noProof/>
        </w:rPr>
        <w:t>2.</w:t>
      </w:r>
      <w:r>
        <w:rPr>
          <w:noProof/>
        </w:rPr>
        <w:tab/>
        <w:t>TEMEIUL JURIDIC, SUBSIDIARITATEA ȘI PROPORȚIONALITATEA</w:t>
      </w:r>
    </w:p>
    <w:p>
      <w:pPr>
        <w:pStyle w:val="ManualHeading2"/>
        <w:rPr>
          <w:rFonts w:eastAsia="Arial Unicode MS"/>
          <w:noProof/>
          <w:u w:color="000000"/>
          <w:bdr w:val="nil"/>
        </w:rPr>
      </w:pPr>
      <w:r>
        <w:rPr>
          <w:noProof/>
          <w:u w:color="000000"/>
          <w:bdr w:val="nil"/>
        </w:rPr>
        <w:t>•</w:t>
      </w:r>
      <w:r>
        <w:rPr>
          <w:noProof/>
        </w:rPr>
        <w:tab/>
      </w:r>
      <w:r>
        <w:rPr>
          <w:noProof/>
          <w:u w:color="000000"/>
          <w:bdr w:val="nil"/>
        </w:rPr>
        <w:t>Temeiul juridic</w:t>
      </w:r>
    </w:p>
    <w:p>
      <w:pPr>
        <w:pBdr>
          <w:top w:val="nil"/>
          <w:left w:val="nil"/>
          <w:bottom w:val="nil"/>
          <w:right w:val="nil"/>
          <w:between w:val="nil"/>
          <w:bar w:val="nil"/>
        </w:pBdr>
        <w:spacing w:before="0" w:after="240"/>
        <w:rPr>
          <w:rFonts w:eastAsia="Arial Unicode MS"/>
          <w:noProof/>
        </w:rPr>
      </w:pPr>
      <w:r>
        <w:rPr>
          <w:noProof/>
        </w:rPr>
        <w:t>Articolul 19 din Directiva 2003/96/CE a Consiliului.</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Subsidiaritate (în cazul competențelor neexclusive) </w:t>
      </w:r>
    </w:p>
    <w:p>
      <w:pPr>
        <w:pBdr>
          <w:top w:val="nil"/>
          <w:left w:val="nil"/>
          <w:bottom w:val="nil"/>
          <w:right w:val="nil"/>
          <w:between w:val="nil"/>
          <w:bar w:val="nil"/>
        </w:pBdr>
        <w:spacing w:before="0" w:after="240"/>
        <w:rPr>
          <w:noProof/>
        </w:rPr>
      </w:pPr>
      <w:r>
        <w:rPr>
          <w:noProof/>
        </w:rPr>
        <w:t>Domeniul impozitării indirecte, reglementat de articolul 113 din TFUE, nu ține, în sine, de competența exclusivă a Uniunii Europene în sensul articolului 3 din TFUE.</w:t>
      </w:r>
    </w:p>
    <w:p>
      <w:pPr>
        <w:pBdr>
          <w:top w:val="nil"/>
          <w:left w:val="nil"/>
          <w:bottom w:val="nil"/>
          <w:right w:val="nil"/>
          <w:between w:val="nil"/>
          <w:bar w:val="nil"/>
        </w:pBdr>
        <w:spacing w:before="0" w:after="240"/>
        <w:rPr>
          <w:rFonts w:eastAsia="Arial Unicode MS"/>
          <w:noProof/>
        </w:rPr>
      </w:pPr>
      <w:r>
        <w:rPr>
          <w:noProof/>
        </w:rPr>
        <w:t>Cu toate acestea, în temeiul articolului 19 din Directiva 2003/96/CE, Consiliul a primit competența exclusivă, în virtutea legislației secundare, de a autoriza statele membre să introducă și alte scutiri sau reduceri în sensul dispoziției respective. Prin urmare, statele membre nu se pot substitui Consiliului. În consecință, principiul subsidiarității nu este aplicabil în cazul prezentei decizii de punere în aplicare. În orice caz, întrucât nu este un proiect de act legislativ, prezentul act nu trebuie transmis parlamentelor naționale în temeiul Protocolului nr. 2 la tratate pentru verificarea respectării principiului subsidiarității.</w:t>
      </w:r>
    </w:p>
    <w:p>
      <w:pPr>
        <w:pStyle w:val="ManualHeading2"/>
        <w:rPr>
          <w:rFonts w:eastAsia="Arial Unicode MS"/>
          <w:noProof/>
          <w:u w:color="000000"/>
          <w:bdr w:val="nil"/>
        </w:rPr>
      </w:pPr>
      <w:r>
        <w:rPr>
          <w:noProof/>
          <w:u w:color="000000"/>
          <w:bdr w:val="nil"/>
        </w:rPr>
        <w:t>•</w:t>
      </w:r>
      <w:r>
        <w:rPr>
          <w:noProof/>
        </w:rPr>
        <w:tab/>
      </w:r>
      <w:r>
        <w:rPr>
          <w:noProof/>
          <w:u w:color="000000"/>
          <w:bdr w:val="nil"/>
        </w:rPr>
        <w:t>Proporționalitatea</w:t>
      </w:r>
    </w:p>
    <w:p>
      <w:pPr>
        <w:pBdr>
          <w:top w:val="nil"/>
          <w:left w:val="nil"/>
          <w:bottom w:val="nil"/>
          <w:right w:val="nil"/>
          <w:between w:val="nil"/>
          <w:bar w:val="nil"/>
        </w:pBdr>
        <w:spacing w:before="0" w:after="240"/>
        <w:rPr>
          <w:noProof/>
        </w:rPr>
      </w:pPr>
      <w:r>
        <w:rPr>
          <w:noProof/>
        </w:rPr>
        <w:t xml:space="preserve">Propunerea respectă principiul proporționalității. Reducerile fiscale nu depășesc ceea ce este necesar pentru atingerea obiectivului urmărit. </w:t>
      </w:r>
    </w:p>
    <w:p>
      <w:pPr>
        <w:pBdr>
          <w:top w:val="nil"/>
          <w:left w:val="nil"/>
          <w:bottom w:val="nil"/>
          <w:right w:val="nil"/>
          <w:between w:val="nil"/>
          <w:bar w:val="nil"/>
        </w:pBdr>
        <w:spacing w:before="0" w:after="240"/>
        <w:rPr>
          <w:rFonts w:eastAsia="Arial Unicode MS"/>
          <w:iCs/>
          <w:noProof/>
        </w:rPr>
      </w:pPr>
      <w:r>
        <w:rPr>
          <w:noProof/>
        </w:rPr>
        <w:t xml:space="preserve">Autorizația se acordă pentru o perioadă foarte limitată de timp, și anume 3 luni (de la 1 iulie 2026 la 30 septembrie 2026) și într-un context de criză energetică. </w:t>
      </w:r>
    </w:p>
    <w:p>
      <w:pPr>
        <w:pStyle w:val="ManualHeading2"/>
        <w:rPr>
          <w:rFonts w:eastAsia="Arial Unicode MS"/>
          <w:noProof/>
          <w:u w:color="000000"/>
          <w:bdr w:val="nil"/>
        </w:rPr>
      </w:pPr>
      <w:r>
        <w:rPr>
          <w:noProof/>
          <w:u w:color="000000"/>
          <w:bdr w:val="nil"/>
        </w:rPr>
        <w:t>•</w:t>
      </w:r>
      <w:r>
        <w:rPr>
          <w:noProof/>
        </w:rPr>
        <w:tab/>
      </w:r>
      <w:r>
        <w:rPr>
          <w:noProof/>
          <w:u w:color="000000"/>
          <w:bdr w:val="nil"/>
        </w:rPr>
        <w:t>Alegerea instrumentului</w:t>
      </w:r>
    </w:p>
    <w:p>
      <w:pPr>
        <w:pBdr>
          <w:top w:val="nil"/>
          <w:left w:val="nil"/>
          <w:bottom w:val="nil"/>
          <w:right w:val="nil"/>
          <w:between w:val="nil"/>
          <w:bar w:val="nil"/>
        </w:pBdr>
        <w:spacing w:before="0" w:after="240"/>
        <w:rPr>
          <w:rFonts w:eastAsia="Arial Unicode MS"/>
          <w:noProof/>
        </w:rPr>
      </w:pPr>
      <w:r>
        <w:rPr>
          <w:noProof/>
        </w:rPr>
        <w:t>Instrumentul propus este o decizie de punere în aplicare a Consiliului. Articolul 19 din Directiva 2003/96/CE prevede numai acest tip de măsură.</w:t>
      </w:r>
    </w:p>
    <w:p>
      <w:pPr>
        <w:pStyle w:val="ManualHeading1"/>
        <w:rPr>
          <w:noProof/>
        </w:rPr>
      </w:pPr>
      <w:r>
        <w:rPr>
          <w:noProof/>
        </w:rPr>
        <w:t>3.</w:t>
      </w:r>
      <w:r>
        <w:rPr>
          <w:noProof/>
        </w:rPr>
        <w:tab/>
        <w:t>REZULTATELE EVALUĂRILOR EX POST, ALE CONSULTĂRILOR CU PĂRȚILE INTERESATE ȘI ALE EVALUĂRILOR IMPACTULUI</w:t>
      </w:r>
    </w:p>
    <w:p>
      <w:pPr>
        <w:pStyle w:val="ManualHeading2"/>
        <w:rPr>
          <w:rFonts w:eastAsia="Arial Unicode MS"/>
          <w:noProof/>
          <w:u w:color="000000"/>
          <w:bdr w:val="nil"/>
        </w:rPr>
      </w:pPr>
      <w:r>
        <w:rPr>
          <w:noProof/>
          <w:u w:color="000000"/>
          <w:bdr w:val="nil"/>
        </w:rPr>
        <w:t>•</w:t>
      </w:r>
      <w:r>
        <w:rPr>
          <w:noProof/>
        </w:rPr>
        <w:tab/>
      </w:r>
      <w:r>
        <w:rPr>
          <w:noProof/>
          <w:u w:color="000000"/>
          <w:bdr w:val="nil"/>
        </w:rPr>
        <w:t>Evaluări ex post/verificări ale adecvării legislației existente</w:t>
      </w:r>
    </w:p>
    <w:p>
      <w:pPr>
        <w:pBdr>
          <w:top w:val="nil"/>
          <w:left w:val="nil"/>
          <w:bottom w:val="nil"/>
          <w:right w:val="nil"/>
          <w:between w:val="nil"/>
          <w:bar w:val="nil"/>
        </w:pBdr>
        <w:spacing w:before="0" w:after="240"/>
        <w:rPr>
          <w:rFonts w:eastAsia="Arial Unicode MS"/>
          <w:noProof/>
        </w:rPr>
      </w:pPr>
      <w:r>
        <w:rPr>
          <w:noProof/>
        </w:rPr>
        <w:t>Măsura nu impune o evaluare a legislației existente.</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Consultări cu părțile interesate</w:t>
      </w:r>
    </w:p>
    <w:p>
      <w:pPr>
        <w:pBdr>
          <w:top w:val="nil"/>
          <w:left w:val="nil"/>
          <w:bottom w:val="nil"/>
          <w:right w:val="nil"/>
          <w:between w:val="nil"/>
          <w:bar w:val="nil"/>
        </w:pBdr>
        <w:spacing w:before="0" w:after="240"/>
        <w:rPr>
          <w:noProof/>
        </w:rPr>
      </w:pPr>
      <w:r>
        <w:rPr>
          <w:noProof/>
        </w:rPr>
        <w:t xml:space="preserve">Prezenta propunere se bazează pe o cerere înaintată de Spania și se referă doar la acest stat membru. </w:t>
      </w:r>
    </w:p>
    <w:p>
      <w:pPr>
        <w:pStyle w:val="ManualHeading2"/>
        <w:rPr>
          <w:rFonts w:eastAsia="Arial Unicode MS"/>
          <w:noProof/>
          <w:u w:color="000000"/>
          <w:bdr w:val="nil"/>
        </w:rPr>
      </w:pPr>
      <w:r>
        <w:rPr>
          <w:noProof/>
          <w:u w:color="000000"/>
          <w:bdr w:val="nil"/>
        </w:rPr>
        <w:t>•</w:t>
      </w:r>
      <w:r>
        <w:rPr>
          <w:noProof/>
        </w:rPr>
        <w:tab/>
      </w:r>
      <w:r>
        <w:rPr>
          <w:noProof/>
          <w:u w:color="000000"/>
          <w:bdr w:val="nil"/>
        </w:rPr>
        <w:t>Obținerea și utilizarea cunoștințelor de specialitate</w:t>
      </w:r>
    </w:p>
    <w:p>
      <w:pPr>
        <w:pBdr>
          <w:top w:val="nil"/>
          <w:left w:val="nil"/>
          <w:bottom w:val="nil"/>
          <w:right w:val="nil"/>
          <w:between w:val="nil"/>
          <w:bar w:val="nil"/>
        </w:pBdr>
        <w:spacing w:before="0" w:after="240"/>
        <w:rPr>
          <w:noProof/>
        </w:rPr>
      </w:pPr>
      <w:r>
        <w:rPr>
          <w:noProof/>
        </w:rPr>
        <w:t>Nu a fost necesar să se recurgă la cunoștințe de specialitate externe.</w:t>
      </w:r>
    </w:p>
    <w:p>
      <w:pPr>
        <w:pStyle w:val="ManualHeading2"/>
        <w:rPr>
          <w:rFonts w:eastAsia="Arial Unicode MS"/>
          <w:noProof/>
          <w:u w:color="000000"/>
          <w:bdr w:val="nil"/>
        </w:rPr>
      </w:pPr>
      <w:r>
        <w:rPr>
          <w:noProof/>
          <w:u w:color="000000"/>
          <w:bdr w:val="nil"/>
        </w:rPr>
        <w:t>•</w:t>
      </w:r>
      <w:r>
        <w:rPr>
          <w:noProof/>
        </w:rPr>
        <w:tab/>
      </w:r>
      <w:r>
        <w:rPr>
          <w:noProof/>
          <w:u w:color="000000"/>
          <w:bdr w:val="nil"/>
        </w:rPr>
        <w:t>Evaluarea impactului</w:t>
      </w:r>
    </w:p>
    <w:p>
      <w:pPr>
        <w:pBdr>
          <w:top w:val="nil"/>
          <w:left w:val="nil"/>
          <w:bottom w:val="nil"/>
          <w:right w:val="nil"/>
          <w:between w:val="nil"/>
          <w:bar w:val="nil"/>
        </w:pBdr>
        <w:spacing w:before="0" w:after="240"/>
        <w:rPr>
          <w:noProof/>
        </w:rPr>
      </w:pPr>
      <w:r>
        <w:rPr>
          <w:noProof/>
        </w:rPr>
        <w:t>Prezenta propunere se referă la acordarea unei autorizări unui stat membru, la cererea acestuia, și nu necesită efectuarea unei evaluări a impactului. În conformitate cu normele privind o mai bună legiferare, aceste tipuri de acte, prin natura lor, nu fac obiectul unei evaluări a impactului.</w:t>
      </w:r>
    </w:p>
    <w:p>
      <w:pPr>
        <w:pStyle w:val="ManualHeading2"/>
        <w:rPr>
          <w:rFonts w:eastAsia="Arial Unicode MS"/>
          <w:noProof/>
          <w:u w:color="000000"/>
          <w:bdr w:val="nil"/>
        </w:rPr>
      </w:pPr>
      <w:r>
        <w:rPr>
          <w:noProof/>
          <w:u w:color="000000"/>
          <w:bdr w:val="nil"/>
        </w:rPr>
        <w:t>•</w:t>
      </w:r>
      <w:r>
        <w:rPr>
          <w:noProof/>
        </w:rPr>
        <w:tab/>
      </w:r>
      <w:r>
        <w:rPr>
          <w:noProof/>
          <w:u w:color="000000"/>
          <w:bdr w:val="nil"/>
        </w:rPr>
        <w:t>Adecvarea reglementărilor și simplificarea</w:t>
      </w:r>
    </w:p>
    <w:p>
      <w:pPr>
        <w:pBdr>
          <w:top w:val="nil"/>
          <w:left w:val="nil"/>
          <w:bottom w:val="nil"/>
          <w:right w:val="nil"/>
          <w:between w:val="nil"/>
          <w:bar w:val="nil"/>
        </w:pBdr>
        <w:spacing w:before="0" w:after="240"/>
        <w:rPr>
          <w:noProof/>
        </w:rPr>
      </w:pPr>
      <w:r>
        <w:rPr>
          <w:noProof/>
        </w:rPr>
        <w:t>Măsura nu prevede o simplificare. Ea se bazează pe o cerere înaintată de Spania și se referă doar la acest stat membru.</w:t>
      </w:r>
    </w:p>
    <w:p>
      <w:pPr>
        <w:pStyle w:val="ManualHeading2"/>
        <w:rPr>
          <w:rFonts w:eastAsia="Arial Unicode MS"/>
          <w:noProof/>
          <w:u w:color="000000"/>
          <w:bdr w:val="nil"/>
        </w:rPr>
      </w:pPr>
      <w:r>
        <w:rPr>
          <w:noProof/>
          <w:u w:color="000000"/>
          <w:bdr w:val="nil"/>
        </w:rPr>
        <w:t>•</w:t>
      </w:r>
      <w:r>
        <w:rPr>
          <w:noProof/>
        </w:rPr>
        <w:tab/>
      </w:r>
      <w:r>
        <w:rPr>
          <w:noProof/>
          <w:u w:color="000000"/>
          <w:bdr w:val="nil"/>
        </w:rPr>
        <w:t>Drepturile fundamentale</w:t>
      </w:r>
    </w:p>
    <w:p>
      <w:pPr>
        <w:pBdr>
          <w:top w:val="nil"/>
          <w:left w:val="nil"/>
          <w:bottom w:val="nil"/>
          <w:right w:val="nil"/>
          <w:between w:val="nil"/>
          <w:bar w:val="nil"/>
        </w:pBdr>
        <w:spacing w:before="0" w:after="240"/>
        <w:rPr>
          <w:rFonts w:eastAsia="Arial Unicode MS"/>
          <w:noProof/>
        </w:rPr>
      </w:pPr>
      <w:r>
        <w:rPr>
          <w:noProof/>
        </w:rPr>
        <w:t>Măsura nu privește drepturile fundamentale.</w:t>
      </w:r>
    </w:p>
    <w:p>
      <w:pPr>
        <w:pStyle w:val="ManualHeading1"/>
        <w:rPr>
          <w:noProof/>
        </w:rPr>
      </w:pPr>
      <w:r>
        <w:rPr>
          <w:noProof/>
        </w:rPr>
        <w:t>4.</w:t>
      </w:r>
      <w:r>
        <w:rPr>
          <w:noProof/>
        </w:rPr>
        <w:tab/>
        <w:t>IMPLICAȚII BUGETARE</w:t>
      </w:r>
    </w:p>
    <w:p>
      <w:pPr>
        <w:pBdr>
          <w:top w:val="nil"/>
          <w:left w:val="nil"/>
          <w:bottom w:val="nil"/>
          <w:right w:val="nil"/>
          <w:between w:val="nil"/>
          <w:bar w:val="nil"/>
        </w:pBdr>
        <w:spacing w:before="0" w:after="240"/>
        <w:rPr>
          <w:rFonts w:eastAsia="Arial Unicode MS"/>
          <w:noProof/>
        </w:rPr>
      </w:pPr>
      <w:r>
        <w:rPr>
          <w:noProof/>
        </w:rPr>
        <w:t>Această măsură nu impune Uniunii nicio sarcină financiară sau administrativă. Prin urmare, propunerea nu are implicații asupra bugetului Uniunii.</w:t>
      </w:r>
    </w:p>
    <w:p>
      <w:pPr>
        <w:pStyle w:val="ManualHeading1"/>
        <w:rPr>
          <w:noProof/>
        </w:rPr>
      </w:pPr>
      <w:r>
        <w:rPr>
          <w:noProof/>
        </w:rPr>
        <w:t>5.</w:t>
      </w:r>
      <w:r>
        <w:rPr>
          <w:noProof/>
        </w:rPr>
        <w:tab/>
        <w:t>ALTE ELEMENTE</w:t>
      </w:r>
    </w:p>
    <w:p>
      <w:pPr>
        <w:pStyle w:val="ManualHeading2"/>
        <w:rPr>
          <w:rFonts w:eastAsia="Arial Unicode MS"/>
          <w:noProof/>
          <w:u w:color="000000"/>
          <w:bdr w:val="nil"/>
        </w:rPr>
      </w:pPr>
      <w:r>
        <w:rPr>
          <w:noProof/>
          <w:u w:color="000000"/>
          <w:bdr w:val="nil"/>
        </w:rPr>
        <w:t>•</w:t>
      </w:r>
      <w:r>
        <w:rPr>
          <w:noProof/>
        </w:rPr>
        <w:tab/>
      </w:r>
      <w:r>
        <w:rPr>
          <w:noProof/>
          <w:u w:color="000000"/>
          <w:bdr w:val="nil"/>
        </w:rPr>
        <w:t>Planuri de punere în aplicare și măsuri de monitorizare, evaluare și raportare</w:t>
      </w:r>
    </w:p>
    <w:p>
      <w:pPr>
        <w:pBdr>
          <w:top w:val="nil"/>
          <w:left w:val="nil"/>
          <w:bottom w:val="nil"/>
          <w:right w:val="nil"/>
          <w:between w:val="nil"/>
          <w:bar w:val="nil"/>
        </w:pBdr>
        <w:spacing w:before="0" w:after="240"/>
        <w:rPr>
          <w:rFonts w:eastAsia="Arial Unicode MS"/>
          <w:noProof/>
        </w:rPr>
      </w:pPr>
      <w:r>
        <w:rPr>
          <w:noProof/>
        </w:rPr>
        <w:t>Nu este necesar un plan de punere în aplicare. Prezenta propunere se referă la autorizarea unei reduceri fiscale efective, care este prevăzută pentru o perioadă limitată de timp. Ratele de impozitare aplicabile pot scădea sub ratele minime de impozitare stabilite de Directiva privind impozitarea energiei. Măsura poate fi evaluată în cazul unei propuneri de prelungire a valabilității acestei decizii.</w:t>
      </w:r>
    </w:p>
    <w:p>
      <w:pPr>
        <w:pStyle w:val="ManualHeading2"/>
        <w:rPr>
          <w:rFonts w:eastAsia="Arial Unicode MS"/>
          <w:noProof/>
          <w:u w:color="000000"/>
          <w:bdr w:val="nil"/>
        </w:rPr>
      </w:pPr>
      <w:r>
        <w:rPr>
          <w:noProof/>
          <w:u w:color="000000"/>
          <w:bdr w:val="nil"/>
        </w:rPr>
        <w:t>•</w:t>
      </w:r>
      <w:r>
        <w:rPr>
          <w:noProof/>
        </w:rPr>
        <w:tab/>
      </w:r>
      <w:r>
        <w:rPr>
          <w:noProof/>
          <w:u w:color="000000"/>
          <w:bdr w:val="nil"/>
        </w:rPr>
        <w:t>Documentele explicative (în cazul directivelor)</w:t>
      </w:r>
    </w:p>
    <w:p>
      <w:pPr>
        <w:pBdr>
          <w:top w:val="nil"/>
          <w:left w:val="nil"/>
          <w:bottom w:val="nil"/>
          <w:right w:val="nil"/>
          <w:between w:val="nil"/>
          <w:bar w:val="nil"/>
        </w:pBdr>
        <w:spacing w:before="0" w:after="240"/>
        <w:rPr>
          <w:rFonts w:eastAsia="Arial Unicode MS"/>
          <w:noProof/>
        </w:rPr>
      </w:pPr>
      <w:r>
        <w:rPr>
          <w:noProof/>
        </w:rPr>
        <w:t>Propunerea nu necesită documente explicative privind transpunerea.</w:t>
      </w:r>
    </w:p>
    <w:p>
      <w:pPr>
        <w:pStyle w:val="ManualHeading2"/>
        <w:rPr>
          <w:rFonts w:eastAsia="Arial Unicode MS"/>
          <w:noProof/>
          <w:u w:color="000000"/>
          <w:bdr w:val="nil"/>
        </w:rPr>
      </w:pPr>
      <w:r>
        <w:rPr>
          <w:noProof/>
          <w:u w:color="000000"/>
          <w:bdr w:val="nil"/>
        </w:rPr>
        <w:t>•</w:t>
      </w:r>
      <w:r>
        <w:rPr>
          <w:noProof/>
        </w:rPr>
        <w:tab/>
      </w:r>
      <w:r>
        <w:rPr>
          <w:noProof/>
          <w:u w:color="000000"/>
          <w:bdr w:val="nil"/>
        </w:rPr>
        <w:t>Explicații detaliate cu privire la dispozițiile specifice ale propunerii</w:t>
      </w:r>
    </w:p>
    <w:p>
      <w:pPr>
        <w:pBdr>
          <w:top w:val="nil"/>
          <w:left w:val="nil"/>
          <w:bottom w:val="nil"/>
          <w:right w:val="nil"/>
          <w:between w:val="nil"/>
          <w:bar w:val="nil"/>
        </w:pBdr>
        <w:spacing w:before="0" w:after="240"/>
        <w:rPr>
          <w:noProof/>
        </w:rPr>
      </w:pPr>
      <w:r>
        <w:rPr>
          <w:noProof/>
        </w:rPr>
        <w:t>Articolul 1 prevede că Spania va fi autorizată să aplice niveluri reduse ale impozitelor la motorina, benzina fără plumb și biocomponentele aferente, utilizate drept carburanți, sub nivelurile minime de impozitare.</w:t>
      </w:r>
    </w:p>
    <w:p>
      <w:pPr>
        <w:pBdr>
          <w:top w:val="nil"/>
          <w:left w:val="nil"/>
          <w:bottom w:val="nil"/>
          <w:right w:val="nil"/>
          <w:between w:val="nil"/>
          <w:bar w:val="nil"/>
        </w:pBdr>
        <w:spacing w:before="0" w:after="240"/>
        <w:rPr>
          <w:noProof/>
        </w:rPr>
      </w:pPr>
      <w:r>
        <w:rPr>
          <w:noProof/>
        </w:rPr>
        <w:t>Articolul 2 prevede că autorizația solicitată se acordă pentru o perioadă de 3 luni, de la 1 iulie 2026 până la 30 septembrie 2026, conform solicitării Spaniei, în limita perioadei maxime de 6 ani permise de directivă.</w:t>
      </w:r>
    </w:p>
    <w:p>
      <w:pPr>
        <w:rPr>
          <w:noProof/>
        </w:rPr>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pPr>
        <w:pStyle w:val="Rfrenceinterinstitutionnelle"/>
        <w:rPr>
          <w:noProof/>
        </w:rPr>
      </w:pPr>
      <w:r>
        <w:rPr>
          <w:noProof/>
        </w:rPr>
        <w:t>2026/0241 (NLE)</w:t>
      </w:r>
    </w:p>
    <w:p>
      <w:pPr>
        <w:pStyle w:val="Statut"/>
        <w:rPr>
          <w:noProof/>
        </w:rPr>
      </w:pPr>
      <w:r>
        <w:rPr>
          <w:noProof/>
        </w:rPr>
        <w:t>Propunere de</w:t>
      </w:r>
    </w:p>
    <w:p>
      <w:pPr>
        <w:pStyle w:val="Typedudocument"/>
        <w:rPr>
          <w:noProof/>
        </w:rPr>
      </w:pPr>
      <w:r>
        <w:rPr>
          <w:noProof/>
        </w:rPr>
        <w:t>DECIZIE DE PUNERE ÎN APLICARE A CONSILIULUI</w:t>
      </w:r>
    </w:p>
    <w:p>
      <w:pPr>
        <w:pStyle w:val="Titreobjet"/>
        <w:rPr>
          <w:noProof/>
        </w:rPr>
      </w:pPr>
      <w:r>
        <w:rPr>
          <w:noProof/>
        </w:rPr>
        <w:t>prin care Spania este autorizată să aplice niveluri reduse ale accizelor la motorina și la benzina fără plumb utilizate drept carburanți, în temeiul articolului 19 din Directiva 2003/96/CE</w:t>
      </w:r>
    </w:p>
    <w:p>
      <w:pPr>
        <w:pStyle w:val="Institutionquiagit"/>
        <w:rPr>
          <w:noProof/>
        </w:rPr>
      </w:pPr>
      <w:r>
        <w:rPr>
          <w:noProof/>
        </w:rPr>
        <w:t>CONSILIUL UNIUNII EUROPENE,</w:t>
      </w:r>
    </w:p>
    <w:p>
      <w:pPr>
        <w:rPr>
          <w:noProof/>
        </w:rPr>
      </w:pPr>
      <w:r>
        <w:rPr>
          <w:noProof/>
        </w:rPr>
        <w:t xml:space="preserve">având în vedere Tratatul privind funcționarea Uniunii Europene, </w:t>
      </w:r>
    </w:p>
    <w:p>
      <w:pPr>
        <w:rPr>
          <w:noProof/>
        </w:rPr>
      </w:pPr>
      <w:r>
        <w:rPr>
          <w:noProof/>
        </w:rPr>
        <w:t>având în vedere Directiva 2003/96/CE a Consiliului din 27 octombrie 2003 privind restructurarea cadrului comunitar de impozitare a produselor energetice și a electricității</w:t>
      </w:r>
      <w:r>
        <w:rPr>
          <w:rStyle w:val="FootnoteReference"/>
          <w:noProof/>
        </w:rPr>
        <w:footnoteReference w:id="4"/>
      </w:r>
      <w:r>
        <w:rPr>
          <w:noProof/>
        </w:rPr>
        <w:t>, în special articolul 19 alineatul (1) primul paragraf,</w:t>
      </w:r>
    </w:p>
    <w:p>
      <w:pPr>
        <w:rPr>
          <w:noProof/>
        </w:rPr>
      </w:pPr>
      <w:r>
        <w:rPr>
          <w:noProof/>
        </w:rPr>
        <w:t>având în vedere propunerea Comisiei Europene,</w:t>
      </w:r>
    </w:p>
    <w:p>
      <w:pPr>
        <w:rPr>
          <w:noProof/>
        </w:rPr>
      </w:pPr>
      <w:r>
        <w:rPr>
          <w:noProof/>
        </w:rPr>
        <w:t>întrucât:</w:t>
      </w:r>
    </w:p>
    <w:p>
      <w:pPr>
        <w:pStyle w:val="ManualConsidrant"/>
        <w:rPr>
          <w:noProof/>
        </w:rPr>
      </w:pPr>
      <w:r>
        <w:rPr>
          <w:noProof/>
        </w:rPr>
        <w:t>(1)</w:t>
      </w:r>
      <w:r>
        <w:rPr>
          <w:noProof/>
        </w:rPr>
        <w:tab/>
        <w:t>Accizele stabilite prin Directiva 2003/96/CE contribuie la costul final al produselor energetice furnizate în Uniune. O reducere a accizelor sub ratele minime poate atenua unele dintre creșterile costurilor energiei cu care se confruntă în prezent statele membre.</w:t>
      </w:r>
    </w:p>
    <w:p>
      <w:pPr>
        <w:pStyle w:val="ManualConsidrant"/>
        <w:rPr>
          <w:noProof/>
        </w:rPr>
      </w:pPr>
      <w:r>
        <w:rPr>
          <w:noProof/>
        </w:rPr>
        <w:t>(2)</w:t>
      </w:r>
      <w:r>
        <w:rPr>
          <w:noProof/>
        </w:rPr>
        <w:tab/>
        <w:t>Mecanismele prevăzute de Directiva 2003/96/CE permit statelor membre să reducă, în limite definite, sarcina fiscală asupra anumitor produse energetice într-un mod țintit și temporar. Având în vedere caracterul excepțional și urgent al situației actuale, este necesar să se prevadă mecanisme specifice și cu durată limitată, care au scopul explicit de a atenua impactul șocului prețurilor la energie.</w:t>
      </w:r>
    </w:p>
    <w:p>
      <w:pPr>
        <w:pStyle w:val="ManualConsidrant"/>
        <w:rPr>
          <w:noProof/>
        </w:rPr>
      </w:pPr>
      <w:r>
        <w:rPr>
          <w:noProof/>
        </w:rPr>
        <w:t>(3)</w:t>
      </w:r>
      <w:r>
        <w:rPr>
          <w:noProof/>
        </w:rPr>
        <w:tab/>
        <w:t>Reducerile temporare ale impozitării anumitor produse energetice sunt în măsură să ofere un ajutor rapid gospodăriilor și întreprinderilor prin scăderea directă a prețurilor pentru utilizatorii finali. În situația actuală, astfel de reduceri extraordinare reprezintă un instrument adecvat și necesar pentru soluționarea perturbării economice serioase cauzate de șocul prețurilor la energie.</w:t>
      </w:r>
    </w:p>
    <w:p>
      <w:pPr>
        <w:pStyle w:val="ManualConsidrant"/>
        <w:rPr>
          <w:noProof/>
        </w:rPr>
      </w:pPr>
      <w:r>
        <w:rPr>
          <w:noProof/>
        </w:rPr>
        <w:t>(4)</w:t>
      </w:r>
      <w:r>
        <w:rPr>
          <w:noProof/>
        </w:rPr>
        <w:tab/>
        <w:t>Prin scrisorile din 29 iunie 2026 și 15 iulie 2026, autoritățile spaniole au solicitat autorizarea, în conformitate cu articolul 19 din Directiva 2003/96/CE, de a aplica rate de impozitare inferioare nivelurilor minime stabilite în tabelul A din anexa I la directiva respectivă pentru motorină, benzină fără plumb și biocomponentele acestora utilizate drept carburanți.</w:t>
      </w:r>
    </w:p>
    <w:p>
      <w:pPr>
        <w:pStyle w:val="ManualConsidrant"/>
        <w:rPr>
          <w:noProof/>
        </w:rPr>
      </w:pPr>
      <w:r>
        <w:rPr>
          <w:noProof/>
        </w:rPr>
        <w:t>(5)</w:t>
      </w:r>
      <w:r>
        <w:rPr>
          <w:noProof/>
        </w:rPr>
        <w:tab/>
      </w:r>
      <w:bookmarkStart w:id="1" w:name="_Hlk233811801"/>
      <w:r>
        <w:rPr>
          <w:noProof/>
        </w:rPr>
        <w:t>Autorizația a fost solicitată pentru o perioadă de trei luni, de la 1 iulie 2026 până la 30 septembrie 2026. Spania solicită reduceri ale ratelor de impozitare aplicabile în iulie diferite de cele aplicabile în august și septembrie, din cauza necesității de a ajusta ratele de impozitare la situația volatilă de pe piața internațională a petrolului.</w:t>
      </w:r>
    </w:p>
    <w:p>
      <w:pPr>
        <w:pStyle w:val="ManualConsidrant"/>
        <w:rPr>
          <w:noProof/>
        </w:rPr>
      </w:pPr>
      <w:r>
        <w:rPr>
          <w:noProof/>
        </w:rPr>
        <w:t>(6)</w:t>
      </w:r>
      <w:r>
        <w:rPr>
          <w:noProof/>
        </w:rPr>
        <w:tab/>
        <w:t>Potrivit autorităților spaniole, aplicarea unor astfel de rate reduse ale accizei vizează atenuarea impactului creșterii prețului motorinei, benzinei fără plumb și biocomponentelor aferente, ca urmare a situației geopolitice și care afectează în mod direct sau, prin efecte secundare, indirect, atât gospodăriile, cât și întreprinderile</w:t>
      </w:r>
      <w:bookmarkEnd w:id="1"/>
      <w:r>
        <w:rPr>
          <w:noProof/>
        </w:rPr>
        <w:t>.</w:t>
      </w:r>
    </w:p>
    <w:p>
      <w:pPr>
        <w:pStyle w:val="ManualConsidrant"/>
        <w:rPr>
          <w:noProof/>
        </w:rPr>
      </w:pPr>
      <w:r>
        <w:rPr>
          <w:noProof/>
        </w:rPr>
        <w:t>(7)</w:t>
      </w:r>
      <w:r>
        <w:rPr>
          <w:noProof/>
        </w:rPr>
        <w:tab/>
        <w:t>Comisia a examinat autorizația solicitată și consideră că este puțin probabil ca aceasta să împiedice buna funcționare a pieței interne. Comisia consideră că derogarea solicitată este adecvată și proporțională, având în vedere durata sa scurtă, circumstanțele excepționale legate de situația geopolitică, împreună cu un preț de piață excepțional de ridicat al petrolului, precum și necesitatea de a găsi un echilibru între obiectivele de politică specifice enumerate la articolul 19 alineatul (1) al treilea paragraf din Directiva 2003/96/CE, în special politica de mediu a Uniunii, și imperativul de urgență de a asigura accesibilitatea energiei pentru întreprinderi și gospodării.</w:t>
      </w:r>
    </w:p>
    <w:p>
      <w:pPr>
        <w:pStyle w:val="ManualConsidrant"/>
        <w:rPr>
          <w:noProof/>
        </w:rPr>
      </w:pPr>
      <w:r>
        <w:rPr>
          <w:noProof/>
        </w:rPr>
        <w:t>(8)</w:t>
      </w:r>
      <w:r>
        <w:rPr>
          <w:noProof/>
        </w:rPr>
        <w:tab/>
        <w:t>Prin urmare, Spania ar trebui să fie autorizată să aplice temporar niveluri reduse ale accizelor, sub nivelurile minime din Uniune, pentru motorina, benzina fără plumb și biocomponentele acestora utilizate drept carburanți.</w:t>
      </w:r>
    </w:p>
    <w:p>
      <w:pPr>
        <w:pStyle w:val="ManualConsidrant"/>
        <w:rPr>
          <w:noProof/>
        </w:rPr>
      </w:pPr>
      <w:r>
        <w:rPr>
          <w:noProof/>
        </w:rPr>
        <w:t>(9)</w:t>
      </w:r>
      <w:r>
        <w:rPr>
          <w:noProof/>
        </w:rPr>
        <w:tab/>
        <w:t>În conformitate cu articolul 19 alineatul (2) din Directiva 2003/96/CE, fiecare autorizație acordată în temeiul respectivei dispoziții trebuie să fie strict limitată în timp. Cu toate acestea, pentru a nu aduce atingere evoluțiilor viitoare ale cadrului juridic existent, este necesar să se prevadă că, în cazul în care Consiliul, hotărând în temeiul articolului 113 din Tratatul privind funcționarea Uniunii Europene (TFUE) sau al oricărei alte dispoziții relevante din TFUE, introduce noi niveluri minime de impozitare a motorinei și a benzinei fără plumb utilizate drept carburanți, cu care autorizația acordată prin prezenta decizie nu este compatibilă, autorizația respectivă ar trebui să înceteze să se aplice.</w:t>
      </w:r>
    </w:p>
    <w:p>
      <w:pPr>
        <w:pStyle w:val="ManualConsidrant"/>
        <w:rPr>
          <w:noProof/>
        </w:rPr>
      </w:pPr>
      <w:r>
        <w:rPr>
          <w:noProof/>
        </w:rPr>
        <w:t>(10)</w:t>
      </w:r>
      <w:r>
        <w:rPr>
          <w:noProof/>
        </w:rPr>
        <w:tab/>
        <w:t>În același timp, reducerile fiscale nespecifice implică costuri bugetare semnificative și tind să determine o creștere a cererii de combustibili fosili, exacerbând astfel dezechilibrul dintre cerere și ofertă. Prin urmare, autorizația acordată prin prezenta decizie ar trebui să rămână strict limitată în timp.</w:t>
      </w:r>
    </w:p>
    <w:p>
      <w:pPr>
        <w:pStyle w:val="ManualConsidrant"/>
        <w:rPr>
          <w:noProof/>
        </w:rPr>
      </w:pPr>
      <w:r>
        <w:rPr>
          <w:noProof/>
        </w:rPr>
        <w:t>(11)</w:t>
      </w:r>
      <w:r>
        <w:rPr>
          <w:noProof/>
        </w:rPr>
        <w:tab/>
        <w:t>Prezenta decizie nu aduce atingere aplicării normelor Uniunii privind ajutoarele de stat,</w:t>
      </w:r>
    </w:p>
    <w:p>
      <w:pPr>
        <w:pStyle w:val="Formuledadoption"/>
        <w:rPr>
          <w:noProof/>
        </w:rPr>
      </w:pPr>
      <w:r>
        <w:rPr>
          <w:noProof/>
        </w:rPr>
        <w:t xml:space="preserve">ADOPTĂ PREZENTA DECIZIE: </w:t>
      </w:r>
    </w:p>
    <w:p>
      <w:pPr>
        <w:pStyle w:val="Titrearticle"/>
        <w:rPr>
          <w:noProof/>
        </w:rPr>
      </w:pPr>
      <w:r>
        <w:rPr>
          <w:noProof/>
        </w:rPr>
        <w:t>Articolul 1</w:t>
      </w:r>
    </w:p>
    <w:p>
      <w:pPr>
        <w:pStyle w:val="Point0"/>
        <w:rPr>
          <w:noProof/>
        </w:rPr>
      </w:pPr>
      <w:r>
        <w:rPr>
          <w:noProof/>
        </w:rPr>
        <w:t>(1)</w:t>
      </w:r>
      <w:r>
        <w:rPr>
          <w:noProof/>
        </w:rPr>
        <w:tab/>
        <w:t>Pentru perioada cuprinsă între [] și [], Spania este autorizată să aplice următoarele reduceri ale ratelor sub nivelurile minime de impozitare menționate la articolul 7 din Directiva 2003/96:</w:t>
      </w:r>
    </w:p>
    <w:p>
      <w:pPr>
        <w:rPr>
          <w:noProof/>
        </w:rPr>
      </w:pPr>
      <w:r>
        <w:rPr>
          <w:noProof/>
        </w:rPr>
        <w:t>(a) pentru benzina fără plumb cu o cifră octanică de 98 sau mai mare și produsele care constau dintr-un amestec al acestei benzine cu bioetanol sau biometanol: până la 5,08 EUR per 1 000 de litri;</w:t>
      </w:r>
    </w:p>
    <w:p>
      <w:pPr>
        <w:rPr>
          <w:noProof/>
        </w:rPr>
      </w:pPr>
      <w:r>
        <w:rPr>
          <w:noProof/>
        </w:rPr>
        <w:t>(b) pentru benzina fără plumb cu o cifră octanică mai mică de 98 și produsele care constau dintr-un amestec al acestei benzine cu bioetanol sau biometanol: până la 36,31 EUR per 1 000 de litri;</w:t>
      </w:r>
    </w:p>
    <w:p>
      <w:pPr>
        <w:rPr>
          <w:noProof/>
        </w:rPr>
      </w:pPr>
      <w:r>
        <w:rPr>
          <w:noProof/>
        </w:rPr>
        <w:t>(c) pentru motorină, precum și pentru produsele constând dintr-un amestec de motorină și biomotorină utilizate drept carburant în alte scopuri decât cele prevăzute la articolul 8 alineatul (2) din Directiva 2003/96/CE: până la 101 EUR per 1 000 de litri.</w:t>
      </w:r>
    </w:p>
    <w:p>
      <w:pPr>
        <w:rPr>
          <w:noProof/>
        </w:rPr>
      </w:pPr>
      <w:r>
        <w:rPr>
          <w:noProof/>
        </w:rPr>
        <w:t>2. Pentru perioada cuprinsă între [] și 30 septembrie 2026, Spania este autorizată să aplice următoarele reduceri ale ratelor sub nivelurile minime de impozitare menționate la articolul 7 din Directiva 2003/96:</w:t>
      </w:r>
    </w:p>
    <w:p>
      <w:pPr>
        <w:rPr>
          <w:noProof/>
        </w:rPr>
      </w:pPr>
      <w:r>
        <w:rPr>
          <w:noProof/>
        </w:rPr>
        <w:t>(a) pentru benzina fără plumb cu o cifră octanică de 98 sau mai mare și produsele care constau dintr-un amestec al acestei benzine cu bioetanol sau biometanol: până la 55,08 EUR per 1 000 de litri;</w:t>
      </w:r>
    </w:p>
    <w:p>
      <w:pPr>
        <w:rPr>
          <w:noProof/>
        </w:rPr>
      </w:pPr>
      <w:r>
        <w:rPr>
          <w:noProof/>
        </w:rPr>
        <w:t>(b) pentru benzina fără plumb cu o cifră octanică mai mică de 98 și produsele care constau dintr-un amestec al acestei benzine cu bioetanol sau biometanol: până la 86,31 EUR per 1 000 de litri;</w:t>
      </w:r>
    </w:p>
    <w:p>
      <w:pPr>
        <w:rPr>
          <w:noProof/>
        </w:rPr>
      </w:pPr>
      <w:r>
        <w:rPr>
          <w:noProof/>
        </w:rPr>
        <w:t>(c) pentru motorină, precum și pentru produsele constând dintr-un amestec de motorină și biomotorină utilizate drept carburant în alte scopuri decât cele prevăzute la articolul 8 alineatul (2) din Directiva 2003/96/CE: până la 151 EUR per 1 000 de litri.</w:t>
      </w:r>
    </w:p>
    <w:p>
      <w:pPr>
        <w:pStyle w:val="Titrearticle"/>
        <w:rPr>
          <w:noProof/>
        </w:rPr>
      </w:pPr>
      <w:r>
        <w:rPr>
          <w:noProof/>
        </w:rPr>
        <w:t>Articolul 2</w:t>
      </w:r>
    </w:p>
    <w:p>
      <w:pPr>
        <w:rPr>
          <w:noProof/>
        </w:rPr>
      </w:pPr>
      <w:r>
        <w:rPr>
          <w:noProof/>
        </w:rPr>
        <w:t>Prezenta decizie se aplică de la [data adoptării deciziei] până la 30 septembrie 2026.</w:t>
      </w:r>
    </w:p>
    <w:p>
      <w:pPr>
        <w:rPr>
          <w:noProof/>
        </w:rPr>
      </w:pPr>
      <w:r>
        <w:rPr>
          <w:noProof/>
        </w:rPr>
        <w:t>Cu toate acestea, în cazul în care Consiliul, hotărând în temeiul articolului 113 din TFUE sau al oricărei alte dispoziții relevante din TFUE, introduce noi niveluri minime de impozitare, astfel cum se menționează la articolul 7 din Directiva 2003/96/CE, pentru motorina și pentru benzina fără plumb utilizate drept carburanți cu care autorizația acordată la articolul 1 din prezenta decizie nu este compatibilă, prezenta decizie încetează să se aplice de la data la care devin aplicabile respectivele noi niveluri minime de impozitare.</w:t>
      </w:r>
    </w:p>
    <w:p>
      <w:pPr>
        <w:pStyle w:val="Titrearticle"/>
        <w:rPr>
          <w:noProof/>
        </w:rPr>
      </w:pPr>
      <w:r>
        <w:rPr>
          <w:noProof/>
        </w:rPr>
        <w:t xml:space="preserve">Articolul 3 </w:t>
      </w:r>
    </w:p>
    <w:p>
      <w:pPr>
        <w:keepNext/>
        <w:keepLines/>
        <w:rPr>
          <w:noProof/>
        </w:rPr>
      </w:pPr>
      <w:r>
        <w:rPr>
          <w:noProof/>
          <w:color w:val="000000"/>
        </w:rPr>
        <w:t>Prezenta decizie se adresează Regatului Spaniei</w:t>
      </w:r>
      <w:r>
        <w:rPr>
          <w:noProof/>
        </w:rPr>
        <w:t>.</w:t>
      </w: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https://www.consilium.europa.eu/media/lwhk3itd/en-20260319-european-council-conclusions.pdf. </w:t>
      </w:r>
    </w:p>
  </w:footnote>
  <w:footnote w:id="2">
    <w:p>
      <w:pPr>
        <w:pStyle w:val="FootnoteText"/>
      </w:pPr>
      <w:r>
        <w:rPr>
          <w:rStyle w:val="FootnoteReference"/>
        </w:rPr>
        <w:footnoteRef/>
      </w:r>
      <w:r>
        <w:tab/>
        <w:t>Directiva 2003/96/CE a Consiliului din 27 octombrie 2003 privind restructurarea cadrului comunitar de impozitare a produselor energetice și a electricității (JO L 283, 31.10.2003, p. 51, ELI: http://data.europa.eu/eli/dir/2003/96/oj).</w:t>
      </w:r>
    </w:p>
  </w:footnote>
  <w:footnote w:id="3">
    <w:p>
      <w:pPr>
        <w:pStyle w:val="FootnoteText"/>
      </w:pPr>
      <w:r>
        <w:rPr>
          <w:rStyle w:val="FootnoteReference"/>
        </w:rPr>
        <w:footnoteRef/>
      </w:r>
      <w:r>
        <w:tab/>
      </w:r>
      <w:hyperlink r:id="rId1">
        <w:r>
          <w:rPr>
            <w:rStyle w:val="Hyperlink"/>
          </w:rPr>
          <w:t>Economic and distributional effects of higher energy prices on households in the EU - Employment, Social Affairs and Inclusion (Efectele economice și distributive ale creșterii prețurilor la energie asupra gospodăriilor din UE – Ocuparea forței de muncă, afaceri sociale și incluziune)</w:t>
        </w:r>
      </w:hyperlink>
      <w:r>
        <w:t>.</w:t>
      </w:r>
    </w:p>
  </w:footnote>
  <w:footnote w:id="4">
    <w:p>
      <w:pPr>
        <w:pStyle w:val="FootnoteText"/>
      </w:pPr>
      <w:r>
        <w:rPr>
          <w:rStyle w:val="FootnoteReference"/>
        </w:rPr>
        <w:footnoteRef/>
      </w:r>
      <w:r>
        <w:tab/>
        <w:t>JO L 283, 31.10.2003, p. 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912A5FD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82849E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21628D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7 17:17:0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2444439-666D-440B-BDB6-2F047908E3E8"/>
    <w:docVar w:name="LW_COVERPAGE_TYPE" w:val="1"/>
    <w:docVar w:name="LW_CreatedUtc" w:val="2026-07-06T16:44:08.8039099Z"/>
    <w:docVar w:name="LW_CROSSREFERENCE" w:val="&lt;UNUSED&gt;"/>
    <w:docVar w:name="LW_DocType" w:val="COM"/>
    <w:docVar w:name="LW_EMISSION" w:val="20.8.2026"/>
    <w:docVar w:name="LW_EMISSION_ISODATE" w:val="2026-08-20"/>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41"/>
    <w:docVar w:name="LW_REF.II.NEW.CP_YEAR" w:val="2026"/>
    <w:docVar w:name="LW_REF.INST.NEW" w:val="COM"/>
    <w:docVar w:name="LW_REF.INST.NEW_ADOPTED" w:val="final"/>
    <w:docVar w:name="LW_REF.INST.NEW_TEXT" w:val="(2026) 43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n care Spania este autorizat\u259? s\u259? aplice niveluri reduse ale accizelor la motorina \u537?i la benzina f\u259?r\u259? plumb utilizate drept carburan\u539?i, în temeiul articolului 19 din Directiva 2003/96/CE"/>
    <w:docVar w:name="LW_TYPE.DOC.CP" w:val="DECIZIE DE PUNERE ÎN APLICAR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878CB5F4-A898-49E3-BBEB-6A4452C85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tabs>
        <w:tab w:val="clear" w:pos="360"/>
      </w:tabs>
      <w:ind w:left="0" w:firstLine="0"/>
    </w:pPr>
    <w:rPr>
      <w:rFonts w:eastAsia="Times New Roman"/>
      <w:lang w:eastAsia="en-GB"/>
    </w:rPr>
  </w:style>
  <w:style w:type="character" w:styleId="Hyperlink">
    <w:name w:val="Hyperlink"/>
    <w:basedOn w:val="DefaultParagraphFont"/>
    <w:unhideWhenUsed/>
    <w:rPr>
      <w:color w:val="0000FF"/>
      <w:u w:val="single"/>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988944">
      <w:bodyDiv w:val="1"/>
      <w:marLeft w:val="0"/>
      <w:marRight w:val="0"/>
      <w:marTop w:val="0"/>
      <w:marBottom w:val="0"/>
      <w:divBdr>
        <w:top w:val="none" w:sz="0" w:space="0" w:color="auto"/>
        <w:left w:val="none" w:sz="0" w:space="0" w:color="auto"/>
        <w:bottom w:val="none" w:sz="0" w:space="0" w:color="auto"/>
        <w:right w:val="none" w:sz="0" w:space="0" w:color="auto"/>
      </w:divBdr>
    </w:div>
    <w:div w:id="982123333">
      <w:bodyDiv w:val="1"/>
      <w:marLeft w:val="0"/>
      <w:marRight w:val="0"/>
      <w:marTop w:val="0"/>
      <w:marBottom w:val="0"/>
      <w:divBdr>
        <w:top w:val="none" w:sz="0" w:space="0" w:color="auto"/>
        <w:left w:val="none" w:sz="0" w:space="0" w:color="auto"/>
        <w:bottom w:val="none" w:sz="0" w:space="0" w:color="auto"/>
        <w:right w:val="none" w:sz="0" w:space="0" w:color="auto"/>
      </w:divBdr>
    </w:div>
    <w:div w:id="1236935244">
      <w:bodyDiv w:val="1"/>
      <w:marLeft w:val="0"/>
      <w:marRight w:val="0"/>
      <w:marTop w:val="0"/>
      <w:marBottom w:val="0"/>
      <w:divBdr>
        <w:top w:val="none" w:sz="0" w:space="0" w:color="auto"/>
        <w:left w:val="none" w:sz="0" w:space="0" w:color="auto"/>
        <w:bottom w:val="none" w:sz="0" w:space="0" w:color="auto"/>
        <w:right w:val="none" w:sz="0" w:space="0" w:color="auto"/>
      </w:divBdr>
    </w:div>
    <w:div w:id="1485000546">
      <w:bodyDiv w:val="1"/>
      <w:marLeft w:val="0"/>
      <w:marRight w:val="0"/>
      <w:marTop w:val="0"/>
      <w:marBottom w:val="0"/>
      <w:divBdr>
        <w:top w:val="none" w:sz="0" w:space="0" w:color="auto"/>
        <w:left w:val="none" w:sz="0" w:space="0" w:color="auto"/>
        <w:bottom w:val="none" w:sz="0" w:space="0" w:color="auto"/>
        <w:right w:val="none" w:sz="0" w:space="0" w:color="auto"/>
      </w:divBdr>
    </w:div>
    <w:div w:id="2027293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mployment-social-affairs.ec.europa.eu/economic-and-distributional-effects-higher-energy-prices-households-eu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Props1.xml><?xml version="1.0" encoding="utf-8"?>
<ds:datastoreItem xmlns:ds="http://schemas.openxmlformats.org/officeDocument/2006/customXml" ds:itemID="{C6A163C1-C56E-40DA-8E81-AC96B7AD930E}">
  <ds:schemaRefs>
    <ds:schemaRef ds:uri="http://schemas.openxmlformats.org/officeDocument/2006/bibliography"/>
  </ds:schemaRefs>
</ds:datastoreItem>
</file>

<file path=customXml/itemProps2.xml><?xml version="1.0" encoding="utf-8"?>
<ds:datastoreItem xmlns:ds="http://schemas.openxmlformats.org/officeDocument/2006/customXml" ds:itemID="{E4EF50B4-D088-40B5-AA70-6166CB43B0C6}">
  <ds:schemaRefs>
    <ds:schemaRef ds:uri="http://schemas.microsoft.com/sharepoint/v3/contenttype/forms"/>
  </ds:schemaRefs>
</ds:datastoreItem>
</file>

<file path=customXml/itemProps3.xml><?xml version="1.0" encoding="utf-8"?>
<ds:datastoreItem xmlns:ds="http://schemas.openxmlformats.org/officeDocument/2006/customXml" ds:itemID="{5F1C2FDA-8C86-4A9B-AA2D-2D0B3210A8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C96B2E-3906-47FE-850A-D5DBB8163332}">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docProps/app.xml><?xml version="1.0" encoding="utf-8"?>
<Properties xmlns="http://schemas.openxmlformats.org/officeDocument/2006/extended-properties" xmlns:vt="http://schemas.openxmlformats.org/officeDocument/2006/docPropsVTypes">
  <Template>COM.dotm</Template>
  <TotalTime>61</TotalTime>
  <Pages>12</Pages>
  <Words>4142</Words>
  <Characters>23611</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43</cp:revision>
  <cp:lastPrinted>2026-07-08T18:14:00Z</cp:lastPrinted>
  <dcterms:created xsi:type="dcterms:W3CDTF">2026-08-18T08:00:00Z</dcterms:created>
  <dcterms:modified xsi:type="dcterms:W3CDTF">2026-09-07T15:17:00Z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2026-07-06T17:24:30Z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f1bd365d-b796-420e-85a9-4f7e737f15fa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