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F50A74-9BE6-4415-8A93-03E61FF21801" style="width:455.25pt;height:371.25pt">
            <v:imagedata r:id="rId11" o:title=""/>
          </v:shape>
        </w:pict>
      </w:r>
    </w:p>
    <w:p>
      <w:pPr>
        <w:spacing w:line="276" w:lineRule="auto"/>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spacing w:line="276" w:lineRule="auto"/>
        <w:ind w:left="360"/>
        <w:rPr>
          <w:noProof/>
          <w:sz w:val="2"/>
          <w:szCs w:val="2"/>
        </w:rPr>
      </w:pPr>
    </w:p>
    <w:p>
      <w:pPr>
        <w:spacing w:line="276" w:lineRule="auto"/>
        <w:rPr>
          <w:noProof/>
          <w:sz w:val="2"/>
          <w:szCs w:val="2"/>
        </w:rPr>
      </w:pPr>
    </w:p>
    <w:p>
      <w:pPr>
        <w:pStyle w:val="Rfrenceinterinstitutionnelle"/>
        <w:rPr>
          <w:noProof/>
        </w:rPr>
      </w:pPr>
      <w:r>
        <w:rPr>
          <w:noProof/>
        </w:rPr>
        <w:t>2026/0242 (NLE)</w:t>
      </w:r>
    </w:p>
    <w:p>
      <w:pPr>
        <w:pStyle w:val="Statut"/>
        <w:rPr>
          <w:noProof/>
        </w:rPr>
      </w:pPr>
      <w:r>
        <w:rPr>
          <w:noProof/>
        </w:rPr>
        <w:t>Propunere de</w:t>
      </w:r>
    </w:p>
    <w:p>
      <w:pPr>
        <w:pStyle w:val="Typedudocument"/>
        <w:rPr>
          <w:noProof/>
        </w:rPr>
      </w:pPr>
      <w:r>
        <w:rPr>
          <w:noProof/>
        </w:rPr>
        <w:t>DECIZIE DE PUNERE ÎN APLICARE A CONSILIULUI</w:t>
      </w:r>
    </w:p>
    <w:p>
      <w:pPr>
        <w:pStyle w:val="Titreobjet"/>
        <w:rPr>
          <w:noProof/>
        </w:rPr>
      </w:pPr>
      <w:r>
        <w:rPr>
          <w:noProof/>
        </w:rPr>
        <w:t xml:space="preserve">de modificare a Deciziei de punere în aplicare (UE) 2024/1447 în ceea ce privește contribuția financiară suplimentară din partea Norvegiei </w:t>
      </w:r>
      <w:r>
        <w:rPr>
          <w:noProof/>
        </w:rPr>
        <w:br/>
      </w:r>
    </w:p>
    <w:p>
      <w:pPr>
        <w:pStyle w:val="Institutionquiagit"/>
        <w:rPr>
          <w:noProof/>
        </w:rPr>
      </w:pPr>
      <w:r>
        <w:rPr>
          <w:noProof/>
        </w:rPr>
        <w:t>CONSILIUL UNIUNII EUROPENE,</w:t>
      </w:r>
    </w:p>
    <w:p>
      <w:pPr>
        <w:rPr>
          <w:noProof/>
        </w:rPr>
      </w:pPr>
      <w:r>
        <w:rPr>
          <w:noProof/>
        </w:rPr>
        <w:t xml:space="preserve">având în vedere Tratatul privind funcționarea Uniunii Europene, </w:t>
      </w:r>
    </w:p>
    <w:p>
      <w:pPr>
        <w:rPr>
          <w:noProof/>
        </w:rPr>
      </w:pPr>
      <w:r>
        <w:rPr>
          <w:noProof/>
        </w:rPr>
        <w:t>având în vedere Regulamentul (UE) 2024/792 al Parlamentului European și al Consiliului din 29 februarie 2024 de instituire a Mecanismului pentru Ucraina</w:t>
      </w:r>
      <w:r>
        <w:rPr>
          <w:rStyle w:val="FootnoteReference"/>
          <w:noProof/>
        </w:rPr>
        <w:footnoteReference w:id="2"/>
      </w:r>
      <w:r>
        <w:rPr>
          <w:noProof/>
        </w:rPr>
        <w:t>, în special articolul 20 alineatul (2),</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În temeiul articolului 7 din Regulamentul (UE) 2024/792, este posibil ca statele membre, țările terțe, organizațiile internaționale, instituțiile financiare internaționale sau alte surse să furnizeze contribuții suplimentare la Mecanismul pentru Ucraina, inclusiv la Planul pentru Ucraina.</w:t>
      </w:r>
    </w:p>
    <w:p>
      <w:pPr>
        <w:pStyle w:val="ManualConsidrant"/>
        <w:rPr>
          <w:noProof/>
        </w:rPr>
      </w:pPr>
      <w:r>
        <w:rPr>
          <w:noProof/>
        </w:rPr>
        <w:t>(2)</w:t>
      </w:r>
      <w:r>
        <w:rPr>
          <w:noProof/>
        </w:rPr>
        <w:tab/>
      </w:r>
      <w:bookmarkStart w:id="0" w:name="_Hlk204086330"/>
      <w:r>
        <w:rPr>
          <w:noProof/>
        </w:rPr>
        <w:t>Norvegia s-a angajat să furnizeze suma de 1 000 000 000 NOK, reprezentând o contribuție financiară suplimentară</w:t>
      </w:r>
      <w:bookmarkEnd w:id="0"/>
      <w:r>
        <w:rPr>
          <w:noProof/>
        </w:rPr>
        <w:t xml:space="preserve"> la pilonul I al Mecanismului pentru Ucraina sub formă de sprijin financiar nerambursabil. Contribuția respectivă constituie venituri alocate externe. Comisia este responsabilă de gestionarea contribuției respective în conformitate cu procedurile aplicabile cheltuielilor Uniunii, în special procedurile în temeiul Regulamentului (UE) 2024/792 și al Regulamentului (UE, Euratom) 2024/2509 al Parlamentului European și al Consiliului</w:t>
      </w:r>
      <w:r>
        <w:rPr>
          <w:rStyle w:val="FootnoteReference"/>
          <w:noProof/>
        </w:rPr>
        <w:footnoteReference w:id="3"/>
      </w:r>
      <w:r>
        <w:rPr>
          <w:noProof/>
        </w:rPr>
        <w:t>.</w:t>
      </w:r>
    </w:p>
    <w:p>
      <w:pPr>
        <w:pStyle w:val="ManualConsidrant"/>
        <w:rPr>
          <w:noProof/>
        </w:rPr>
      </w:pPr>
      <w:r>
        <w:rPr>
          <w:noProof/>
        </w:rPr>
        <w:t>(3)</w:t>
      </w:r>
      <w:r>
        <w:rPr>
          <w:noProof/>
        </w:rPr>
        <w:tab/>
        <w:t>Contribuția financiară din partea Norvegiei ar trebui să fie pusă la dispoziția Ucrainei sub rezerva intrării în vigoare a unui acord de transfer între Norvegia și Comisie și a transferului contribuției financiare aferente. Contribuția financiară respectivă ar trebui să fie alocată celei de a unsprezecea tranșe trimestriale a Planului pentru Ucraina și ar trebui să fie plătită sub rezerva îndeplinirii satisfăcătoare a etapelor calitative și cantitative relevante. Cuantumul celei de a unsprezecea tranșe a Planului pentru Ucraina ar trebui să fie ajustat în consecință pentru a ține seama de cuantumul final al respectivei contribuții financiare exprimat în euro care rezultă din aplicarea cursului de schimb oficial la momentul transferului.</w:t>
      </w:r>
    </w:p>
    <w:p>
      <w:pPr>
        <w:pStyle w:val="ManualConsidrant"/>
        <w:rPr>
          <w:noProof/>
        </w:rPr>
      </w:pPr>
      <w:r>
        <w:rPr>
          <w:noProof/>
        </w:rPr>
        <w:t>(4)</w:t>
      </w:r>
      <w:r>
        <w:rPr>
          <w:noProof/>
        </w:rPr>
        <w:tab/>
        <w:t xml:space="preserve">Ținând cont de situația din Ucraina și în vederea asigurării unui sprijin continuu pentru Ucraina, prezenta decizie ar trebui să intre în vigoare în regim de urgență, la data </w:t>
      </w:r>
      <w:r>
        <w:rPr>
          <w:noProof/>
        </w:rPr>
        <w:lastRenderedPageBreak/>
        <w:t xml:space="preserve">publicării în </w:t>
      </w:r>
      <w:r>
        <w:rPr>
          <w:i/>
          <w:iCs/>
          <w:noProof/>
        </w:rPr>
        <w:t>Jurnalul Oficial al Uniunii Europene</w:t>
      </w:r>
      <w:r>
        <w:rPr>
          <w:noProof/>
        </w:rPr>
        <w:t xml:space="preserve"> și ar trebui să se aplice de la data adoptării sale.</w:t>
      </w:r>
    </w:p>
    <w:p>
      <w:pPr>
        <w:pStyle w:val="ManualConsidrant"/>
        <w:rPr>
          <w:noProof/>
        </w:rPr>
      </w:pPr>
      <w:r>
        <w:rPr>
          <w:noProof/>
        </w:rPr>
        <w:t>(5)</w:t>
      </w:r>
      <w:r>
        <w:rPr>
          <w:noProof/>
        </w:rPr>
        <w:tab/>
        <w:t>Prin urmare, Decizia de punere în aplicare (UE) 2024/1447 ar trebui să fie modificată în consecință,</w:t>
      </w:r>
    </w:p>
    <w:p>
      <w:pPr>
        <w:pStyle w:val="Formuledadoption"/>
        <w:rPr>
          <w:noProof/>
        </w:rPr>
      </w:pPr>
      <w:r>
        <w:rPr>
          <w:noProof/>
        </w:rPr>
        <w:t xml:space="preserve">ADOPTĂ PREZENTA DECIZIE: </w:t>
      </w:r>
    </w:p>
    <w:p>
      <w:pPr>
        <w:pStyle w:val="Titrearticle"/>
        <w:rPr>
          <w:noProof/>
        </w:rPr>
      </w:pPr>
      <w:r>
        <w:rPr>
          <w:noProof/>
        </w:rPr>
        <w:t>Articolul 1</w:t>
      </w:r>
    </w:p>
    <w:p>
      <w:pPr>
        <w:rPr>
          <w:noProof/>
        </w:rPr>
      </w:pPr>
      <w:r>
        <w:rPr>
          <w:noProof/>
        </w:rPr>
        <w:t>Decizia de punere în aplicare (UE) 2024/1447 se modifică după cum urmează:</w:t>
      </w:r>
    </w:p>
    <w:p>
      <w:pPr>
        <w:pStyle w:val="Point0"/>
        <w:rPr>
          <w:noProof/>
        </w:rPr>
      </w:pPr>
      <w:r>
        <w:rPr>
          <w:noProof/>
        </w:rPr>
        <w:t>(1)</w:t>
      </w:r>
      <w:r>
        <w:rPr>
          <w:noProof/>
        </w:rPr>
        <w:tab/>
        <w:t>La articolul 2, se adaugă alineatul 5a cu următorul text:</w:t>
      </w:r>
    </w:p>
    <w:p>
      <w:pPr>
        <w:pStyle w:val="ListParagraph"/>
        <w:ind w:left="851"/>
        <w:rPr>
          <w:noProof/>
        </w:rPr>
      </w:pPr>
    </w:p>
    <w:p>
      <w:pPr>
        <w:pStyle w:val="Point1"/>
        <w:ind w:left="1588" w:hanging="397"/>
        <w:rPr>
          <w:noProof/>
        </w:rPr>
      </w:pPr>
      <w:r>
        <w:rPr>
          <w:noProof/>
        </w:rPr>
        <w:t>„5a. În temeiul articolului 7 din Regulamentul (UE) 2024/792, se pune la dispoziția Ucrainei, de către Norvegia prin Mecanismul pentru Ucraina, o contribuție financiară suplimentară, sub formă de sprijin nerambursabil, corespunzătoare echivalentului în euro al cuantumului de 1 000 000 000 NOK, la cursul de schimb oficial la momentul transferului contribuției.</w:t>
      </w:r>
    </w:p>
    <w:p>
      <w:pPr>
        <w:pStyle w:val="Text2"/>
        <w:ind w:left="1588"/>
        <w:rPr>
          <w:noProof/>
        </w:rPr>
      </w:pPr>
      <w:r>
        <w:rPr>
          <w:noProof/>
        </w:rPr>
        <w:t>Contribuția financiară suplimentară menționată la primul paragraf al prezentului alineat se execută în conformitate cu normele și condițiile aplicabile cuantumului menționat la alineatul (1) de la prezentul articol.”;</w:t>
      </w:r>
    </w:p>
    <w:p>
      <w:pPr>
        <w:pStyle w:val="ListParagraph"/>
        <w:ind w:left="851"/>
        <w:rPr>
          <w:noProof/>
        </w:rPr>
      </w:pPr>
    </w:p>
    <w:p>
      <w:pPr>
        <w:pStyle w:val="Point0"/>
        <w:rPr>
          <w:noProof/>
        </w:rPr>
      </w:pPr>
      <w:r>
        <w:rPr>
          <w:noProof/>
        </w:rPr>
        <w:t>(2)</w:t>
      </w:r>
      <w:r>
        <w:rPr>
          <w:noProof/>
        </w:rPr>
        <w:tab/>
        <w:t>În anexă, în secțiunea intitulată „A unsprezecea tranșă (T4 2026)”, textul dintre titlu și tabel se înlocuiește cu următorul text:</w:t>
      </w:r>
    </w:p>
    <w:p>
      <w:pPr>
        <w:pStyle w:val="ListParagraph"/>
        <w:rPr>
          <w:noProof/>
        </w:rPr>
      </w:pPr>
    </w:p>
    <w:p>
      <w:pPr>
        <w:pStyle w:val="ListParagraph"/>
        <w:ind w:left="1588"/>
        <w:rPr>
          <w:noProof/>
        </w:rPr>
      </w:pPr>
      <w:r>
        <w:rPr>
          <w:noProof/>
        </w:rPr>
        <w:t>„Cuantum total: 2 103 225 808 EUR și 1 000 000 000 NOK</w:t>
      </w:r>
    </w:p>
    <w:p>
      <w:pPr>
        <w:pStyle w:val="ListParagraph"/>
        <w:ind w:left="1588"/>
        <w:rPr>
          <w:noProof/>
        </w:rPr>
      </w:pPr>
      <w:r>
        <w:rPr>
          <w:noProof/>
        </w:rPr>
        <w:t xml:space="preserve"> Sprijin nerambursabil: 270 000 000 EUR și 1 000 000 000 NOK</w:t>
      </w:r>
    </w:p>
    <w:p>
      <w:pPr>
        <w:pStyle w:val="ListParagraph"/>
        <w:ind w:left="1588"/>
        <w:rPr>
          <w:noProof/>
        </w:rPr>
      </w:pPr>
      <w:r>
        <w:rPr>
          <w:noProof/>
        </w:rPr>
        <w:t xml:space="preserve"> Împrumuturi: 1 833 225 808 EUR</w:t>
      </w:r>
    </w:p>
    <w:p>
      <w:pPr>
        <w:pStyle w:val="ListParagraph"/>
        <w:ind w:left="1588"/>
        <w:rPr>
          <w:noProof/>
        </w:rPr>
      </w:pPr>
      <w:r>
        <w:rPr>
          <w:noProof/>
        </w:rPr>
        <w:t xml:space="preserve"> Număr total de etape: 23”.</w:t>
      </w:r>
    </w:p>
    <w:p>
      <w:pPr>
        <w:pStyle w:val="Titrearticle"/>
        <w:rPr>
          <w:noProof/>
        </w:rPr>
      </w:pPr>
      <w:r>
        <w:rPr>
          <w:noProof/>
        </w:rPr>
        <w:t>Articolul 2</w:t>
      </w:r>
    </w:p>
    <w:p>
      <w:pPr>
        <w:keepNext/>
        <w:keepLines/>
        <w:rPr>
          <w:noProof/>
        </w:rPr>
      </w:pPr>
      <w:r>
        <w:rPr>
          <w:noProof/>
        </w:rPr>
        <w:t xml:space="preserve">Prezenta decizie intră în vigoare la data publicării în </w:t>
      </w:r>
      <w:r>
        <w:rPr>
          <w:i/>
          <w:iCs/>
          <w:noProof/>
        </w:rPr>
        <w:t>Jurnalul Oficial al Uniunii Europene</w:t>
      </w:r>
      <w:r>
        <w:rPr>
          <w:noProof/>
        </w:rPr>
        <w:t>.</w:t>
      </w:r>
    </w:p>
    <w:p>
      <w:pPr>
        <w:keepNext/>
        <w:keepLines/>
        <w:rPr>
          <w:noProof/>
        </w:rPr>
      </w:pPr>
      <w:r>
        <w:rPr>
          <w:noProof/>
        </w:rPr>
        <w:t>Se aplică de la data adoptării.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JO L, 2024/792, 29.2.2024, ELI: </w:t>
      </w:r>
      <w:hyperlink r:id="rId1" w:history="1">
        <w:r>
          <w:rPr>
            <w:rStyle w:val="Hyperlink"/>
          </w:rPr>
          <w:t>http://data.europa.eu/eli/reg/2024/792/oj</w:t>
        </w:r>
      </w:hyperlink>
      <w:r>
        <w:t>.</w:t>
      </w:r>
    </w:p>
  </w:footnote>
  <w:footnote w:id="3">
    <w:p>
      <w:pPr>
        <w:pStyle w:val="FootnoteText"/>
      </w:pPr>
      <w:r>
        <w:rPr>
          <w:rStyle w:val="FootnoteReference"/>
        </w:rPr>
        <w:footnoteRef/>
      </w:r>
      <w:r>
        <w:tab/>
        <w:t>Regulamentul (UE, Euratom) 2024/2509 al Parlamentului European și al Consiliului din 23 septembrie 2024 privind normele financiare aplicabile bugetului general al Uniunii (JO L, 2024/2509, 26.9.2024, ELI: </w:t>
      </w:r>
      <w:hyperlink r:id="rId2" w:history="1">
        <w:r>
          <w:rPr>
            <w:rStyle w:val="Hyperlink"/>
          </w:rPr>
          <w:t>http://data.europa.eu/eli/reg/2024/2509/oj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23"/>
    <w:lvlOverride w:ilvl="0">
      <w:startOverride w:val="1"/>
    </w:lvlOverride>
  </w:num>
  <w:num w:numId="11">
    <w:abstractNumId w:val="2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3"/>
  </w:num>
  <w:num w:numId="15">
    <w:abstractNumId w:val="22"/>
  </w:num>
  <w:num w:numId="16">
    <w:abstractNumId w:val="11"/>
  </w:num>
  <w:num w:numId="17">
    <w:abstractNumId w:val="14"/>
  </w:num>
  <w:num w:numId="18">
    <w:abstractNumId w:val="15"/>
  </w:num>
  <w:num w:numId="19">
    <w:abstractNumId w:val="9"/>
  </w:num>
  <w:num w:numId="20">
    <w:abstractNumId w:val="21"/>
  </w:num>
  <w:num w:numId="21">
    <w:abstractNumId w:val="8"/>
  </w:num>
  <w:num w:numId="22">
    <w:abstractNumId w:val="16"/>
  </w:num>
  <w:num w:numId="23">
    <w:abstractNumId w:val="18"/>
  </w:num>
  <w:num w:numId="24">
    <w:abstractNumId w:val="19"/>
  </w:num>
  <w:num w:numId="25">
    <w:abstractNumId w:val="10"/>
  </w:num>
  <w:num w:numId="26">
    <w:abstractNumId w:val="17"/>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8-26 09:23: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2F50A74-9BE6-4415-8A93-03E61FF21801"/>
    <w:docVar w:name="LW_COVERPAGE_TYPE" w:val="1"/>
    <w:docVar w:name="LW_CROSSREFERENCE" w:val="&lt;EMPTY&gt;"/>
    <w:docVar w:name="LW_DocType" w:val="COM"/>
    <w:docVar w:name="LW_EMISSION" w:val="21.8.2026"/>
    <w:docVar w:name="LW_EMISSION_ISODATE" w:val="2026-08-21"/>
    <w:docVar w:name="LW_EMISSION_LOCATION" w:val="BRX"/>
    <w:docVar w:name="LW_EMISSION_PREFIX" w:val="Bruxelle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42"/>
    <w:docVar w:name="LW_REF.II.NEW.CP_YEAR" w:val="2026"/>
    <w:docVar w:name="LW_REF.INST.NEW" w:val="COM"/>
    <w:docVar w:name="LW_REF.INST.NEW_ADOPTED" w:val="final"/>
    <w:docVar w:name="LW_REF.INST.NEW_TEXT" w:val="(2026) 4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UE) 2024/1447 în ceea ce prive\u537?te contribu\u539?ia financiar\u259? suplimentar\u259? din partea Norvegiei _x000b_"/>
    <w:docVar w:name="LW_TYPE.DOC.CP" w:val="DECIZIE DE PUNERE ÎN APLICAR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E134257-1EEC-4D83-B08F-4BEC9FDF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customStyle="1" w:styleId="cf01">
    <w:name w:val="cf01"/>
    <w:basedOn w:val="DefaultParagraphFont"/>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LegalNumPar">
    <w:name w:val="LegalNumPar"/>
    <w:basedOn w:val="Normal"/>
    <w:pPr>
      <w:numPr>
        <w:numId w:val="5"/>
      </w:numPr>
      <w:spacing w:line="360" w:lineRule="auto"/>
    </w:pPr>
  </w:style>
  <w:style w:type="paragraph" w:customStyle="1" w:styleId="LegalNumPar2">
    <w:name w:val="LegalNumPar2"/>
    <w:basedOn w:val="Normal"/>
    <w:pPr>
      <w:numPr>
        <w:ilvl w:val="1"/>
        <w:numId w:val="5"/>
      </w:numPr>
      <w:spacing w:line="360" w:lineRule="auto"/>
    </w:pPr>
  </w:style>
  <w:style w:type="paragraph" w:customStyle="1" w:styleId="LegalNumPar3">
    <w:name w:val="LegalNumPar3"/>
    <w:basedOn w:val="Normal"/>
    <w:pPr>
      <w:numPr>
        <w:ilvl w:val="2"/>
        <w:numId w:val="5"/>
      </w:numPr>
      <w:spacing w:line="360" w:lineRule="auto"/>
    </w:pPr>
  </w:style>
  <w:style w:type="character" w:customStyle="1" w:styleId="Mention1">
    <w:name w:val="Mention1"/>
    <w:basedOn w:val="DefaultParagraphFont"/>
    <w:uiPriority w:val="99"/>
    <w:unhideWhenUsed/>
    <w:rPr>
      <w:color w:val="2B579A"/>
      <w:shd w:val="clear" w:color="auto" w:fill="E1DFDD"/>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2509/oj" TargetMode="External"/><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B4318-AFEC-4997-AD4C-4F40C041DB39}">
  <ds:schemaRefs>
    <ds:schemaRef ds:uri="http://schemas.openxmlformats.org/officeDocument/2006/bibliography"/>
  </ds:schemaRefs>
</ds:datastoreItem>
</file>

<file path=customXml/itemProps2.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4.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50</TotalTime>
  <Pages>3</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34</cp:revision>
  <dcterms:created xsi:type="dcterms:W3CDTF">2026-06-12T16:57:00Z</dcterms:created>
  <dcterms:modified xsi:type="dcterms:W3CDTF">2026-08-26T07:24:00Z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