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7832C" w14:textId="598E7251" w:rsidR="00797394" w:rsidRPr="00D14278" w:rsidRDefault="00A371D4" w:rsidP="00A371D4">
      <w:pPr>
        <w:pStyle w:val="Pagedecouverture"/>
        <w:rPr>
          <w:noProof/>
        </w:rPr>
      </w:pPr>
      <w:bookmarkStart w:id="0" w:name="LW_BM_COVERPAGE"/>
      <w:r>
        <w:rPr>
          <w:noProof/>
        </w:rPr>
        <w:pict w14:anchorId="3F218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0659C9-0061-49D0-B338-D41B7693A917" style="width:455.25pt;height:286.5pt">
            <v:imagedata r:id="rId8" o:title=""/>
          </v:shape>
        </w:pict>
      </w:r>
    </w:p>
    <w:bookmarkEnd w:id="0"/>
    <w:p w14:paraId="222D799C" w14:textId="77777777" w:rsidR="00797394" w:rsidRPr="00D14278" w:rsidRDefault="00797394" w:rsidP="00797394">
      <w:pPr>
        <w:rPr>
          <w:rFonts w:eastAsiaTheme="minorEastAsia"/>
          <w:noProof/>
          <w:lang w:val="en-IE" w:eastAsia="zh-CN"/>
        </w:rPr>
        <w:sectPr w:rsidR="00797394" w:rsidRPr="00D14278" w:rsidSect="00A371D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41AA00B" w14:textId="63D6EAAD" w:rsidR="00CB2A9B" w:rsidRPr="00D14278" w:rsidRDefault="00C5532D" w:rsidP="00E85DDA">
      <w:pPr>
        <w:pStyle w:val="ListParagraph"/>
        <w:keepNext/>
        <w:numPr>
          <w:ilvl w:val="0"/>
          <w:numId w:val="1"/>
        </w:numPr>
        <w:spacing w:after="120"/>
        <w:ind w:left="426" w:hanging="436"/>
        <w:contextualSpacing w:val="0"/>
        <w:rPr>
          <w:rFonts w:eastAsiaTheme="minorEastAsia"/>
          <w:b/>
          <w:smallCaps/>
          <w:noProof/>
          <w:szCs w:val="24"/>
          <w:u w:val="single"/>
        </w:rPr>
      </w:pPr>
      <w:bookmarkStart w:id="1" w:name="_GoBack"/>
      <w:bookmarkEnd w:id="1"/>
      <w:r>
        <w:rPr>
          <w:b/>
          <w:smallCaps/>
          <w:noProof/>
          <w:u w:val="single"/>
        </w:rPr>
        <w:lastRenderedPageBreak/>
        <w:t>Stratégie de l’UE en matière de visas: une Europe connectée, sûre et forte</w:t>
      </w:r>
      <w:r>
        <w:rPr>
          <w:noProof/>
        </w:rPr>
        <w:t xml:space="preserve"> </w:t>
      </w:r>
    </w:p>
    <w:p w14:paraId="26BF0A78" w14:textId="4D162398" w:rsidR="005B48B1" w:rsidRPr="00D14278" w:rsidRDefault="00C3275F" w:rsidP="009304A9">
      <w:pPr>
        <w:pStyle w:val="NormalWeb"/>
        <w:spacing w:after="120"/>
        <w:rPr>
          <w:noProof/>
        </w:rPr>
      </w:pPr>
      <w:r>
        <w:rPr>
          <w:noProof/>
        </w:rPr>
        <w:t xml:space="preserve">La politique de l’UE en matière de visas reflète les intérêts et les valeurs de l’Union. Elle est bien davantage qu’un ensemble de règles et de procédures administratives: elle est un pont entre l’Europe et le marché mondial. À une époque caractérisée par une mobilité croissante, des instabilités régionales et une concurrence géopolitique, la manière dont nous gérons l’accès à l’Europe constitue un choix stratégique. La politique de l’UE en matière de visas doit être à l’image de l’Europe que nous voulons: fermement attachée à </w:t>
      </w:r>
      <w:r>
        <w:rPr>
          <w:b/>
          <w:noProof/>
        </w:rPr>
        <w:t>la sécurité de nos citoyens</w:t>
      </w:r>
      <w:r>
        <w:rPr>
          <w:noProof/>
        </w:rPr>
        <w:t xml:space="preserve"> et à </w:t>
      </w:r>
      <w:r>
        <w:rPr>
          <w:b/>
          <w:noProof/>
        </w:rPr>
        <w:t>l’intégrité de nos frontières extérieures</w:t>
      </w:r>
      <w:r>
        <w:rPr>
          <w:noProof/>
        </w:rPr>
        <w:t xml:space="preserve">, tout </w:t>
      </w:r>
      <w:r>
        <w:rPr>
          <w:b/>
          <w:noProof/>
        </w:rPr>
        <w:t>en étant ouverte et en contribuant à notre prospérité</w:t>
      </w:r>
      <w:r>
        <w:rPr>
          <w:noProof/>
        </w:rPr>
        <w:t>.</w:t>
      </w:r>
    </w:p>
    <w:p w14:paraId="5804C044" w14:textId="6A53B82D" w:rsidR="00FE2AA4" w:rsidRPr="00D14278" w:rsidRDefault="00FE2AA4" w:rsidP="00FE2AA4">
      <w:pPr>
        <w:pStyle w:val="NormalWeb"/>
        <w:spacing w:after="120"/>
        <w:rPr>
          <w:noProof/>
        </w:rPr>
      </w:pPr>
      <w:r>
        <w:rPr>
          <w:noProof/>
        </w:rPr>
        <w:t xml:space="preserve">Une politique des visas crédible est essentielle pour préserver la </w:t>
      </w:r>
      <w:r>
        <w:rPr>
          <w:b/>
          <w:noProof/>
        </w:rPr>
        <w:t>sécurité</w:t>
      </w:r>
      <w:r>
        <w:rPr>
          <w:rStyle w:val="FootnoteReference"/>
          <w:noProof/>
          <w:lang w:val="en-IE"/>
        </w:rPr>
        <w:footnoteReference w:id="2"/>
      </w:r>
      <w:r>
        <w:rPr>
          <w:noProof/>
        </w:rPr>
        <w:t xml:space="preserve"> de l’Europe. L’intégrité de l’espace Schengen, une de nos réalisations les plus tangibles, est conditionnée par une solide gestion des frontières et une application cohérente de règles communes. Le système de visas est la première ligne du contrôle de sécurité de l’Europe, en permettant de prévenir la migration illégale, la criminalité organisée et le terrorisme. Les nouvelles technologies, le partage d’informations et l’interopérabilité entre les bases de données de l’UE rendront notre système de visas plus intelligent et plus résilient. Mais la sécurité repose également sur le maintien de relations fiables avec les pays partenaires, en veillant au respect des règles européennes et à la conformité avec celles-ci. Pour que la politique des visas soit sûre, il faut consolider cette confiance et préserver la liberté de circulation qui est au cœur de l’Union.</w:t>
      </w:r>
    </w:p>
    <w:p w14:paraId="13818D95" w14:textId="05866EFE" w:rsidR="005B48B1" w:rsidRPr="00D14278" w:rsidRDefault="00850D43" w:rsidP="009304A9">
      <w:pPr>
        <w:pStyle w:val="NormalWeb"/>
        <w:spacing w:after="120"/>
        <w:rPr>
          <w:noProof/>
        </w:rPr>
      </w:pPr>
      <w:r>
        <w:rPr>
          <w:noProof/>
        </w:rPr>
        <w:t xml:space="preserve">La politique des visas doit également être un moteur de </w:t>
      </w:r>
      <w:r>
        <w:rPr>
          <w:b/>
          <w:noProof/>
        </w:rPr>
        <w:t>la croissance économique et de la compétitivité</w:t>
      </w:r>
      <w:r>
        <w:rPr>
          <w:noProof/>
        </w:rPr>
        <w:t xml:space="preserve"> de l’Europe. Aujourd’hui, ce sont les régions qui disposent d’un régime de visas bien développé, fiable et efficace qui attirent les talents, les idées novatrices et les investissements. L’Europe doit demeurer une destination de choix pour: les touristes et les hommes d’affaires, les étudiants et les chercheurs, les artistes et les professionnels de la culture, les athlètes, les entrepreneurs et les professionnels qualifiés, qui apportent tous leur contribution à nos économies et à nos sociétés. Des procédures numériques de demande de visa, une prise de décision plus rapide et des processus de délivrance des visas plus efficaces peuvent rendre les déplacements vers l’Europe aussi fluides que sûrs. La modernisation du régime des visas est un investissement stratégique dans la puissance économique de l’Europe et dans son attractivité à l’échelle mondiale.</w:t>
      </w:r>
    </w:p>
    <w:p w14:paraId="2A6239C3" w14:textId="003E8B0A" w:rsidR="005B48B1" w:rsidRPr="00D14278" w:rsidRDefault="005B48B1" w:rsidP="009304A9">
      <w:pPr>
        <w:pStyle w:val="NormalWeb"/>
        <w:spacing w:after="120"/>
        <w:rPr>
          <w:noProof/>
        </w:rPr>
      </w:pPr>
      <w:r>
        <w:rPr>
          <w:noProof/>
        </w:rPr>
        <w:t xml:space="preserve">La politique européenne en matière de visas projette également les </w:t>
      </w:r>
      <w:r>
        <w:rPr>
          <w:b/>
          <w:noProof/>
        </w:rPr>
        <w:t>partenariats</w:t>
      </w:r>
      <w:r>
        <w:rPr>
          <w:noProof/>
        </w:rPr>
        <w:t xml:space="preserve"> et l’</w:t>
      </w:r>
      <w:r>
        <w:rPr>
          <w:b/>
          <w:noProof/>
        </w:rPr>
        <w:t>influence</w:t>
      </w:r>
      <w:r>
        <w:rPr>
          <w:noProof/>
        </w:rPr>
        <w:t>. La manière dont nous ouvrons ou limitons l’accès envoie un signal clair au monde sur les valeurs et les intérêts stratégiques de l’Europe. Dans un monde toujours plus concurrentiel et instable, une politique des visas claire donne à l’Europe un réel poids dans la balance. Il s’agit d’un puissant instrument qui renforce notre position dans le monde et fait progresser nos intérêts à l’étranger.</w:t>
      </w:r>
    </w:p>
    <w:p w14:paraId="7C15D320" w14:textId="4B44FC3A" w:rsidR="005B48B1" w:rsidRPr="00D14278" w:rsidRDefault="2ED035D6" w:rsidP="009304A9">
      <w:pPr>
        <w:pStyle w:val="NormalWeb"/>
        <w:spacing w:after="120"/>
        <w:rPr>
          <w:noProof/>
        </w:rPr>
      </w:pPr>
      <w:r>
        <w:rPr>
          <w:noProof/>
        </w:rPr>
        <w:t xml:space="preserve">Cette </w:t>
      </w:r>
      <w:r>
        <w:rPr>
          <w:b/>
          <w:noProof/>
        </w:rPr>
        <w:t>toute première stratégie de l’UE en matière de visas</w:t>
      </w:r>
      <w:r>
        <w:rPr>
          <w:noProof/>
        </w:rPr>
        <w:t xml:space="preserve"> définit un cadre pour appliquer une politique des visas qui défende les </w:t>
      </w:r>
      <w:r>
        <w:rPr>
          <w:b/>
          <w:noProof/>
        </w:rPr>
        <w:t>intérêts à long terme</w:t>
      </w:r>
      <w:r>
        <w:rPr>
          <w:noProof/>
        </w:rPr>
        <w:t xml:space="preserve"> de l’Europe. Il s’agit d’une politique qui renforce la sécurité dans tout l’espace Schengen, favorise la prospérité et la compétitivité de l’Union et met en avant la position et la résilience de l’Europe sur la scène mondiale. La stratégie réaffirme donc la nature duelle de la politique européenne en matière de visas, à savoir protéger la sécurité et l’intégrité de l’Union, d’une part, et permettre les déplacements effectués de bonne foi qui bénéficient à l’UE, d’autre part. Elle vise à rendre la politique des visas plus cohérente et unifiée, en la faisant reposer sur un cadre européen commun de règles et de normes partagées, des systèmes interopérables et des actions coordonnées. Elle a aussi pour ambition de rendre la politique de l’UE en matière de visas plus intelligente et numérique et de mieux exploiter le potentiel des innovations technologiques. En modernisant notre contrôle des personnes qui entrent dans notre Union, nous définissons la façon dont l’Europe se connecte au monde, avec </w:t>
      </w:r>
      <w:r>
        <w:rPr>
          <w:b/>
          <w:noProof/>
        </w:rPr>
        <w:t>conviction et détermination</w:t>
      </w:r>
      <w:r>
        <w:rPr>
          <w:noProof/>
        </w:rPr>
        <w:t>.</w:t>
      </w:r>
    </w:p>
    <w:p w14:paraId="02895FB8" w14:textId="77777777" w:rsidR="003A7959" w:rsidRPr="00D14278" w:rsidRDefault="003A7959" w:rsidP="00E85DDA">
      <w:pPr>
        <w:pStyle w:val="ListParagraph"/>
        <w:keepNext/>
        <w:numPr>
          <w:ilvl w:val="0"/>
          <w:numId w:val="1"/>
        </w:numPr>
        <w:spacing w:after="120"/>
        <w:ind w:left="426" w:hanging="436"/>
        <w:contextualSpacing w:val="0"/>
        <w:rPr>
          <w:rFonts w:eastAsiaTheme="minorEastAsia"/>
          <w:b/>
          <w:smallCaps/>
          <w:noProof/>
          <w:szCs w:val="24"/>
          <w:u w:val="single"/>
        </w:rPr>
      </w:pPr>
      <w:r>
        <w:rPr>
          <w:b/>
          <w:smallCaps/>
          <w:noProof/>
          <w:u w:val="single"/>
        </w:rPr>
        <w:t>Une politique des visas qui renforce notre sécurité</w:t>
      </w:r>
    </w:p>
    <w:p w14:paraId="6B29D60E" w14:textId="77777777" w:rsidR="003A7959" w:rsidRPr="00D14278" w:rsidRDefault="003A7959" w:rsidP="00E85DDA">
      <w:pPr>
        <w:pStyle w:val="ListParagraph"/>
        <w:numPr>
          <w:ilvl w:val="0"/>
          <w:numId w:val="3"/>
        </w:numPr>
        <w:shd w:val="clear" w:color="auto" w:fill="FFFFFF" w:themeFill="background1"/>
        <w:spacing w:after="120"/>
        <w:contextualSpacing w:val="0"/>
        <w:rPr>
          <w:rFonts w:eastAsia="Calibri"/>
          <w:b/>
          <w:bCs/>
          <w:noProof/>
          <w:szCs w:val="24"/>
        </w:rPr>
      </w:pPr>
      <w:r>
        <w:rPr>
          <w:b/>
          <w:noProof/>
        </w:rPr>
        <w:t>Un système moderne d’octroi des exemptions de visa</w:t>
      </w:r>
    </w:p>
    <w:p w14:paraId="3F05CA7A" w14:textId="65606984" w:rsidR="003A7959" w:rsidRPr="00D14278" w:rsidRDefault="003A7959" w:rsidP="003A7959">
      <w:pPr>
        <w:spacing w:after="120"/>
        <w:rPr>
          <w:noProof/>
          <w:szCs w:val="24"/>
        </w:rPr>
      </w:pPr>
      <w:r>
        <w:rPr>
          <w:noProof/>
        </w:rPr>
        <w:t xml:space="preserve">L’exemption de visa à l’entrée dans l’UE est un puissant instrument pour favoriser les </w:t>
      </w:r>
      <w:r>
        <w:rPr>
          <w:b/>
          <w:noProof/>
        </w:rPr>
        <w:t>intérêts stratégiques</w:t>
      </w:r>
      <w:r>
        <w:rPr>
          <w:noProof/>
        </w:rPr>
        <w:t xml:space="preserve"> de l’Union et renforcer notre cadre de sécurité. En offrant la perspective d’une exemption de visa sous certaines conditions, l’UE exerce une forte </w:t>
      </w:r>
      <w:r>
        <w:rPr>
          <w:b/>
          <w:noProof/>
        </w:rPr>
        <w:t>pression géopolitique</w:t>
      </w:r>
      <w:r>
        <w:rPr>
          <w:noProof/>
        </w:rPr>
        <w:t xml:space="preserve"> dans ses relations avec les pays tiers, en les ancrant dans un espace commun de circulation et en leur donnant un accès privilégié à nos marchés. Pour bénéficier de cette exemption, les pays partenaires doivent satisfaire à des exigences relatives à des questions allant du respect de l’état de droit à la coopération en matière de sécurité et à la gestion des migrations</w:t>
      </w:r>
      <w:r>
        <w:rPr>
          <w:rStyle w:val="FootnoteReference"/>
          <w:noProof/>
          <w:szCs w:val="24"/>
          <w:lang w:val="en-IE"/>
        </w:rPr>
        <w:footnoteReference w:id="3"/>
      </w:r>
      <w:r>
        <w:rPr>
          <w:noProof/>
        </w:rPr>
        <w:t>.</w:t>
      </w:r>
    </w:p>
    <w:p w14:paraId="5C3590BF" w14:textId="5C5A4AFD" w:rsidR="003A7959" w:rsidRPr="00D14278" w:rsidRDefault="003A7959" w:rsidP="003A7959">
      <w:pPr>
        <w:spacing w:after="120"/>
        <w:rPr>
          <w:rFonts w:eastAsia="Calibri"/>
          <w:noProof/>
          <w:szCs w:val="24"/>
        </w:rPr>
      </w:pPr>
      <w:r>
        <w:rPr>
          <w:noProof/>
        </w:rPr>
        <w:t>Le système actuel de l’UE pour octroyer les exemptions de visa repose sur un large éventail de critères</w:t>
      </w:r>
      <w:r>
        <w:rPr>
          <w:rStyle w:val="FootnoteReference"/>
          <w:rFonts w:eastAsia="Calibri"/>
          <w:noProof/>
          <w:szCs w:val="24"/>
          <w:lang w:val="en-IE"/>
        </w:rPr>
        <w:footnoteReference w:id="4"/>
      </w:r>
      <w:r>
        <w:rPr>
          <w:noProof/>
        </w:rPr>
        <w:t xml:space="preserve">. L’absence de seuils distincts laisse une marge d’interprétation considérable à l’Union et aux pays tiers, ce qui peut donner l’impression d’une opacité du processus décisionnel. Cette perception est parfois devenue source d’irritation pour les pays tiers, au lieu d’amplifier les objectifs stratégiques européens. </w:t>
      </w:r>
    </w:p>
    <w:p w14:paraId="0DFED4D8" w14:textId="0526622A" w:rsidR="003A7959" w:rsidRPr="00D14278" w:rsidRDefault="003A7959" w:rsidP="003A7959">
      <w:pPr>
        <w:spacing w:after="120"/>
        <w:rPr>
          <w:rFonts w:eastAsia="Calibri"/>
          <w:noProof/>
          <w:szCs w:val="24"/>
        </w:rPr>
      </w:pPr>
      <w:r>
        <w:rPr>
          <w:noProof/>
        </w:rPr>
        <w:t xml:space="preserve">Par conséquent, la Commission élaborera un </w:t>
      </w:r>
      <w:r>
        <w:rPr>
          <w:b/>
          <w:noProof/>
        </w:rPr>
        <w:t>système moderne pour proposer des exemptions de visa</w:t>
      </w:r>
      <w:r>
        <w:rPr>
          <w:noProof/>
        </w:rPr>
        <w:t xml:space="preserve">, qui apporte davantage de clarté et de transparence aux pays tiers et qui serve les intérêts stratégiques de l’UE de manière plus efficace et plus cohérente. </w:t>
      </w:r>
    </w:p>
    <w:p w14:paraId="043813B3" w14:textId="7BE9348A" w:rsidR="003A7959" w:rsidRPr="00D14278" w:rsidRDefault="003A7959" w:rsidP="003A7959">
      <w:pPr>
        <w:spacing w:after="120"/>
        <w:rPr>
          <w:rFonts w:eastAsia="Calibri"/>
          <w:noProof/>
          <w:szCs w:val="24"/>
        </w:rPr>
      </w:pPr>
      <w:r>
        <w:rPr>
          <w:noProof/>
        </w:rPr>
        <w:t xml:space="preserve">L’élément clé de ce système sera un </w:t>
      </w:r>
      <w:r>
        <w:rPr>
          <w:b/>
          <w:noProof/>
        </w:rPr>
        <w:t>nouveau cadre d’évaluation</w:t>
      </w:r>
      <w:r>
        <w:rPr>
          <w:noProof/>
        </w:rPr>
        <w:t xml:space="preserve"> pour déterminer si des pays actuellement soumis à l’obligation de visa peuvent être des candidats potentiels à l’exemption de visa. Aux fins de ce cadre, la Commission établira, en concertation avec les États membres, un ensemble de critères plus ciblés, en agissant au sein du cadre juridique actuel. Outre les considérations qualitatives déjà existantes, des critères de référence supplémentaires seront envisagés pour les ressortissants du pays tiers concerné, notamment: le taux de refus de visas, les demandes d’asile non fondées, le taux de retour et une évaluation de la coopération concrète du pays en matière de retour et de réadmission. D’autres critères, en particulier liés à la sécurité, dont la cybersécurité (tels que la coopération en matière de lutte contre le terrorisme, la contrebande et la criminalité organisée), devraient également être pris en considération. Le nouveau cadre continuera de prendre en compte l’état général des relations avec le pays tiers concerné et la promotion des intérêts stratégiques de l’Union. Ces critères indicatifs seront convenus avec les États membres en 2026 et serviront à évaluer si les pays soumis à l’obligation de visa peuvent bénéficier d’une exemption. </w:t>
      </w:r>
    </w:p>
    <w:p w14:paraId="76587A76" w14:textId="0EFBA959" w:rsidR="003A7959" w:rsidRPr="00D14278" w:rsidRDefault="003A7959" w:rsidP="003A7959">
      <w:pPr>
        <w:spacing w:after="120"/>
        <w:rPr>
          <w:noProof/>
          <w:szCs w:val="24"/>
        </w:rPr>
      </w:pPr>
      <w:r>
        <w:rPr>
          <w:noProof/>
        </w:rPr>
        <w:t xml:space="preserve">Une fois qu’un pays aura été désigné candidat à l’exemption de visa pour ses citoyens, le processus sera complété par un </w:t>
      </w:r>
      <w:r>
        <w:rPr>
          <w:b/>
          <w:noProof/>
        </w:rPr>
        <w:t>dialogue structuré sur la libéralisation du régime des visas</w:t>
      </w:r>
      <w:r>
        <w:rPr>
          <w:noProof/>
        </w:rPr>
        <w:t xml:space="preserve">, fondé sur des critères de référence convenus et sur une coopération avérée dans des domaines d’importance stratégique pour l’UE, notamment la sécurité, les migrations et la gestion des frontières. Le résultat de ces dialogues sera formalisé par un </w:t>
      </w:r>
      <w:r>
        <w:rPr>
          <w:b/>
          <w:noProof/>
        </w:rPr>
        <w:t>accord d’exemption de visa</w:t>
      </w:r>
      <w:r>
        <w:rPr>
          <w:noProof/>
        </w:rPr>
        <w:t xml:space="preserve">, garantissant la réciprocité et la durabilité à long terme de l’exemption de visa. </w:t>
      </w:r>
    </w:p>
    <w:p w14:paraId="3B5F092A" w14:textId="6008BC59" w:rsidR="003A7959" w:rsidRPr="00D14278" w:rsidRDefault="003A7959" w:rsidP="003A7959">
      <w:pPr>
        <w:spacing w:after="120"/>
        <w:rPr>
          <w:rFonts w:eastAsia="Calibri"/>
          <w:noProof/>
          <w:szCs w:val="24"/>
        </w:rPr>
      </w:pPr>
      <w:r>
        <w:rPr>
          <w:noProof/>
        </w:rPr>
        <w:t xml:space="preserve">En parallèle, la Commission examinera, en concertation avec les États membres, si une </w:t>
      </w:r>
      <w:r>
        <w:rPr>
          <w:b/>
          <w:noProof/>
        </w:rPr>
        <w:t>révision du règlement sur les visas</w:t>
      </w:r>
      <w:r>
        <w:rPr>
          <w:noProof/>
        </w:rPr>
        <w:t xml:space="preserve"> est nécessaire pour aligner les nouveaux motifs de suspension récemment ajoutés sur les conditions à remplir lors de l’examen en vue de l’octroi d’une exemption de visa.</w:t>
      </w:r>
    </w:p>
    <w:p w14:paraId="47EF5352" w14:textId="679C8236" w:rsidR="003A7959" w:rsidRPr="00D14278" w:rsidRDefault="00203935" w:rsidP="00E85DDA">
      <w:pPr>
        <w:pStyle w:val="ListParagraph"/>
        <w:numPr>
          <w:ilvl w:val="0"/>
          <w:numId w:val="3"/>
        </w:numPr>
        <w:spacing w:after="120"/>
        <w:contextualSpacing w:val="0"/>
        <w:rPr>
          <w:b/>
          <w:bCs/>
          <w:noProof/>
          <w:szCs w:val="24"/>
        </w:rPr>
      </w:pPr>
      <w:r>
        <w:rPr>
          <w:b/>
          <w:noProof/>
        </w:rPr>
        <w:t>Surveillance accrue des régimes d’exemption de visa</w:t>
      </w:r>
    </w:p>
    <w:p w14:paraId="435C3A12" w14:textId="76248214" w:rsidR="003A7959" w:rsidRPr="00D14278" w:rsidRDefault="003A7959" w:rsidP="003A7959">
      <w:pPr>
        <w:shd w:val="clear" w:color="auto" w:fill="FFFFFF" w:themeFill="background1"/>
        <w:spacing w:after="120"/>
        <w:rPr>
          <w:b/>
          <w:bCs/>
          <w:noProof/>
          <w:szCs w:val="24"/>
        </w:rPr>
      </w:pPr>
      <w:r>
        <w:rPr>
          <w:noProof/>
        </w:rPr>
        <w:t>La liste des pays dont les citoyens bénéficient d’un régime d’</w:t>
      </w:r>
      <w:r>
        <w:rPr>
          <w:b/>
          <w:noProof/>
        </w:rPr>
        <w:t>exemption de visa</w:t>
      </w:r>
      <w:r>
        <w:rPr>
          <w:noProof/>
        </w:rPr>
        <w:t xml:space="preserve"> pour se rendre dans l’UE s’est constamment allongée, pour désormais comprendre </w:t>
      </w:r>
      <w:r>
        <w:rPr>
          <w:b/>
          <w:noProof/>
        </w:rPr>
        <w:t>64 pays et territoires</w:t>
      </w:r>
      <w:r>
        <w:rPr>
          <w:noProof/>
        </w:rPr>
        <w:t>, soit davantage que toutes les autres destinations de voyage similaires</w:t>
      </w:r>
      <w:r>
        <w:rPr>
          <w:rStyle w:val="FootnoteReference"/>
          <w:noProof/>
          <w:szCs w:val="24"/>
          <w:lang w:val="en-IE"/>
        </w:rPr>
        <w:footnoteReference w:id="5"/>
      </w:r>
      <w:r>
        <w:rPr>
          <w:noProof/>
        </w:rPr>
        <w:t>. Cependant, après avoir obtenu une exemption de visa pour leurs citoyens, il peut arriver que des pays ne remplissent plus toutes les conditions pour cette exemption.</w:t>
      </w:r>
    </w:p>
    <w:p w14:paraId="3708E4BF" w14:textId="4699778A" w:rsidR="00E83853" w:rsidRPr="00D14278" w:rsidRDefault="003A7959" w:rsidP="00E83853">
      <w:pPr>
        <w:keepNext/>
        <w:spacing w:after="120"/>
        <w:rPr>
          <w:noProof/>
          <w:szCs w:val="24"/>
        </w:rPr>
      </w:pPr>
      <w:r>
        <w:rPr>
          <w:noProof/>
        </w:rPr>
        <w:t xml:space="preserve">La surveillance des régimes d’exemption de visa exercée par la Commission européenne a mis en lumière des problèmes importants pour la gestion de la sécurité de l’UE, de ses frontières et des migrations, en raison de divers abus de l’exemption de visa. Il peut s’agir du </w:t>
      </w:r>
      <w:r>
        <w:rPr>
          <w:b/>
          <w:noProof/>
        </w:rPr>
        <w:t>recours abusif aux procédures d’asile</w:t>
      </w:r>
      <w:r>
        <w:rPr>
          <w:noProof/>
        </w:rPr>
        <w:t>, près d’un quart des demandes d’asile introduites en 2024 dans l’UE provenant de voyageurs exemptés de visa et une part importante d’entre elles étant infondées</w:t>
      </w:r>
      <w:r>
        <w:rPr>
          <w:rStyle w:val="FootnoteReference"/>
          <w:noProof/>
          <w:szCs w:val="24"/>
        </w:rPr>
        <w:footnoteReference w:id="6"/>
      </w:r>
      <w:r>
        <w:rPr>
          <w:noProof/>
        </w:rPr>
        <w:t xml:space="preserve">. Un autre problème concerne les ressortissants exemptés de visa qui </w:t>
      </w:r>
      <w:r>
        <w:rPr>
          <w:b/>
          <w:noProof/>
        </w:rPr>
        <w:t>dépassent la durée du séjour autorisé</w:t>
      </w:r>
      <w:r>
        <w:rPr>
          <w:noProof/>
        </w:rPr>
        <w:t xml:space="preserve"> et restent illégalement dans l’UE. En outre, les risques pour la sécurité sont accrus par la pratique de certains pays exemptés de visa qui appliquent des </w:t>
      </w:r>
      <w:r>
        <w:rPr>
          <w:b/>
          <w:noProof/>
        </w:rPr>
        <w:t>programmes de citoyenneté par investissement</w:t>
      </w:r>
      <w:r>
        <w:rPr>
          <w:noProof/>
        </w:rPr>
        <w:t xml:space="preserve">, car ils octroient la nationalité sans procéder à un contrôle de sécurité approprié. De surcroît, le </w:t>
      </w:r>
      <w:r>
        <w:rPr>
          <w:b/>
          <w:noProof/>
        </w:rPr>
        <w:t>non-alignement des politiques de visas</w:t>
      </w:r>
      <w:r>
        <w:rPr>
          <w:noProof/>
        </w:rPr>
        <w:t xml:space="preserve"> de certains partenaires exemptés de visa sur la politique de l’UE en matière de visas risque de créer ou de favoriser des filières migratoires clandestines à destination de l’UE. Pour les pays candidats et candidats potentiels à l’adhésion à l’UE, l’alignement de la politique des visas est une exigence fondamentale et contribue à la sécurité et à la protection de l’espace Schengen.</w:t>
      </w:r>
    </w:p>
    <w:p w14:paraId="4E8F2122" w14:textId="5DF4BC3A" w:rsidR="007F0D7C" w:rsidRPr="00D14278" w:rsidRDefault="003A7959" w:rsidP="00220B94">
      <w:pPr>
        <w:spacing w:after="120"/>
        <w:rPr>
          <w:noProof/>
          <w:szCs w:val="24"/>
        </w:rPr>
      </w:pPr>
      <w:r>
        <w:rPr>
          <w:noProof/>
        </w:rPr>
        <w:t xml:space="preserve">Le </w:t>
      </w:r>
      <w:r>
        <w:rPr>
          <w:b/>
          <w:noProof/>
        </w:rPr>
        <w:t>mécanisme révisé de suspension de l’exemption de visa</w:t>
      </w:r>
      <w:r>
        <w:rPr>
          <w:noProof/>
        </w:rPr>
        <w:t>, qui prévoit désormais des éléments déclencheurs plus larges et plus stricts</w:t>
      </w:r>
      <w:r>
        <w:rPr>
          <w:rStyle w:val="FootnoteReference"/>
          <w:noProof/>
          <w:szCs w:val="24"/>
          <w:lang w:val="en-IE"/>
        </w:rPr>
        <w:footnoteReference w:id="7"/>
      </w:r>
      <w:r>
        <w:rPr>
          <w:noProof/>
        </w:rPr>
        <w:t xml:space="preserve"> pour suspendre l’exemption de visa, dote l’Union d’un instrument solide pour réagir de manière rapide et proportionnée aux abus et aux risques pour la sécurité. Utiliser pleinement et de manière coordonnée le mécanisme révisé sera essentiel pour que le régime d’exemption de visa demeure sûr, crédible et subordonné à la confiance mutuelle. Entretenir le dialogue avec les pays concernés sera indispensable pour favoriser une bonne coopération à cet égard.</w:t>
      </w:r>
    </w:p>
    <w:p w14:paraId="41EA9B38" w14:textId="77777777" w:rsidR="00E83853" w:rsidRPr="00D14278" w:rsidRDefault="003A7959" w:rsidP="00E83853">
      <w:pPr>
        <w:spacing w:after="120"/>
        <w:rPr>
          <w:noProof/>
          <w:szCs w:val="24"/>
        </w:rPr>
      </w:pPr>
      <w:r>
        <w:rPr>
          <w:noProof/>
        </w:rPr>
        <w:t xml:space="preserve">Le </w:t>
      </w:r>
      <w:r>
        <w:rPr>
          <w:b/>
          <w:noProof/>
        </w:rPr>
        <w:t>rapport</w:t>
      </w:r>
      <w:r>
        <w:rPr>
          <w:noProof/>
        </w:rPr>
        <w:t xml:space="preserve"> sur le mécanisme de suspension de l’exemption de visa continuera de se pencher sur les pays ou régions confrontés à des difficultés particulières qui pourraient conduire à une éventuelle suspension de leurs exemptions de visa. En outre, le rapport comprendra une synthèse du respect des conditions d’exemption de l’obligation de visa par les pays qui en bénéficient, conformément au nouveau cadre d’évaluation et à ses critères supplémentaires. On assurera ainsi le respect constant des critères par les pays partenaires et l’intégrité de l’exemption de visa pour les déplacements vers l’UE. Enfin, dans les cas où l’exemption de visa a été suspendue pour certains titulaires de passeports, la Commission surveillera l’application effective de cette suspension par les États membres et les aidera à cet effet.</w:t>
      </w:r>
    </w:p>
    <w:p w14:paraId="447A16AB" w14:textId="2B5F56E2" w:rsidR="003A7959" w:rsidRPr="00D14278" w:rsidRDefault="003A7959" w:rsidP="00E85DDA">
      <w:pPr>
        <w:numPr>
          <w:ilvl w:val="0"/>
          <w:numId w:val="3"/>
        </w:numPr>
        <w:spacing w:after="120"/>
        <w:rPr>
          <w:rFonts w:eastAsia="Calibri"/>
          <w:b/>
          <w:bCs/>
          <w:noProof/>
          <w:szCs w:val="24"/>
        </w:rPr>
      </w:pPr>
      <w:r>
        <w:rPr>
          <w:b/>
          <w:noProof/>
        </w:rPr>
        <w:t xml:space="preserve"> Un moyen de pression accru pour encourager la coopération de la part des pays tiers </w:t>
      </w:r>
    </w:p>
    <w:p w14:paraId="1AC465AE" w14:textId="7E61E17C" w:rsidR="003A7959" w:rsidRPr="00D14278" w:rsidRDefault="591F93AA" w:rsidP="0616EE85">
      <w:pPr>
        <w:spacing w:after="120"/>
        <w:rPr>
          <w:rFonts w:eastAsia="Calibri"/>
          <w:noProof/>
        </w:rPr>
      </w:pPr>
      <w:r>
        <w:rPr>
          <w:noProof/>
        </w:rPr>
        <w:t>La législation de l’UE, à savoir l’</w:t>
      </w:r>
      <w:r>
        <w:rPr>
          <w:b/>
          <w:noProof/>
        </w:rPr>
        <w:t>article 25 </w:t>
      </w:r>
      <w:r>
        <w:rPr>
          <w:b/>
          <w:i/>
          <w:noProof/>
        </w:rPr>
        <w:t>bis</w:t>
      </w:r>
      <w:r>
        <w:rPr>
          <w:b/>
          <w:noProof/>
        </w:rPr>
        <w:t xml:space="preserve"> du code des visas</w:t>
      </w:r>
      <w:r>
        <w:rPr>
          <w:rStyle w:val="FootnoteReference"/>
          <w:rFonts w:eastAsia="Calibri"/>
          <w:noProof/>
          <w:lang w:val="en-IE"/>
        </w:rPr>
        <w:footnoteReference w:id="8"/>
      </w:r>
      <w:r>
        <w:rPr>
          <w:noProof/>
        </w:rPr>
        <w:t xml:space="preserve">, établit déjà un lien entre la politique des visas et la coopération des pays tiers en matière de retour et de réadmission de leurs propres ressortissants en séjour irrégulier dans l’UE. Si la coopération est insuffisante, après une évaluation par la Commission et sur sa proposition, l’UE peut imposer une application plus restrictive de certaines dispositions du code des visas, par exemple: la suspension de la délivrance de visas à entrées multiples, l’allongement des délais de traitement ou l’augmentation des droits de visa. De telles mesures peuvent s’appliquer à certaines catégories de demandeurs (par exemple, les titulaires d’un passeport diplomatique ou de service) ou à toutes les catégories. Ce mécanisme est un </w:t>
      </w:r>
      <w:r>
        <w:rPr>
          <w:b/>
          <w:noProof/>
        </w:rPr>
        <w:t>puissant instrument pour influencer</w:t>
      </w:r>
      <w:r>
        <w:rPr>
          <w:noProof/>
        </w:rPr>
        <w:t xml:space="preserve"> la coopération des pays tiers en matière de réadmission grâce à une approche européenne commune. Il s’est révélé le plus efficace lorsqu’il est appliqué de manière bien coordonnée au niveau de l’UE et accompagné de messages cohérents adressés aux pays tiers sur les conséquences d’une coopération insuffisante. </w:t>
      </w:r>
    </w:p>
    <w:p w14:paraId="7B7D8997" w14:textId="32D75128" w:rsidR="003A7959" w:rsidRPr="00D14278" w:rsidRDefault="0D0172E5" w:rsidP="003A7959">
      <w:pPr>
        <w:spacing w:after="120"/>
        <w:rPr>
          <w:rFonts w:eastAsia="Calibri"/>
          <w:noProof/>
        </w:rPr>
      </w:pPr>
      <w:r>
        <w:rPr>
          <w:noProof/>
        </w:rPr>
        <w:t xml:space="preserve">Il est possible d’utiliser le mécanisme de manière plus cohérente et d’accentuer son rôle dans la promotion des valeurs et des intérêts de l’UE. Dans le cadre de la révision législative du code des visas qui est prévue, la Commission proposera un </w:t>
      </w:r>
      <w:r>
        <w:rPr>
          <w:b/>
          <w:noProof/>
        </w:rPr>
        <w:t>mécanisme plus stratégique et plus souple pour la mise en œuvre de l’article 25 </w:t>
      </w:r>
      <w:r>
        <w:rPr>
          <w:b/>
          <w:i/>
          <w:noProof/>
        </w:rPr>
        <w:t>bis</w:t>
      </w:r>
      <w:r>
        <w:rPr>
          <w:noProof/>
        </w:rPr>
        <w:t xml:space="preserve">. </w:t>
      </w:r>
    </w:p>
    <w:p w14:paraId="1A146DB4" w14:textId="23A4DB2F" w:rsidR="003A7959" w:rsidRPr="00D14278" w:rsidRDefault="003A7959" w:rsidP="003A7959">
      <w:pPr>
        <w:spacing w:after="120"/>
        <w:rPr>
          <w:rFonts w:eastAsia="Calibri"/>
          <w:noProof/>
        </w:rPr>
      </w:pPr>
      <w:r>
        <w:rPr>
          <w:noProof/>
        </w:rPr>
        <w:t xml:space="preserve">La révision proposée visera à assurer que le mécanisme soit plus étroitement aligné sur l’objectif de l’Union de préserver et de promouvoir les intérêts de l’UE dès le stade de l’évaluation. Les priorités stratégiques de l’Union seront ainsi davantage mises en avant. </w:t>
      </w:r>
    </w:p>
    <w:p w14:paraId="1CC15202" w14:textId="4137EEBC" w:rsidR="003A7959" w:rsidRPr="00D14278" w:rsidRDefault="003A7959" w:rsidP="6114291B">
      <w:pPr>
        <w:spacing w:after="120"/>
        <w:rPr>
          <w:rFonts w:eastAsia="Calibri"/>
          <w:noProof/>
        </w:rPr>
      </w:pPr>
      <w:r>
        <w:rPr>
          <w:noProof/>
        </w:rPr>
        <w:t xml:space="preserve">Une telle révision devrait offrir une </w:t>
      </w:r>
      <w:r>
        <w:rPr>
          <w:b/>
          <w:noProof/>
        </w:rPr>
        <w:t>plus grande souplesse</w:t>
      </w:r>
      <w:r>
        <w:rPr>
          <w:noProof/>
        </w:rPr>
        <w:t xml:space="preserve"> aux stades de la proposition de la Commission et du choix ultérieur des mesures restreignant les visas. Les deux étapes existantes du mécanisme seront reconfigurées et </w:t>
      </w:r>
      <w:r>
        <w:rPr>
          <w:b/>
          <w:noProof/>
        </w:rPr>
        <w:t>privilégieront les mesures qui se sont révélées les plus efficaces</w:t>
      </w:r>
      <w:r>
        <w:rPr>
          <w:noProof/>
        </w:rPr>
        <w:t xml:space="preserve"> dans la pratique, à savoir la suspension du traitement accéléré des demandes de visa et des visas à entrées multiples pour certaines catégories de passeports (diplomatiques ou de service, par exemple) ou toutes les catégories. Dans les situations particulièrement graves, le mécanisme devrait également autoriser la </w:t>
      </w:r>
      <w:r>
        <w:rPr>
          <w:b/>
          <w:noProof/>
        </w:rPr>
        <w:t>suspension de la délivrance des visas</w:t>
      </w:r>
      <w:r>
        <w:rPr>
          <w:noProof/>
        </w:rPr>
        <w:t xml:space="preserve"> pour certaines catégories de passeports (diplomatiques ou de service, par exemple) ou pour toutes les catégories. En outre, le mécanisme devrait prévoir la possibilité de </w:t>
      </w:r>
      <w:r>
        <w:rPr>
          <w:b/>
          <w:noProof/>
        </w:rPr>
        <w:t>réagir rapidement à une détérioration grave et soudaine</w:t>
      </w:r>
      <w:r>
        <w:rPr>
          <w:noProof/>
        </w:rPr>
        <w:t xml:space="preserve"> de la coopération d’un pays tiers en matière de retour et de réadmission, en permettant le déclenchement direct de mesures restrictives si, par exemple, un pays tiers introduit un moratoire pour les retours forcés. </w:t>
      </w:r>
    </w:p>
    <w:p w14:paraId="3F73D25F" w14:textId="756E8B38" w:rsidR="003A7959" w:rsidRPr="00D14278" w:rsidRDefault="591F93AA" w:rsidP="0616EE85">
      <w:pPr>
        <w:spacing w:after="120"/>
        <w:rPr>
          <w:rFonts w:eastAsia="Calibri"/>
          <w:noProof/>
        </w:rPr>
      </w:pPr>
      <w:r>
        <w:rPr>
          <w:noProof/>
        </w:rPr>
        <w:t xml:space="preserve">En vue d’une utilisation plus stratégique du mécanisme et d’une approche européenne commune, ce dernier doit être appliqué de manière cohérente dans toute l’Union. Par conséquent, la révision cherchera également à renforcer la </w:t>
      </w:r>
      <w:r>
        <w:rPr>
          <w:b/>
          <w:noProof/>
        </w:rPr>
        <w:t>cohérence à l’échelle de l’UE</w:t>
      </w:r>
      <w:r>
        <w:rPr>
          <w:noProof/>
        </w:rPr>
        <w:t xml:space="preserve"> et à assurer que les mesures en matière de visas imposées à un pays tiers au titre du mécanisme de l’article 25 </w:t>
      </w:r>
      <w:r>
        <w:rPr>
          <w:i/>
          <w:noProof/>
        </w:rPr>
        <w:t>bis</w:t>
      </w:r>
      <w:r>
        <w:rPr>
          <w:noProof/>
        </w:rPr>
        <w:t xml:space="preserve"> ne soient pas touchées par des </w:t>
      </w:r>
      <w:r>
        <w:rPr>
          <w:b/>
          <w:noProof/>
        </w:rPr>
        <w:t>exemptions</w:t>
      </w:r>
      <w:r>
        <w:rPr>
          <w:noProof/>
        </w:rPr>
        <w:t xml:space="preserve"> accordées bilatéralement par les États membres pour certaines catégories de passeports (par exemple, diplomatiques ou de service), faute de quoi l’efficacité des mesures serait compromise. </w:t>
      </w:r>
    </w:p>
    <w:p w14:paraId="595A5077" w14:textId="09365ECD" w:rsidR="003A7959" w:rsidRPr="00D14278" w:rsidRDefault="003A7959" w:rsidP="003A7959">
      <w:pPr>
        <w:spacing w:after="120"/>
        <w:rPr>
          <w:rFonts w:eastAsia="Calibri"/>
          <w:b/>
          <w:noProof/>
        </w:rPr>
      </w:pPr>
      <w:r>
        <w:rPr>
          <w:noProof/>
        </w:rPr>
        <w:t>La Commission étudiera la possibilité d’étendre la logique du mécanisme de l’article 25 </w:t>
      </w:r>
      <w:r>
        <w:rPr>
          <w:i/>
          <w:noProof/>
        </w:rPr>
        <w:t>bis</w:t>
      </w:r>
      <w:r>
        <w:rPr>
          <w:noProof/>
        </w:rPr>
        <w:t xml:space="preserve"> à d’autres domaines d’action, pour permettre l’élaboration de </w:t>
      </w:r>
      <w:r>
        <w:rPr>
          <w:b/>
          <w:noProof/>
        </w:rPr>
        <w:t>mesures ad hoc</w:t>
      </w:r>
      <w:r>
        <w:rPr>
          <w:noProof/>
        </w:rPr>
        <w:t xml:space="preserve"> souples et ciblées au titre du code des visas, lorsque la coopération des pays tiers est insuffisante dans les domaines de </w:t>
      </w:r>
      <w:r>
        <w:rPr>
          <w:b/>
          <w:noProof/>
        </w:rPr>
        <w:t>la sécurité et de la gestion des frontières</w:t>
      </w:r>
      <w:r>
        <w:rPr>
          <w:noProof/>
        </w:rPr>
        <w:t>, notamment la lutte contre la migration illégale et le trafic de migrants.</w:t>
      </w:r>
      <w:r>
        <w:rPr>
          <w:b/>
          <w:noProof/>
        </w:rPr>
        <w:t xml:space="preserve"> </w:t>
      </w:r>
      <w:r>
        <w:rPr>
          <w:noProof/>
        </w:rPr>
        <w:t xml:space="preserve">Une approche plus globale et intégrée pourrait ainsi être élaborée pour remédier aux causes profondes qui nuisent à l’efficacité de la politique des visas. </w:t>
      </w:r>
      <w:r>
        <w:rPr>
          <w:b/>
          <w:noProof/>
        </w:rPr>
        <w:t xml:space="preserve"> </w:t>
      </w:r>
    </w:p>
    <w:p w14:paraId="78CDC9C8" w14:textId="2029DE24" w:rsidR="003A7959" w:rsidRPr="00D14278" w:rsidRDefault="591F93AA" w:rsidP="0616EE85">
      <w:pPr>
        <w:spacing w:after="120"/>
        <w:rPr>
          <w:rFonts w:eastAsia="Calibri"/>
          <w:noProof/>
        </w:rPr>
      </w:pPr>
      <w:r>
        <w:rPr>
          <w:noProof/>
        </w:rPr>
        <w:t xml:space="preserve">Outre les modifications législatives, la Commission appliquera des </w:t>
      </w:r>
      <w:r>
        <w:rPr>
          <w:b/>
          <w:noProof/>
        </w:rPr>
        <w:t>mesures pratiques</w:t>
      </w:r>
      <w:r>
        <w:rPr>
          <w:noProof/>
        </w:rPr>
        <w:t xml:space="preserve"> pour exploiter tout le potentiel qu’offre le mécanisme, telles que: Introduire une </w:t>
      </w:r>
      <w:r>
        <w:rPr>
          <w:b/>
          <w:noProof/>
        </w:rPr>
        <w:t>durée initiale minimale pour les mesures adoptées en matière de visas</w:t>
      </w:r>
      <w:r>
        <w:rPr>
          <w:noProof/>
        </w:rPr>
        <w:t>, pendant laquelle le pays tiers concerné devrait réaliser des progrès durables dans la coopération en matière de réadmission, ce qui renforcera l’efficacité des mesures et assurera, à l’égard des pays tiers, une communication plus claire et une prévisibilité; encourager un recours plus systématique à la notification prévue par l’article 25 </w:t>
      </w:r>
      <w:r>
        <w:rPr>
          <w:i/>
          <w:noProof/>
        </w:rPr>
        <w:t>bis</w:t>
      </w:r>
      <w:r>
        <w:rPr>
          <w:noProof/>
        </w:rPr>
        <w:t>, paragraphe 3, du code des visas lorsque les États membres sont confrontés à des problèmes pratiques importants et persistants dans la coopération; et adopter une approche systématique pour l’examen régulier de la pertinence des propositions de la Commission non adoptées par le Conseil et pour l’abrogation des mesures adoptées par le Conseil.</w:t>
      </w:r>
    </w:p>
    <w:p w14:paraId="09C2F4B9" w14:textId="430034E1" w:rsidR="003A7959" w:rsidRDefault="003A7959" w:rsidP="003A7959">
      <w:pPr>
        <w:spacing w:after="120"/>
        <w:rPr>
          <w:rFonts w:eastAsia="Calibri"/>
          <w:noProof/>
        </w:rPr>
      </w:pPr>
      <w:r>
        <w:rPr>
          <w:noProof/>
        </w:rPr>
        <w:t>Pour que le mécanisme de l’article 25 </w:t>
      </w:r>
      <w:r>
        <w:rPr>
          <w:i/>
          <w:noProof/>
        </w:rPr>
        <w:t>bis</w:t>
      </w:r>
      <w:r>
        <w:rPr>
          <w:noProof/>
        </w:rPr>
        <w:t xml:space="preserve"> incite davantage les pays tiers à améliorer leur coopération en matière de retour et de réadmission, l’UE doit étoffer sa «boîte à outils» pour y inclure des </w:t>
      </w:r>
      <w:r>
        <w:rPr>
          <w:b/>
          <w:noProof/>
        </w:rPr>
        <w:t>instruments relevant d’autres domaines</w:t>
      </w:r>
      <w:r>
        <w:rPr>
          <w:noProof/>
        </w:rPr>
        <w:t>, tels que la coopération internationale et le commerce, en tenant compte des intérêts stratégiques de l’UE. La Commission dégagera donc des synergies avec le règlement «Europe dans le monde» (article 12, paragraphe 3) proposé dans le nouveau cadre financier pluriannuel pour la période de programmation 2028-2034, afin d’obtenir une coopération accrue des pays tiers en matière de réadmission. Le système de préférences généralisées (SPG) révisé, qui accorde un accès préférentiel au marché unique de l’UE, devrait également favoriser cette coopération. Une approche plus intégrée donnerait un plus grand poids au mécanisme des visas et favoriserait une approche stratégique plus cohérente dans les relations de l’UE avec les pays tiers concernés.</w:t>
      </w:r>
    </w:p>
    <w:p w14:paraId="17330273" w14:textId="77777777" w:rsidR="003A7959" w:rsidRPr="00D14278" w:rsidRDefault="003A7959" w:rsidP="00E85DDA">
      <w:pPr>
        <w:numPr>
          <w:ilvl w:val="0"/>
          <w:numId w:val="3"/>
        </w:numPr>
        <w:spacing w:after="120"/>
        <w:rPr>
          <w:rFonts w:eastAsia="Calibri"/>
          <w:b/>
          <w:noProof/>
          <w:szCs w:val="24"/>
        </w:rPr>
      </w:pPr>
      <w:r>
        <w:rPr>
          <w:noProof/>
        </w:rPr>
        <w:t xml:space="preserve"> </w:t>
      </w:r>
      <w:r>
        <w:rPr>
          <w:b/>
          <w:noProof/>
        </w:rPr>
        <w:t>Introduction de mesures restrictives ciblées en matière de visas</w:t>
      </w:r>
    </w:p>
    <w:p w14:paraId="1AF1B3D2" w14:textId="013BCC0C" w:rsidR="003A7959" w:rsidRPr="00D14278" w:rsidRDefault="003A7959" w:rsidP="003A7959">
      <w:pPr>
        <w:spacing w:after="120"/>
        <w:rPr>
          <w:rFonts w:eastAsia="Calibri"/>
          <w:noProof/>
          <w:szCs w:val="24"/>
        </w:rPr>
      </w:pPr>
      <w:r>
        <w:rPr>
          <w:noProof/>
        </w:rPr>
        <w:t xml:space="preserve">Dans un environnement géopolitique de plus en plus instable, l’Union européenne doit être en mesure de réagir rapidement et de manière proportionnée aux actes hostiles de pays tiers. La politique de l’UE en matière de visas étant l’une des interfaces les plus visibles et les plus directes de l’Union avec le monde extérieur, elle devrait comporter des instruments efficaces qui servent à la fois de moyen de dissuasion et de mécanisme de réaction en cas de </w:t>
      </w:r>
      <w:r>
        <w:rPr>
          <w:b/>
          <w:noProof/>
        </w:rPr>
        <w:t>grave détérioration de la situation politique ou de la sécurité</w:t>
      </w:r>
      <w:r>
        <w:rPr>
          <w:noProof/>
        </w:rPr>
        <w:t xml:space="preserve">. </w:t>
      </w:r>
    </w:p>
    <w:p w14:paraId="458C420D" w14:textId="72B7477E" w:rsidR="003A7959" w:rsidRPr="00D14278" w:rsidRDefault="003A7959" w:rsidP="003A7959">
      <w:pPr>
        <w:spacing w:after="120"/>
        <w:rPr>
          <w:rFonts w:eastAsia="Calibri"/>
          <w:noProof/>
          <w:szCs w:val="24"/>
        </w:rPr>
      </w:pPr>
      <w:r>
        <w:rPr>
          <w:noProof/>
        </w:rPr>
        <w:t>Ces dernières années, l’Union a dû faire face à une hostilité croissante de la part de plusieurs pays tiers, notamment sous la forme d’attaques hybrides, de manipulations de l’information et d’ingérences, d’instrumentalisation des migrants pour des motifs politiques, d’instrumentalisation de la migration, ainsi d’actes d’agression manifestes.</w:t>
      </w:r>
      <w:r>
        <w:rPr>
          <w:b/>
          <w:noProof/>
        </w:rPr>
        <w:t xml:space="preserve"> </w:t>
      </w:r>
      <w:r>
        <w:rPr>
          <w:noProof/>
        </w:rPr>
        <w:t xml:space="preserve">Dans ces conditions, continuer à délivrer des visas (en particulier pour des voyages non essentiels tels que le tourisme, les loisirs ou les visites non officielles) pourrait ne plus être considéré comme approprié car il pourrait en résulter des risques concrets pour la sécurité, l’ordre public ou les relations internationales de l’Union. </w:t>
      </w:r>
    </w:p>
    <w:p w14:paraId="30CEC07E" w14:textId="79F96FBB" w:rsidR="003A7959" w:rsidRPr="00D14278" w:rsidRDefault="591F93AA">
      <w:pPr>
        <w:spacing w:after="120"/>
        <w:rPr>
          <w:rFonts w:eastAsia="Calibri"/>
          <w:noProof/>
        </w:rPr>
      </w:pPr>
      <w:r>
        <w:rPr>
          <w:noProof/>
        </w:rPr>
        <w:t xml:space="preserve">Pour réduire ces risques et favoriser une approche européenne commune de la politique des visas dans de tels contextes, la Commission envisagera de proposer, dans une future proposition législative de révision du code des visas, de créer une nouvelle catégorie de </w:t>
      </w:r>
      <w:r>
        <w:rPr>
          <w:b/>
          <w:noProof/>
        </w:rPr>
        <w:t>mesures restrictives ciblées en matière de visas</w:t>
      </w:r>
      <w:r>
        <w:rPr>
          <w:noProof/>
        </w:rPr>
        <w:t xml:space="preserve"> au sein de la politique de l’UE en matière de visas. Parmi les mesures de cette nouvelle catégorie pourrait figurer le pouvoir conféré à la Commission d’adopter, en concertation avec les États membres, des mesures contraignantes qui seraient dans l’intérêt de l’UE et qui permettraient de </w:t>
      </w:r>
      <w:r>
        <w:rPr>
          <w:b/>
          <w:noProof/>
        </w:rPr>
        <w:t>suspendre, de rejeter ou de restreindre les demandes de visa</w:t>
      </w:r>
      <w:r>
        <w:rPr>
          <w:noProof/>
        </w:rPr>
        <w:t xml:space="preserve"> présentées par les ressortissants de ces pays tiers. Ces mesures pourraient cibler des catégories particulières de voyageurs, telles que: les titulaires d’un passeport diplomatique, officiel ou de service; les combattants identifiés, anciens et actuels, d’un État agresseur; ou les demandeurs dont l’objet du voyage n’est pas essentiel. Dans ces cas, les intérêts généraux de l’UE et ses relations avec le pays en question recevront une attention particulière. Pour assurer la transparence, la proportionnalité et la sécurité juridique, toute activation de ces mesures devrait suivre une procédure précise, comprenant une consultation préalable des États membres et une période de réexamen fixée à l’avance. Des garanties devraient être prévues afin d’offrir une flexibilité suffisante pour délivrer des visas à des défenseurs des droits de l’homme, des dissidents, des journalistes indépendants, des membres d’organisations de la société civile ainsi que dans d’autres cas humanitaires et exceptionnels. </w:t>
      </w:r>
    </w:p>
    <w:p w14:paraId="06BB7E77" w14:textId="54FAE7AA" w:rsidR="003A7959" w:rsidRPr="00D14278" w:rsidRDefault="003A7959" w:rsidP="003A7959">
      <w:pPr>
        <w:spacing w:after="120"/>
        <w:rPr>
          <w:rFonts w:eastAsia="Calibri"/>
          <w:noProof/>
          <w:szCs w:val="24"/>
        </w:rPr>
      </w:pPr>
      <w:r>
        <w:rPr>
          <w:noProof/>
        </w:rPr>
        <w:t>Ces mesures compléteraient les mécanismes existants, tels que l’article 25 </w:t>
      </w:r>
      <w:r>
        <w:rPr>
          <w:i/>
          <w:noProof/>
        </w:rPr>
        <w:t>bis</w:t>
      </w:r>
      <w:r>
        <w:rPr>
          <w:noProof/>
        </w:rPr>
        <w:t xml:space="preserve"> du code des visas et le mécanisme de suspension de l’exemption de visa, en permettant l’adoption de restrictions rapides, proportionnées et réversibles en cas de grave détérioration des relations avec certains pays tiers.</w:t>
      </w:r>
    </w:p>
    <w:p w14:paraId="61EF42CA" w14:textId="3F5AFD00" w:rsidR="003A7959" w:rsidRPr="00D14278" w:rsidRDefault="003A7959" w:rsidP="003A7959">
      <w:pPr>
        <w:spacing w:after="120"/>
        <w:rPr>
          <w:rFonts w:eastAsia="Calibri"/>
          <w:noProof/>
          <w:szCs w:val="24"/>
        </w:rPr>
      </w:pPr>
      <w:r>
        <w:rPr>
          <w:noProof/>
        </w:rPr>
        <w:t xml:space="preserve">L’introduction d’un tel instrument renforcerait </w:t>
      </w:r>
      <w:r>
        <w:rPr>
          <w:b/>
          <w:noProof/>
        </w:rPr>
        <w:t>l’autonomie stratégique et la cohérence</w:t>
      </w:r>
      <w:r>
        <w:rPr>
          <w:noProof/>
        </w:rPr>
        <w:t xml:space="preserve"> de l’Union, en alignant davantage la politique des visas sur les objectifs de la politique étrangère et de sécurité commune de l’Union. Elle enverrait en outre un message politique clair, à savoir qu’accorder l’accès à l’espace Schengen est une prérogative de l’Union et de ses États membres et que cet accès est indissociable du respect du droit international, d’un comportement pacifique et d’un dialogue constructif avec l’UE. La politique des visas de l’UE serait ainsi un instrument stratégique crédible dans la boîte à outils de l’action extérieure de l’Union. </w:t>
      </w:r>
    </w:p>
    <w:p w14:paraId="32E23BFD" w14:textId="77777777" w:rsidR="003A7959" w:rsidRPr="00D14278" w:rsidRDefault="003A7959" w:rsidP="00E85DDA">
      <w:pPr>
        <w:pStyle w:val="ListParagraph"/>
        <w:numPr>
          <w:ilvl w:val="0"/>
          <w:numId w:val="3"/>
        </w:numPr>
        <w:shd w:val="clear" w:color="auto" w:fill="FFFFFF" w:themeFill="background1"/>
        <w:spacing w:after="120"/>
        <w:contextualSpacing w:val="0"/>
        <w:rPr>
          <w:rFonts w:eastAsia="Calibri"/>
          <w:b/>
          <w:noProof/>
          <w:szCs w:val="24"/>
        </w:rPr>
      </w:pPr>
      <w:r>
        <w:rPr>
          <w:b/>
          <w:noProof/>
        </w:rPr>
        <w:t xml:space="preserve">Renforcement de la sécurité des documents de voyage </w:t>
      </w:r>
    </w:p>
    <w:p w14:paraId="04205CE6" w14:textId="5BA7EE85" w:rsidR="003A7959" w:rsidRPr="00D14278" w:rsidRDefault="003A7959" w:rsidP="003A7959">
      <w:pPr>
        <w:spacing w:after="120"/>
        <w:rPr>
          <w:noProof/>
          <w:szCs w:val="24"/>
        </w:rPr>
      </w:pPr>
      <w:r>
        <w:rPr>
          <w:noProof/>
        </w:rPr>
        <w:t xml:space="preserve">La politique des visas requiert l’utilisation de </w:t>
      </w:r>
      <w:r>
        <w:rPr>
          <w:b/>
          <w:noProof/>
        </w:rPr>
        <w:t>documents de voyage sûrs et fiables</w:t>
      </w:r>
      <w:r>
        <w:rPr>
          <w:noProof/>
        </w:rPr>
        <w:t xml:space="preserve"> contenant des éléments de sécurité qui permettent d’empêcher la falsification et la contrefaçon des documents. Or, malgré les efforts déployés pour harmoniser entre les États membres les listes de documents de voyage de pays tiers qui peuvent être utilisés pour entrer et séjourner dans l’UE, les positions adoptées au niveau national varient considérablement. Pour y remédier, la Commission envisagera, après consultation des États membres, de proposer un nouveau mécanisme pour établir une </w:t>
      </w:r>
      <w:r>
        <w:rPr>
          <w:b/>
          <w:noProof/>
        </w:rPr>
        <w:t>liste des documents de voyage acceptés des pays tiers</w:t>
      </w:r>
      <w:r>
        <w:rPr>
          <w:noProof/>
        </w:rPr>
        <w:t xml:space="preserve"> aux fins de l’entrée dans l’espace Schengen. Une approche commune de l’acceptation de ces documents, tant pour les demandes de visa que pour le franchissement des frontières, améliorerait la cohérence des politiques de l’UE en matière de visas et de frontières et réduirait les incertitudes opérationnelles et l’insécurité juridique. Après s’être concertée avec les États membres, la Commission présentera des options d’action en vue d’unifier les positions des États membres sur cette question.</w:t>
      </w:r>
    </w:p>
    <w:p w14:paraId="68989FCB" w14:textId="0AE9BD96" w:rsidR="003A7959" w:rsidRPr="00D14278" w:rsidRDefault="00D13DB5" w:rsidP="003A7959">
      <w:pPr>
        <w:spacing w:after="120"/>
        <w:rPr>
          <w:noProof/>
        </w:rPr>
      </w:pPr>
      <w:r>
        <w:rPr>
          <w:noProof/>
        </w:rPr>
        <w:t xml:space="preserve">Par ailleurs, dans certains cas, des ressortissants de pays tiers ont utilisé frauduleusement des passeports ou des titres de séjour de l’UE pour avoir accès à l’espace Schengen. Alors que la vérification biométrique est essentielle à la gestion sécurisée des entrées, des limites opérationnelles et techniques empêchent l’accès transfrontière aux données dactyloscopiques stockées dans les documents de voyage de l’UE. Il est dès lors essentiel d’améliorer la capacité des autorités des États membres de </w:t>
      </w:r>
      <w:r>
        <w:rPr>
          <w:b/>
          <w:noProof/>
        </w:rPr>
        <w:t>vérifier les empreintes digitales stockées dans les documents de voyage de l’UE</w:t>
      </w:r>
      <w:r>
        <w:rPr>
          <w:noProof/>
        </w:rPr>
        <w:t xml:space="preserve">. C’est pourquoi la Commission examinera la possibilité de créer un </w:t>
      </w:r>
      <w:r>
        <w:rPr>
          <w:b/>
          <w:noProof/>
        </w:rPr>
        <w:t>point de contact central au niveau de l’UE</w:t>
      </w:r>
      <w:r>
        <w:rPr>
          <w:noProof/>
        </w:rPr>
        <w:t>, par l’intermédiaire duquel les États membres pourraient échanger en toute sécurité des certificats destinés à la vérification des empreintes digitales, pour remplacer les 992 connexions bilatérales actuelles</w:t>
      </w:r>
      <w:r>
        <w:rPr>
          <w:rStyle w:val="FootnoteReference"/>
          <w:noProof/>
          <w:lang w:val="en-IE"/>
        </w:rPr>
        <w:footnoteReference w:id="9"/>
      </w:r>
      <w:r>
        <w:rPr>
          <w:noProof/>
        </w:rPr>
        <w:t xml:space="preserve"> (dans lesquelles chaque État membre et la Commission sont reliés entre eux). Elle déterminera les modifications législatives nécessaires à cet effet. Une interopérabilité accrue de ces connexions contribuerait considérablement à simplifier les vérifications et à réduire les coûts.</w:t>
      </w:r>
    </w:p>
    <w:p w14:paraId="42373072" w14:textId="5610C6DB" w:rsidR="003A7959" w:rsidRPr="00D14278" w:rsidRDefault="003A7959" w:rsidP="003A7959">
      <w:pPr>
        <w:spacing w:after="120"/>
        <w:rPr>
          <w:noProof/>
        </w:rPr>
      </w:pPr>
      <w:r>
        <w:rPr>
          <w:noProof/>
        </w:rPr>
        <w:t xml:space="preserve">Enfin, alors que la fraude documentaire facilite la grande criminalité et la migration illégale, il n’existe pas actuellement de définitions communes ni de sanctions pénales ou administratives minimales au niveau de l’UE pour lutter contre l’utilisation de documents frauduleux. L’absence de définitions, de règles et de sanctions communes pour réprimer la </w:t>
      </w:r>
      <w:r>
        <w:rPr>
          <w:b/>
          <w:noProof/>
        </w:rPr>
        <w:t>fraude documentaire</w:t>
      </w:r>
      <w:r>
        <w:rPr>
          <w:noProof/>
        </w:rPr>
        <w:t xml:space="preserve"> crée une fragmentation et favorise les abus, notamment la «course au visa»</w:t>
      </w:r>
      <w:r>
        <w:rPr>
          <w:rStyle w:val="FootnoteReference"/>
          <w:noProof/>
          <w:lang w:val="en-IE"/>
        </w:rPr>
        <w:footnoteReference w:id="10"/>
      </w:r>
      <w:r>
        <w:rPr>
          <w:noProof/>
        </w:rPr>
        <w:t xml:space="preserve">. La Commission évaluera la situation dans les États membres et présentera des options d’action en vue d’adopter une approche plus cohérente pour les sanctions réprimant l’utilisation de documents frauduleux. </w:t>
      </w:r>
      <w:bookmarkStart w:id="2" w:name="_Hlk221609888"/>
      <w:r>
        <w:rPr>
          <w:noProof/>
        </w:rPr>
        <w:t xml:space="preserve">Parmi ces options pourrait figurer une initiative législative en faveur de </w:t>
      </w:r>
      <w:r>
        <w:rPr>
          <w:b/>
          <w:noProof/>
        </w:rPr>
        <w:t>définitions harmonisées et de sanctions pénales minimales</w:t>
      </w:r>
      <w:r>
        <w:rPr>
          <w:noProof/>
        </w:rPr>
        <w:t xml:space="preserve">, ainsi que de modifications ciblées de l’acquis existant afin de fixer des </w:t>
      </w:r>
      <w:r>
        <w:rPr>
          <w:b/>
          <w:noProof/>
        </w:rPr>
        <w:t>sanctions administratives</w:t>
      </w:r>
      <w:r>
        <w:rPr>
          <w:noProof/>
        </w:rPr>
        <w:t xml:space="preserve"> communes, notamment des interdictions d’entrée, ce qui assurerait une approche plus cohérente des sanctions, augmenterait la dissuasion, faciliterait les enquêtes et les poursuites et permettrait de sanctionner les auteurs même lorsqu’ils résident en dehors du territoire des États membres. </w:t>
      </w:r>
      <w:bookmarkEnd w:id="2"/>
      <w:r>
        <w:rPr>
          <w:noProof/>
        </w:rPr>
        <w:t xml:space="preserve">Ces mesures amélioreraient la surveillance, favoriseraient la coopération opérationnelle et accroîtraient l’intégrité générale des politiques de l’UE en matière de visas, de frontières et de migration. </w:t>
      </w:r>
    </w:p>
    <w:p w14:paraId="5A4A6F5D" w14:textId="3CED8544" w:rsidR="003A7959" w:rsidRPr="00D14278" w:rsidRDefault="003A7959" w:rsidP="00E85DDA">
      <w:pPr>
        <w:pStyle w:val="ListParagraph"/>
        <w:numPr>
          <w:ilvl w:val="0"/>
          <w:numId w:val="3"/>
        </w:numPr>
        <w:shd w:val="clear" w:color="auto" w:fill="FFFFFF" w:themeFill="background1"/>
        <w:spacing w:after="120"/>
        <w:contextualSpacing w:val="0"/>
        <w:rPr>
          <w:rFonts w:eastAsia="Calibri"/>
          <w:b/>
          <w:noProof/>
          <w:szCs w:val="24"/>
        </w:rPr>
      </w:pPr>
      <w:r>
        <w:rPr>
          <w:b/>
          <w:noProof/>
        </w:rPr>
        <w:t>Une approche plus stratégique de l’adaptation locale des règles de délivrance des visas</w:t>
      </w:r>
    </w:p>
    <w:p w14:paraId="749F167A" w14:textId="54765CF3" w:rsidR="003A7959" w:rsidRPr="00D14278" w:rsidRDefault="003A7959" w:rsidP="003A7959">
      <w:pPr>
        <w:keepNext/>
        <w:spacing w:after="120"/>
        <w:rPr>
          <w:rFonts w:eastAsia="Calibri"/>
          <w:noProof/>
          <w:szCs w:val="24"/>
        </w:rPr>
      </w:pPr>
      <w:r>
        <w:rPr>
          <w:noProof/>
        </w:rPr>
        <w:t>Pour la délivrance de visas de court séjour, la coordination entre les États membres a lieu dans le cadre de la coopération locale au titre de Schengen, ainsi que des procédures de consultation préalable ou ex post</w:t>
      </w:r>
      <w:r>
        <w:rPr>
          <w:rStyle w:val="FootnoteReference"/>
          <w:noProof/>
          <w:szCs w:val="24"/>
          <w:lang w:val="en-IE"/>
        </w:rPr>
        <w:footnoteReference w:id="11"/>
      </w:r>
      <w:r>
        <w:rPr>
          <w:noProof/>
        </w:rPr>
        <w:t xml:space="preserve">. La Commission adopte régulièrement des </w:t>
      </w:r>
      <w:r>
        <w:rPr>
          <w:b/>
          <w:noProof/>
        </w:rPr>
        <w:t>actes d’exécution relatifs à l’adaptation locale</w:t>
      </w:r>
      <w:r>
        <w:rPr>
          <w:noProof/>
        </w:rPr>
        <w:t xml:space="preserve"> pour adapter les règles énoncées dans le code des visas, par exemple pour les documents justificatifs ou la délivrance de visas à entrées multiples, rendant ainsi ces règles plus ou moins favorables en fonction des contextes régionaux particuliers. </w:t>
      </w:r>
    </w:p>
    <w:p w14:paraId="162E4268" w14:textId="2CC9732A" w:rsidR="003A7959" w:rsidRPr="00D14278" w:rsidRDefault="591F93AA" w:rsidP="0616EE85">
      <w:pPr>
        <w:keepNext/>
        <w:spacing w:after="120"/>
        <w:rPr>
          <w:rFonts w:eastAsia="Calibri"/>
          <w:noProof/>
        </w:rPr>
      </w:pPr>
      <w:r>
        <w:rPr>
          <w:noProof/>
        </w:rPr>
        <w:t>Si ces adaptations se sont révélées utiles, leur potentiel pour faire progresser les intérêts stratégiques de l’UE grâce à une approche européenne commune devrait être encore accru par la participation de la Commission au pilotage de la préparation de ces décisions, afin d’aider et d’orienter les États membres, de veiller à l’application cohérente de ces adaptations locales entre les pays soumis à l’obligation de visa et de garantir la conformité avec les objectifs géopolitiques plus larges.</w:t>
      </w:r>
    </w:p>
    <w:p w14:paraId="07B63B78" w14:textId="55601283" w:rsidR="003A7959" w:rsidRPr="00D14278" w:rsidRDefault="003A7959" w:rsidP="514A7013">
      <w:pPr>
        <w:keepNext/>
        <w:spacing w:after="120"/>
        <w:rPr>
          <w:rFonts w:eastAsia="Calibri"/>
          <w:noProof/>
        </w:rPr>
      </w:pPr>
      <w:r>
        <w:rPr>
          <w:noProof/>
        </w:rPr>
        <w:t xml:space="preserve">En outre, dans le cadre d’une proposition de révision du code des visas, la Commission examinera s’il y a lieu d’ajouter de </w:t>
      </w:r>
      <w:r>
        <w:rPr>
          <w:b/>
          <w:noProof/>
        </w:rPr>
        <w:t>nouveaux critères</w:t>
      </w:r>
      <w:r>
        <w:rPr>
          <w:noProof/>
        </w:rPr>
        <w:t xml:space="preserve"> pour orienter les adaptations locales. Par exemple, il pourrait s’agir d’une augmentation considérable et incontrôlée des arrivées de ressortissants d’un pays tiers soumis à l’obligation de visa, non compensée par un nombre correspondant de retours, ou le degré de coopération du pays en matière de réadmission, lors de l’évaluation des risques migratoires et pour la sécurité. </w:t>
      </w:r>
    </w:p>
    <w:p w14:paraId="65503DE7" w14:textId="28EF82B7" w:rsidR="4951F452" w:rsidRPr="00D14278" w:rsidRDefault="4951F452" w:rsidP="00E85DDA">
      <w:pPr>
        <w:pStyle w:val="ListParagraph"/>
        <w:numPr>
          <w:ilvl w:val="0"/>
          <w:numId w:val="3"/>
        </w:numPr>
        <w:shd w:val="clear" w:color="auto" w:fill="FFFFFF" w:themeFill="background1"/>
        <w:spacing w:after="120"/>
        <w:contextualSpacing w:val="0"/>
        <w:rPr>
          <w:rFonts w:eastAsia="Calibri"/>
          <w:b/>
          <w:bCs/>
          <w:noProof/>
        </w:rPr>
      </w:pPr>
      <w:r>
        <w:rPr>
          <w:b/>
          <w:noProof/>
        </w:rPr>
        <w:t xml:space="preserve">Une politique des visas qui protège les plus vulnérables </w:t>
      </w:r>
    </w:p>
    <w:p w14:paraId="6A03FC5E" w14:textId="07D64A96" w:rsidR="514A7013" w:rsidRDefault="00140CE6" w:rsidP="514A7013">
      <w:pPr>
        <w:keepNext/>
        <w:spacing w:after="120"/>
        <w:rPr>
          <w:rFonts w:eastAsia="Calibri"/>
          <w:noProof/>
        </w:rPr>
      </w:pPr>
      <w:r>
        <w:rPr>
          <w:noProof/>
        </w:rPr>
        <w:t xml:space="preserve">Tout en renforçant la sécurité de l’UE, la politique commune des visas offre suffisamment de souplesse aux États membres pour traiter au cas par cas les </w:t>
      </w:r>
      <w:r>
        <w:rPr>
          <w:b/>
          <w:noProof/>
        </w:rPr>
        <w:t>demandeurs vulnérables</w:t>
      </w:r>
      <w:r>
        <w:rPr>
          <w:noProof/>
        </w:rPr>
        <w:t xml:space="preserve">, tels que les défenseurs des droits de l’homme, les dissidents, les journalistes indépendants et les membres d’organisations de la société civile. Les États membres peuvent, dans des cas exceptionnels et lorsque cela se justifie, délivrer des visas de court séjour pour des </w:t>
      </w:r>
      <w:r>
        <w:rPr>
          <w:b/>
          <w:noProof/>
        </w:rPr>
        <w:t>motifs humanitaires</w:t>
      </w:r>
      <w:r>
        <w:rPr>
          <w:noProof/>
        </w:rPr>
        <w:t>, même si certaines conditions ne sont pas remplies</w:t>
      </w:r>
      <w:r>
        <w:rPr>
          <w:rStyle w:val="FootnoteReference"/>
          <w:rFonts w:eastAsia="Calibri"/>
          <w:noProof/>
        </w:rPr>
        <w:footnoteReference w:id="12"/>
      </w:r>
      <w:r>
        <w:rPr>
          <w:noProof/>
        </w:rPr>
        <w:t xml:space="preserve">. Afin d’assurer un juste équilibre entre les dérogations dans des cas individuels et l’application harmonisée des règles communes, la Commission a récemment mis à jour le </w:t>
      </w:r>
      <w:r>
        <w:rPr>
          <w:b/>
          <w:noProof/>
        </w:rPr>
        <w:t>manuel du code des visas</w:t>
      </w:r>
      <w:r>
        <w:rPr>
          <w:noProof/>
        </w:rPr>
        <w:t>, en donnant des indications supplémentaires aux États membres sur l’application des dispositions existantes du cadre juridique relatives à la flexibilité dans de telles situations, et elle continuera d’aborder la question avec les États membres. De plus, la numérisation des procédures de visa réduira la charge administrative pour tous les demandeurs, y compris les groupes vulnérables. En outre, les États membres conservent la possibilité de délivrer des visas de long séjour pour des raisons humanitaires.</w:t>
      </w:r>
    </w:p>
    <w:p w14:paraId="31F453D1" w14:textId="0AF5E313" w:rsidR="003D25C9" w:rsidRDefault="003D25C9" w:rsidP="514A7013">
      <w:pPr>
        <w:keepNext/>
        <w:spacing w:after="120"/>
        <w:rPr>
          <w:rFonts w:eastAsia="Calibri"/>
          <w:noProof/>
        </w:rPr>
      </w:pPr>
      <w:r>
        <w:rPr>
          <w:noProof/>
          <w:u w:val="single"/>
          <w:lang w:val="en-GB" w:eastAsia="en-GB"/>
        </w:rPr>
        <mc:AlternateContent>
          <mc:Choice Requires="wps">
            <w:drawing>
              <wp:anchor distT="0" distB="0" distL="114300" distR="114300" simplePos="0" relativeHeight="251658242" behindDoc="0" locked="0" layoutInCell="1" allowOverlap="1" wp14:anchorId="37F177C1" wp14:editId="1BAE71A4">
                <wp:simplePos x="0" y="0"/>
                <wp:positionH relativeFrom="margin">
                  <wp:posOffset>-23429</wp:posOffset>
                </wp:positionH>
                <wp:positionV relativeFrom="paragraph">
                  <wp:posOffset>219092</wp:posOffset>
                </wp:positionV>
                <wp:extent cx="5846618" cy="2826328"/>
                <wp:effectExtent l="0" t="0" r="20955" b="12700"/>
                <wp:wrapNone/>
                <wp:docPr id="1740640066" name="Rectangle 1"/>
                <wp:cNvGraphicFramePr/>
                <a:graphic xmlns:a="http://schemas.openxmlformats.org/drawingml/2006/main">
                  <a:graphicData uri="http://schemas.microsoft.com/office/word/2010/wordprocessingShape">
                    <wps:wsp>
                      <wps:cNvSpPr/>
                      <wps:spPr>
                        <a:xfrm>
                          <a:off x="0" y="0"/>
                          <a:ext cx="5846618" cy="2826328"/>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1.85pt;margin-top:17.25pt;width:460.35pt;height:222.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" w14:anchorId="138ED1C2">
                <w10:wrap anchorx="margin"/>
              </v:rect>
            </w:pict>
          </mc:Fallback>
        </mc:AlternateContent>
      </w:r>
    </w:p>
    <w:p w14:paraId="75141A18" w14:textId="7279623E" w:rsidR="003A7959" w:rsidRPr="00D14278" w:rsidRDefault="003A7959" w:rsidP="003A7959">
      <w:pPr>
        <w:keepNext/>
        <w:spacing w:after="120"/>
        <w:rPr>
          <w:rFonts w:eastAsia="Calibri"/>
          <w:b/>
          <w:bCs/>
          <w:noProof/>
          <w:szCs w:val="24"/>
        </w:rPr>
      </w:pPr>
      <w:r>
        <w:rPr>
          <w:b/>
          <w:noProof/>
          <w:u w:val="single"/>
        </w:rPr>
        <w:t>Prochaines étapes importantes</w:t>
      </w:r>
      <w:r>
        <w:rPr>
          <w:b/>
          <w:noProof/>
        </w:rPr>
        <w:t>:</w:t>
      </w:r>
    </w:p>
    <w:p w14:paraId="1F3A1111" w14:textId="31871A3E"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Pr>
          <w:noProof/>
        </w:rPr>
        <w:t>Élaborer en 2026 un nouveau cadre d’évaluation pour proposer des exemptions de visa.</w:t>
      </w:r>
    </w:p>
    <w:p w14:paraId="11AD86E1" w14:textId="5C179FD5"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Pr>
          <w:noProof/>
        </w:rPr>
        <w:t>Proposer une révision du code des visas en 2026, notamment pour:</w:t>
      </w:r>
    </w:p>
    <w:p w14:paraId="491C2713" w14:textId="3A17D762" w:rsidR="003A7959" w:rsidRPr="00D14278" w:rsidRDefault="000E0999" w:rsidP="00E85DDA">
      <w:pPr>
        <w:pStyle w:val="ListParagraph"/>
        <w:numPr>
          <w:ilvl w:val="1"/>
          <w:numId w:val="7"/>
        </w:numPr>
        <w:shd w:val="clear" w:color="auto" w:fill="FFFFFF" w:themeFill="background1"/>
        <w:spacing w:after="0"/>
        <w:contextualSpacing w:val="0"/>
        <w:rPr>
          <w:rFonts w:eastAsia="Calibri"/>
          <w:noProof/>
          <w:szCs w:val="24"/>
        </w:rPr>
      </w:pPr>
      <w:r>
        <w:rPr>
          <w:noProof/>
        </w:rPr>
        <w:t>rendre le mécanisme de l’article 25 </w:t>
      </w:r>
      <w:r>
        <w:rPr>
          <w:i/>
          <w:iCs/>
          <w:noProof/>
        </w:rPr>
        <w:t>bis</w:t>
      </w:r>
      <w:r>
        <w:rPr>
          <w:noProof/>
        </w:rPr>
        <w:t xml:space="preserve"> plus stratégique et plus souple, en vue de réagir plus efficacement lorsque la coopération en matière de réadmission est insuffisante, en privilégiant la suspension du traitement accéléré des visas et des visas à entrées multiples, ainsi qu’en autorisant la suspension de la délivrance de visas pour certaines catégories de passeports (diplomatiques ou de service, par exemple) ou pour toutes les catégories;</w:t>
      </w:r>
    </w:p>
    <w:p w14:paraId="4791947A" w14:textId="7FF99ABD" w:rsidR="00DA4A28" w:rsidRPr="00D14278" w:rsidRDefault="00391E63" w:rsidP="00E85DDA">
      <w:pPr>
        <w:pStyle w:val="ListParagraph"/>
        <w:numPr>
          <w:ilvl w:val="1"/>
          <w:numId w:val="7"/>
        </w:numPr>
        <w:shd w:val="clear" w:color="auto" w:fill="FFFFFF" w:themeFill="background1"/>
        <w:spacing w:after="0"/>
        <w:contextualSpacing w:val="0"/>
        <w:rPr>
          <w:rFonts w:eastAsia="Calibri"/>
          <w:noProof/>
          <w:szCs w:val="24"/>
        </w:rPr>
      </w:pPr>
      <w:r>
        <w:rPr>
          <w:noProof/>
        </w:rPr>
        <w:t>élaborer des mesures ad hoc au titre du code des visas, lorsque la coopération des pays tiers est insuffisante dans les domaines de la sécurité et de la gestion des frontières, notamment la lutte contre la migration illégale et le trafic d’êtres humains;</w:t>
      </w:r>
    </w:p>
    <w:p w14:paraId="5813ECBA" w14:textId="0648A724" w:rsidR="003A7959" w:rsidRPr="00D14278" w:rsidRDefault="00D17159" w:rsidP="00E85DDA">
      <w:pPr>
        <w:pStyle w:val="ListParagraph"/>
        <w:numPr>
          <w:ilvl w:val="1"/>
          <w:numId w:val="7"/>
        </w:numPr>
        <w:shd w:val="clear" w:color="auto" w:fill="FFFFFF" w:themeFill="background1"/>
        <w:spacing w:after="0"/>
        <w:contextualSpacing w:val="0"/>
        <w:rPr>
          <w:rFonts w:eastAsia="Calibri"/>
          <w:noProof/>
          <w:szCs w:val="24"/>
        </w:rPr>
      </w:pPr>
      <w:r>
        <w:rPr>
          <w:noProof/>
        </w:rPr>
        <w:t>introduire des mesures restrictives ciblées en matière de visas en cas de grave détérioration de la situation politique ou de la sécurité dans un pays tiers;</w:t>
      </w:r>
    </w:p>
    <w:p w14:paraId="0F6D79D5" w14:textId="2C40D5C3" w:rsidR="003A7959" w:rsidRPr="00D14278" w:rsidRDefault="000B7D1E" w:rsidP="00E85DDA">
      <w:pPr>
        <w:pStyle w:val="ListParagraph"/>
        <w:numPr>
          <w:ilvl w:val="1"/>
          <w:numId w:val="7"/>
        </w:numPr>
        <w:shd w:val="clear" w:color="auto" w:fill="FFFFFF" w:themeFill="background1"/>
        <w:spacing w:after="0"/>
        <w:contextualSpacing w:val="0"/>
        <w:rPr>
          <w:rFonts w:eastAsia="Calibri"/>
          <w:noProof/>
          <w:szCs w:val="24"/>
        </w:rPr>
      </w:pPr>
      <w:r>
        <w:rPr>
          <w:noProof/>
        </w:rPr>
        <w:t xml:space="preserve">introduire de nouveaux critères pour l’adaptation locale des règles de délivrance des visas. </w:t>
      </w:r>
    </w:p>
    <w:p w14:paraId="75E7A72F" w14:textId="43B21EA5"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Pr>
          <w:noProof/>
        </w:rPr>
        <w:t>Utiliser pleinement et de manière coordonnée le mécanisme révisé de suspension de l’exemption de visa.</w:t>
      </w:r>
    </w:p>
    <w:tbl>
      <w:tblPr>
        <w:tblW w:w="9089"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9"/>
      </w:tblGrid>
      <w:tr w:rsidR="00A206E9" w14:paraId="491C312F" w14:textId="77777777" w:rsidTr="00A206E9">
        <w:trPr>
          <w:trHeight w:val="2674"/>
        </w:trPr>
        <w:tc>
          <w:tcPr>
            <w:tcW w:w="9089" w:type="dxa"/>
          </w:tcPr>
          <w:p w14:paraId="5A454D51" w14:textId="77777777" w:rsidR="00A206E9" w:rsidRPr="00D14278" w:rsidRDefault="00A206E9" w:rsidP="00A206E9">
            <w:pPr>
              <w:pStyle w:val="ListParagraph"/>
              <w:numPr>
                <w:ilvl w:val="0"/>
                <w:numId w:val="5"/>
              </w:numPr>
              <w:shd w:val="clear" w:color="auto" w:fill="FFFFFF" w:themeFill="background1"/>
              <w:spacing w:after="0"/>
              <w:ind w:left="477"/>
              <w:contextualSpacing w:val="0"/>
              <w:rPr>
                <w:rFonts w:eastAsia="Calibri"/>
                <w:noProof/>
                <w:szCs w:val="24"/>
              </w:rPr>
            </w:pPr>
            <w:r>
              <w:rPr>
                <w:noProof/>
              </w:rPr>
              <w:t>Dégager des synergies avec le SPG et le règlement «Europe dans le monde» proposés dans le nouveau cadre financier pluriannuel, afin d’obtenir une coopération accrue des pays tiers en matière de réadmission.</w:t>
            </w:r>
          </w:p>
          <w:p w14:paraId="2FB3FB5C" w14:textId="77777777" w:rsidR="00A206E9" w:rsidRPr="00D14278" w:rsidRDefault="00A206E9" w:rsidP="00A206E9">
            <w:pPr>
              <w:pStyle w:val="ListParagraph"/>
              <w:numPr>
                <w:ilvl w:val="0"/>
                <w:numId w:val="5"/>
              </w:numPr>
              <w:shd w:val="clear" w:color="auto" w:fill="FFFFFF" w:themeFill="background1"/>
              <w:spacing w:after="0"/>
              <w:ind w:left="477"/>
              <w:contextualSpacing w:val="0"/>
              <w:rPr>
                <w:rFonts w:eastAsia="Calibri"/>
                <w:noProof/>
                <w:szCs w:val="24"/>
              </w:rPr>
            </w:pPr>
            <w:r>
              <w:rPr>
                <w:noProof/>
              </w:rPr>
              <w:t>Envisager de renforcer la sécurité des documents de voyage, notamment en:</w:t>
            </w:r>
          </w:p>
          <w:p w14:paraId="26BED795" w14:textId="77777777" w:rsidR="00A206E9" w:rsidRPr="00D14278" w:rsidRDefault="00A206E9" w:rsidP="00A206E9">
            <w:pPr>
              <w:pStyle w:val="ListParagraph"/>
              <w:numPr>
                <w:ilvl w:val="1"/>
                <w:numId w:val="5"/>
              </w:numPr>
              <w:shd w:val="clear" w:color="auto" w:fill="FFFFFF" w:themeFill="background1"/>
              <w:spacing w:after="0"/>
              <w:ind w:left="1197"/>
              <w:contextualSpacing w:val="0"/>
              <w:rPr>
                <w:rFonts w:eastAsia="Calibri"/>
                <w:noProof/>
                <w:szCs w:val="24"/>
              </w:rPr>
            </w:pPr>
            <w:r>
              <w:rPr>
                <w:noProof/>
              </w:rPr>
              <w:t>établissant une liste uniforme des documents de voyage acceptés des pays tiers;</w:t>
            </w:r>
          </w:p>
          <w:p w14:paraId="02613CD5" w14:textId="77777777" w:rsidR="00A206E9" w:rsidRPr="00D14278" w:rsidRDefault="00A206E9" w:rsidP="00A206E9">
            <w:pPr>
              <w:pStyle w:val="ListParagraph"/>
              <w:numPr>
                <w:ilvl w:val="1"/>
                <w:numId w:val="5"/>
              </w:numPr>
              <w:shd w:val="clear" w:color="auto" w:fill="FFFFFF" w:themeFill="background1"/>
              <w:spacing w:after="0"/>
              <w:ind w:left="1197"/>
              <w:contextualSpacing w:val="0"/>
              <w:rPr>
                <w:rFonts w:eastAsia="Calibri"/>
                <w:noProof/>
                <w:szCs w:val="24"/>
              </w:rPr>
            </w:pPr>
            <w:r>
              <w:rPr>
                <w:noProof/>
              </w:rPr>
              <w:t>créant un point de contact central au niveau de l’UE pour la vérification des empreintes digitales stockées dans les documents de voyage de l’UE;</w:t>
            </w:r>
          </w:p>
          <w:p w14:paraId="43C3C9A9" w14:textId="078EED50" w:rsidR="00A206E9" w:rsidRPr="00A206E9" w:rsidRDefault="00A206E9" w:rsidP="00A206E9">
            <w:pPr>
              <w:pStyle w:val="ListParagraph"/>
              <w:numPr>
                <w:ilvl w:val="0"/>
                <w:numId w:val="5"/>
              </w:numPr>
              <w:shd w:val="clear" w:color="auto" w:fill="FFFFFF" w:themeFill="background1"/>
              <w:spacing w:after="0"/>
              <w:ind w:left="477"/>
              <w:rPr>
                <w:rFonts w:eastAsia="Calibri"/>
                <w:noProof/>
                <w:szCs w:val="24"/>
              </w:rPr>
            </w:pPr>
            <w:r>
              <w:rPr>
                <w:noProof/>
              </w:rPr>
              <w:t>adoptant une approche plus cohérente pour les sanctions réprimant l’utilisation de documents frauduleux.</w:t>
            </w:r>
          </w:p>
        </w:tc>
      </w:tr>
    </w:tbl>
    <w:p w14:paraId="2790B147" w14:textId="42F819A2" w:rsidR="00D117AF" w:rsidRPr="0054581D" w:rsidRDefault="00D117AF">
      <w:pPr>
        <w:spacing w:after="160" w:line="259" w:lineRule="auto"/>
        <w:jc w:val="left"/>
        <w:rPr>
          <w:rFonts w:eastAsiaTheme="minorEastAsia"/>
          <w:b/>
          <w:smallCaps/>
          <w:noProof/>
          <w:szCs w:val="24"/>
          <w:u w:val="single"/>
          <w:lang w:val="fr-BE" w:eastAsia="zh-CN"/>
        </w:rPr>
      </w:pPr>
    </w:p>
    <w:p w14:paraId="6849FC17" w14:textId="1ECFDE52" w:rsidR="00D02CBD" w:rsidRPr="00D14278" w:rsidRDefault="00D02CBD" w:rsidP="00E85DDA">
      <w:pPr>
        <w:pStyle w:val="ListParagraph"/>
        <w:keepNext/>
        <w:numPr>
          <w:ilvl w:val="0"/>
          <w:numId w:val="1"/>
        </w:numPr>
        <w:spacing w:after="120"/>
        <w:ind w:left="426" w:hanging="436"/>
        <w:contextualSpacing w:val="0"/>
        <w:rPr>
          <w:rFonts w:eastAsiaTheme="minorEastAsia"/>
          <w:b/>
          <w:smallCaps/>
          <w:noProof/>
          <w:szCs w:val="24"/>
          <w:u w:val="single"/>
        </w:rPr>
      </w:pPr>
      <w:r>
        <w:rPr>
          <w:b/>
          <w:smallCaps/>
          <w:noProof/>
          <w:u w:val="single"/>
        </w:rPr>
        <w:t>Une politique des visas qui stimule notre économie et notre compétitivité</w:t>
      </w:r>
      <w:r>
        <w:rPr>
          <w:noProof/>
        </w:rPr>
        <w:t xml:space="preserve"> </w:t>
      </w:r>
    </w:p>
    <w:p w14:paraId="65200C4B" w14:textId="15D9121F" w:rsidR="00D02CBD" w:rsidRPr="00D14278" w:rsidRDefault="00D02CBD" w:rsidP="00E85DDA">
      <w:pPr>
        <w:pStyle w:val="ListParagraph"/>
        <w:numPr>
          <w:ilvl w:val="0"/>
          <w:numId w:val="2"/>
        </w:numPr>
        <w:shd w:val="clear" w:color="auto" w:fill="FFFFFF" w:themeFill="background1"/>
        <w:spacing w:after="120"/>
        <w:contextualSpacing w:val="0"/>
        <w:rPr>
          <w:rFonts w:eastAsia="Calibri"/>
          <w:b/>
          <w:bCs/>
          <w:noProof/>
          <w:szCs w:val="24"/>
        </w:rPr>
      </w:pPr>
      <w:r>
        <w:rPr>
          <w:b/>
          <w:noProof/>
        </w:rPr>
        <w:t xml:space="preserve">Faciliter les voyages pour le tourisme et les affaires </w:t>
      </w:r>
    </w:p>
    <w:p w14:paraId="1984922F" w14:textId="5CEF6ED6" w:rsidR="00D02CBD" w:rsidRPr="00D14278" w:rsidRDefault="00735CB5" w:rsidP="00BF478B">
      <w:pPr>
        <w:rPr>
          <w:noProof/>
        </w:rPr>
      </w:pPr>
      <w:r>
        <w:rPr>
          <w:noProof/>
        </w:rPr>
        <w:t xml:space="preserve">L’espace Schengen est la </w:t>
      </w:r>
      <w:r>
        <w:rPr>
          <w:b/>
          <w:noProof/>
        </w:rPr>
        <w:t>destination la plus visitée au monde</w:t>
      </w:r>
      <w:r>
        <w:rPr>
          <w:noProof/>
        </w:rPr>
        <w:t>, 40 % des voyageurs internationaux franchissant ses frontières extérieures</w:t>
      </w:r>
      <w:r>
        <w:rPr>
          <w:rStyle w:val="FootnoteReference"/>
          <w:noProof/>
          <w:lang w:val="en-IE"/>
        </w:rPr>
        <w:footnoteReference w:id="13"/>
      </w:r>
      <w:r>
        <w:rPr>
          <w:noProof/>
        </w:rPr>
        <w:t>. Outre ceux en provenance de pays exemptés de l’obligation de visa, ces voyageurs comprenaient des personnes en possession des plus de 10 millions de visas délivrés l’année dernière par les États membres</w:t>
      </w:r>
      <w:r>
        <w:rPr>
          <w:rStyle w:val="FootnoteReference"/>
          <w:noProof/>
          <w:lang w:val="en-IE"/>
        </w:rPr>
        <w:footnoteReference w:id="14"/>
      </w:r>
      <w:r>
        <w:rPr>
          <w:noProof/>
        </w:rPr>
        <w:t>. Le tourisme représente environ 10 % du PIB de l’UE et environ 23 millions d’emplois dans différents secteurs</w:t>
      </w:r>
      <w:r>
        <w:rPr>
          <w:rStyle w:val="FootnoteReference"/>
          <w:noProof/>
          <w:lang w:val="en-IE"/>
        </w:rPr>
        <w:footnoteReference w:id="15"/>
      </w:r>
      <w:r>
        <w:rPr>
          <w:noProof/>
        </w:rPr>
        <w:t>. Il renforce le prestige de l’UE dans le monde en mettant en avant nos valeurs et notre patrimoine: le tourisme culturel représente 40 % du tourisme dans l’UE et a des retombées économiques importantes dans d’autres secteurs</w:t>
      </w:r>
      <w:r>
        <w:rPr>
          <w:rStyle w:val="FootnoteReference"/>
          <w:noProof/>
          <w:lang w:val="en-IE"/>
        </w:rPr>
        <w:footnoteReference w:id="16"/>
      </w:r>
      <w:r>
        <w:rPr>
          <w:noProof/>
        </w:rPr>
        <w:t>. Les touristes internationaux ont dépensé 515 milliards d’euros dans l’UE en 2024, les voyages d’affaires affichant les dépenses les plus élevées par voyage</w:t>
      </w:r>
      <w:r>
        <w:rPr>
          <w:rStyle w:val="FootnoteReference"/>
          <w:noProof/>
          <w:lang w:val="en-IE"/>
        </w:rPr>
        <w:footnoteReference w:id="17"/>
      </w:r>
      <w:r>
        <w:rPr>
          <w:noProof/>
        </w:rPr>
        <w:t>. Ce secteur génère une source essentielle de revenus pour les économies locales, régionales et nationales.</w:t>
      </w:r>
    </w:p>
    <w:p w14:paraId="0DE8CEFF" w14:textId="6FC16FDF" w:rsidR="00D02CBD" w:rsidRPr="00D14278" w:rsidRDefault="33B90CA4" w:rsidP="0616EE85">
      <w:pPr>
        <w:spacing w:after="120"/>
        <w:rPr>
          <w:rFonts w:eastAsia="Calibri"/>
          <w:noProof/>
        </w:rPr>
      </w:pPr>
      <w:r>
        <w:rPr>
          <w:noProof/>
        </w:rPr>
        <w:t xml:space="preserve">Une politique des visas moderne doit </w:t>
      </w:r>
      <w:r>
        <w:rPr>
          <w:b/>
          <w:noProof/>
        </w:rPr>
        <w:t>faciliter les voyages effectués de façon légitime et les rendre plus prévisibles</w:t>
      </w:r>
      <w:r>
        <w:rPr>
          <w:noProof/>
        </w:rPr>
        <w:t>. Les touristes et les gens d’affaires veulent une expérience de voyage fluide, grâce à des procédures de visa plus rapides, dématérialisées et sûres. En simplifiant l’accès de ces voyageurs, l’UE renforcera sa position de pôle mondial du tourisme et des affaires, sans toutefois compromettre ses normes de sécurité élevées.</w:t>
      </w:r>
    </w:p>
    <w:p w14:paraId="3759CFC6" w14:textId="687BF98E" w:rsidR="00D02CBD" w:rsidRPr="00D14278" w:rsidRDefault="00BC6CA6" w:rsidP="0616EE85">
      <w:pPr>
        <w:spacing w:after="120"/>
        <w:rPr>
          <w:rFonts w:eastAsia="Calibri"/>
          <w:noProof/>
        </w:rPr>
      </w:pPr>
      <w:r>
        <w:rPr>
          <w:noProof/>
        </w:rPr>
        <w:t xml:space="preserve">Au cours des prochaines années, l’UE entreprendra une réforme majeure de ses règles en matière de visas, qui transformera totalement le mode d’introduction et le traitement des demandes ainsi que la délivrance des visas, facilitant ainsi les déplacements des voyageurs qui ont besoin d’un visa pour entrer dans l’Union. Un élément clé de cette réforme sera la </w:t>
      </w:r>
      <w:r>
        <w:rPr>
          <w:b/>
          <w:noProof/>
        </w:rPr>
        <w:t>dématérialisation des procédures de visa</w:t>
      </w:r>
      <w:r>
        <w:rPr>
          <w:noProof/>
        </w:rPr>
        <w:t xml:space="preserve">. Les demandeurs pourront faire toute la procédure de demande de visa en ligne et les vignettes-visas traditionnelles seront remplacées par des </w:t>
      </w:r>
      <w:r>
        <w:rPr>
          <w:b/>
          <w:noProof/>
        </w:rPr>
        <w:t>visas numériques</w:t>
      </w:r>
      <w:r>
        <w:rPr>
          <w:rStyle w:val="FootnoteReference"/>
          <w:rFonts w:eastAsia="Calibri"/>
          <w:noProof/>
        </w:rPr>
        <w:footnoteReference w:id="18"/>
      </w:r>
      <w:r>
        <w:rPr>
          <w:noProof/>
        </w:rPr>
        <w:t xml:space="preserve"> sécurisés. Cette réforme rendra les déplacements vers l’Europe plus sûrs et plus pratiques, tout en dotant les États membres d’outils modernes et harmonisés pour traiter les demandes de manière sûre et efficace. </w:t>
      </w:r>
    </w:p>
    <w:p w14:paraId="0B84AF2E" w14:textId="32084C79" w:rsidR="00D02CBD" w:rsidRPr="00D14278" w:rsidDel="00F67293" w:rsidRDefault="00764909" w:rsidP="009304A9">
      <w:pPr>
        <w:spacing w:after="120"/>
        <w:rPr>
          <w:rFonts w:eastAsia="Calibri"/>
          <w:noProof/>
        </w:rPr>
      </w:pPr>
      <w:r>
        <w:rPr>
          <w:noProof/>
        </w:rPr>
        <w:t xml:space="preserve">Les </w:t>
      </w:r>
      <w:r>
        <w:rPr>
          <w:b/>
          <w:noProof/>
        </w:rPr>
        <w:t>visas à entrées multiples</w:t>
      </w:r>
      <w:r>
        <w:rPr>
          <w:noProof/>
        </w:rPr>
        <w:t xml:space="preserve"> assortis de durées de validité plus longues sont un instrument qui récompense les voyageurs fiables, réduit la charge administrative et stimule l’activité économique</w:t>
      </w:r>
      <w:r>
        <w:rPr>
          <w:rStyle w:val="FootnoteReference"/>
          <w:rFonts w:eastAsia="Calibri"/>
          <w:noProof/>
        </w:rPr>
        <w:footnoteReference w:id="19"/>
      </w:r>
      <w:r>
        <w:rPr>
          <w:noProof/>
        </w:rPr>
        <w:t>. En vue d’un usage plus large de cet instrument, la Commission, en étroite coopération avec les États membres, étudiera les possibilités de délivrer des visas à entrées multiples pour le tourisme et les affaires, d’une durée de validité supérieure à cinq ans, aux demandeurs de bonne foi qui ont un historique des visas positif et qui ne présentent pas de risques en matière de migration ou de sécurité, tout en tenant compte des durées de conservation des données biométriques stockées dans les systèmes informatiques de l’UE pour la gestion des frontières. Lors d’une future révision du code des visas, la Commission envisagera les options possibles, telles qu’une prolongation de la validité des visas à entrées multiples de cinq ans existants après une nouvelle évaluation, leur reconfirmation pour un nombre supplémentaire d’années, ou la création d’une nouvelle catégorie de visas à entrées multiples valables pendant une période plus longue.</w:t>
      </w:r>
    </w:p>
    <w:p w14:paraId="0A5DB97C" w14:textId="5CA99AE5" w:rsidR="00174DCA" w:rsidRPr="00D14278" w:rsidRDefault="001343AA" w:rsidP="009304A9">
      <w:pPr>
        <w:spacing w:after="120"/>
        <w:rPr>
          <w:rFonts w:eastAsia="Calibri"/>
          <w:noProof/>
          <w:szCs w:val="24"/>
        </w:rPr>
      </w:pPr>
      <w:r>
        <w:rPr>
          <w:noProof/>
        </w:rPr>
        <w:t xml:space="preserve">Les demandeurs de visa qui voyagent pour le compte d’entreprises de confiance présentent généralement peu de risques et sont fiables. Or il n’existe pas d’approche commune pour gérer ces voyageurs et leurs entreprises de </w:t>
      </w:r>
      <w:r>
        <w:rPr>
          <w:b/>
          <w:noProof/>
        </w:rPr>
        <w:t>référence</w:t>
      </w:r>
      <w:r>
        <w:rPr>
          <w:noProof/>
        </w:rPr>
        <w:t xml:space="preserve">, chaque État membre ayant son propre régime et ses propres mesures de facilitation pour la délivrance des visas. Certains de ces régimes ciblent des secteurs particuliers, tels que le transport maritime ou le transport routier. </w:t>
      </w:r>
      <w:bookmarkStart w:id="3" w:name="_Hlk221609914"/>
      <w:r>
        <w:rPr>
          <w:noProof/>
        </w:rPr>
        <w:t>Il en résulte une fragmentation pour les entreprises exerçant leur</w:t>
      </w:r>
      <w:r w:rsidR="00753304">
        <w:rPr>
          <w:noProof/>
        </w:rPr>
        <w:t>s</w:t>
      </w:r>
      <w:r>
        <w:rPr>
          <w:noProof/>
        </w:rPr>
        <w:t xml:space="preserve"> activités dans toute l’Union</w:t>
      </w:r>
      <w:bookmarkEnd w:id="3"/>
      <w:r>
        <w:rPr>
          <w:noProof/>
        </w:rPr>
        <w:t xml:space="preserve">. La Commission consultera les États membres pour mettre en place une éventuelle </w:t>
      </w:r>
      <w:r>
        <w:rPr>
          <w:b/>
          <w:noProof/>
        </w:rPr>
        <w:t>liste commune d’entreprises vérifiées</w:t>
      </w:r>
      <w:r>
        <w:rPr>
          <w:noProof/>
        </w:rPr>
        <w:t xml:space="preserve">, y compris des jeunes pousses et des entreprises en expansion, dont les salariés bénéficieraient d’un traitement accéléré, pour assouplir les procédures pour les voyageurs d’affaires de confiance et pour créer des avantages économiques en faveur de l’ensemble du marché unique de l’UE. </w:t>
      </w:r>
    </w:p>
    <w:p w14:paraId="7C413FCA" w14:textId="71F3B835" w:rsidR="00D02CBD" w:rsidRPr="00D14278" w:rsidRDefault="00764909" w:rsidP="009304A9">
      <w:pPr>
        <w:spacing w:after="120"/>
        <w:rPr>
          <w:rFonts w:eastAsia="Calibri"/>
          <w:noProof/>
          <w:szCs w:val="24"/>
        </w:rPr>
      </w:pPr>
      <w:r>
        <w:rPr>
          <w:noProof/>
        </w:rPr>
        <w:t xml:space="preserve">Pour les voyageurs qui n’ont pas besoin d’un visa pour entrer dans l’Union, l’UE lancera en 2026 le </w:t>
      </w:r>
      <w:r>
        <w:rPr>
          <w:b/>
          <w:noProof/>
        </w:rPr>
        <w:t>système européen d’information et d’autorisation concernant les voyages</w:t>
      </w:r>
      <w:r>
        <w:rPr>
          <w:noProof/>
        </w:rPr>
        <w:t xml:space="preserve"> (ETIAS). En obligeant les voyageurs à communiquer leurs informations personnelles et de voyage au moyen d’une demande en ligne effectuée avant le départ, l’ETIAS rendra les vérifications aux frontières plus rapides et plus efficaces, tout en permettant aux autorités de procéder à un contrôle de sécurité renforcé avant que les voyageurs n’arrivent aux frontières de l’Europe. L’Agence européenne de garde-frontières et de garde-côtes (Frontex) mettra en place un </w:t>
      </w:r>
      <w:r>
        <w:rPr>
          <w:b/>
          <w:noProof/>
        </w:rPr>
        <w:t>centre d’assistance ETIAS 24/7</w:t>
      </w:r>
      <w:r>
        <w:rPr>
          <w:noProof/>
        </w:rPr>
        <w:t xml:space="preserve"> pour les voyageurs (par exemple, pour les aider à remplir leur formulaire de demande) et les transporteurs (par exemple, pour les aider à résoudre des problèmes techniques)</w:t>
      </w:r>
      <w:r>
        <w:rPr>
          <w:rStyle w:val="FootnoteReference"/>
          <w:rFonts w:eastAsia="Calibri"/>
          <w:noProof/>
        </w:rPr>
        <w:footnoteReference w:id="20"/>
      </w:r>
      <w:r>
        <w:rPr>
          <w:noProof/>
        </w:rPr>
        <w:t xml:space="preserve">. </w:t>
      </w:r>
    </w:p>
    <w:p w14:paraId="6E391E8B" w14:textId="7AC85EDA" w:rsidR="00D02CBD" w:rsidRPr="00D14278" w:rsidRDefault="00D02CBD" w:rsidP="00E85DDA">
      <w:pPr>
        <w:pStyle w:val="ListParagraph"/>
        <w:numPr>
          <w:ilvl w:val="0"/>
          <w:numId w:val="2"/>
        </w:numPr>
        <w:shd w:val="clear" w:color="auto" w:fill="FFFFFF" w:themeFill="background1"/>
        <w:spacing w:after="120"/>
        <w:contextualSpacing w:val="0"/>
        <w:rPr>
          <w:rFonts w:eastAsia="Calibri"/>
          <w:b/>
          <w:noProof/>
          <w:szCs w:val="24"/>
        </w:rPr>
      </w:pPr>
      <w:r>
        <w:rPr>
          <w:b/>
          <w:noProof/>
        </w:rPr>
        <w:t>Attirer les talents pour favoriser l’innovation et la compétitivité</w:t>
      </w:r>
    </w:p>
    <w:p w14:paraId="5E562137" w14:textId="77777777" w:rsidR="00E83853" w:rsidRDefault="00E83853" w:rsidP="009304A9">
      <w:pPr>
        <w:keepNext/>
        <w:spacing w:after="120"/>
        <w:rPr>
          <w:noProof/>
          <w:szCs w:val="24"/>
        </w:rPr>
      </w:pPr>
      <w:r>
        <w:rPr>
          <w:noProof/>
        </w:rPr>
        <w:t xml:space="preserve">Dans le monde de plus en plus compétitif dans lequel nous vivons aujourd’hui, la politique de l’UE en matière de visas devrait appuyer le </w:t>
      </w:r>
      <w:r>
        <w:rPr>
          <w:b/>
          <w:noProof/>
        </w:rPr>
        <w:t>programme de compétitivité de l’UE</w:t>
      </w:r>
      <w:r>
        <w:rPr>
          <w:noProof/>
        </w:rPr>
        <w:t xml:space="preserve">, grâce à un cadre plus souple destiné à attirer les talents du monde entier, à favoriser le transfert de connaissances et la collaboration internationale et à apporter des avantages évidents aux PME, aux jeunes pousses et aux grandes entreprises à la recherche d’une main-d’œuvre diversifiée, hautement qualifiée et compétente, dans les secteurs les plus utiles à la double transition. </w:t>
      </w:r>
    </w:p>
    <w:p w14:paraId="2055A592" w14:textId="4E98FE07" w:rsidR="00D02CBD" w:rsidRPr="00D14278" w:rsidRDefault="00D02CBD" w:rsidP="009304A9">
      <w:pPr>
        <w:keepNext/>
        <w:spacing w:after="120"/>
        <w:rPr>
          <w:noProof/>
          <w:szCs w:val="24"/>
        </w:rPr>
      </w:pPr>
      <w:r>
        <w:rPr>
          <w:noProof/>
        </w:rPr>
        <w:t>Les étudiants et les chercheurs internationaux contribuent à l’économie européenne en comblant les déficits de compétences, en stimulant la recherche et l’innovation et en contribuant à former une main-d’œuvre plus qualifiée grâce à leur emploi ultérieur ou à leur esprit d’entreprise. Les travailleurs et entrepreneurs hautement qualifiés et compétents, notamment dans le domaine numérique, apportent des idées, stimulent les investissements et aident les entreprises à se développer. Les universitaires, les artistes et les professionnels de la culture jouent eux aussi pour accroître la compétitivité de l’UE au niveau mondial, en favorisant la collaboration internationale.</w:t>
      </w:r>
    </w:p>
    <w:p w14:paraId="7E32A2EB" w14:textId="5F519CA5" w:rsidR="00E83853" w:rsidRPr="00D14278" w:rsidRDefault="00D02CBD" w:rsidP="00E83853">
      <w:pPr>
        <w:pStyle w:val="paragraph"/>
        <w:spacing w:before="0" w:beforeAutospacing="0" w:after="120" w:afterAutospacing="0"/>
        <w:jc w:val="both"/>
        <w:textAlignment w:val="baseline"/>
        <w:rPr>
          <w:noProof/>
        </w:rPr>
      </w:pPr>
      <w:r>
        <w:rPr>
          <w:rStyle w:val="normaltextrun"/>
          <w:noProof/>
        </w:rPr>
        <w:t xml:space="preserve">Pour demeurer un leader mondial de l’innovation, l’UE doit devenir une </w:t>
      </w:r>
      <w:r>
        <w:rPr>
          <w:rStyle w:val="normaltextrun"/>
          <w:b/>
          <w:noProof/>
        </w:rPr>
        <w:t>destination privilégiée par les personnes les plus qualifiées et les plus créatives du monde</w:t>
      </w:r>
      <w:r>
        <w:rPr>
          <w:rStyle w:val="normaltextrun"/>
          <w:noProof/>
        </w:rPr>
        <w:t>.</w:t>
      </w:r>
      <w:r>
        <w:rPr>
          <w:rStyle w:val="normaltextrun"/>
          <w:noProof/>
          <w:color w:val="000000"/>
        </w:rPr>
        <w:t xml:space="preserve"> </w:t>
      </w:r>
      <w:r>
        <w:rPr>
          <w:rStyle w:val="normaltextrun"/>
          <w:noProof/>
        </w:rPr>
        <w:t>L’union des compétences</w:t>
      </w:r>
      <w:r>
        <w:rPr>
          <w:rStyle w:val="FootnoteReference"/>
          <w:rFonts w:eastAsiaTheme="majorEastAsia"/>
          <w:bCs/>
          <w:noProof/>
          <w:lang w:val="en-GB"/>
        </w:rPr>
        <w:footnoteReference w:id="21"/>
      </w:r>
      <w:r>
        <w:rPr>
          <w:rStyle w:val="normaltextrun"/>
          <w:noProof/>
        </w:rPr>
        <w:t>, la stratégie en faveur des start-up et des scale-up</w:t>
      </w:r>
      <w:r>
        <w:rPr>
          <w:rStyle w:val="FootnoteReference"/>
          <w:rFonts w:eastAsiaTheme="majorEastAsia"/>
          <w:bCs/>
          <w:noProof/>
          <w:lang w:val="en-GB"/>
        </w:rPr>
        <w:footnoteReference w:id="22"/>
      </w:r>
      <w:r>
        <w:rPr>
          <w:rStyle w:val="normaltextrun"/>
          <w:noProof/>
        </w:rPr>
        <w:t>, le plan d’action pour un continent de l’IA</w:t>
      </w:r>
      <w:r>
        <w:rPr>
          <w:rStyle w:val="FootnoteReference"/>
          <w:rFonts w:eastAsiaTheme="majorEastAsia"/>
          <w:bCs/>
          <w:noProof/>
          <w:lang w:val="en-GB"/>
        </w:rPr>
        <w:footnoteReference w:id="23"/>
      </w:r>
      <w:r>
        <w:rPr>
          <w:rStyle w:val="normaltextrun"/>
          <w:noProof/>
        </w:rPr>
        <w:t xml:space="preserve"> et l’initiative «Choisir l’Europe»</w:t>
      </w:r>
      <w:r>
        <w:rPr>
          <w:rStyle w:val="FootnoteReference"/>
          <w:rFonts w:eastAsiaTheme="majorEastAsia"/>
          <w:bCs/>
          <w:noProof/>
          <w:lang w:val="en-GB"/>
        </w:rPr>
        <w:footnoteReference w:id="24"/>
      </w:r>
      <w:r>
        <w:rPr>
          <w:rStyle w:val="normaltextrun"/>
          <w:noProof/>
        </w:rPr>
        <w:t xml:space="preserve"> soulignent tous la nécessité de faciliter l’arrivée des étudiants internationaux, des chercheurs, des travailleurs hautement qualifiés et compétents, des créateurs de start-up et des entrepreneurs innovants.</w:t>
      </w:r>
      <w:r>
        <w:rPr>
          <w:noProof/>
        </w:rPr>
        <w:t xml:space="preserve"> Des initiatives phares telles qu’Erasmus Mundus, les alliances «universités européennes», le futur diplôme/label européen commun, la prochaine stratégie pour l’enseignement et la formation professionnels ainsi que le pacte pour la Méditerranée</w:t>
      </w:r>
      <w:r>
        <w:rPr>
          <w:rStyle w:val="FootnoteReference"/>
          <w:bCs/>
          <w:noProof/>
        </w:rPr>
        <w:footnoteReference w:id="25"/>
      </w:r>
      <w:r>
        <w:rPr>
          <w:noProof/>
        </w:rPr>
        <w:t xml:space="preserve"> visent eux aussi à permettre d’attirer les talents internationaux et à accroître l’importance de la mobilité des talents pour créer des partenariats globaux. Le 28</w:t>
      </w:r>
      <w:r>
        <w:rPr>
          <w:noProof/>
          <w:vertAlign w:val="superscript"/>
        </w:rPr>
        <w:t>e</w:t>
      </w:r>
      <w:r>
        <w:rPr>
          <w:noProof/>
        </w:rPr>
        <w:t> régime en gestation permettra aux sociétés de s’enregistrer et d’exercer leurs activités sans discontinuité dans tous les États membres, ce qui aidera les entreprises de l’UE à se développer et attirera des investissements du monde entier.</w:t>
      </w:r>
    </w:p>
    <w:p w14:paraId="10BD9B3F" w14:textId="0F8FEC2C" w:rsidR="00D02CBD" w:rsidRPr="00D14278" w:rsidRDefault="00D02CBD" w:rsidP="009304A9">
      <w:pPr>
        <w:pStyle w:val="paragraph"/>
        <w:spacing w:before="0" w:beforeAutospacing="0" w:after="120" w:afterAutospacing="0"/>
        <w:jc w:val="both"/>
        <w:textAlignment w:val="baseline"/>
        <w:rPr>
          <w:rStyle w:val="eop"/>
          <w:rFonts w:eastAsiaTheme="majorEastAsia"/>
          <w:noProof/>
        </w:rPr>
      </w:pPr>
      <w:r>
        <w:rPr>
          <w:noProof/>
        </w:rPr>
        <w:t>Pourtant, aujourd’hui, la lenteur et la multiplicité des procédures de demande de visa de long séjour découragent les personnes dont l’Europe a le plus besoin de venir dans l’UE.</w:t>
      </w:r>
      <w:r>
        <w:rPr>
          <w:rStyle w:val="normaltextrun"/>
          <w:noProof/>
        </w:rPr>
        <w:t xml:space="preserve"> </w:t>
      </w:r>
      <w:r>
        <w:rPr>
          <w:rStyle w:val="eop"/>
          <w:noProof/>
        </w:rPr>
        <w:t xml:space="preserve"> </w:t>
      </w:r>
    </w:p>
    <w:p w14:paraId="54F9851F" w14:textId="1F641194" w:rsidR="00D02CBD" w:rsidRPr="00D14278" w:rsidRDefault="00D02CBD" w:rsidP="009304A9">
      <w:pPr>
        <w:keepNext/>
        <w:spacing w:after="120"/>
        <w:rPr>
          <w:noProof/>
          <w:szCs w:val="24"/>
        </w:rPr>
      </w:pPr>
      <w:r>
        <w:rPr>
          <w:noProof/>
        </w:rPr>
        <w:t>L’Union dispose d’un cadre pour attirer des étudiants et des chercheurs internationaux, ainsi que des travailleurs hautement qualifiés et qualifiés, à savoir la directive relative aux étudiants et aux chercheurs</w:t>
      </w:r>
      <w:r>
        <w:rPr>
          <w:rStyle w:val="FootnoteReference"/>
          <w:noProof/>
          <w:lang w:val="en-IE"/>
        </w:rPr>
        <w:footnoteReference w:id="26"/>
      </w:r>
      <w:r>
        <w:rPr>
          <w:noProof/>
        </w:rPr>
        <w:t xml:space="preserve"> et la directive «carte bleue européenne»</w:t>
      </w:r>
      <w:r>
        <w:rPr>
          <w:rStyle w:val="FootnoteReference"/>
          <w:noProof/>
          <w:lang w:val="en-IE"/>
        </w:rPr>
        <w:footnoteReference w:id="27"/>
      </w:r>
      <w:r>
        <w:rPr>
          <w:noProof/>
        </w:rPr>
        <w:t xml:space="preserve">. Or l’application lacunaire et inefficace de ce cadre rend l’Union moins attrayante pour ces catégories de personnes. Les demandeurs, les universités européennes et les employeurs se plaignent souvent des retards de traitement des demandes de visa de long séjour par les consulats, des difficultés pour prendre rendez-vous, du manque d’informations claires et accessibles au sujet des documents requis, ainsi que des procédures de visa compliquées et incohérentes. </w:t>
      </w:r>
    </w:p>
    <w:p w14:paraId="0374C9D0" w14:textId="58FFADDE" w:rsidR="00D02CBD" w:rsidRPr="00D14278" w:rsidRDefault="00825AAE" w:rsidP="009304A9">
      <w:pPr>
        <w:pStyle w:val="paragraph"/>
        <w:spacing w:before="0" w:beforeAutospacing="0" w:after="120" w:afterAutospacing="0"/>
        <w:jc w:val="both"/>
        <w:textAlignment w:val="baseline"/>
        <w:rPr>
          <w:noProof/>
        </w:rPr>
      </w:pPr>
      <w:r>
        <w:rPr>
          <w:rStyle w:val="normaltextrun"/>
          <w:noProof/>
        </w:rPr>
        <w:t>Il faut redoubler d’efforts pour que l’actuel</w:t>
      </w:r>
      <w:r>
        <w:rPr>
          <w:noProof/>
        </w:rPr>
        <w:t xml:space="preserve"> </w:t>
      </w:r>
      <w:r>
        <w:rPr>
          <w:b/>
          <w:noProof/>
        </w:rPr>
        <w:t>cadre pour attirer les talents</w:t>
      </w:r>
      <w:r>
        <w:rPr>
          <w:noProof/>
        </w:rPr>
        <w:t xml:space="preserve"> fonctionne mieux. </w:t>
      </w:r>
      <w:r>
        <w:rPr>
          <w:rStyle w:val="normaltextrun"/>
          <w:noProof/>
        </w:rPr>
        <w:t>À cette fin</w:t>
      </w:r>
      <w:r>
        <w:rPr>
          <w:noProof/>
        </w:rPr>
        <w:t>, la Commission présente, parallèlement à la présente stratégie, une recommandation intitulée «</w:t>
      </w:r>
      <w:r>
        <w:rPr>
          <w:b/>
          <w:noProof/>
        </w:rPr>
        <w:t>Attirer les talents pour favoriser l’innovation</w:t>
      </w:r>
      <w:r>
        <w:rPr>
          <w:noProof/>
        </w:rPr>
        <w:t>» qui</w:t>
      </w:r>
      <w:bookmarkStart w:id="4" w:name="_Hlk219566639"/>
      <w:r>
        <w:rPr>
          <w:noProof/>
        </w:rPr>
        <w:t xml:space="preserve"> </w:t>
      </w:r>
      <w:bookmarkEnd w:id="4"/>
      <w:r>
        <w:rPr>
          <w:noProof/>
        </w:rPr>
        <w:t>encourage les États membres à simplifier et à accélérer les procédures, à mettre en commun et coordonner les ressources consulaires, à prévoir des droits et des garanties cohérents, et à améliorer l’accès à l’information et la coordination entre les autorités nationales, les établissements d’enseignement et les écosystèmes d’innovation. Des mesures complémentaires pour les chercheurs de haut niveau seront envisagées dans le futur acte législatif sur l’Espace européen de la recherche (EER), par exemple pour faciliter la mobilité des chercheurs vers l’Europe dans le cadre de programmes financés par l’UE.</w:t>
      </w:r>
    </w:p>
    <w:p w14:paraId="326ED1FB" w14:textId="64A737B1" w:rsidR="00D02CBD" w:rsidRPr="00D14278" w:rsidRDefault="00D02CBD" w:rsidP="00BF478B">
      <w:pPr>
        <w:shd w:val="clear" w:color="auto" w:fill="FFFFFF" w:themeFill="background1"/>
        <w:rPr>
          <w:noProof/>
        </w:rPr>
      </w:pPr>
      <w:r>
        <w:rPr>
          <w:noProof/>
        </w:rPr>
        <w:t xml:space="preserve">Des </w:t>
      </w:r>
      <w:r>
        <w:rPr>
          <w:rStyle w:val="normaltextrun"/>
          <w:b/>
          <w:noProof/>
          <w:color w:val="000000" w:themeColor="text1"/>
        </w:rPr>
        <w:t>financements de l’UE</w:t>
      </w:r>
      <w:r>
        <w:rPr>
          <w:rStyle w:val="normaltextrun"/>
          <w:noProof/>
          <w:color w:val="000000" w:themeColor="text1"/>
        </w:rPr>
        <w:t xml:space="preserve"> s’ajouteront</w:t>
      </w:r>
      <w:r>
        <w:rPr>
          <w:rStyle w:val="normaltextrun"/>
          <w:b/>
          <w:noProof/>
          <w:color w:val="000000" w:themeColor="text1"/>
        </w:rPr>
        <w:t xml:space="preserve"> </w:t>
      </w:r>
      <w:r>
        <w:rPr>
          <w:rStyle w:val="normaltextrun"/>
          <w:noProof/>
          <w:color w:val="000000" w:themeColor="text1"/>
        </w:rPr>
        <w:t>à ces efforts en aidant les consulats des États membres à traiter les demandes de ressortissants de pays tiers possédant des compétences spécialisées et un fort potentiel en matière d’innovation et de recherche, en particulier les participants aux programmes de l’UE tels qu’Erasmus+ et les actions Marie</w:t>
      </w:r>
      <w:r>
        <w:rPr>
          <w:noProof/>
        </w:rPr>
        <w:t xml:space="preserve"> </w:t>
      </w:r>
      <w:r>
        <w:rPr>
          <w:rStyle w:val="normaltextrun"/>
          <w:noProof/>
          <w:color w:val="000000" w:themeColor="text1"/>
        </w:rPr>
        <w:t xml:space="preserve">Skłodowska-Curie, de même qu’une priorité accordée aux pays du </w:t>
      </w:r>
      <w:r>
        <w:rPr>
          <w:rStyle w:val="normaltextrun"/>
          <w:b/>
          <w:noProof/>
          <w:color w:val="000000" w:themeColor="text1"/>
        </w:rPr>
        <w:t>Partenariat pour les talents</w:t>
      </w:r>
      <w:r>
        <w:rPr>
          <w:rStyle w:val="FootnoteReference"/>
          <w:rFonts w:eastAsiaTheme="majorEastAsia"/>
          <w:noProof/>
          <w:color w:val="000000" w:themeColor="text1"/>
        </w:rPr>
        <w:footnoteReference w:id="28"/>
      </w:r>
      <w:r>
        <w:rPr>
          <w:rStyle w:val="normaltextrun"/>
          <w:noProof/>
          <w:color w:val="000000" w:themeColor="text1"/>
        </w:rPr>
        <w:t xml:space="preserve">. </w:t>
      </w:r>
      <w:r>
        <w:rPr>
          <w:noProof/>
        </w:rPr>
        <w:t xml:space="preserve">Le premier projet pilote </w:t>
      </w:r>
      <w:r>
        <w:rPr>
          <w:b/>
          <w:noProof/>
        </w:rPr>
        <w:t>European Legal Gateway Offic</w:t>
      </w:r>
      <w:r>
        <w:rPr>
          <w:noProof/>
        </w:rPr>
        <w:t>e sera lancé en Inde, en commençant par le secteur des TIC.</w:t>
      </w:r>
      <w:r>
        <w:rPr>
          <w:rStyle w:val="normaltextrun"/>
          <w:noProof/>
          <w:color w:val="000000" w:themeColor="text1"/>
        </w:rPr>
        <w:t xml:space="preserve"> Sur la base des enseignements tirés de ce projet pilote, la Commission s’emploiera à étendre le European Legal Gateway Office à d’autres secteurs et à d’autres pays partenaires, tels que ceux du Partenariat pour les talents, notamment dans le but d’aider les ressortissants de pays tiers et les employeurs à résoudre les problèmes liés à la procédure de visa.</w:t>
      </w:r>
      <w:r>
        <w:rPr>
          <w:rStyle w:val="eop"/>
          <w:noProof/>
          <w:color w:val="000000" w:themeColor="text1"/>
        </w:rPr>
        <w:t xml:space="preserve"> </w:t>
      </w:r>
      <w:r>
        <w:rPr>
          <w:noProof/>
        </w:rPr>
        <w:t xml:space="preserve">Une fois opérationnel, le </w:t>
      </w:r>
      <w:r>
        <w:rPr>
          <w:b/>
          <w:noProof/>
        </w:rPr>
        <w:t>réservoir européen de talents</w:t>
      </w:r>
      <w:r>
        <w:rPr>
          <w:rStyle w:val="FootnoteReference"/>
          <w:noProof/>
        </w:rPr>
        <w:footnoteReference w:id="29"/>
      </w:r>
      <w:r>
        <w:rPr>
          <w:noProof/>
        </w:rPr>
        <w:t xml:space="preserve"> </w:t>
      </w:r>
      <w:bookmarkStart w:id="5" w:name="_Hlk219568771"/>
      <w:r>
        <w:rPr>
          <w:noProof/>
        </w:rPr>
        <w:t>facilitera</w:t>
      </w:r>
      <w:bookmarkEnd w:id="5"/>
      <w:r>
        <w:rPr>
          <w:noProof/>
        </w:rPr>
        <w:t xml:space="preserve"> la mise en correspondance des offres et des demandes d’emploi pour le recrutement de talents à partir de pays tiers à tous les niveaux de compétences, notamment en fournissant des informations sur les règles de recrutement et de migration, ainsi que sur les procédures de reconnaissance</w:t>
      </w:r>
      <w:r>
        <w:rPr>
          <w:rStyle w:val="FootnoteReference"/>
          <w:noProof/>
        </w:rPr>
        <w:footnoteReference w:id="30"/>
      </w:r>
      <w:r>
        <w:rPr>
          <w:noProof/>
        </w:rPr>
        <w:t>. La réalisation de ces initiatives devra réduire les effets négatifs au minimum et maximiser les effets positifs pour les pays partenaires, afin qu’ils passent de la fuite des cerveaux à l’afflux de cerveaux. En outre, il importera de prévoir des garanties pour assurer la sécurité de la recherche et atténuer les risques liés à la coopération internationale dans la recherche et l’innovation</w:t>
      </w:r>
      <w:r>
        <w:rPr>
          <w:rStyle w:val="FootnoteReference"/>
          <w:noProof/>
          <w:lang w:val="en-IE"/>
        </w:rPr>
        <w:footnoteReference w:id="31"/>
      </w:r>
      <w:r>
        <w:rPr>
          <w:noProof/>
        </w:rPr>
        <w:t>.</w:t>
      </w:r>
    </w:p>
    <w:p w14:paraId="607A6478" w14:textId="6A9DA1FE" w:rsidR="00D02CBD" w:rsidRPr="00D14278" w:rsidRDefault="00D02CBD" w:rsidP="3FAC0A81">
      <w:pPr>
        <w:pStyle w:val="paragraph"/>
        <w:spacing w:before="0" w:beforeAutospacing="0" w:after="120" w:afterAutospacing="0"/>
        <w:jc w:val="both"/>
        <w:textAlignment w:val="baseline"/>
        <w:rPr>
          <w:rStyle w:val="normaltextrun"/>
          <w:rFonts w:eastAsiaTheme="majorEastAsia"/>
          <w:noProof/>
        </w:rPr>
      </w:pPr>
      <w:r>
        <w:rPr>
          <w:rStyle w:val="normaltextrun"/>
          <w:noProof/>
        </w:rPr>
        <w:t xml:space="preserve">En parallèle, et en faisant un bilan de la mise en œuvre de la recommandation, la Commission évaluera en 2026 si des </w:t>
      </w:r>
      <w:r>
        <w:rPr>
          <w:rStyle w:val="normaltextrun"/>
          <w:b/>
          <w:noProof/>
        </w:rPr>
        <w:t>modifications législatives ciblées</w:t>
      </w:r>
      <w:r>
        <w:rPr>
          <w:rStyle w:val="normaltextrun"/>
          <w:noProof/>
        </w:rPr>
        <w:t xml:space="preserve"> sont nécessaires pour simplifier les procédures concernant le visa de long séjour et pour les adapter aux ambitions de l’UE en matière de compétitivité et d’innovation, en particulier pour les personnes travaillant, faisant de la recherche ou étudiant dans des domaines liés aux STIM (sciences, technologies, ingénierie, mathématiques). La Commission étudiera notamment la faisabilité d’une série «omnibus» de modifications ciblées des règles existantes de l’UE relatives aux étudiants, aux chercheurs et aux travailleurs hautement qualifiés et compétents, afin de les adapter aux écosystèmes d’innovation et de recherche, ainsi que d’un cadre juridique de l’UE spécialisé pour les créateurs de start-up et scale-up et les entrepreneurs innovants.</w:t>
      </w:r>
    </w:p>
    <w:p w14:paraId="526D4B13" w14:textId="04A6B003" w:rsidR="00D02CBD" w:rsidRPr="00D14278" w:rsidRDefault="00D02CBD" w:rsidP="009304A9">
      <w:pPr>
        <w:shd w:val="clear" w:color="auto" w:fill="FFFFFF" w:themeFill="background1"/>
        <w:spacing w:after="120"/>
        <w:rPr>
          <w:rFonts w:eastAsiaTheme="majorEastAsia"/>
          <w:noProof/>
          <w:szCs w:val="24"/>
        </w:rPr>
      </w:pPr>
      <w:r>
        <w:rPr>
          <w:noProof/>
        </w:rPr>
        <w:t xml:space="preserve">Ensemble, ces mesures contribueront à faire de l’Europe un véritable pôle d’attraction pour les talents – un continent qui accueille à bras ouverts la connaissance, la créativité et l’esprit d’entreprise, qui sont les moteurs de sa prospérité future. </w:t>
      </w:r>
    </w:p>
    <w:p w14:paraId="45E5FEEE" w14:textId="5BE18CAE" w:rsidR="00D02CBD" w:rsidRPr="00D14278" w:rsidRDefault="00D02CBD" w:rsidP="00E85DDA">
      <w:pPr>
        <w:pStyle w:val="ListParagraph"/>
        <w:numPr>
          <w:ilvl w:val="0"/>
          <w:numId w:val="2"/>
        </w:numPr>
        <w:shd w:val="clear" w:color="auto" w:fill="FFFFFF" w:themeFill="background1"/>
        <w:spacing w:after="120"/>
        <w:contextualSpacing w:val="0"/>
        <w:rPr>
          <w:rFonts w:eastAsia="Calibri"/>
          <w:b/>
          <w:bCs/>
          <w:noProof/>
          <w:szCs w:val="24"/>
        </w:rPr>
      </w:pPr>
      <w:r>
        <w:rPr>
          <w:b/>
          <w:noProof/>
        </w:rPr>
        <w:t>Réduire les obstacles</w:t>
      </w:r>
    </w:p>
    <w:p w14:paraId="2F91851B" w14:textId="2B4D038A" w:rsidR="00936F96" w:rsidRPr="00D14278" w:rsidRDefault="00D02CBD" w:rsidP="009304A9">
      <w:pPr>
        <w:shd w:val="clear" w:color="auto" w:fill="FFFFFF" w:themeFill="background1"/>
        <w:spacing w:after="120"/>
        <w:rPr>
          <w:rFonts w:eastAsia="Calibri"/>
          <w:noProof/>
        </w:rPr>
      </w:pPr>
      <w:bookmarkStart w:id="7" w:name="_Hlk219568834"/>
      <w:r>
        <w:rPr>
          <w:noProof/>
        </w:rPr>
        <w:t xml:space="preserve">À l’heure actuelle, le droit de l’Union autorise les voyageurs exemptés de visa et ceux soumis à cette obligation à séjourner dans l’espace Schengen pendant une durée maximale de 90 jours sur une période de 180 jours. Tout séjour dépassant 90 jours impose l’obtention d’un visa de long séjour ou d’un titre de séjour délivré par un État membre; Or il se peut que certains professionnels de pays tiers qui dépendent fortement de la mobilité entre les États membres — tels que les artistes en tournée, les athlètes participant à des manifestations sportives, les experts travaillant sur des projets transfrontières, la main-d’œuvre travaillant dans les industries et les services de l’UE ou les conducteurs de camions assurant des services aux entreprises de l’UE — doivent avoir accès à différents États membres pendant </w:t>
      </w:r>
      <w:r>
        <w:rPr>
          <w:b/>
          <w:noProof/>
        </w:rPr>
        <w:t>plus de 90 jours sur une période de 180 jours</w:t>
      </w:r>
      <w:r>
        <w:rPr>
          <w:noProof/>
        </w:rPr>
        <w:t>, sans avoir besoin d’un visa de long séjour ou d’un titre de séjour dans l’UE.</w:t>
      </w:r>
      <w:bookmarkEnd w:id="7"/>
      <w:r>
        <w:rPr>
          <w:noProof/>
        </w:rPr>
        <w:t xml:space="preserve"> </w:t>
      </w:r>
    </w:p>
    <w:p w14:paraId="2371C0F0" w14:textId="3C43B6EB" w:rsidR="00D02CBD" w:rsidRPr="00D14278" w:rsidRDefault="00D02CBD" w:rsidP="009304A9">
      <w:pPr>
        <w:shd w:val="clear" w:color="auto" w:fill="FFFFFF" w:themeFill="background1"/>
        <w:spacing w:after="120"/>
        <w:rPr>
          <w:rFonts w:eastAsia="Calibri"/>
          <w:noProof/>
          <w:szCs w:val="24"/>
        </w:rPr>
      </w:pPr>
      <w:r>
        <w:rPr>
          <w:noProof/>
        </w:rPr>
        <w:t xml:space="preserve">Cela crée un </w:t>
      </w:r>
      <w:r>
        <w:rPr>
          <w:b/>
          <w:noProof/>
        </w:rPr>
        <w:t>système complexe</w:t>
      </w:r>
      <w:r>
        <w:rPr>
          <w:noProof/>
        </w:rPr>
        <w:t xml:space="preserve">, encore compliqué par l’existence d’accords bilatéraux conclus par certains États membres avant l’entrée en vigueur de l’acquis de Schengen, qui autorisent les ressortissants de certains pays tiers à séjourner au-delà de 90 jours, mais uniquement sur le territoire de l’État membre concerné, ce qui nuit à l’application uniforme de l’acquis de Schengen. </w:t>
      </w:r>
    </w:p>
    <w:p w14:paraId="2686A2D3" w14:textId="0B1DAF4D" w:rsidR="000C5E18" w:rsidRPr="00D14278" w:rsidRDefault="00D02CBD" w:rsidP="009304A9">
      <w:pPr>
        <w:shd w:val="clear" w:color="auto" w:fill="FFFFFF" w:themeFill="background1"/>
        <w:spacing w:after="120"/>
        <w:rPr>
          <w:rFonts w:eastAsia="Calibri"/>
          <w:noProof/>
          <w:szCs w:val="24"/>
        </w:rPr>
      </w:pPr>
      <w:bookmarkStart w:id="8" w:name="_Hlk219568846"/>
      <w:r>
        <w:rPr>
          <w:noProof/>
        </w:rPr>
        <w:t xml:space="preserve">La Commission collaborera étroitement avec les États membres afin de trouver des </w:t>
      </w:r>
      <w:r>
        <w:rPr>
          <w:b/>
          <w:noProof/>
        </w:rPr>
        <w:t>solutions pragmatiques</w:t>
      </w:r>
      <w:r>
        <w:rPr>
          <w:noProof/>
        </w:rPr>
        <w:t xml:space="preserve"> pour permettre de prolonger les courts séjours pour certaines catégories de ressortissants de pays tiers, en assurant la sécurité et un avantage économique pour l’Union, ainsi que la clarté juridique pour les voyageurs. Ces réflexions porteront également sur l’introduction d’une nouvelle législation fixant un </w:t>
      </w:r>
      <w:r>
        <w:rPr>
          <w:b/>
          <w:noProof/>
        </w:rPr>
        <w:t>ensemble spécifique de règles pour les courts séjours prolongés</w:t>
      </w:r>
      <w:r>
        <w:rPr>
          <w:noProof/>
        </w:rPr>
        <w:t xml:space="preserve"> au niveau de l’UE. </w:t>
      </w:r>
      <w:bookmarkEnd w:id="8"/>
      <w:r>
        <w:rPr>
          <w:noProof/>
        </w:rPr>
        <w:t>À cette occasion, la Commission examinera l’incidence des accords bilatéraux existants qui autorisent des séjours prolongés, en vue de les supprimer progressivement</w:t>
      </w:r>
      <w:r>
        <w:rPr>
          <w:rStyle w:val="FootnoteReference"/>
          <w:rFonts w:eastAsia="Calibri"/>
          <w:noProof/>
        </w:rPr>
        <w:footnoteReference w:id="32"/>
      </w:r>
      <w:r>
        <w:rPr>
          <w:noProof/>
        </w:rPr>
        <w:t>.</w:t>
      </w:r>
    </w:p>
    <w:p w14:paraId="592A633F" w14:textId="57266B06" w:rsidR="006634C9" w:rsidRPr="00D14278" w:rsidRDefault="00F10BB3" w:rsidP="00DA4A28">
      <w:pPr>
        <w:shd w:val="clear" w:color="auto" w:fill="FFFFFF" w:themeFill="background1"/>
        <w:spacing w:after="0"/>
        <w:rPr>
          <w:rFonts w:eastAsia="Calibri"/>
          <w:b/>
          <w:bCs/>
          <w:noProof/>
          <w:szCs w:val="24"/>
        </w:rPr>
      </w:pPr>
      <w:r>
        <w:rPr>
          <w:noProof/>
          <w:u w:val="single"/>
          <w:lang w:val="en-GB" w:eastAsia="en-GB"/>
        </w:rPr>
        <mc:AlternateContent>
          <mc:Choice Requires="wps">
            <w:drawing>
              <wp:anchor distT="0" distB="0" distL="114300" distR="114300" simplePos="0" relativeHeight="251657216" behindDoc="0" locked="0" layoutInCell="1" allowOverlap="1" wp14:anchorId="67840AD3" wp14:editId="06058826">
                <wp:simplePos x="0" y="0"/>
                <wp:positionH relativeFrom="margin">
                  <wp:posOffset>-142504</wp:posOffset>
                </wp:positionH>
                <wp:positionV relativeFrom="paragraph">
                  <wp:posOffset>8255</wp:posOffset>
                </wp:positionV>
                <wp:extent cx="6012180" cy="1377538"/>
                <wp:effectExtent l="0" t="0" r="26670" b="13335"/>
                <wp:wrapNone/>
                <wp:docPr id="828764086" name="Rectangle 1"/>
                <wp:cNvGraphicFramePr/>
                <a:graphic xmlns:a="http://schemas.openxmlformats.org/drawingml/2006/main">
                  <a:graphicData uri="http://schemas.microsoft.com/office/word/2010/wordprocessingShape">
                    <wps:wsp>
                      <wps:cNvSpPr/>
                      <wps:spPr>
                        <a:xfrm>
                          <a:off x="0" y="0"/>
                          <a:ext cx="6012180" cy="1377538"/>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11.2pt;margin-top:.65pt;width:473.4pt;height:108.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" w14:anchorId="58BED141">
                <w10:wrap anchorx="margin"/>
              </v:rect>
            </w:pict>
          </mc:Fallback>
        </mc:AlternateContent>
      </w:r>
      <w:r>
        <w:rPr>
          <w:b/>
          <w:noProof/>
          <w:u w:val="single"/>
        </w:rPr>
        <w:t>Prochaines étapes importantes</w:t>
      </w:r>
      <w:r>
        <w:rPr>
          <w:b/>
          <w:noProof/>
        </w:rPr>
        <w:t>:</w:t>
      </w:r>
    </w:p>
    <w:p w14:paraId="081214B3" w14:textId="7B396524" w:rsidR="006634C9" w:rsidRPr="00D14278" w:rsidRDefault="006634C9" w:rsidP="00E85DDA">
      <w:pPr>
        <w:pStyle w:val="ListParagraph"/>
        <w:numPr>
          <w:ilvl w:val="0"/>
          <w:numId w:val="8"/>
        </w:numPr>
        <w:shd w:val="clear" w:color="auto" w:fill="FFFFFF" w:themeFill="background1"/>
        <w:spacing w:after="0"/>
        <w:contextualSpacing w:val="0"/>
        <w:rPr>
          <w:rFonts w:eastAsia="Calibri"/>
          <w:noProof/>
          <w:szCs w:val="24"/>
        </w:rPr>
      </w:pPr>
      <w:r>
        <w:rPr>
          <w:noProof/>
        </w:rPr>
        <w:t>Entreprendre rapidement la dématérialisation des procédures de visa.</w:t>
      </w:r>
    </w:p>
    <w:p w14:paraId="65754815" w14:textId="5A701AE5" w:rsidR="006634C9" w:rsidRPr="00D14278" w:rsidRDefault="006634C9" w:rsidP="00E85DDA">
      <w:pPr>
        <w:pStyle w:val="ListParagraph"/>
        <w:numPr>
          <w:ilvl w:val="0"/>
          <w:numId w:val="8"/>
        </w:numPr>
        <w:shd w:val="clear" w:color="auto" w:fill="FFFFFF" w:themeFill="background1"/>
        <w:spacing w:after="0"/>
        <w:contextualSpacing w:val="0"/>
        <w:rPr>
          <w:rFonts w:eastAsia="Calibri"/>
          <w:noProof/>
          <w:szCs w:val="24"/>
        </w:rPr>
      </w:pPr>
      <w:r>
        <w:rPr>
          <w:noProof/>
        </w:rPr>
        <w:t>Lancer le système européen d’information et d’autorisation concernant les voyages en 2026.</w:t>
      </w:r>
    </w:p>
    <w:p w14:paraId="3B49C804" w14:textId="247A0FF2" w:rsidR="006634C9" w:rsidRPr="00D14278" w:rsidRDefault="007F2F7F" w:rsidP="00E85DDA">
      <w:pPr>
        <w:pStyle w:val="ListParagraph"/>
        <w:numPr>
          <w:ilvl w:val="0"/>
          <w:numId w:val="8"/>
        </w:numPr>
        <w:shd w:val="clear" w:color="auto" w:fill="FFFFFF" w:themeFill="background1"/>
        <w:spacing w:after="0"/>
        <w:contextualSpacing w:val="0"/>
        <w:rPr>
          <w:rFonts w:eastAsia="Calibri"/>
          <w:noProof/>
          <w:szCs w:val="24"/>
        </w:rPr>
      </w:pPr>
      <w:r>
        <w:rPr>
          <w:noProof/>
        </w:rPr>
        <w:t>Définir les options pour des visas à entrées multiples assortis d’une durée de validité plus longue.</w:t>
      </w:r>
    </w:p>
    <w:p w14:paraId="38F971CB" w14:textId="559AB67E" w:rsidR="003B0358" w:rsidRPr="00D14278" w:rsidRDefault="006634C9" w:rsidP="00E85DDA">
      <w:pPr>
        <w:pStyle w:val="ListParagraph"/>
        <w:numPr>
          <w:ilvl w:val="0"/>
          <w:numId w:val="8"/>
        </w:numPr>
        <w:shd w:val="clear" w:color="auto" w:fill="FFFFFF" w:themeFill="background1"/>
        <w:spacing w:after="0"/>
        <w:contextualSpacing w:val="0"/>
        <w:rPr>
          <w:rFonts w:eastAsiaTheme="majorEastAsia"/>
          <w:noProof/>
          <w:szCs w:val="24"/>
        </w:rPr>
      </w:pPr>
      <w:r>
        <w:rPr>
          <w:noProof/>
        </w:rPr>
        <w:t>Mettre en œuvre la recommandation de la Commission intitulée «Attirer les talents pour favoriser l’innovation».</w:t>
      </w:r>
    </w:p>
    <w:p w14:paraId="72FEBD9D" w14:textId="2A3D36C8" w:rsidR="003B0358" w:rsidRPr="00D14278" w:rsidRDefault="0009336A" w:rsidP="00E85DDA">
      <w:pPr>
        <w:pStyle w:val="ListParagraph"/>
        <w:numPr>
          <w:ilvl w:val="0"/>
          <w:numId w:val="8"/>
        </w:numPr>
        <w:shd w:val="clear" w:color="auto" w:fill="FFFFFF" w:themeFill="background1"/>
        <w:spacing w:after="0"/>
        <w:contextualSpacing w:val="0"/>
        <w:rPr>
          <w:rFonts w:eastAsiaTheme="majorEastAsia"/>
          <w:noProof/>
          <w:szCs w:val="24"/>
        </w:rPr>
      </w:pPr>
      <w:r>
        <w:rPr>
          <w:noProof/>
        </w:rPr>
        <w:t>Étudier les possibilités d’adapter le cadre de l’UE pour les visas de long séjour aux écosystèmes d’innovation et de recherche.</w:t>
      </w:r>
    </w:p>
    <w:p w14:paraId="04317A48" w14:textId="6FC987CE" w:rsidR="006578BB" w:rsidRPr="000401AE" w:rsidRDefault="0009336A" w:rsidP="000401A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FFFFFF" w:themeFill="background1"/>
        <w:spacing w:after="0"/>
        <w:contextualSpacing w:val="0"/>
        <w:rPr>
          <w:rFonts w:eastAsiaTheme="majorEastAsia"/>
          <w:noProof/>
          <w:szCs w:val="24"/>
        </w:rPr>
      </w:pPr>
      <w:r>
        <w:rPr>
          <w:noProof/>
        </w:rPr>
        <w:t>Réfléchir à de nouvelles règles autorisant des courts séjours prolongés pour certaines catégories de professionnels de pays tiers, tels que les artistes en tournée, les athlètes de compétition ou les conducteurs de camions.</w:t>
      </w:r>
    </w:p>
    <w:p w14:paraId="15F69FFE" w14:textId="77777777" w:rsidR="00DD0EF2" w:rsidRPr="00D14278" w:rsidRDefault="00DD0EF2" w:rsidP="0616EE85">
      <w:pPr>
        <w:keepNext/>
        <w:spacing w:after="120"/>
        <w:rPr>
          <w:rFonts w:eastAsia="Calibri"/>
          <w:noProof/>
        </w:rPr>
      </w:pPr>
    </w:p>
    <w:p w14:paraId="5569C5D4" w14:textId="3E1C00AB" w:rsidR="004F17E1" w:rsidRPr="00D14278" w:rsidRDefault="6AB1AD40" w:rsidP="00E85DDA">
      <w:pPr>
        <w:pStyle w:val="ListParagraph"/>
        <w:keepNext/>
        <w:numPr>
          <w:ilvl w:val="0"/>
          <w:numId w:val="1"/>
        </w:numPr>
        <w:spacing w:after="120"/>
        <w:ind w:left="426" w:hanging="436"/>
        <w:contextualSpacing w:val="0"/>
        <w:rPr>
          <w:rFonts w:eastAsiaTheme="minorEastAsia"/>
          <w:b/>
          <w:bCs/>
          <w:smallCaps/>
          <w:noProof/>
          <w:u w:val="single"/>
        </w:rPr>
      </w:pPr>
      <w:r>
        <w:rPr>
          <w:b/>
          <w:smallCaps/>
          <w:noProof/>
          <w:u w:val="single"/>
        </w:rPr>
        <w:t xml:space="preserve">Aider les États membres grâce à des outils modernes pour les visas </w:t>
      </w:r>
      <w:r>
        <w:rPr>
          <w:noProof/>
        </w:rPr>
        <w:t xml:space="preserve"> </w:t>
      </w:r>
    </w:p>
    <w:p w14:paraId="32174182" w14:textId="3AC5A049" w:rsidR="4C80E0D3" w:rsidRPr="00D14278" w:rsidRDefault="007152CE" w:rsidP="00E85DDA">
      <w:pPr>
        <w:pStyle w:val="ListParagraph"/>
        <w:numPr>
          <w:ilvl w:val="0"/>
          <w:numId w:val="4"/>
        </w:numPr>
        <w:shd w:val="clear" w:color="auto" w:fill="FFFFFF" w:themeFill="background1"/>
        <w:spacing w:after="120"/>
        <w:contextualSpacing w:val="0"/>
        <w:rPr>
          <w:rFonts w:eastAsia="Calibri"/>
          <w:b/>
          <w:bCs/>
          <w:noProof/>
          <w:szCs w:val="24"/>
        </w:rPr>
      </w:pPr>
      <w:r>
        <w:rPr>
          <w:b/>
          <w:noProof/>
        </w:rPr>
        <w:t xml:space="preserve">Des systèmes informatiques intelligents pour améliorer le partage d’informations et prévenir les abus de visa  </w:t>
      </w:r>
    </w:p>
    <w:p w14:paraId="2D478EF7" w14:textId="79C27819" w:rsidR="004F17E1" w:rsidRPr="00D14278" w:rsidRDefault="00605BEB" w:rsidP="009304A9">
      <w:pPr>
        <w:spacing w:after="120"/>
        <w:rPr>
          <w:noProof/>
          <w:szCs w:val="24"/>
        </w:rPr>
      </w:pPr>
      <w:r>
        <w:rPr>
          <w:noProof/>
        </w:rPr>
        <w:t xml:space="preserve">L’UE déploie l’un des </w:t>
      </w:r>
      <w:r>
        <w:rPr>
          <w:b/>
          <w:noProof/>
        </w:rPr>
        <w:t>systèmes numériques les plus avancés</w:t>
      </w:r>
      <w:r>
        <w:rPr>
          <w:noProof/>
        </w:rPr>
        <w:t xml:space="preserve"> du monde </w:t>
      </w:r>
      <w:r>
        <w:rPr>
          <w:b/>
          <w:noProof/>
        </w:rPr>
        <w:t>pour la gestion des frontières</w:t>
      </w:r>
      <w:r>
        <w:rPr>
          <w:noProof/>
        </w:rPr>
        <w:t xml:space="preserve">. </w:t>
      </w:r>
    </w:p>
    <w:p w14:paraId="03F41F2F" w14:textId="7371F389" w:rsidR="004F17E1" w:rsidRPr="00D14278" w:rsidRDefault="25ACB4EC" w:rsidP="009304A9">
      <w:pPr>
        <w:spacing w:after="120"/>
        <w:rPr>
          <w:noProof/>
          <w:szCs w:val="24"/>
        </w:rPr>
      </w:pPr>
      <w:r>
        <w:rPr>
          <w:noProof/>
        </w:rPr>
        <w:t xml:space="preserve">Le </w:t>
      </w:r>
      <w:r>
        <w:rPr>
          <w:b/>
          <w:noProof/>
        </w:rPr>
        <w:t>système d’entrée/de sortie</w:t>
      </w:r>
      <w:r>
        <w:rPr>
          <w:noProof/>
        </w:rPr>
        <w:t xml:space="preserve"> (EES) est un système informatique automatisé dans lequel les ressortissants de pays tiers en court séjour sont enregistrés chaque fois qu’ils franchissent les frontières extérieures de l’un des 29 pays de l’espace Schengen. Il est entré en service avec succès en octobre 2025. Il permet aux voyageurs de vérifier à tout moment la durée restante de leur séjour autorisé et alerte automatiquement les États membres lorsqu’il détecte qu’une personne a dépassé la durée du séjour autorisé. Avec plus de 20 millions d’enregistrements d’entrée et de sortie depuis son lancement, l’EES a déjà marqué un tournant en matière de gestion des frontières, de prévention de la migration illégale, de détection des documents et des fraudes, renforçant ainsi la sécurité de l’UE. Après une mise en service progressive, l’EES sera totalement opérationnel à tous les points de passage frontaliers de l’espace Schengen à partir d’avril 2026.</w:t>
      </w:r>
    </w:p>
    <w:p w14:paraId="31A91BE0" w14:textId="5B5270A5" w:rsidR="004F17E1" w:rsidRPr="00D14278" w:rsidRDefault="24CEA423" w:rsidP="009304A9">
      <w:pPr>
        <w:spacing w:after="120"/>
        <w:rPr>
          <w:noProof/>
          <w:szCs w:val="24"/>
        </w:rPr>
      </w:pPr>
      <w:r>
        <w:rPr>
          <w:noProof/>
        </w:rPr>
        <w:t xml:space="preserve">En outre, le nouveau système </w:t>
      </w:r>
      <w:r>
        <w:rPr>
          <w:b/>
          <w:noProof/>
        </w:rPr>
        <w:t>Eurodac</w:t>
      </w:r>
      <w:r>
        <w:rPr>
          <w:noProof/>
        </w:rPr>
        <w:t xml:space="preserve"> pour l’enregistrement des demandeurs d’une protection internationale sera opérationnel en juin 2026. Il améliorera considérablement la capacité de l’Union de lutter contre l’utilisation frauduleuse des visas par les ressortissants de pays tiers soumis à l’obligation de visa. Il contiendra des informations plus détaillées sur les ressortissants de pays tiers, reliera tous les ensembles de données correspondant à la même personne et stockera des données sur les titulaires de visas qui ont demandé une protection internationale. </w:t>
      </w:r>
    </w:p>
    <w:p w14:paraId="0F98C197" w14:textId="5613A487" w:rsidR="0066159B" w:rsidRPr="00D14278" w:rsidRDefault="00605BEB" w:rsidP="009304A9">
      <w:pPr>
        <w:spacing w:after="120"/>
        <w:rPr>
          <w:noProof/>
          <w:szCs w:val="24"/>
        </w:rPr>
      </w:pPr>
      <w:r>
        <w:rPr>
          <w:noProof/>
        </w:rPr>
        <w:t>L’</w:t>
      </w:r>
      <w:r>
        <w:rPr>
          <w:b/>
          <w:noProof/>
        </w:rPr>
        <w:t>ETIAS</w:t>
      </w:r>
      <w:r>
        <w:rPr>
          <w:noProof/>
        </w:rPr>
        <w:t xml:space="preserve"> accroîtra la sécurité intérieure grâce à un contrôle préalable des voyageurs visant à déterminer, avant leur départ, s’ils présentent des risques potentiels en matière de sécurité, de migration illégale et d’épidémies. En automatisant ces vérifications dans différentes bases de données de l’UE, l’ETIAS rendra le franchissement des frontières plus rapide et plus efficace pour les voyageurs qui ne présentent pas de risque.  </w:t>
      </w:r>
    </w:p>
    <w:p w14:paraId="5A978101" w14:textId="35053388" w:rsidR="004F17E1" w:rsidRPr="00D14278" w:rsidRDefault="0FBDA43D" w:rsidP="009304A9">
      <w:pPr>
        <w:spacing w:after="120"/>
        <w:rPr>
          <w:noProof/>
          <w:szCs w:val="24"/>
        </w:rPr>
      </w:pPr>
      <w:r>
        <w:rPr>
          <w:noProof/>
        </w:rPr>
        <w:t xml:space="preserve">Le </w:t>
      </w:r>
      <w:r>
        <w:rPr>
          <w:b/>
          <w:noProof/>
        </w:rPr>
        <w:t>système d’information sur les visas</w:t>
      </w:r>
      <w:r>
        <w:rPr>
          <w:noProof/>
        </w:rPr>
        <w:t xml:space="preserve"> (VIS) contient déjà les données relatives aux demandes de visa de court séjour des étrangers provenant de pays soumis à l’obligation de visa. Il vise à faciliter, en particulier, la procédure de visa pour les voyageurs en règle, tout en aidant les autorités à prévenir la fraude et la «course aux visas». Il facilite également les vérifications effectuées aux points de passage des frontières extérieures pour s’assurer que la personne qui se présente à la frontière est le titulaire légitime du visa. Le VIS révisé intégrera les données sur les visas de long séjour et sur les titres de séjour, en plus des informations sur les visas de court séjour. Il automatisera en outre l’interrogation de toutes les bases de données pertinentes de l’UE, améliorant ainsi la qualité et la cohérence des décisions relatives aux demandes de visa.</w:t>
      </w:r>
    </w:p>
    <w:p w14:paraId="37A166B3" w14:textId="0BB9B60B" w:rsidR="00DC188E" w:rsidRPr="00D14278" w:rsidRDefault="6EA5CE4D" w:rsidP="009304A9">
      <w:pPr>
        <w:spacing w:after="120"/>
        <w:rPr>
          <w:noProof/>
        </w:rPr>
      </w:pPr>
      <w:r>
        <w:rPr>
          <w:noProof/>
        </w:rPr>
        <w:t xml:space="preserve">Lorsque le </w:t>
      </w:r>
      <w:r>
        <w:rPr>
          <w:b/>
          <w:noProof/>
        </w:rPr>
        <w:t>cadre d’interopérabilité</w:t>
      </w:r>
      <w:r>
        <w:rPr>
          <w:noProof/>
        </w:rPr>
        <w:t xml:space="preserve"> des systèmes d’information de l’UE sera pleinement mis en œuvre en 2028, il sera possible d’interroger — par une seule recherche centrale — plusieurs bases de données en même temps. Ce cadre présentera une image complète du statut d’une personne, en rassemblant les données pertinentes sur un seul écran. Les autorités seront dès lors en mesure de détecter automatiquement les identités multiples ou frauduleuses ou de savoir si une personne n’a pas respecté les règles de son séjour. Il produira en outre des statistiques intersystèmes qui fourniront des indications précieuses sur les schémas de déplacement, les risques et les potentiels abus, ce qui favorisera une politique des visas fondée sur des données probantes.  </w:t>
      </w:r>
    </w:p>
    <w:p w14:paraId="6B9B7411" w14:textId="54D807AA" w:rsidR="4E4BAEEE" w:rsidRPr="00D14278" w:rsidRDefault="008D1285" w:rsidP="0616EE85">
      <w:pPr>
        <w:spacing w:after="120"/>
        <w:rPr>
          <w:noProof/>
        </w:rPr>
      </w:pPr>
      <w:r>
        <w:rPr>
          <w:noProof/>
        </w:rPr>
        <w:t xml:space="preserve">À l’avenir, les systèmes informatiques de l’UE sur lesquels repose le traitement des visas devraient pouvoir exploiter les évolutions technologiques, en particulier des solutions d’intelligence artificielle. Dans le même temps, les nouvelles technologies offriront davantage de possibilités d’améliorer la sécurité des procédures de visa et de rendre l’expérience de voyage des voyageurs de bonne foi plus fluide et plus facile.  </w:t>
      </w:r>
    </w:p>
    <w:p w14:paraId="05AFDCB8" w14:textId="6FBA4588" w:rsidR="008A3339" w:rsidRPr="00D14278" w:rsidRDefault="0F568F37" w:rsidP="00E85DDA">
      <w:pPr>
        <w:pStyle w:val="ListParagraph"/>
        <w:numPr>
          <w:ilvl w:val="0"/>
          <w:numId w:val="4"/>
        </w:numPr>
        <w:spacing w:after="120"/>
        <w:contextualSpacing w:val="0"/>
        <w:rPr>
          <w:rFonts w:eastAsia="Calibri"/>
          <w:b/>
          <w:noProof/>
          <w:szCs w:val="24"/>
        </w:rPr>
      </w:pPr>
      <w:r>
        <w:rPr>
          <w:b/>
          <w:noProof/>
        </w:rPr>
        <w:t>Aider les États membres pour le traitement des demandes de visa</w:t>
      </w:r>
    </w:p>
    <w:p w14:paraId="0EF903D5" w14:textId="7EAADFA4" w:rsidR="00D75FAC" w:rsidRPr="00D14278" w:rsidRDefault="002D0B2B" w:rsidP="009304A9">
      <w:pPr>
        <w:keepNext/>
        <w:spacing w:after="120"/>
        <w:rPr>
          <w:noProof/>
          <w:szCs w:val="24"/>
        </w:rPr>
      </w:pPr>
      <w:r>
        <w:rPr>
          <w:noProof/>
        </w:rPr>
        <w:t xml:space="preserve">Une politique des visas moderne exige aussi un traitement efficient des demandes de visa. La gestion de gros volumes de demandes et la prise de rendez-vous en temps utile dans les consulats posent des difficultés, surtout pendant les périodes de pointe. Cette pression est encore accentuée par les étapes procédurales à respecter, telles que la réalisation de contrôles de sécurité approfondis, l’identification fiable des demandeurs et la gestion des risques liés à la fraude documentaire. Les pratiques nationales divergentes et les degrés variables de numérisation d’un État membre à l’autre peuvent également nuire à la fluidité et à la transparence des démarches pour les demandeurs. Ces difficultés risquent de compromettre l’efficacité du système, de saper la confiance entre les États membres et d’amoindrir la confiance du public dans l’équité des procédures de visas de l’UE. </w:t>
      </w:r>
    </w:p>
    <w:p w14:paraId="09DF6669" w14:textId="216BEB50" w:rsidR="0017010C" w:rsidRPr="00D14278" w:rsidRDefault="0017010C" w:rsidP="009304A9">
      <w:pPr>
        <w:spacing w:after="120"/>
        <w:rPr>
          <w:noProof/>
          <w:szCs w:val="24"/>
        </w:rPr>
      </w:pPr>
      <w:r>
        <w:rPr>
          <w:noProof/>
        </w:rPr>
        <w:t xml:space="preserve">Le </w:t>
      </w:r>
      <w:r>
        <w:rPr>
          <w:b/>
          <w:noProof/>
        </w:rPr>
        <w:t>déploiement des outils informatiques</w:t>
      </w:r>
      <w:r>
        <w:rPr>
          <w:noProof/>
        </w:rPr>
        <w:t xml:space="preserve"> de gestion des frontières mentionnés ci-dessus sera essentiel pour renforcer la sécurité et l’intégrité de la procédure des visas de l’UE. Il doit néanmoins être complété par un soutien pratique à l’application de la politique des visas, au niveau consulaire et au niveau central. Un tel soutien garantira une application plus harmonisée des règles en matière de visas, augmentera la qualité, l’efficience et la cohérence de la prise de décision dans tous les États membres, facilitera le passage à la dématérialisation de la procédure de visa et aidera à réduire la «course aux visas». </w:t>
      </w:r>
    </w:p>
    <w:p w14:paraId="2DD17D0D" w14:textId="5917C5EC" w:rsidR="00CC3621" w:rsidRPr="00D14278" w:rsidRDefault="00211584" w:rsidP="0616EE85">
      <w:pPr>
        <w:spacing w:after="120"/>
        <w:rPr>
          <w:noProof/>
        </w:rPr>
      </w:pPr>
      <w:r>
        <w:rPr>
          <w:noProof/>
        </w:rPr>
        <w:t xml:space="preserve">Alors que la politique des visas est une composante essentielle de la politique de gestion des frontières de l’UE et constitue le premier niveau de protection de l’Union pour préserver l’espace Schengen, elle est la seule politique du domaine «affaires intérieures» qui ne bénéficie pas du soutien structuré d’une agence de l’UE. Pour y remédier, la prochaine révision du mandat de Frontex sera l’occasion d’étudier les possibilités de créer un </w:t>
      </w:r>
      <w:r>
        <w:rPr>
          <w:b/>
          <w:noProof/>
        </w:rPr>
        <w:t>bureau européen d’appui en matière de visas</w:t>
      </w:r>
      <w:r>
        <w:rPr>
          <w:noProof/>
        </w:rPr>
        <w:t xml:space="preserve"> au sein de Frontex, chargé d’apporter un soutien opérationnel à titre consultatif. Sa mission pourrait notamment consister à: </w:t>
      </w:r>
      <w:r>
        <w:rPr>
          <w:b/>
          <w:noProof/>
        </w:rPr>
        <w:t>élaborer et dispenser des formations</w:t>
      </w:r>
      <w:r>
        <w:rPr>
          <w:noProof/>
        </w:rPr>
        <w:t xml:space="preserve"> aux agents consulaires, afin d’assurer une qualité toujours élevée pour la prise de décision en matière de visas; aider </w:t>
      </w:r>
      <w:r>
        <w:rPr>
          <w:b/>
          <w:noProof/>
        </w:rPr>
        <w:t>les consulats pour la vérification des documents</w:t>
      </w:r>
      <w:r>
        <w:rPr>
          <w:noProof/>
        </w:rPr>
        <w:t xml:space="preserve"> et la détection de la fraude documentaire, grâce à une expertise spécialisée, des outils et des bonnes pratiques; et </w:t>
      </w:r>
      <w:r>
        <w:rPr>
          <w:b/>
          <w:noProof/>
        </w:rPr>
        <w:t>réaliser des évaluations de risques et des analyses par pays</w:t>
      </w:r>
      <w:r>
        <w:rPr>
          <w:noProof/>
        </w:rPr>
        <w:t xml:space="preserve"> afin de favoriser une prise de décision sur les visas qui soit cohérente et fondée sur des données probantes dans toute l’Union. </w:t>
      </w:r>
    </w:p>
    <w:p w14:paraId="3C2CC998" w14:textId="7C52A371" w:rsidR="00B62A64" w:rsidRPr="00D14278" w:rsidRDefault="00E6506D" w:rsidP="009304A9">
      <w:pPr>
        <w:keepNext/>
        <w:spacing w:after="120"/>
        <w:rPr>
          <w:b/>
          <w:bCs/>
          <w:i/>
          <w:iCs/>
          <w:noProof/>
          <w:szCs w:val="24"/>
        </w:rPr>
      </w:pPr>
      <w:r>
        <w:rPr>
          <w:noProof/>
        </w:rPr>
        <w:t xml:space="preserve">Par ailleurs, le recours croissant des États membres à des </w:t>
      </w:r>
      <w:r>
        <w:rPr>
          <w:b/>
          <w:noProof/>
        </w:rPr>
        <w:t>prestataires de services extérieurs (PSE)</w:t>
      </w:r>
      <w:r>
        <w:rPr>
          <w:noProof/>
        </w:rPr>
        <w:t xml:space="preserve"> pour traiter certaines parties de la procédure de visa nécessite un meilleur contrôle et un meilleur suivi de la qualité. C’est pourquoi la Commission entreprendra une </w:t>
      </w:r>
      <w:r>
        <w:rPr>
          <w:b/>
          <w:noProof/>
        </w:rPr>
        <w:t>étude approfondie sur les pratiques d’externalisation et le financement</w:t>
      </w:r>
      <w:r>
        <w:rPr>
          <w:noProof/>
        </w:rPr>
        <w:t xml:space="preserve"> des PSE chargés de recevoir les demandes de visa, en vue d’élaborer des solutions pour prévenir les abus de système.</w:t>
      </w:r>
      <w:r>
        <w:rPr>
          <w:b/>
          <w:i/>
          <w:noProof/>
        </w:rPr>
        <w:t xml:space="preserve"> </w:t>
      </w:r>
    </w:p>
    <w:p w14:paraId="679DD432" w14:textId="33F48F39" w:rsidR="00DB1216" w:rsidRPr="00D14278" w:rsidRDefault="00DB1216" w:rsidP="00E85DDA">
      <w:pPr>
        <w:pStyle w:val="ListParagraph"/>
        <w:numPr>
          <w:ilvl w:val="0"/>
          <w:numId w:val="4"/>
        </w:numPr>
        <w:shd w:val="clear" w:color="auto" w:fill="FFFFFF" w:themeFill="background1"/>
        <w:spacing w:after="120"/>
        <w:contextualSpacing w:val="0"/>
        <w:rPr>
          <w:rFonts w:eastAsia="Calibri"/>
          <w:b/>
          <w:noProof/>
          <w:szCs w:val="24"/>
        </w:rPr>
      </w:pPr>
      <w:r>
        <w:rPr>
          <w:b/>
          <w:noProof/>
        </w:rPr>
        <w:t>Une utilisation stratégique des fonds de l’UE pour l’application de la politique des visas</w:t>
      </w:r>
    </w:p>
    <w:p w14:paraId="7322B246" w14:textId="0C145746" w:rsidR="003504F5" w:rsidRPr="00D14278" w:rsidRDefault="005462C4" w:rsidP="009304A9">
      <w:pPr>
        <w:tabs>
          <w:tab w:val="left" w:pos="2415"/>
        </w:tabs>
        <w:spacing w:after="120"/>
        <w:rPr>
          <w:noProof/>
          <w:szCs w:val="24"/>
        </w:rPr>
      </w:pPr>
      <w:r>
        <w:rPr>
          <w:noProof/>
        </w:rPr>
        <w:t xml:space="preserve">Les États membres devraient continuer à utiliser les fonds de l’UE disponibles de manière stratégique pour </w:t>
      </w:r>
      <w:r>
        <w:rPr>
          <w:b/>
          <w:noProof/>
        </w:rPr>
        <w:t>favoriser la bonne application de la politique des visas</w:t>
      </w:r>
      <w:r>
        <w:rPr>
          <w:noProof/>
        </w:rPr>
        <w:t>. Priorité devrait être donnée au financement du développement des composantes nationales et des adaptations qui sont nécessaires au VIS révisé et à la dématérialisation des procédures de visa. Les fonds devraient également servir à accroître les capacités de traitement (personnel et équipements) dans les lieux où les demandeurs sont confrontés à de longs délais d’attente pour obtenir un visa Schengen. La Commission entend apporter un soutien financier aux États membres pour la mise en œuvre des priorités stratégiques liées aux visas, afin de répondre aux principaux besoins de la politique des visas. Elle prévoit également des orientations ciblées, des ateliers thématiques et des échanges de bonnes pratiques, afin de mettre en avant les initiatives couronnées de succès et de faciliter la réalisation concrète des activités liées aux visas. Dans la perspective de la période de programmation 2028-2034, la Commission s’efforce de tirer les enseignements de l’application actuelle, afin que les priorités liées aux visas soient intégrées de manière plus visible dans les futurs cadres de financement. En continuant de mettre fortement l’accent sur l’innovation, l’interopérabilité et l’efficacité opérationnelle, la Commission vise à assurer que les financements de l’UE promeuvent une politique de l’UE en matière de visas qui soit moderne, sûre et efficiente. La Commission étudiera, avec les États membres, la possibilité d’augmenter les droits de visa harmonisés au niveau de l’Union perçus pour les visas Schengen et d’utiliser les recettes ainsi obtenues pour continuer à développer la politique commune de l’UE en matière de visas.</w:t>
      </w:r>
    </w:p>
    <w:p w14:paraId="7D6DCF8E" w14:textId="60573FEF" w:rsidR="00344611" w:rsidRPr="00D14278" w:rsidRDefault="00DA4B58" w:rsidP="009304A9">
      <w:pPr>
        <w:tabs>
          <w:tab w:val="left" w:pos="2415"/>
        </w:tabs>
        <w:spacing w:after="120"/>
        <w:rPr>
          <w:b/>
          <w:bCs/>
          <w:noProof/>
          <w:szCs w:val="24"/>
        </w:rPr>
      </w:pPr>
      <w:r>
        <w:rPr>
          <w:noProof/>
          <w:lang w:val="en-GB" w:eastAsia="en-GB"/>
        </w:rPr>
        <mc:AlternateContent>
          <mc:Choice Requires="wps">
            <w:drawing>
              <wp:anchor distT="0" distB="0" distL="114300" distR="114300" simplePos="0" relativeHeight="251659264" behindDoc="0" locked="0" layoutInCell="1" allowOverlap="1" wp14:anchorId="2352000A" wp14:editId="53D9D751">
                <wp:simplePos x="0" y="0"/>
                <wp:positionH relativeFrom="margin">
                  <wp:posOffset>-44450</wp:posOffset>
                </wp:positionH>
                <wp:positionV relativeFrom="paragraph">
                  <wp:posOffset>8255</wp:posOffset>
                </wp:positionV>
                <wp:extent cx="5888990" cy="1238250"/>
                <wp:effectExtent l="0" t="0" r="16510" b="19050"/>
                <wp:wrapNone/>
                <wp:docPr id="12589716" name="Rectangle 1"/>
                <wp:cNvGraphicFramePr/>
                <a:graphic xmlns:a="http://schemas.openxmlformats.org/drawingml/2006/main">
                  <a:graphicData uri="http://schemas.microsoft.com/office/word/2010/wordprocessingShape">
                    <wps:wsp>
                      <wps:cNvSpPr/>
                      <wps:spPr>
                        <a:xfrm>
                          <a:off x="0" y="0"/>
                          <a:ext cx="5888990" cy="123825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1" style="position:absolute;margin-left:-3.5pt;margin-top:.65pt;width:463.7pt;height: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" w14:anchorId="6AFF6853">
                <w10:wrap anchorx="margin"/>
              </v:rect>
            </w:pict>
          </mc:Fallback>
        </mc:AlternateContent>
      </w:r>
      <w:r>
        <w:rPr>
          <w:b/>
          <w:noProof/>
          <w:u w:val="single"/>
        </w:rPr>
        <w:t>Prochaines étapes importantes</w:t>
      </w:r>
      <w:r>
        <w:rPr>
          <w:b/>
          <w:noProof/>
        </w:rPr>
        <w:t>:</w:t>
      </w:r>
    </w:p>
    <w:p w14:paraId="07958E15" w14:textId="51E4F55F" w:rsidR="00344611" w:rsidRPr="00D14278" w:rsidRDefault="00344611" w:rsidP="00E85DDA">
      <w:pPr>
        <w:pStyle w:val="ListParagraph"/>
        <w:numPr>
          <w:ilvl w:val="0"/>
          <w:numId w:val="6"/>
        </w:numPr>
        <w:tabs>
          <w:tab w:val="left" w:pos="2415"/>
        </w:tabs>
        <w:spacing w:after="0"/>
        <w:contextualSpacing w:val="0"/>
        <w:rPr>
          <w:noProof/>
          <w:szCs w:val="24"/>
        </w:rPr>
      </w:pPr>
      <w:r>
        <w:rPr>
          <w:noProof/>
        </w:rPr>
        <w:t xml:space="preserve">Assurer le déploiement de systèmes informatiques intelligents pour la gestion des frontières et le cadre d’interopérabilité. </w:t>
      </w:r>
    </w:p>
    <w:p w14:paraId="64DD151F" w14:textId="609DFCCD" w:rsidR="00A50206" w:rsidRPr="00D14278" w:rsidRDefault="001A34D0" w:rsidP="00D14278">
      <w:pPr>
        <w:pStyle w:val="ListParagraph"/>
        <w:numPr>
          <w:ilvl w:val="0"/>
          <w:numId w:val="6"/>
        </w:numPr>
        <w:tabs>
          <w:tab w:val="left" w:pos="2415"/>
        </w:tabs>
        <w:spacing w:after="0"/>
        <w:contextualSpacing w:val="0"/>
        <w:rPr>
          <w:noProof/>
          <w:szCs w:val="24"/>
        </w:rPr>
      </w:pPr>
      <w:r>
        <w:rPr>
          <w:noProof/>
        </w:rPr>
        <w:t>Proposer la création d’un bureau européen d’appui en matière de visas dans le cadre de la proposition de révision du mandat de Frontex en 2026.</w:t>
      </w:r>
    </w:p>
    <w:p w14:paraId="24EC870C" w14:textId="653319A7" w:rsidR="00344611" w:rsidRPr="00D14278" w:rsidRDefault="00344611" w:rsidP="00E85DDA">
      <w:pPr>
        <w:pStyle w:val="ListParagraph"/>
        <w:numPr>
          <w:ilvl w:val="0"/>
          <w:numId w:val="6"/>
        </w:numPr>
        <w:tabs>
          <w:tab w:val="left" w:pos="2415"/>
        </w:tabs>
        <w:spacing w:after="0"/>
        <w:contextualSpacing w:val="0"/>
        <w:rPr>
          <w:noProof/>
          <w:szCs w:val="24"/>
        </w:rPr>
      </w:pPr>
      <w:r>
        <w:rPr>
          <w:noProof/>
        </w:rPr>
        <w:t>Entreprendre une étude approfondie sur le recours aux prestataires de services extérieurs dans la procédure des visas.</w:t>
      </w:r>
    </w:p>
    <w:p w14:paraId="180EBECB" w14:textId="2421525C" w:rsidR="00DD0EF2" w:rsidRPr="00D14278" w:rsidRDefault="00DD0EF2" w:rsidP="009304A9">
      <w:pPr>
        <w:tabs>
          <w:tab w:val="left" w:pos="2415"/>
        </w:tabs>
        <w:spacing w:after="120"/>
        <w:rPr>
          <w:noProof/>
          <w:szCs w:val="24"/>
        </w:rPr>
      </w:pPr>
    </w:p>
    <w:p w14:paraId="1B17A0F3" w14:textId="28F2D995" w:rsidR="004F17E1" w:rsidRPr="00D14278" w:rsidRDefault="004F17E1" w:rsidP="00E85DDA">
      <w:pPr>
        <w:pStyle w:val="ListParagraph"/>
        <w:keepNext/>
        <w:numPr>
          <w:ilvl w:val="0"/>
          <w:numId w:val="1"/>
        </w:numPr>
        <w:spacing w:after="120"/>
        <w:ind w:left="426" w:hanging="436"/>
        <w:contextualSpacing w:val="0"/>
        <w:rPr>
          <w:rFonts w:eastAsiaTheme="minorEastAsia"/>
          <w:b/>
          <w:smallCaps/>
          <w:noProof/>
          <w:szCs w:val="24"/>
          <w:u w:val="single"/>
        </w:rPr>
      </w:pPr>
      <w:r>
        <w:rPr>
          <w:b/>
          <w:smallCaps/>
          <w:noProof/>
          <w:u w:val="single"/>
        </w:rPr>
        <w:t xml:space="preserve">Conclusion </w:t>
      </w:r>
    </w:p>
    <w:p w14:paraId="018C5DFE" w14:textId="36708D3C" w:rsidR="00D02CBD" w:rsidRPr="00D14278" w:rsidRDefault="5AE379B9" w:rsidP="009304A9">
      <w:pPr>
        <w:pStyle w:val="ListParagraph"/>
        <w:keepNext/>
        <w:spacing w:after="120"/>
        <w:ind w:left="-11"/>
        <w:contextualSpacing w:val="0"/>
        <w:rPr>
          <w:noProof/>
          <w:szCs w:val="24"/>
        </w:rPr>
      </w:pPr>
      <w:r>
        <w:rPr>
          <w:noProof/>
        </w:rPr>
        <w:t xml:space="preserve">Pour relever les défis mondiaux présents et futurs, l’Union doit s’adapter. La politique de l’UE en matière de visas est au cœur de cette transformation, car elle se trouve à l’intersection de la compétitivité, de la sécurité et de la politique étrangère de l’Union. </w:t>
      </w:r>
    </w:p>
    <w:p w14:paraId="07442E2B" w14:textId="5EF477B3" w:rsidR="00875523" w:rsidRPr="00D14278" w:rsidRDefault="00875523" w:rsidP="00875523">
      <w:pPr>
        <w:spacing w:after="120"/>
        <w:rPr>
          <w:noProof/>
          <w:szCs w:val="24"/>
        </w:rPr>
      </w:pPr>
      <w:r>
        <w:rPr>
          <w:noProof/>
        </w:rPr>
        <w:t xml:space="preserve">Pour garantir la bonne mise en œuvre de la présente stratégie, la Commission coopérera avec le </w:t>
      </w:r>
      <w:r>
        <w:rPr>
          <w:b/>
          <w:noProof/>
        </w:rPr>
        <w:t>Parlement européen</w:t>
      </w:r>
      <w:r>
        <w:rPr>
          <w:noProof/>
        </w:rPr>
        <w:t xml:space="preserve"> et le </w:t>
      </w:r>
      <w:r>
        <w:rPr>
          <w:b/>
          <w:noProof/>
        </w:rPr>
        <w:t>Conseil de l’Union européenne</w:t>
      </w:r>
      <w:r>
        <w:rPr>
          <w:noProof/>
        </w:rPr>
        <w:t xml:space="preserve"> et elle invitera les deux institutions à appuyer les travaux relatifs aux futures initiatives annoncées. Compte tenu de leur incidence sur les relations extérieures de l’UE, les actions proposées dans la présente stratégie seront menées de concert avec le Service européen pour l’action extérieure, dans le cadre de l’exercice de ses fonctions.</w:t>
      </w:r>
    </w:p>
    <w:p w14:paraId="4E69FCAC" w14:textId="7D3D37B8" w:rsidR="00D02CBD" w:rsidRPr="00D14278" w:rsidRDefault="18394FE8" w:rsidP="009304A9">
      <w:pPr>
        <w:pStyle w:val="ListParagraph"/>
        <w:keepNext/>
        <w:spacing w:after="120"/>
        <w:ind w:left="-11"/>
        <w:contextualSpacing w:val="0"/>
        <w:rPr>
          <w:noProof/>
          <w:szCs w:val="24"/>
        </w:rPr>
      </w:pPr>
      <w:r>
        <w:rPr>
          <w:noProof/>
        </w:rPr>
        <w:t>Une politique des visas moderne et tournée vers l’avenir sera déterminante pour l’attractivité de l’UE dans le monde, car elle favorisera la capacité d’innovation, la croissance et la compétitivité de l’Europe. Mais l’</w:t>
      </w:r>
      <w:r>
        <w:rPr>
          <w:b/>
          <w:noProof/>
        </w:rPr>
        <w:t>ouverture</w:t>
      </w:r>
      <w:r>
        <w:rPr>
          <w:noProof/>
        </w:rPr>
        <w:t xml:space="preserve"> doit aller de pair avec la </w:t>
      </w:r>
      <w:r>
        <w:rPr>
          <w:b/>
          <w:noProof/>
        </w:rPr>
        <w:t>responsabilité</w:t>
      </w:r>
      <w:r>
        <w:rPr>
          <w:noProof/>
        </w:rPr>
        <w:t xml:space="preserve">. Une politique des visas crédible doit donc empêcher les abus, décourager la migration illégale et protéger l’intégrité de l’espace Schengen. Il est essentiel de trouver un juste </w:t>
      </w:r>
      <w:r>
        <w:rPr>
          <w:b/>
          <w:noProof/>
        </w:rPr>
        <w:t>équilibre entre sécurité et assouplissement</w:t>
      </w:r>
      <w:r>
        <w:rPr>
          <w:noProof/>
        </w:rPr>
        <w:t xml:space="preserve">, tant pour conserver la confiance des citoyens que pour assurer la résilience des frontières extérieures de l’Europe et sa sécurité intérieure. </w:t>
      </w:r>
    </w:p>
    <w:p w14:paraId="75B62481" w14:textId="4C8F97D2" w:rsidR="0B428A99" w:rsidRPr="00D14278" w:rsidRDefault="00B30993" w:rsidP="009304A9">
      <w:pPr>
        <w:pStyle w:val="ListParagraph"/>
        <w:keepNext/>
        <w:spacing w:after="120"/>
        <w:ind w:left="-11"/>
        <w:contextualSpacing w:val="0"/>
        <w:rPr>
          <w:noProof/>
          <w:szCs w:val="24"/>
        </w:rPr>
      </w:pPr>
      <w:r>
        <w:rPr>
          <w:noProof/>
        </w:rPr>
        <w:t xml:space="preserve">Il n’en demeure pas moins que la politique des visas est un </w:t>
      </w:r>
      <w:r>
        <w:rPr>
          <w:b/>
          <w:noProof/>
        </w:rPr>
        <w:t>puissant instrument</w:t>
      </w:r>
      <w:r>
        <w:rPr>
          <w:noProof/>
        </w:rPr>
        <w:t xml:space="preserve"> de la politique extérieure et étrangère de l’Union. Elle peut promouvoir la coopération avec les pays partenaires dans des domaines d’importance stratégique pour l’UE. Grâce aux réformes proposées, </w:t>
      </w:r>
      <w:r>
        <w:rPr>
          <w:b/>
          <w:noProof/>
        </w:rPr>
        <w:t>l’exemption de visa ne sera pas un droit permanent, mais un privilège</w:t>
      </w:r>
      <w:r>
        <w:rPr>
          <w:noProof/>
        </w:rPr>
        <w:t xml:space="preserve"> qui impose des efforts constants. </w:t>
      </w:r>
    </w:p>
    <w:p w14:paraId="30DF77C5" w14:textId="77777777" w:rsidR="00BA404A" w:rsidRPr="00D14278" w:rsidRDefault="00242BD2" w:rsidP="009304A9">
      <w:pPr>
        <w:spacing w:after="120"/>
        <w:rPr>
          <w:noProof/>
          <w:szCs w:val="24"/>
        </w:rPr>
      </w:pPr>
      <w:r>
        <w:rPr>
          <w:noProof/>
        </w:rPr>
        <w:t xml:space="preserve">Pour concrétiser cette conception, il faut </w:t>
      </w:r>
      <w:r>
        <w:rPr>
          <w:b/>
          <w:noProof/>
        </w:rPr>
        <w:t>des outils modernes et une application rigoureuse</w:t>
      </w:r>
      <w:r>
        <w:rPr>
          <w:noProof/>
        </w:rPr>
        <w:t xml:space="preserve">. La dématérialisation des procédures de visa et la simplification des systèmes de demande rendront la politique européenne des visas plus efficiente, plus sûre et plus conviviale, ce qui profitera aux voyageurs et aux États membres. Une application cohérente dans l’ensemble de l’Union sera essentielle pour transformer ces réformes en résultats tangibles. </w:t>
      </w:r>
    </w:p>
    <w:p w14:paraId="00F1A7CC" w14:textId="0F47BBB5" w:rsidR="65022099" w:rsidRPr="009304A9" w:rsidRDefault="0B428A99" w:rsidP="009304A9">
      <w:pPr>
        <w:spacing w:after="120"/>
        <w:rPr>
          <w:noProof/>
          <w:szCs w:val="24"/>
        </w:rPr>
      </w:pPr>
      <w:r>
        <w:rPr>
          <w:noProof/>
        </w:rPr>
        <w:t xml:space="preserve">En fin de compte, la politique des visas, pilier essentiel de l’acquis de Schengen, doit être un </w:t>
      </w:r>
      <w:r>
        <w:rPr>
          <w:b/>
          <w:noProof/>
        </w:rPr>
        <w:t>pont stratégique entre ouverture et protection</w:t>
      </w:r>
      <w:r>
        <w:rPr>
          <w:noProof/>
        </w:rPr>
        <w:t>. Elle doit rassurer les citoyens sur le fait que les frontières de l’Europe sont gérées avec efficacité, tout en signalant au monde que l’Union européenne est un acteur mondial sûr de lui, compétitif et doté d’une vision stratégique, prêt à façonner la mobilité selon ses propres règles dans un monde de plus en plus interconnecté.</w:t>
      </w:r>
    </w:p>
    <w:sectPr w:rsidR="65022099" w:rsidRPr="009304A9" w:rsidSect="0079739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31FA7" w14:textId="77777777" w:rsidR="00317254" w:rsidRDefault="00317254" w:rsidP="00ED213F">
      <w:pPr>
        <w:spacing w:after="0"/>
      </w:pPr>
      <w:r>
        <w:separator/>
      </w:r>
    </w:p>
  </w:endnote>
  <w:endnote w:type="continuationSeparator" w:id="0">
    <w:p w14:paraId="6EEF6573" w14:textId="77777777" w:rsidR="00317254" w:rsidRDefault="00317254" w:rsidP="00ED213F">
      <w:pPr>
        <w:spacing w:after="0"/>
      </w:pPr>
      <w:r>
        <w:continuationSeparator/>
      </w:r>
    </w:p>
  </w:endnote>
  <w:endnote w:type="continuationNotice" w:id="1">
    <w:p w14:paraId="236BD709" w14:textId="77777777" w:rsidR="00317254" w:rsidRDefault="0031725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4762E" w14:textId="7E7CE178" w:rsidR="00A371D4" w:rsidRPr="00A371D4" w:rsidRDefault="00A371D4" w:rsidP="00A371D4">
    <w:pPr>
      <w:pStyle w:val="FooterCoverPage"/>
      <w:rPr>
        <w:rFonts w:ascii="Arial" w:hAnsi="Arial" w:cs="Arial"/>
        <w:b/>
        <w:sz w:val="48"/>
      </w:rPr>
    </w:pPr>
    <w:r w:rsidRPr="00A371D4">
      <w:rPr>
        <w:rFonts w:ascii="Arial" w:hAnsi="Arial" w:cs="Arial"/>
        <w:b/>
        <w:sz w:val="48"/>
      </w:rPr>
      <w:t>FR</w:t>
    </w:r>
    <w:r w:rsidRPr="00A371D4">
      <w:rPr>
        <w:rFonts w:ascii="Arial" w:hAnsi="Arial" w:cs="Arial"/>
        <w:b/>
        <w:sz w:val="48"/>
      </w:rPr>
      <w:tab/>
    </w:r>
    <w:r w:rsidRPr="00A371D4">
      <w:rPr>
        <w:rFonts w:ascii="Arial" w:hAnsi="Arial" w:cs="Arial"/>
        <w:b/>
        <w:sz w:val="48"/>
      </w:rPr>
      <w:tab/>
    </w:r>
    <w:r w:rsidRPr="00A371D4">
      <w:tab/>
    </w:r>
    <w:r w:rsidRPr="00A371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75766" w14:textId="156F1D9C" w:rsidR="00A371D4" w:rsidRPr="00A371D4" w:rsidRDefault="00A371D4" w:rsidP="00A371D4">
    <w:pPr>
      <w:pStyle w:val="FooterCoverPage"/>
      <w:rPr>
        <w:rFonts w:ascii="Arial" w:hAnsi="Arial" w:cs="Arial"/>
        <w:b/>
        <w:sz w:val="48"/>
      </w:rPr>
    </w:pPr>
    <w:r w:rsidRPr="00A371D4">
      <w:rPr>
        <w:rFonts w:ascii="Arial" w:hAnsi="Arial" w:cs="Arial"/>
        <w:b/>
        <w:sz w:val="48"/>
      </w:rPr>
      <w:t>FR</w:t>
    </w:r>
    <w:r w:rsidRPr="00A371D4">
      <w:rPr>
        <w:rFonts w:ascii="Arial" w:hAnsi="Arial" w:cs="Arial"/>
        <w:b/>
        <w:sz w:val="48"/>
      </w:rPr>
      <w:tab/>
    </w:r>
    <w:r w:rsidRPr="00A371D4">
      <w:rPr>
        <w:rFonts w:ascii="Arial" w:hAnsi="Arial" w:cs="Arial"/>
        <w:b/>
        <w:sz w:val="48"/>
      </w:rPr>
      <w:tab/>
    </w:r>
    <w:r w:rsidRPr="00A371D4">
      <w:tab/>
    </w:r>
    <w:r w:rsidRPr="00A371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3981D" w14:textId="77777777" w:rsidR="00A371D4" w:rsidRPr="00A371D4" w:rsidRDefault="00A371D4" w:rsidP="00A371D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ABC4" w14:textId="77777777" w:rsidR="00797394" w:rsidRDefault="007973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71838"/>
      <w:docPartObj>
        <w:docPartGallery w:val="Page Numbers (Bottom of Page)"/>
        <w:docPartUnique/>
      </w:docPartObj>
    </w:sdtPr>
    <w:sdtEndPr>
      <w:rPr>
        <w:noProof/>
      </w:rPr>
    </w:sdtEndPr>
    <w:sdtContent>
      <w:p w14:paraId="7FA3E432" w14:textId="01420723" w:rsidR="00797394" w:rsidRDefault="00797394">
        <w:pPr>
          <w:pStyle w:val="Footer"/>
          <w:jc w:val="right"/>
        </w:pPr>
        <w:r>
          <w:fldChar w:fldCharType="begin"/>
        </w:r>
        <w:r>
          <w:instrText xml:space="preserve"> PAGE   \* MERGEFORMAT </w:instrText>
        </w:r>
        <w:r>
          <w:fldChar w:fldCharType="separate"/>
        </w:r>
        <w:r w:rsidR="00A371D4">
          <w:rPr>
            <w:noProof/>
          </w:rPr>
          <w:t>2</w:t>
        </w:r>
        <w:r>
          <w:fldChar w:fldCharType="end"/>
        </w:r>
      </w:p>
    </w:sdtContent>
  </w:sdt>
  <w:p w14:paraId="4D765FB4" w14:textId="77777777" w:rsidR="00797394" w:rsidRDefault="007973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CA347" w14:textId="77777777" w:rsidR="00797394" w:rsidRDefault="00797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369B2" w14:textId="77777777" w:rsidR="00317254" w:rsidRDefault="00317254" w:rsidP="00ED213F">
      <w:pPr>
        <w:spacing w:after="0"/>
      </w:pPr>
      <w:r>
        <w:separator/>
      </w:r>
    </w:p>
  </w:footnote>
  <w:footnote w:type="continuationSeparator" w:id="0">
    <w:p w14:paraId="33146CF7" w14:textId="77777777" w:rsidR="00317254" w:rsidRDefault="00317254" w:rsidP="00ED213F">
      <w:pPr>
        <w:spacing w:after="0"/>
      </w:pPr>
      <w:r>
        <w:continuationSeparator/>
      </w:r>
    </w:p>
  </w:footnote>
  <w:footnote w:type="continuationNotice" w:id="1">
    <w:p w14:paraId="2365E3A6" w14:textId="77777777" w:rsidR="00317254" w:rsidRDefault="00317254">
      <w:pPr>
        <w:spacing w:after="0"/>
      </w:pPr>
    </w:p>
  </w:footnote>
  <w:footnote w:id="2">
    <w:p w14:paraId="38588276" w14:textId="04B5BFD6" w:rsidR="00A574CB" w:rsidRPr="00A574CB" w:rsidRDefault="00A574CB">
      <w:pPr>
        <w:pStyle w:val="FootnoteText"/>
      </w:pPr>
      <w:r>
        <w:rPr>
          <w:rStyle w:val="FootnoteReference"/>
        </w:rPr>
        <w:footnoteRef/>
      </w:r>
      <w:r>
        <w:t xml:space="preserve"> Conformément au document </w:t>
      </w:r>
      <w:hyperlink r:id="rId1" w:history="1">
        <w:r>
          <w:rPr>
            <w:rStyle w:val="Hyperlink"/>
          </w:rPr>
          <w:t>COM/2025/148/final</w:t>
        </w:r>
      </w:hyperlink>
      <w:r>
        <w:t xml:space="preserve">.  </w:t>
      </w:r>
    </w:p>
  </w:footnote>
  <w:footnote w:id="3">
    <w:p w14:paraId="3F019587" w14:textId="24F63A49" w:rsidR="00A574CB" w:rsidRPr="00A574CB" w:rsidRDefault="00A574CB">
      <w:pPr>
        <w:pStyle w:val="FootnoteText"/>
      </w:pPr>
      <w:r>
        <w:rPr>
          <w:rStyle w:val="FootnoteReference"/>
        </w:rPr>
        <w:footnoteRef/>
      </w:r>
      <w:r>
        <w:t xml:space="preserve"> Le 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(texte codifié), Journal officiel L 303 du 28.11.2018, p. 39-58 (ci-après le «règlement sur les visas»), énumère les pays tiers dont les ressortissants sont soumis à l’obligation de visa pour se rendre dans l’espace Schengen et ceux qui en sont exemptés.</w:t>
      </w:r>
    </w:p>
  </w:footnote>
  <w:footnote w:id="4">
    <w:p w14:paraId="34A22647" w14:textId="66CE697C" w:rsidR="00A574CB" w:rsidRPr="00A574CB" w:rsidRDefault="00A574CB">
      <w:pPr>
        <w:pStyle w:val="FootnoteText"/>
      </w:pPr>
      <w:r>
        <w:rPr>
          <w:rStyle w:val="FootnoteReference"/>
        </w:rPr>
        <w:footnoteRef/>
      </w:r>
      <w:r>
        <w:t xml:space="preserve"> L’article 1</w:t>
      </w:r>
      <w:r>
        <w:rPr>
          <w:vertAlign w:val="superscript"/>
        </w:rPr>
        <w:t>er</w:t>
      </w:r>
      <w:r>
        <w:t xml:space="preserve"> du règlement sur les visas énonce que l’exemption de visa est fondée sur une évaluation au cas par cas de divers critères relatifs, entre autres, à l’immigration clandestine, à l’ordre public et à la sécurité, aux avantages économiques, en particulier en termes de tourisme et de commerce extérieur, ainsi qu’aux relations extérieures de l’Union avec les pays tiers concernés y compris, en particulier, des considérations liées au respect des droits de l’homme et des libertés fondamentales ainsi que les implications de la cohérence régionale et de la réciprocité. Cette liste de critères n’est pas exhaustive.</w:t>
      </w:r>
    </w:p>
  </w:footnote>
  <w:footnote w:id="5">
    <w:p w14:paraId="3CEC2962" w14:textId="11781213" w:rsidR="00A574CB" w:rsidRPr="00A574CB" w:rsidRDefault="00A574CB">
      <w:pPr>
        <w:pStyle w:val="FootnoteText"/>
      </w:pPr>
      <w:r>
        <w:rPr>
          <w:rStyle w:val="FootnoteReference"/>
        </w:rPr>
        <w:footnoteRef/>
      </w:r>
      <w:r>
        <w:t xml:space="preserve"> </w:t>
      </w:r>
      <w:hyperlink r:id="rId2" w:history="1">
        <w:r>
          <w:rPr>
            <w:rStyle w:val="Hyperlink"/>
          </w:rPr>
          <w:t>Accords de l’UE en matière de visas avec des pays tiers</w:t>
        </w:r>
      </w:hyperlink>
      <w:r>
        <w:t>, consulté le 6 janvier 2026.</w:t>
      </w:r>
    </w:p>
  </w:footnote>
  <w:footnote w:id="6">
    <w:p w14:paraId="57753C8D" w14:textId="02CAFFD8" w:rsidR="00A574CB" w:rsidRPr="00A574CB" w:rsidRDefault="00A574CB">
      <w:pPr>
        <w:pStyle w:val="FootnoteText"/>
      </w:pPr>
      <w:r>
        <w:rPr>
          <w:rStyle w:val="FootnoteReference"/>
        </w:rPr>
        <w:footnoteRef/>
      </w:r>
      <w:r>
        <w:t xml:space="preserve"> </w:t>
      </w:r>
      <w:hyperlink r:id="rId3" w:anchor="section5449-3" w:history="1">
        <w:r>
          <w:rPr>
            <w:rStyle w:val="Hyperlink"/>
          </w:rPr>
          <w:t>Latest Asylum Trends - Annual Analysis |</w:t>
        </w:r>
      </w:hyperlink>
      <w:hyperlink r:id="rId4" w:anchor="section5449-3" w:history="1">
        <w:r>
          <w:rPr>
            <w:rStyle w:val="Hyperlink"/>
          </w:rPr>
          <w:t xml:space="preserve"> Agence de l’Union européenne pour l’asile</w:t>
        </w:r>
      </w:hyperlink>
      <w:r>
        <w:t>, consulté le 6 janvier 2026. Le graphique en barres interactif (dans l’onglet «Recognition rates» et la section «Main citizenships») présente les taux de reconnaissance par nationalité entre 2015 et 2024 et indique que ces taux sont très faibles pour les demandes introduites par des ressortissants de pays exemptés de visa.</w:t>
      </w:r>
    </w:p>
  </w:footnote>
  <w:footnote w:id="7">
    <w:p w14:paraId="05CEAAA2" w14:textId="04135603" w:rsidR="00A574CB" w:rsidRPr="00A574CB" w:rsidRDefault="00A574CB">
      <w:pPr>
        <w:pStyle w:val="FootnoteText"/>
      </w:pPr>
      <w:r>
        <w:rPr>
          <w:rStyle w:val="FootnoteReference"/>
        </w:rPr>
        <w:footnoteRef/>
      </w:r>
      <w:r>
        <w:t xml:space="preserve"> Les seuils fondés sur les taux de refus d’entrée ou de dépassement de la durée du séjour autorisé, ainsi que sur l’augmentation substantielle du nombre de demandes d’asile, ont été abaissés. De nouveaux motifs de suspension ont été ajoutés: l’application de programmes de citoyenneté par investissement, le non-alignement sur la politique de l’UE en matière de visas, le non-respect des engagements pris pendant les dialogues sur la libéralisation du régime des visas et la détérioration des relations extérieures entre l’UE et le pays tiers concerné.</w:t>
      </w:r>
    </w:p>
  </w:footnote>
  <w:footnote w:id="8">
    <w:p w14:paraId="42D786D2" w14:textId="4DFB82F6" w:rsidR="00A574CB" w:rsidRPr="00A574CB" w:rsidRDefault="00A574CB">
      <w:pPr>
        <w:pStyle w:val="FootnoteText"/>
      </w:pPr>
      <w:r>
        <w:rPr>
          <w:rStyle w:val="FootnoteReference"/>
        </w:rPr>
        <w:footnoteRef/>
      </w:r>
      <w:r>
        <w:t xml:space="preserve"> Règlement (CE) nº 810/2009 du Parlement européen et du Conseil du 13 juillet 2009 établissant un code communautaire des visas (JO L 243 du 15.9.2009, p. 1) («code des visas»).</w:t>
      </w:r>
    </w:p>
  </w:footnote>
  <w:footnote w:id="9">
    <w:p w14:paraId="478316F5" w14:textId="355AD9CE" w:rsidR="00A574CB" w:rsidRPr="00A574CB" w:rsidRDefault="00A574CB">
      <w:pPr>
        <w:pStyle w:val="FootnoteText"/>
      </w:pPr>
      <w:r>
        <w:rPr>
          <w:rStyle w:val="FootnoteReference"/>
        </w:rPr>
        <w:footnoteRef/>
      </w:r>
      <w:r>
        <w:t xml:space="preserve"> Les documents de voyage délivrés par les États membres de l’UE contiennent les empreintes digitales du titulaire. À l’heure actuelle, pour vérifier si les informations biométriques stockées dans ce document de voyage correspondent au titulaire, il faut des échanges bilatéraux de certificats entre les points de contact désignés des différents États membres (concrètement, 992 connexions techniques). Les différences techniques entre les systèmes peuvent avoir une incidence sur la vitesse de ces vérifications. </w:t>
      </w:r>
    </w:p>
  </w:footnote>
  <w:footnote w:id="10">
    <w:p w14:paraId="52995214" w14:textId="703FA33B" w:rsidR="00A574CB" w:rsidRPr="00A574CB" w:rsidRDefault="00A574CB">
      <w:pPr>
        <w:pStyle w:val="FootnoteText"/>
      </w:pPr>
      <w:r>
        <w:rPr>
          <w:rStyle w:val="FootnoteReference"/>
        </w:rPr>
        <w:footnoteRef/>
      </w:r>
      <w:r>
        <w:t xml:space="preserve"> La «course au visa» est une pratique par laquelle des personnes introduisent leur demande de visa non pas auprès du consulat de l’État membre qui correspond le mieux à la destination ou à l’objet principal réels de leur voyage, mais du consulat d’un État membre perçu comme offrant des conditions plus favorables, telles qu’un taux de refus plus faible, des délais de traitement plus rapides ou une prise de rendez-vous plus facile, ou par laquelle une personne introduit des demandes de visa dans différents États membres après un premier rejet. </w:t>
      </w:r>
    </w:p>
  </w:footnote>
  <w:footnote w:id="11">
    <w:p w14:paraId="4F6F4A2B" w14:textId="6ACDAF11" w:rsidR="00A574CB" w:rsidRPr="00A574CB" w:rsidRDefault="00A574CB">
      <w:pPr>
        <w:pStyle w:val="FootnoteText"/>
      </w:pPr>
      <w:r>
        <w:rPr>
          <w:rStyle w:val="FootnoteReference"/>
        </w:rPr>
        <w:footnoteRef/>
      </w:r>
      <w:r>
        <w:t xml:space="preserve"> La consultation préalable donne aux États membres le droit de contester leurs décisions respectives sur les visas; la consultation ex post leur permet d’être informés des décisions des autres États membres. </w:t>
      </w:r>
    </w:p>
  </w:footnote>
  <w:footnote w:id="12">
    <w:p w14:paraId="6D171635" w14:textId="7C937DEF" w:rsidR="00F5531F" w:rsidRDefault="00F5531F">
      <w:pPr>
        <w:pStyle w:val="FootnoteText"/>
      </w:pPr>
      <w:r>
        <w:rPr>
          <w:rStyle w:val="FootnoteReference"/>
        </w:rPr>
        <w:footnoteRef/>
      </w:r>
      <w:r>
        <w:t xml:space="preserve"> Conformément à la jurisprudence de la Cour de justice de l’Union européenne, les États membres ne sont pas tenus, par le droit de l’Union, de délivrer un visa pour des motifs humanitaires aux personnes qui souhaitent entrer sur leur territoire en vue de demander l’asile, mais ils ont toute latitude de le faire en vertu de leur droit national (arrêt dans l’affaire C-638/16 PPU, X et X/État belge).</w:t>
      </w:r>
    </w:p>
    <w:p w14:paraId="7C06FE4B" w14:textId="77777777" w:rsidR="00CE09B3" w:rsidRPr="0054581D" w:rsidRDefault="00CE09B3">
      <w:pPr>
        <w:pStyle w:val="FootnoteText"/>
        <w:rPr>
          <w:lang w:val="fr-BE"/>
        </w:rPr>
      </w:pPr>
    </w:p>
  </w:footnote>
  <w:footnote w:id="13">
    <w:p w14:paraId="2D31E1EC" w14:textId="1E26081E" w:rsidR="0039617F" w:rsidRPr="0039617F" w:rsidRDefault="0039617F">
      <w:pPr>
        <w:pStyle w:val="FootnoteText"/>
      </w:pPr>
      <w:r>
        <w:rPr>
          <w:rStyle w:val="FootnoteReference"/>
        </w:rPr>
        <w:footnoteRef/>
      </w:r>
      <w:r>
        <w:t xml:space="preserve"> </w:t>
      </w:r>
      <w:hyperlink r:id="rId5" w:history="1">
        <w:r>
          <w:rPr>
            <w:rStyle w:val="Hyperlink"/>
          </w:rPr>
          <w:t>COM/2025/185 final</w:t>
        </w:r>
      </w:hyperlink>
      <w:r>
        <w:t>.</w:t>
      </w:r>
    </w:p>
  </w:footnote>
  <w:footnote w:id="14">
    <w:p w14:paraId="44364970" w14:textId="164D3CAD" w:rsidR="00D02CBD" w:rsidRPr="00E4277A" w:rsidRDefault="00D02CBD" w:rsidP="006A1B93">
      <w:pPr>
        <w:pStyle w:val="FootnoteText"/>
        <w:ind w:left="120" w:hanging="120"/>
      </w:pPr>
      <w:r>
        <w:rPr>
          <w:rStyle w:val="FootnoteReference"/>
        </w:rPr>
        <w:footnoteRef/>
      </w:r>
      <w:r>
        <w:t xml:space="preserve"> </w:t>
      </w:r>
      <w:hyperlink r:id="rId6" w:anchor=":~:text=2%20min%20read-,Visa%20applications%20reach%2011.7%20million%20in%20EU%20and%20Schengen%20associated,and%20Schengen%20associated%20countries%20were:" w:history="1">
        <w:r>
          <w:rPr>
            <w:rStyle w:val="Hyperlink"/>
          </w:rPr>
          <w:t>DG HOME, Live work travel in EU</w:t>
        </w:r>
      </w:hyperlink>
      <w:r>
        <w:t>, consulté le 6 janvier 2026.</w:t>
      </w:r>
    </w:p>
  </w:footnote>
  <w:footnote w:id="15">
    <w:p w14:paraId="6845CC3F" w14:textId="22224FDF" w:rsidR="0039617F" w:rsidRPr="0039617F" w:rsidRDefault="0039617F">
      <w:pPr>
        <w:pStyle w:val="FootnoteText"/>
      </w:pPr>
      <w:r>
        <w:rPr>
          <w:rStyle w:val="FootnoteReference"/>
        </w:rPr>
        <w:footnoteRef/>
      </w:r>
      <w:r>
        <w:t xml:space="preserve"> Overview of EU tourism policy - Mobility and Transport, consulté le 6 janvier 2026.</w:t>
      </w:r>
    </w:p>
  </w:footnote>
  <w:footnote w:id="16">
    <w:p w14:paraId="737E5062" w14:textId="32054E57" w:rsidR="0039617F" w:rsidRPr="0039617F" w:rsidRDefault="0039617F">
      <w:pPr>
        <w:pStyle w:val="FootnoteText"/>
      </w:pPr>
      <w:r>
        <w:rPr>
          <w:rStyle w:val="FootnoteReference"/>
        </w:rPr>
        <w:footnoteRef/>
      </w:r>
      <w:r>
        <w:t xml:space="preserve"> </w:t>
      </w:r>
      <w:hyperlink r:id="rId7" w:history="1">
        <w:r>
          <w:rPr>
            <w:rStyle w:val="Hyperlink"/>
          </w:rPr>
          <w:t>COM/2025/785 final</w:t>
        </w:r>
      </w:hyperlink>
      <w:r>
        <w:t>.</w:t>
      </w:r>
    </w:p>
  </w:footnote>
  <w:footnote w:id="17">
    <w:p w14:paraId="17C76380" w14:textId="55EEF0D2" w:rsidR="0039617F" w:rsidRPr="0039617F" w:rsidRDefault="0039617F">
      <w:pPr>
        <w:pStyle w:val="FootnoteText"/>
      </w:pPr>
      <w:r>
        <w:rPr>
          <w:rStyle w:val="FootnoteReference"/>
        </w:rPr>
        <w:footnoteRef/>
      </w:r>
      <w:r>
        <w:t xml:space="preserve"> </w:t>
      </w:r>
      <w:hyperlink r:id="rId8" w:anchor=":~:text=:%20Eurostat%20(tour_dem_exage)-,Business%20travel%20accounts%20for%2012%25%20of%20total%20tourism%20expenditure%20in,)%20(see%20Figure%2011).&amp;amp;text=Business%20trips%20accounted%20for%2012,versus%20%E2%82%AC91%20per%20night)." w:history="1">
        <w:r>
          <w:rPr>
            <w:rStyle w:val="Hyperlink"/>
          </w:rPr>
          <w:t>Tourism statistics</w:t>
        </w:r>
      </w:hyperlink>
      <w:r>
        <w:t xml:space="preserve">, consulté le 6 janvier 2026. </w:t>
      </w:r>
      <w:hyperlink r:id="rId9" w:anchor=":~:text=Tourism%20is%20vital%20for%20Europeans,visitors%20to%20sustain%20their%20economies.">
        <w:r>
          <w:rPr>
            <w:rStyle w:val="Hyperlink"/>
          </w:rPr>
          <w:t>EU Tourism in 2024:</w:t>
        </w:r>
      </w:hyperlink>
      <w:hyperlink r:id="rId10" w:anchor=":~:text=Tourism%20is%20vital%20for%20Europeans,visitors%20to%20sustain%20their%20economies.">
        <w:r>
          <w:rPr>
            <w:rStyle w:val="Hyperlink"/>
          </w:rPr>
          <w:t xml:space="preserve"> Key Updates and Emerging Trends</w:t>
        </w:r>
      </w:hyperlink>
      <w:r>
        <w:t>, consulté le 6 janvier 2026.</w:t>
      </w:r>
    </w:p>
  </w:footnote>
  <w:footnote w:id="18">
    <w:p w14:paraId="6E3B96CC" w14:textId="1671415E" w:rsidR="0039617F" w:rsidRPr="0039617F" w:rsidRDefault="0039617F">
      <w:pPr>
        <w:pStyle w:val="FootnoteText"/>
      </w:pPr>
      <w:r>
        <w:rPr>
          <w:rStyle w:val="FootnoteReference"/>
        </w:rPr>
        <w:footnoteRef/>
      </w:r>
      <w:r>
        <w:t xml:space="preserve"> </w:t>
      </w:r>
      <w:hyperlink r:id="rId11" w:history="1">
        <w:r>
          <w:rPr>
            <w:rStyle w:val="Hyperlink"/>
          </w:rPr>
          <w:t>Schengen visa digitalisation</w:t>
        </w:r>
      </w:hyperlink>
      <w:r>
        <w:t>, consulté le 6 janvier 2026.</w:t>
      </w:r>
    </w:p>
  </w:footnote>
  <w:footnote w:id="19">
    <w:p w14:paraId="092F9863" w14:textId="0986DA05" w:rsidR="0039617F" w:rsidRPr="0039617F" w:rsidRDefault="0039617F">
      <w:pPr>
        <w:pStyle w:val="FootnoteText"/>
      </w:pPr>
      <w:r>
        <w:rPr>
          <w:rStyle w:val="FootnoteReference"/>
        </w:rPr>
        <w:footnoteRef/>
      </w:r>
      <w:r>
        <w:t xml:space="preserve"> Canada, Royaume-Uni, États-Unis.</w:t>
      </w:r>
    </w:p>
  </w:footnote>
  <w:footnote w:id="20">
    <w:p w14:paraId="727DCE66" w14:textId="1D537F1E" w:rsidR="00A574CB" w:rsidRPr="00A574CB" w:rsidRDefault="00A574CB">
      <w:pPr>
        <w:pStyle w:val="FootnoteText"/>
      </w:pPr>
      <w:r>
        <w:rPr>
          <w:rStyle w:val="FootnoteReference"/>
        </w:rPr>
        <w:footnoteRef/>
      </w:r>
      <w:r>
        <w:t xml:space="preserve"> </w:t>
      </w:r>
      <w:hyperlink r:id="rId12" w:history="1">
        <w:r>
          <w:rPr>
            <w:rStyle w:val="Hyperlink"/>
          </w:rPr>
          <w:t>ETIAS</w:t>
        </w:r>
      </w:hyperlink>
      <w:r>
        <w:t>, consulté le 6 janvier 2026.</w:t>
      </w:r>
    </w:p>
  </w:footnote>
  <w:footnote w:id="21">
    <w:p w14:paraId="7251015B" w14:textId="7FC03AD8" w:rsidR="00A574CB" w:rsidRPr="00A574CB" w:rsidRDefault="00A574CB">
      <w:pPr>
        <w:pStyle w:val="FootnoteText"/>
      </w:pPr>
      <w:r>
        <w:rPr>
          <w:rStyle w:val="FootnoteReference"/>
        </w:rPr>
        <w:footnoteRef/>
      </w:r>
      <w:r>
        <w:t xml:space="preserve"> </w:t>
      </w:r>
      <w:hyperlink r:id="rId13" w:history="1">
        <w:r>
          <w:rPr>
            <w:rStyle w:val="Hyperlink"/>
          </w:rPr>
          <w:t>COM(2025) 90 final</w:t>
        </w:r>
      </w:hyperlink>
      <w:r>
        <w:t>.</w:t>
      </w:r>
    </w:p>
  </w:footnote>
  <w:footnote w:id="22">
    <w:p w14:paraId="6C36EF1C" w14:textId="2E49D99C" w:rsidR="00A574CB" w:rsidRPr="0054581D" w:rsidRDefault="00A574CB">
      <w:pPr>
        <w:pStyle w:val="FootnoteText"/>
        <w:rPr>
          <w:lang w:val="en-IE"/>
        </w:rPr>
      </w:pPr>
      <w:r>
        <w:rPr>
          <w:rStyle w:val="FootnoteReference"/>
        </w:rPr>
        <w:footnoteRef/>
      </w:r>
      <w:r w:rsidRPr="0054581D">
        <w:rPr>
          <w:lang w:val="en-IE"/>
        </w:rPr>
        <w:t xml:space="preserve"> </w:t>
      </w:r>
      <w:hyperlink r:id="rId14" w:history="1">
        <w:r w:rsidRPr="0054581D">
          <w:rPr>
            <w:rStyle w:val="Hyperlink"/>
            <w:lang w:val="en-IE"/>
          </w:rPr>
          <w:t>COM(2025) 270 final</w:t>
        </w:r>
      </w:hyperlink>
      <w:r w:rsidRPr="0054581D">
        <w:rPr>
          <w:lang w:val="en-IE"/>
        </w:rPr>
        <w:t>.</w:t>
      </w:r>
    </w:p>
  </w:footnote>
  <w:footnote w:id="23">
    <w:p w14:paraId="3FFDAC4B" w14:textId="3F3FCE8C" w:rsidR="00A574CB" w:rsidRPr="0054581D" w:rsidRDefault="00A574CB">
      <w:pPr>
        <w:pStyle w:val="FootnoteText"/>
        <w:rPr>
          <w:lang w:val="en-IE"/>
        </w:rPr>
      </w:pPr>
      <w:r>
        <w:rPr>
          <w:rStyle w:val="FootnoteReference"/>
        </w:rPr>
        <w:footnoteRef/>
      </w:r>
      <w:r w:rsidRPr="0054581D">
        <w:rPr>
          <w:lang w:val="en-IE"/>
        </w:rPr>
        <w:t xml:space="preserve"> </w:t>
      </w:r>
      <w:hyperlink r:id="rId15" w:history="1">
        <w:r w:rsidRPr="0054581D">
          <w:rPr>
            <w:rStyle w:val="Hyperlink"/>
            <w:lang w:val="en-IE"/>
          </w:rPr>
          <w:t>COM(2025) 165 final</w:t>
        </w:r>
      </w:hyperlink>
      <w:r w:rsidRPr="0054581D">
        <w:rPr>
          <w:lang w:val="en-IE"/>
        </w:rPr>
        <w:t>.</w:t>
      </w:r>
    </w:p>
  </w:footnote>
  <w:footnote w:id="24">
    <w:p w14:paraId="49A78B18" w14:textId="201DFE32" w:rsidR="00A574CB" w:rsidRPr="0054581D" w:rsidRDefault="00A574CB">
      <w:pPr>
        <w:pStyle w:val="FootnoteText"/>
        <w:rPr>
          <w:lang w:val="en-IE"/>
        </w:rPr>
      </w:pPr>
      <w:r>
        <w:rPr>
          <w:rStyle w:val="FootnoteReference"/>
        </w:rPr>
        <w:footnoteRef/>
      </w:r>
      <w:r w:rsidRPr="0054581D">
        <w:rPr>
          <w:lang w:val="en-IE"/>
        </w:rPr>
        <w:t xml:space="preserve"> </w:t>
      </w:r>
      <w:hyperlink r:id="rId16" w:history="1">
        <w:r w:rsidRPr="0054581D">
          <w:rPr>
            <w:rStyle w:val="Hyperlink"/>
            <w:lang w:val="en-IE"/>
          </w:rPr>
          <w:t>Choose Europe:</w:t>
        </w:r>
      </w:hyperlink>
      <w:hyperlink r:id="rId17" w:history="1">
        <w:r w:rsidRPr="0054581D">
          <w:rPr>
            <w:rStyle w:val="Hyperlink"/>
            <w:lang w:val="en-IE"/>
          </w:rPr>
          <w:t xml:space="preserve"> advance your research career in the EU</w:t>
        </w:r>
      </w:hyperlink>
      <w:r w:rsidRPr="0054581D">
        <w:rPr>
          <w:lang w:val="en-IE"/>
        </w:rPr>
        <w:t>, consulté le 6 janvier 2026.</w:t>
      </w:r>
    </w:p>
  </w:footnote>
  <w:footnote w:id="25">
    <w:p w14:paraId="3DEA9C3A" w14:textId="1450C665" w:rsidR="00A574CB" w:rsidRPr="00A574CB" w:rsidRDefault="00A574CB">
      <w:pPr>
        <w:pStyle w:val="FootnoteText"/>
      </w:pPr>
      <w:r>
        <w:rPr>
          <w:rStyle w:val="FootnoteReference"/>
        </w:rPr>
        <w:footnoteRef/>
      </w:r>
      <w:r>
        <w:t xml:space="preserve"> </w:t>
      </w:r>
      <w:hyperlink r:id="rId18" w:history="1">
        <w:r>
          <w:rPr>
            <w:rStyle w:val="Hyperlink"/>
          </w:rPr>
          <w:t>JOIN(2025) 26 final</w:t>
        </w:r>
      </w:hyperlink>
      <w:r>
        <w:t xml:space="preserve">. </w:t>
      </w:r>
    </w:p>
  </w:footnote>
  <w:footnote w:id="26">
    <w:p w14:paraId="74E0BEB6" w14:textId="124C6DF7" w:rsidR="00A574CB" w:rsidRPr="00A574CB" w:rsidRDefault="00A574CB">
      <w:pPr>
        <w:pStyle w:val="FootnoteText"/>
      </w:pPr>
      <w:r>
        <w:rPr>
          <w:rStyle w:val="FootnoteReference"/>
        </w:rPr>
        <w:footnoteRef/>
      </w:r>
      <w:r>
        <w:t xml:space="preserve"> 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27">
    <w:p w14:paraId="2234CC81" w14:textId="74AE9262" w:rsidR="00A574CB" w:rsidRPr="00A574CB" w:rsidRDefault="00A574CB">
      <w:pPr>
        <w:pStyle w:val="FootnoteText"/>
      </w:pPr>
      <w:r>
        <w:rPr>
          <w:rStyle w:val="FootnoteReference"/>
        </w:rPr>
        <w:footnoteRef/>
      </w:r>
      <w:r>
        <w:t xml:space="preserve"> Directive (UE) 2021/1883 du Parlement européen et du Conseil du 20 octobre 2021 établissant les conditions d’entrée et de séjour des ressortissants de pays tiers aux fins d’un emploi hautement qualifié (JO L 382 du 28.10.2021, p 1).</w:t>
      </w:r>
    </w:p>
  </w:footnote>
  <w:footnote w:id="28">
    <w:p w14:paraId="630DFA62" w14:textId="75E83151" w:rsidR="00A574CB" w:rsidRPr="00A574CB" w:rsidRDefault="00A574CB">
      <w:pPr>
        <w:pStyle w:val="FootnoteText"/>
      </w:pPr>
      <w:r>
        <w:rPr>
          <w:rStyle w:val="FootnoteReference"/>
        </w:rPr>
        <w:footnoteRef/>
      </w:r>
      <w:r>
        <w:t xml:space="preserve"> </w:t>
      </w:r>
      <w:r>
        <w:rPr>
          <w:color w:val="000000" w:themeColor="text1"/>
        </w:rPr>
        <w:t>Les</w:t>
      </w:r>
      <w:r>
        <w:t xml:space="preserve"> partenariats pour les talents ont pour but de favoriser des cadres de coopération structurés avec les pays partenaires. La Commission, associée aux États membres de l’UE, a actuellement des partenariats pour les talents avec la Tunisie, le Maroc, l’Égypte, le Bangladesh et le Pakistan.</w:t>
      </w:r>
    </w:p>
  </w:footnote>
  <w:footnote w:id="29">
    <w:p w14:paraId="2D9B4D01" w14:textId="1FAA0912" w:rsidR="00A574CB" w:rsidRPr="00A574CB" w:rsidRDefault="00A574CB">
      <w:pPr>
        <w:pStyle w:val="FootnoteText"/>
      </w:pPr>
      <w:r>
        <w:rPr>
          <w:rStyle w:val="FootnoteReference"/>
        </w:rPr>
        <w:footnoteRef/>
      </w:r>
      <w:r>
        <w:t xml:space="preserve"> </w:t>
      </w:r>
      <w:hyperlink r:id="rId19" w:history="1">
        <w:r>
          <w:rPr>
            <w:rStyle w:val="Hyperlink"/>
          </w:rPr>
          <w:t>COM/2023/716</w:t>
        </w:r>
      </w:hyperlink>
      <w:r>
        <w:t>.</w:t>
      </w:r>
    </w:p>
  </w:footnote>
  <w:footnote w:id="30">
    <w:p w14:paraId="3800B0CD" w14:textId="595C865B" w:rsidR="00E83853" w:rsidRPr="00E83853" w:rsidRDefault="00E83853">
      <w:pPr>
        <w:pStyle w:val="FootnoteText"/>
      </w:pPr>
      <w:r>
        <w:rPr>
          <w:rStyle w:val="FootnoteReference"/>
        </w:rPr>
        <w:footnoteRef/>
      </w:r>
      <w:r>
        <w:t xml:space="preserve"> </w:t>
      </w:r>
      <w:bookmarkStart w:id="6" w:name="_Hlk220412826"/>
      <w:r>
        <w:t>Dans le cadre du réservoir de talents, les travailleurs peu ou moyennement qualifiés qui pourraient contribuer à remédier aux pénuries d’emplois pourraient bénéficier de procédures de demande de visa simplifiées.</w:t>
      </w:r>
      <w:bookmarkEnd w:id="6"/>
    </w:p>
  </w:footnote>
  <w:footnote w:id="31">
    <w:p w14:paraId="1BC80EA5" w14:textId="5FDB148E" w:rsidR="00A574CB" w:rsidRPr="00A574CB" w:rsidRDefault="00A574CB">
      <w:pPr>
        <w:pStyle w:val="FootnoteText"/>
      </w:pPr>
      <w:r>
        <w:rPr>
          <w:rStyle w:val="FootnoteReference"/>
        </w:rPr>
        <w:footnoteRef/>
      </w:r>
      <w:r>
        <w:t xml:space="preserve"> Recommandation du Conseil du 23 mai 2024 sur le renforcement de la sécurité de la recherche (JO C, C/2024/3510, 30.5.2024).</w:t>
      </w:r>
    </w:p>
  </w:footnote>
  <w:footnote w:id="32">
    <w:p w14:paraId="4269C51F" w14:textId="5A43894E" w:rsidR="00A574CB" w:rsidRPr="00A574CB" w:rsidRDefault="00A574CB">
      <w:pPr>
        <w:pStyle w:val="FootnoteText"/>
      </w:pPr>
      <w:r>
        <w:rPr>
          <w:rStyle w:val="FootnoteReference"/>
        </w:rPr>
        <w:footnoteRef/>
      </w:r>
      <w:r>
        <w:t xml:space="preserve"> Ainsi que le prévoit le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10AEB" w14:textId="77777777" w:rsidR="00A371D4" w:rsidRPr="00A371D4" w:rsidRDefault="00A371D4" w:rsidP="00A371D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653C8" w14:textId="77777777" w:rsidR="00A371D4" w:rsidRPr="00A371D4" w:rsidRDefault="00A371D4" w:rsidP="00A371D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D9E1E" w14:textId="77777777" w:rsidR="00A371D4" w:rsidRPr="00A371D4" w:rsidRDefault="00A371D4" w:rsidP="00A371D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02C9" w14:textId="77777777" w:rsidR="00797394" w:rsidRDefault="007973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1103F" w14:textId="77777777" w:rsidR="00797394" w:rsidRDefault="007973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99D0A" w14:textId="77777777" w:rsidR="00797394" w:rsidRDefault="00797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05B5B"/>
    <w:multiLevelType w:val="hybridMultilevel"/>
    <w:tmpl w:val="0E066850"/>
    <w:lvl w:ilvl="0" w:tplc="58E840AA">
      <w:start w:val="1"/>
      <w:numFmt w:val="decimal"/>
      <w:lvlText w:val="%1."/>
      <w:lvlJc w:val="left"/>
      <w:pPr>
        <w:ind w:left="720" w:hanging="360"/>
      </w:pPr>
      <w:rPr>
        <w:rFonts w:hint="default"/>
        <w:lang w:val="en-G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77B2C71"/>
    <w:multiLevelType w:val="hybridMultilevel"/>
    <w:tmpl w:val="0F4AE34C"/>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4E65D53"/>
    <w:multiLevelType w:val="hybridMultilevel"/>
    <w:tmpl w:val="25FC7F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5A012387"/>
    <w:multiLevelType w:val="hybridMultilevel"/>
    <w:tmpl w:val="2264C824"/>
    <w:lvl w:ilvl="0" w:tplc="9ABCB338">
      <w:start w:val="1"/>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AC63321"/>
    <w:multiLevelType w:val="hybridMultilevel"/>
    <w:tmpl w:val="FA0C31CA"/>
    <w:lvl w:ilvl="0" w:tplc="FFFFFFFF">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12B4D02"/>
    <w:multiLevelType w:val="hybridMultilevel"/>
    <w:tmpl w:val="032AC7E4"/>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1E94D05"/>
    <w:multiLevelType w:val="hybridMultilevel"/>
    <w:tmpl w:val="199003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79667ECB"/>
    <w:multiLevelType w:val="hybridMultilevel"/>
    <w:tmpl w:val="DE8C3B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7"/>
  </w:num>
  <w:num w:numId="5">
    <w:abstractNumId w:val="5"/>
  </w:num>
  <w:num w:numId="6">
    <w:abstractNumId w:val="2"/>
  </w:num>
  <w:num w:numId="7">
    <w:abstractNumId w:val="4"/>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A0659C9-0061-49D0-B338-D41B7693A917"/>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stratégie de l'UE en matière de politique des visas"/>
    <w:docVar w:name="LW_TYPE.DOC.CP" w:val="COMMUNICATION DE LA COMMISSION AU PARLEMENT EUROPÉEN ET AU CONSEIL"/>
    <w:docVar w:name="LW_TYPE.DOC.CP.USERTEXT" w:val="&lt;EMPTY&gt;"/>
    <w:docVar w:name="LwApiVersions" w:val="LW4CoDe 1.24.5.0; LW 9.2, Build 20251112"/>
  </w:docVars>
  <w:rsids>
    <w:rsidRoot w:val="00931006"/>
    <w:rsid w:val="00000021"/>
    <w:rsid w:val="00000565"/>
    <w:rsid w:val="0000064C"/>
    <w:rsid w:val="000008AB"/>
    <w:rsid w:val="0000104D"/>
    <w:rsid w:val="000010FC"/>
    <w:rsid w:val="000013DB"/>
    <w:rsid w:val="00001407"/>
    <w:rsid w:val="0000150F"/>
    <w:rsid w:val="000016A9"/>
    <w:rsid w:val="00001AD6"/>
    <w:rsid w:val="00001AF9"/>
    <w:rsid w:val="00001D8A"/>
    <w:rsid w:val="00001F9F"/>
    <w:rsid w:val="00002093"/>
    <w:rsid w:val="00002209"/>
    <w:rsid w:val="000022C4"/>
    <w:rsid w:val="00002495"/>
    <w:rsid w:val="000027B6"/>
    <w:rsid w:val="000028E5"/>
    <w:rsid w:val="00002B57"/>
    <w:rsid w:val="00002BA6"/>
    <w:rsid w:val="00002BC7"/>
    <w:rsid w:val="00002F7C"/>
    <w:rsid w:val="0000309F"/>
    <w:rsid w:val="00003159"/>
    <w:rsid w:val="000031AB"/>
    <w:rsid w:val="000032ED"/>
    <w:rsid w:val="00003688"/>
    <w:rsid w:val="0000378F"/>
    <w:rsid w:val="00003ABA"/>
    <w:rsid w:val="00003C23"/>
    <w:rsid w:val="00003E13"/>
    <w:rsid w:val="0000406F"/>
    <w:rsid w:val="0000439F"/>
    <w:rsid w:val="00004AFF"/>
    <w:rsid w:val="00004CC0"/>
    <w:rsid w:val="00004D1E"/>
    <w:rsid w:val="00004FC8"/>
    <w:rsid w:val="00005157"/>
    <w:rsid w:val="000051EA"/>
    <w:rsid w:val="000052FA"/>
    <w:rsid w:val="00005358"/>
    <w:rsid w:val="00005393"/>
    <w:rsid w:val="000053E1"/>
    <w:rsid w:val="000056FA"/>
    <w:rsid w:val="00005795"/>
    <w:rsid w:val="00005AB3"/>
    <w:rsid w:val="00005C75"/>
    <w:rsid w:val="00005FBA"/>
    <w:rsid w:val="000060D1"/>
    <w:rsid w:val="000063FD"/>
    <w:rsid w:val="00006461"/>
    <w:rsid w:val="000064D5"/>
    <w:rsid w:val="000064ED"/>
    <w:rsid w:val="0000670F"/>
    <w:rsid w:val="00006761"/>
    <w:rsid w:val="000069E1"/>
    <w:rsid w:val="00006B48"/>
    <w:rsid w:val="00006B73"/>
    <w:rsid w:val="00006F3E"/>
    <w:rsid w:val="00007204"/>
    <w:rsid w:val="00007928"/>
    <w:rsid w:val="000079C4"/>
    <w:rsid w:val="00007A50"/>
    <w:rsid w:val="00007D03"/>
    <w:rsid w:val="00007F81"/>
    <w:rsid w:val="00010530"/>
    <w:rsid w:val="00010697"/>
    <w:rsid w:val="000107F0"/>
    <w:rsid w:val="00010805"/>
    <w:rsid w:val="00010B35"/>
    <w:rsid w:val="00010EB2"/>
    <w:rsid w:val="00011089"/>
    <w:rsid w:val="00011140"/>
    <w:rsid w:val="00011238"/>
    <w:rsid w:val="00011516"/>
    <w:rsid w:val="000115B8"/>
    <w:rsid w:val="0001177D"/>
    <w:rsid w:val="00011783"/>
    <w:rsid w:val="00011816"/>
    <w:rsid w:val="000119ED"/>
    <w:rsid w:val="00011B02"/>
    <w:rsid w:val="00011D53"/>
    <w:rsid w:val="00011D99"/>
    <w:rsid w:val="00011F1C"/>
    <w:rsid w:val="000122AD"/>
    <w:rsid w:val="0001242A"/>
    <w:rsid w:val="00012440"/>
    <w:rsid w:val="00012C3E"/>
    <w:rsid w:val="00012CBB"/>
    <w:rsid w:val="00012D3C"/>
    <w:rsid w:val="00012DEE"/>
    <w:rsid w:val="0001329E"/>
    <w:rsid w:val="000132A5"/>
    <w:rsid w:val="000133B8"/>
    <w:rsid w:val="0001346E"/>
    <w:rsid w:val="00013772"/>
    <w:rsid w:val="00013A16"/>
    <w:rsid w:val="00013EC5"/>
    <w:rsid w:val="00013F26"/>
    <w:rsid w:val="00013FF2"/>
    <w:rsid w:val="0001404C"/>
    <w:rsid w:val="00014194"/>
    <w:rsid w:val="000142E0"/>
    <w:rsid w:val="000143BF"/>
    <w:rsid w:val="00014554"/>
    <w:rsid w:val="000147B6"/>
    <w:rsid w:val="00014A60"/>
    <w:rsid w:val="00014F2D"/>
    <w:rsid w:val="000150C5"/>
    <w:rsid w:val="000152BC"/>
    <w:rsid w:val="00015494"/>
    <w:rsid w:val="000155B3"/>
    <w:rsid w:val="0001561B"/>
    <w:rsid w:val="00015737"/>
    <w:rsid w:val="000157C3"/>
    <w:rsid w:val="00015965"/>
    <w:rsid w:val="000159D3"/>
    <w:rsid w:val="00015D22"/>
    <w:rsid w:val="00015FC4"/>
    <w:rsid w:val="000162B4"/>
    <w:rsid w:val="000164DE"/>
    <w:rsid w:val="00016844"/>
    <w:rsid w:val="000168B8"/>
    <w:rsid w:val="00016D9C"/>
    <w:rsid w:val="00016DCF"/>
    <w:rsid w:val="00016EC3"/>
    <w:rsid w:val="000175C8"/>
    <w:rsid w:val="0001768D"/>
    <w:rsid w:val="0001787C"/>
    <w:rsid w:val="0001795D"/>
    <w:rsid w:val="00017A1F"/>
    <w:rsid w:val="00017B0B"/>
    <w:rsid w:val="00017C54"/>
    <w:rsid w:val="00017C9E"/>
    <w:rsid w:val="00017D25"/>
    <w:rsid w:val="00017E5B"/>
    <w:rsid w:val="00017E94"/>
    <w:rsid w:val="00017FF7"/>
    <w:rsid w:val="0002022B"/>
    <w:rsid w:val="00020274"/>
    <w:rsid w:val="00020757"/>
    <w:rsid w:val="000209D3"/>
    <w:rsid w:val="00020C8D"/>
    <w:rsid w:val="00020E97"/>
    <w:rsid w:val="000213EA"/>
    <w:rsid w:val="000215B3"/>
    <w:rsid w:val="000219B5"/>
    <w:rsid w:val="000219C2"/>
    <w:rsid w:val="000219CF"/>
    <w:rsid w:val="00021A28"/>
    <w:rsid w:val="00021B42"/>
    <w:rsid w:val="00021D51"/>
    <w:rsid w:val="00021E62"/>
    <w:rsid w:val="00022048"/>
    <w:rsid w:val="0002208B"/>
    <w:rsid w:val="00022147"/>
    <w:rsid w:val="00022320"/>
    <w:rsid w:val="00022484"/>
    <w:rsid w:val="0002251E"/>
    <w:rsid w:val="000226C5"/>
    <w:rsid w:val="0002277D"/>
    <w:rsid w:val="000228EB"/>
    <w:rsid w:val="00022905"/>
    <w:rsid w:val="0002298A"/>
    <w:rsid w:val="00022ADC"/>
    <w:rsid w:val="00022BC4"/>
    <w:rsid w:val="00022C93"/>
    <w:rsid w:val="00022CA3"/>
    <w:rsid w:val="000232B6"/>
    <w:rsid w:val="00023471"/>
    <w:rsid w:val="00023542"/>
    <w:rsid w:val="0002384F"/>
    <w:rsid w:val="00023942"/>
    <w:rsid w:val="00023A8F"/>
    <w:rsid w:val="00023AEC"/>
    <w:rsid w:val="00023D85"/>
    <w:rsid w:val="00023DFB"/>
    <w:rsid w:val="00024354"/>
    <w:rsid w:val="000243D1"/>
    <w:rsid w:val="000243F2"/>
    <w:rsid w:val="000243F6"/>
    <w:rsid w:val="00024545"/>
    <w:rsid w:val="00024726"/>
    <w:rsid w:val="000249C4"/>
    <w:rsid w:val="00024B1E"/>
    <w:rsid w:val="00024BA0"/>
    <w:rsid w:val="00024D24"/>
    <w:rsid w:val="00025008"/>
    <w:rsid w:val="000252D2"/>
    <w:rsid w:val="000254D7"/>
    <w:rsid w:val="00025591"/>
    <w:rsid w:val="00025601"/>
    <w:rsid w:val="00025756"/>
    <w:rsid w:val="00025993"/>
    <w:rsid w:val="00025AE5"/>
    <w:rsid w:val="00025AF7"/>
    <w:rsid w:val="00025B91"/>
    <w:rsid w:val="00025C51"/>
    <w:rsid w:val="00025E48"/>
    <w:rsid w:val="00025F54"/>
    <w:rsid w:val="0002651E"/>
    <w:rsid w:val="000265C9"/>
    <w:rsid w:val="0002672E"/>
    <w:rsid w:val="00026804"/>
    <w:rsid w:val="00026B9B"/>
    <w:rsid w:val="00026CA8"/>
    <w:rsid w:val="00026D98"/>
    <w:rsid w:val="00026E6A"/>
    <w:rsid w:val="0002713A"/>
    <w:rsid w:val="00027166"/>
    <w:rsid w:val="00027433"/>
    <w:rsid w:val="00027591"/>
    <w:rsid w:val="000276E2"/>
    <w:rsid w:val="00027A1F"/>
    <w:rsid w:val="00027BAE"/>
    <w:rsid w:val="00027D76"/>
    <w:rsid w:val="000302DD"/>
    <w:rsid w:val="000304EF"/>
    <w:rsid w:val="0003086F"/>
    <w:rsid w:val="00030A44"/>
    <w:rsid w:val="00030AD0"/>
    <w:rsid w:val="00030CB4"/>
    <w:rsid w:val="00030D9F"/>
    <w:rsid w:val="00030E63"/>
    <w:rsid w:val="00030F34"/>
    <w:rsid w:val="0003116D"/>
    <w:rsid w:val="000314B5"/>
    <w:rsid w:val="000315E2"/>
    <w:rsid w:val="00031698"/>
    <w:rsid w:val="0003171F"/>
    <w:rsid w:val="00031948"/>
    <w:rsid w:val="00031B0E"/>
    <w:rsid w:val="00031B5F"/>
    <w:rsid w:val="00031B7A"/>
    <w:rsid w:val="00031B7C"/>
    <w:rsid w:val="00032084"/>
    <w:rsid w:val="00032145"/>
    <w:rsid w:val="000324B3"/>
    <w:rsid w:val="00032577"/>
    <w:rsid w:val="00032A04"/>
    <w:rsid w:val="00032BBE"/>
    <w:rsid w:val="00032DB1"/>
    <w:rsid w:val="00032DFF"/>
    <w:rsid w:val="00032F39"/>
    <w:rsid w:val="000333D4"/>
    <w:rsid w:val="00033606"/>
    <w:rsid w:val="00033614"/>
    <w:rsid w:val="00033660"/>
    <w:rsid w:val="00033672"/>
    <w:rsid w:val="00033889"/>
    <w:rsid w:val="00033931"/>
    <w:rsid w:val="00033962"/>
    <w:rsid w:val="00033998"/>
    <w:rsid w:val="00033A8B"/>
    <w:rsid w:val="00033CB5"/>
    <w:rsid w:val="00033E1B"/>
    <w:rsid w:val="000340CB"/>
    <w:rsid w:val="000341E7"/>
    <w:rsid w:val="000341ED"/>
    <w:rsid w:val="00034772"/>
    <w:rsid w:val="0003485E"/>
    <w:rsid w:val="000349DE"/>
    <w:rsid w:val="00034A20"/>
    <w:rsid w:val="00034B55"/>
    <w:rsid w:val="000350E7"/>
    <w:rsid w:val="00035429"/>
    <w:rsid w:val="00035705"/>
    <w:rsid w:val="000358D7"/>
    <w:rsid w:val="00035F28"/>
    <w:rsid w:val="0003611D"/>
    <w:rsid w:val="00036122"/>
    <w:rsid w:val="000362A6"/>
    <w:rsid w:val="000368F2"/>
    <w:rsid w:val="00036B65"/>
    <w:rsid w:val="00036BA5"/>
    <w:rsid w:val="00036CC8"/>
    <w:rsid w:val="00036E49"/>
    <w:rsid w:val="00036EDC"/>
    <w:rsid w:val="00037023"/>
    <w:rsid w:val="0003706A"/>
    <w:rsid w:val="00037609"/>
    <w:rsid w:val="00037997"/>
    <w:rsid w:val="000379CE"/>
    <w:rsid w:val="00037ACE"/>
    <w:rsid w:val="00037B83"/>
    <w:rsid w:val="00037C91"/>
    <w:rsid w:val="00037EE3"/>
    <w:rsid w:val="0003FA49"/>
    <w:rsid w:val="00040128"/>
    <w:rsid w:val="000401AE"/>
    <w:rsid w:val="00040353"/>
    <w:rsid w:val="00040431"/>
    <w:rsid w:val="000404DC"/>
    <w:rsid w:val="0004065A"/>
    <w:rsid w:val="00040841"/>
    <w:rsid w:val="00040CB0"/>
    <w:rsid w:val="00040D0E"/>
    <w:rsid w:val="00040EC8"/>
    <w:rsid w:val="00041255"/>
    <w:rsid w:val="000412A6"/>
    <w:rsid w:val="00041351"/>
    <w:rsid w:val="0004147C"/>
    <w:rsid w:val="0004161E"/>
    <w:rsid w:val="0004179B"/>
    <w:rsid w:val="00041B2B"/>
    <w:rsid w:val="00041B45"/>
    <w:rsid w:val="00041C40"/>
    <w:rsid w:val="00041FF6"/>
    <w:rsid w:val="00042137"/>
    <w:rsid w:val="00042A95"/>
    <w:rsid w:val="00042ABA"/>
    <w:rsid w:val="00042B8C"/>
    <w:rsid w:val="00042DA5"/>
    <w:rsid w:val="00042DF6"/>
    <w:rsid w:val="00042E91"/>
    <w:rsid w:val="00042EF9"/>
    <w:rsid w:val="00042F08"/>
    <w:rsid w:val="00043042"/>
    <w:rsid w:val="00043118"/>
    <w:rsid w:val="00043453"/>
    <w:rsid w:val="00043562"/>
    <w:rsid w:val="0004364F"/>
    <w:rsid w:val="00043A6B"/>
    <w:rsid w:val="00043D49"/>
    <w:rsid w:val="00043F02"/>
    <w:rsid w:val="00043FCB"/>
    <w:rsid w:val="00044141"/>
    <w:rsid w:val="00044156"/>
    <w:rsid w:val="00044237"/>
    <w:rsid w:val="00044649"/>
    <w:rsid w:val="00044767"/>
    <w:rsid w:val="0004485E"/>
    <w:rsid w:val="00044885"/>
    <w:rsid w:val="0004490B"/>
    <w:rsid w:val="000449D4"/>
    <w:rsid w:val="00044BAF"/>
    <w:rsid w:val="00044D2A"/>
    <w:rsid w:val="00044D63"/>
    <w:rsid w:val="00044D6E"/>
    <w:rsid w:val="00044F5E"/>
    <w:rsid w:val="00045173"/>
    <w:rsid w:val="000452CE"/>
    <w:rsid w:val="000455DF"/>
    <w:rsid w:val="00045694"/>
    <w:rsid w:val="00045C68"/>
    <w:rsid w:val="00045CA9"/>
    <w:rsid w:val="00045DA0"/>
    <w:rsid w:val="00046002"/>
    <w:rsid w:val="00046057"/>
    <w:rsid w:val="00046074"/>
    <w:rsid w:val="00046220"/>
    <w:rsid w:val="0004623F"/>
    <w:rsid w:val="00046319"/>
    <w:rsid w:val="0004641C"/>
    <w:rsid w:val="00046650"/>
    <w:rsid w:val="00046691"/>
    <w:rsid w:val="000468E7"/>
    <w:rsid w:val="00046A10"/>
    <w:rsid w:val="00046A5E"/>
    <w:rsid w:val="00046D96"/>
    <w:rsid w:val="00046F20"/>
    <w:rsid w:val="00046F89"/>
    <w:rsid w:val="00046F97"/>
    <w:rsid w:val="0004701F"/>
    <w:rsid w:val="00047094"/>
    <w:rsid w:val="0004743D"/>
    <w:rsid w:val="000475B8"/>
    <w:rsid w:val="00047D15"/>
    <w:rsid w:val="000501A8"/>
    <w:rsid w:val="0005020E"/>
    <w:rsid w:val="00050680"/>
    <w:rsid w:val="00050756"/>
    <w:rsid w:val="00050890"/>
    <w:rsid w:val="00050913"/>
    <w:rsid w:val="00050BFD"/>
    <w:rsid w:val="00050D37"/>
    <w:rsid w:val="0005126E"/>
    <w:rsid w:val="00051459"/>
    <w:rsid w:val="000514DA"/>
    <w:rsid w:val="00051577"/>
    <w:rsid w:val="000517A6"/>
    <w:rsid w:val="0005182E"/>
    <w:rsid w:val="00051A4C"/>
    <w:rsid w:val="00051F7B"/>
    <w:rsid w:val="00052026"/>
    <w:rsid w:val="0005209E"/>
    <w:rsid w:val="00052262"/>
    <w:rsid w:val="00052438"/>
    <w:rsid w:val="000525D2"/>
    <w:rsid w:val="0005281B"/>
    <w:rsid w:val="0005281F"/>
    <w:rsid w:val="000528B6"/>
    <w:rsid w:val="000529C4"/>
    <w:rsid w:val="00052BA8"/>
    <w:rsid w:val="00052C4E"/>
    <w:rsid w:val="00052EB4"/>
    <w:rsid w:val="00052F91"/>
    <w:rsid w:val="00053141"/>
    <w:rsid w:val="0005316E"/>
    <w:rsid w:val="00053438"/>
    <w:rsid w:val="00053455"/>
    <w:rsid w:val="0005351A"/>
    <w:rsid w:val="00053AAA"/>
    <w:rsid w:val="00053BC3"/>
    <w:rsid w:val="00053C6B"/>
    <w:rsid w:val="00053FC3"/>
    <w:rsid w:val="000542BD"/>
    <w:rsid w:val="00054456"/>
    <w:rsid w:val="000548D5"/>
    <w:rsid w:val="00054AD9"/>
    <w:rsid w:val="00054D04"/>
    <w:rsid w:val="0005504C"/>
    <w:rsid w:val="00055092"/>
    <w:rsid w:val="000552A9"/>
    <w:rsid w:val="000552BE"/>
    <w:rsid w:val="00055309"/>
    <w:rsid w:val="00055333"/>
    <w:rsid w:val="000554CB"/>
    <w:rsid w:val="000554F3"/>
    <w:rsid w:val="000556DF"/>
    <w:rsid w:val="000559AF"/>
    <w:rsid w:val="00055CB0"/>
    <w:rsid w:val="00055D10"/>
    <w:rsid w:val="00055D5C"/>
    <w:rsid w:val="00056017"/>
    <w:rsid w:val="00056023"/>
    <w:rsid w:val="0005603A"/>
    <w:rsid w:val="00056381"/>
    <w:rsid w:val="00056449"/>
    <w:rsid w:val="000564FA"/>
    <w:rsid w:val="0005662C"/>
    <w:rsid w:val="0005676F"/>
    <w:rsid w:val="000567D1"/>
    <w:rsid w:val="00056974"/>
    <w:rsid w:val="00056998"/>
    <w:rsid w:val="00056D7C"/>
    <w:rsid w:val="00057028"/>
    <w:rsid w:val="000572D7"/>
    <w:rsid w:val="00057566"/>
    <w:rsid w:val="00057594"/>
    <w:rsid w:val="000576AE"/>
    <w:rsid w:val="00057852"/>
    <w:rsid w:val="00057A88"/>
    <w:rsid w:val="00057DD8"/>
    <w:rsid w:val="00057E41"/>
    <w:rsid w:val="00057E85"/>
    <w:rsid w:val="000600AB"/>
    <w:rsid w:val="000600C1"/>
    <w:rsid w:val="00060104"/>
    <w:rsid w:val="000604D5"/>
    <w:rsid w:val="000604F5"/>
    <w:rsid w:val="00060582"/>
    <w:rsid w:val="000605AC"/>
    <w:rsid w:val="000605FC"/>
    <w:rsid w:val="00060710"/>
    <w:rsid w:val="00060DCF"/>
    <w:rsid w:val="00060F39"/>
    <w:rsid w:val="00060F9F"/>
    <w:rsid w:val="000610DB"/>
    <w:rsid w:val="000613D9"/>
    <w:rsid w:val="000615E2"/>
    <w:rsid w:val="000616BA"/>
    <w:rsid w:val="000616D0"/>
    <w:rsid w:val="00061A12"/>
    <w:rsid w:val="00061A2B"/>
    <w:rsid w:val="00061A2C"/>
    <w:rsid w:val="00061B4E"/>
    <w:rsid w:val="00061BA4"/>
    <w:rsid w:val="00061BB4"/>
    <w:rsid w:val="00061D3B"/>
    <w:rsid w:val="000620C8"/>
    <w:rsid w:val="00062301"/>
    <w:rsid w:val="000625B8"/>
    <w:rsid w:val="00062889"/>
    <w:rsid w:val="00062C8E"/>
    <w:rsid w:val="000630D0"/>
    <w:rsid w:val="000632E4"/>
    <w:rsid w:val="00063322"/>
    <w:rsid w:val="0006332C"/>
    <w:rsid w:val="000634D6"/>
    <w:rsid w:val="000637AB"/>
    <w:rsid w:val="000639E4"/>
    <w:rsid w:val="00063C9A"/>
    <w:rsid w:val="00063D06"/>
    <w:rsid w:val="00063D26"/>
    <w:rsid w:val="00063E9E"/>
    <w:rsid w:val="00064028"/>
    <w:rsid w:val="000641D3"/>
    <w:rsid w:val="00064A7D"/>
    <w:rsid w:val="00064C68"/>
    <w:rsid w:val="00064F13"/>
    <w:rsid w:val="00065019"/>
    <w:rsid w:val="000650AA"/>
    <w:rsid w:val="0006545E"/>
    <w:rsid w:val="0006553A"/>
    <w:rsid w:val="00065548"/>
    <w:rsid w:val="0006580C"/>
    <w:rsid w:val="000658F5"/>
    <w:rsid w:val="000659C5"/>
    <w:rsid w:val="00065B7D"/>
    <w:rsid w:val="00065C77"/>
    <w:rsid w:val="00065FEA"/>
    <w:rsid w:val="0006600E"/>
    <w:rsid w:val="000660A2"/>
    <w:rsid w:val="00066335"/>
    <w:rsid w:val="0006640C"/>
    <w:rsid w:val="000664DE"/>
    <w:rsid w:val="00066786"/>
    <w:rsid w:val="00066848"/>
    <w:rsid w:val="0006689F"/>
    <w:rsid w:val="000668DB"/>
    <w:rsid w:val="000669A9"/>
    <w:rsid w:val="000669CB"/>
    <w:rsid w:val="00066A65"/>
    <w:rsid w:val="00066C8F"/>
    <w:rsid w:val="00066E1A"/>
    <w:rsid w:val="0006737A"/>
    <w:rsid w:val="00067392"/>
    <w:rsid w:val="000674E0"/>
    <w:rsid w:val="00067857"/>
    <w:rsid w:val="0006790E"/>
    <w:rsid w:val="00067BB9"/>
    <w:rsid w:val="00067C16"/>
    <w:rsid w:val="00067C6E"/>
    <w:rsid w:val="00067C6F"/>
    <w:rsid w:val="00067F60"/>
    <w:rsid w:val="00070058"/>
    <w:rsid w:val="00070076"/>
    <w:rsid w:val="00070136"/>
    <w:rsid w:val="00070199"/>
    <w:rsid w:val="00070272"/>
    <w:rsid w:val="00070298"/>
    <w:rsid w:val="000702B5"/>
    <w:rsid w:val="0007078A"/>
    <w:rsid w:val="000707BC"/>
    <w:rsid w:val="000709C5"/>
    <w:rsid w:val="000709E7"/>
    <w:rsid w:val="00070A30"/>
    <w:rsid w:val="00070AAD"/>
    <w:rsid w:val="00070BA3"/>
    <w:rsid w:val="00070F22"/>
    <w:rsid w:val="000710D6"/>
    <w:rsid w:val="000712F8"/>
    <w:rsid w:val="000713F1"/>
    <w:rsid w:val="0007141E"/>
    <w:rsid w:val="00071543"/>
    <w:rsid w:val="00071612"/>
    <w:rsid w:val="0007162D"/>
    <w:rsid w:val="0007172B"/>
    <w:rsid w:val="000719D2"/>
    <w:rsid w:val="00071E4F"/>
    <w:rsid w:val="00072007"/>
    <w:rsid w:val="00072076"/>
    <w:rsid w:val="0007207C"/>
    <w:rsid w:val="000722A4"/>
    <w:rsid w:val="000724D8"/>
    <w:rsid w:val="000727D6"/>
    <w:rsid w:val="0007292D"/>
    <w:rsid w:val="00072C93"/>
    <w:rsid w:val="00072E29"/>
    <w:rsid w:val="00072FD6"/>
    <w:rsid w:val="00073149"/>
    <w:rsid w:val="00073418"/>
    <w:rsid w:val="000734ED"/>
    <w:rsid w:val="000736C0"/>
    <w:rsid w:val="0007383A"/>
    <w:rsid w:val="00073A04"/>
    <w:rsid w:val="00073A05"/>
    <w:rsid w:val="00073BEE"/>
    <w:rsid w:val="00073D44"/>
    <w:rsid w:val="0007400A"/>
    <w:rsid w:val="0007421C"/>
    <w:rsid w:val="00074426"/>
    <w:rsid w:val="0007451A"/>
    <w:rsid w:val="00074544"/>
    <w:rsid w:val="0007468A"/>
    <w:rsid w:val="00074860"/>
    <w:rsid w:val="00074926"/>
    <w:rsid w:val="00074A2B"/>
    <w:rsid w:val="00074ABB"/>
    <w:rsid w:val="00074F23"/>
    <w:rsid w:val="00075299"/>
    <w:rsid w:val="000752B2"/>
    <w:rsid w:val="00075357"/>
    <w:rsid w:val="00075547"/>
    <w:rsid w:val="000756AA"/>
    <w:rsid w:val="000759AC"/>
    <w:rsid w:val="00075AA6"/>
    <w:rsid w:val="00075BFE"/>
    <w:rsid w:val="00075C10"/>
    <w:rsid w:val="00075C2F"/>
    <w:rsid w:val="00075CA5"/>
    <w:rsid w:val="00076012"/>
    <w:rsid w:val="00076192"/>
    <w:rsid w:val="000761A3"/>
    <w:rsid w:val="000761C2"/>
    <w:rsid w:val="0007629B"/>
    <w:rsid w:val="0007633A"/>
    <w:rsid w:val="000764BB"/>
    <w:rsid w:val="0007656F"/>
    <w:rsid w:val="00076745"/>
    <w:rsid w:val="000767ED"/>
    <w:rsid w:val="00076A1D"/>
    <w:rsid w:val="00076AE3"/>
    <w:rsid w:val="00076BDB"/>
    <w:rsid w:val="00076D38"/>
    <w:rsid w:val="00076FAB"/>
    <w:rsid w:val="00077151"/>
    <w:rsid w:val="000772AE"/>
    <w:rsid w:val="000772C3"/>
    <w:rsid w:val="000776FB"/>
    <w:rsid w:val="00077957"/>
    <w:rsid w:val="000779D7"/>
    <w:rsid w:val="00077B80"/>
    <w:rsid w:val="00077B9F"/>
    <w:rsid w:val="00077C7E"/>
    <w:rsid w:val="00077CB2"/>
    <w:rsid w:val="000800CF"/>
    <w:rsid w:val="00080689"/>
    <w:rsid w:val="000806A1"/>
    <w:rsid w:val="0008081C"/>
    <w:rsid w:val="00080A8F"/>
    <w:rsid w:val="00080B75"/>
    <w:rsid w:val="00080D2F"/>
    <w:rsid w:val="00081330"/>
    <w:rsid w:val="000813ED"/>
    <w:rsid w:val="000813F3"/>
    <w:rsid w:val="0008147B"/>
    <w:rsid w:val="0008182F"/>
    <w:rsid w:val="00081860"/>
    <w:rsid w:val="00081B08"/>
    <w:rsid w:val="00081B30"/>
    <w:rsid w:val="00081FBE"/>
    <w:rsid w:val="00082257"/>
    <w:rsid w:val="0008251E"/>
    <w:rsid w:val="00082553"/>
    <w:rsid w:val="00082620"/>
    <w:rsid w:val="000829A5"/>
    <w:rsid w:val="00082D6C"/>
    <w:rsid w:val="00082E45"/>
    <w:rsid w:val="000830E3"/>
    <w:rsid w:val="000830FD"/>
    <w:rsid w:val="00083168"/>
    <w:rsid w:val="000831BE"/>
    <w:rsid w:val="00083477"/>
    <w:rsid w:val="000834F8"/>
    <w:rsid w:val="0008356A"/>
    <w:rsid w:val="0008369E"/>
    <w:rsid w:val="0008388D"/>
    <w:rsid w:val="00083ABF"/>
    <w:rsid w:val="00083B3C"/>
    <w:rsid w:val="00083C68"/>
    <w:rsid w:val="00083D33"/>
    <w:rsid w:val="00083DB3"/>
    <w:rsid w:val="00083DBE"/>
    <w:rsid w:val="00084037"/>
    <w:rsid w:val="0008406A"/>
    <w:rsid w:val="00084248"/>
    <w:rsid w:val="000845B9"/>
    <w:rsid w:val="00084DCD"/>
    <w:rsid w:val="00084EEF"/>
    <w:rsid w:val="000850D9"/>
    <w:rsid w:val="0008514B"/>
    <w:rsid w:val="0008519A"/>
    <w:rsid w:val="00085214"/>
    <w:rsid w:val="0008533A"/>
    <w:rsid w:val="000854BE"/>
    <w:rsid w:val="00085557"/>
    <w:rsid w:val="0008559C"/>
    <w:rsid w:val="0008578C"/>
    <w:rsid w:val="00085A3B"/>
    <w:rsid w:val="00085B17"/>
    <w:rsid w:val="00085FE7"/>
    <w:rsid w:val="00086079"/>
    <w:rsid w:val="00086221"/>
    <w:rsid w:val="0008635B"/>
    <w:rsid w:val="00086882"/>
    <w:rsid w:val="00086D94"/>
    <w:rsid w:val="00086DB0"/>
    <w:rsid w:val="00086DC8"/>
    <w:rsid w:val="00086DF0"/>
    <w:rsid w:val="00086E8E"/>
    <w:rsid w:val="000871C2"/>
    <w:rsid w:val="0008733B"/>
    <w:rsid w:val="00087C5B"/>
    <w:rsid w:val="00087D42"/>
    <w:rsid w:val="00087D81"/>
    <w:rsid w:val="00087E51"/>
    <w:rsid w:val="00087FC6"/>
    <w:rsid w:val="0009024E"/>
    <w:rsid w:val="00090380"/>
    <w:rsid w:val="000904C8"/>
    <w:rsid w:val="000905AE"/>
    <w:rsid w:val="00090664"/>
    <w:rsid w:val="000906E3"/>
    <w:rsid w:val="00090733"/>
    <w:rsid w:val="000907C6"/>
    <w:rsid w:val="00090993"/>
    <w:rsid w:val="00090AD3"/>
    <w:rsid w:val="00090B5A"/>
    <w:rsid w:val="00090C49"/>
    <w:rsid w:val="00090CE0"/>
    <w:rsid w:val="00090D45"/>
    <w:rsid w:val="00090F5B"/>
    <w:rsid w:val="0009119A"/>
    <w:rsid w:val="00091213"/>
    <w:rsid w:val="0009144F"/>
    <w:rsid w:val="00091519"/>
    <w:rsid w:val="0009160E"/>
    <w:rsid w:val="000917D4"/>
    <w:rsid w:val="00091913"/>
    <w:rsid w:val="00091916"/>
    <w:rsid w:val="000919FA"/>
    <w:rsid w:val="00091BA0"/>
    <w:rsid w:val="00091BF8"/>
    <w:rsid w:val="00091D2E"/>
    <w:rsid w:val="00091F3F"/>
    <w:rsid w:val="00091FB9"/>
    <w:rsid w:val="000920E3"/>
    <w:rsid w:val="0009229D"/>
    <w:rsid w:val="00092343"/>
    <w:rsid w:val="00092410"/>
    <w:rsid w:val="00092503"/>
    <w:rsid w:val="0009269B"/>
    <w:rsid w:val="00092907"/>
    <w:rsid w:val="00092C8C"/>
    <w:rsid w:val="00092DE5"/>
    <w:rsid w:val="000930A7"/>
    <w:rsid w:val="00093211"/>
    <w:rsid w:val="0009336A"/>
    <w:rsid w:val="000933C4"/>
    <w:rsid w:val="0009341B"/>
    <w:rsid w:val="00093619"/>
    <w:rsid w:val="00093698"/>
    <w:rsid w:val="000936DE"/>
    <w:rsid w:val="000939B2"/>
    <w:rsid w:val="00093BC1"/>
    <w:rsid w:val="00093C5B"/>
    <w:rsid w:val="00093CBE"/>
    <w:rsid w:val="00093D0F"/>
    <w:rsid w:val="00093E4A"/>
    <w:rsid w:val="000940AA"/>
    <w:rsid w:val="0009411A"/>
    <w:rsid w:val="000941C2"/>
    <w:rsid w:val="000942B4"/>
    <w:rsid w:val="000942FC"/>
    <w:rsid w:val="00094428"/>
    <w:rsid w:val="0009453E"/>
    <w:rsid w:val="0009462C"/>
    <w:rsid w:val="0009464D"/>
    <w:rsid w:val="00094781"/>
    <w:rsid w:val="000947D4"/>
    <w:rsid w:val="00094967"/>
    <w:rsid w:val="00094BBE"/>
    <w:rsid w:val="00094D8B"/>
    <w:rsid w:val="00094E7F"/>
    <w:rsid w:val="0009534E"/>
    <w:rsid w:val="00095403"/>
    <w:rsid w:val="0009543F"/>
    <w:rsid w:val="000954FA"/>
    <w:rsid w:val="00095589"/>
    <w:rsid w:val="00095602"/>
    <w:rsid w:val="00095A8B"/>
    <w:rsid w:val="00095BF8"/>
    <w:rsid w:val="00095CBD"/>
    <w:rsid w:val="00095CCD"/>
    <w:rsid w:val="00096079"/>
    <w:rsid w:val="00096219"/>
    <w:rsid w:val="0009638E"/>
    <w:rsid w:val="00096671"/>
    <w:rsid w:val="000967D7"/>
    <w:rsid w:val="00096ADA"/>
    <w:rsid w:val="00096B47"/>
    <w:rsid w:val="00096D8D"/>
    <w:rsid w:val="00096FD1"/>
    <w:rsid w:val="000972A3"/>
    <w:rsid w:val="0009771F"/>
    <w:rsid w:val="000977AE"/>
    <w:rsid w:val="00097A0C"/>
    <w:rsid w:val="00097E38"/>
    <w:rsid w:val="00097E6D"/>
    <w:rsid w:val="000A0160"/>
    <w:rsid w:val="000A03B9"/>
    <w:rsid w:val="000A0508"/>
    <w:rsid w:val="000A0783"/>
    <w:rsid w:val="000A0791"/>
    <w:rsid w:val="000A084A"/>
    <w:rsid w:val="000A09AD"/>
    <w:rsid w:val="000A0BDD"/>
    <w:rsid w:val="000A0C5E"/>
    <w:rsid w:val="000A0CF9"/>
    <w:rsid w:val="000A0F0A"/>
    <w:rsid w:val="000A105E"/>
    <w:rsid w:val="000A1147"/>
    <w:rsid w:val="000A13A6"/>
    <w:rsid w:val="000A141C"/>
    <w:rsid w:val="000A143C"/>
    <w:rsid w:val="000A157E"/>
    <w:rsid w:val="000A1ABC"/>
    <w:rsid w:val="000A1EE3"/>
    <w:rsid w:val="000A209A"/>
    <w:rsid w:val="000A23BF"/>
    <w:rsid w:val="000A267E"/>
    <w:rsid w:val="000A26F5"/>
    <w:rsid w:val="000A272E"/>
    <w:rsid w:val="000A29CF"/>
    <w:rsid w:val="000A29FD"/>
    <w:rsid w:val="000A2B79"/>
    <w:rsid w:val="000A2E99"/>
    <w:rsid w:val="000A31AF"/>
    <w:rsid w:val="000A339C"/>
    <w:rsid w:val="000A3638"/>
    <w:rsid w:val="000A36A3"/>
    <w:rsid w:val="000A3754"/>
    <w:rsid w:val="000A382C"/>
    <w:rsid w:val="000A3AFF"/>
    <w:rsid w:val="000A3B4E"/>
    <w:rsid w:val="000A3C19"/>
    <w:rsid w:val="000A4043"/>
    <w:rsid w:val="000A419D"/>
    <w:rsid w:val="000A42D6"/>
    <w:rsid w:val="000A4500"/>
    <w:rsid w:val="000A4509"/>
    <w:rsid w:val="000A4AC8"/>
    <w:rsid w:val="000A4B2F"/>
    <w:rsid w:val="000A4C97"/>
    <w:rsid w:val="000A5064"/>
    <w:rsid w:val="000A5117"/>
    <w:rsid w:val="000A5136"/>
    <w:rsid w:val="000A51DD"/>
    <w:rsid w:val="000A5275"/>
    <w:rsid w:val="000A52B6"/>
    <w:rsid w:val="000A52C9"/>
    <w:rsid w:val="000A54DF"/>
    <w:rsid w:val="000A58AA"/>
    <w:rsid w:val="000A5C34"/>
    <w:rsid w:val="000A5E00"/>
    <w:rsid w:val="000A5E6F"/>
    <w:rsid w:val="000A5EA1"/>
    <w:rsid w:val="000A5F4C"/>
    <w:rsid w:val="000A5FEF"/>
    <w:rsid w:val="000A6035"/>
    <w:rsid w:val="000A61E2"/>
    <w:rsid w:val="000A64EA"/>
    <w:rsid w:val="000A655D"/>
    <w:rsid w:val="000A6779"/>
    <w:rsid w:val="000A6904"/>
    <w:rsid w:val="000A69D1"/>
    <w:rsid w:val="000A6C5A"/>
    <w:rsid w:val="000A6E76"/>
    <w:rsid w:val="000A6F5D"/>
    <w:rsid w:val="000A73D3"/>
    <w:rsid w:val="000A74B9"/>
    <w:rsid w:val="000A77A1"/>
    <w:rsid w:val="000A7A65"/>
    <w:rsid w:val="000A7D11"/>
    <w:rsid w:val="000A7D7F"/>
    <w:rsid w:val="000A7E1D"/>
    <w:rsid w:val="000A7E82"/>
    <w:rsid w:val="000A7EB9"/>
    <w:rsid w:val="000A7F7C"/>
    <w:rsid w:val="000B00DF"/>
    <w:rsid w:val="000B02DE"/>
    <w:rsid w:val="000B0993"/>
    <w:rsid w:val="000B0E57"/>
    <w:rsid w:val="000B11AF"/>
    <w:rsid w:val="000B12E8"/>
    <w:rsid w:val="000B13A6"/>
    <w:rsid w:val="000B166D"/>
    <w:rsid w:val="000B167E"/>
    <w:rsid w:val="000B17D5"/>
    <w:rsid w:val="000B20C1"/>
    <w:rsid w:val="000B2406"/>
    <w:rsid w:val="000B24DB"/>
    <w:rsid w:val="000B2A3A"/>
    <w:rsid w:val="000B2B4D"/>
    <w:rsid w:val="000B2B8E"/>
    <w:rsid w:val="000B2D08"/>
    <w:rsid w:val="000B2D50"/>
    <w:rsid w:val="000B30CD"/>
    <w:rsid w:val="000B31C6"/>
    <w:rsid w:val="000B3584"/>
    <w:rsid w:val="000B35EB"/>
    <w:rsid w:val="000B3B47"/>
    <w:rsid w:val="000B3D7E"/>
    <w:rsid w:val="000B3E24"/>
    <w:rsid w:val="000B4708"/>
    <w:rsid w:val="000B47CA"/>
    <w:rsid w:val="000B4836"/>
    <w:rsid w:val="000B4C8A"/>
    <w:rsid w:val="000B4CA3"/>
    <w:rsid w:val="000B4D72"/>
    <w:rsid w:val="000B4E71"/>
    <w:rsid w:val="000B50FD"/>
    <w:rsid w:val="000B517B"/>
    <w:rsid w:val="000B5183"/>
    <w:rsid w:val="000B5429"/>
    <w:rsid w:val="000B5881"/>
    <w:rsid w:val="000B5C4D"/>
    <w:rsid w:val="000B5E68"/>
    <w:rsid w:val="000B5FF9"/>
    <w:rsid w:val="000B60DC"/>
    <w:rsid w:val="000B62F0"/>
    <w:rsid w:val="000B6852"/>
    <w:rsid w:val="000B6A47"/>
    <w:rsid w:val="000B6B7F"/>
    <w:rsid w:val="000B6C40"/>
    <w:rsid w:val="000B6D5B"/>
    <w:rsid w:val="000B6E3C"/>
    <w:rsid w:val="000B6E44"/>
    <w:rsid w:val="000B71AB"/>
    <w:rsid w:val="000B71F8"/>
    <w:rsid w:val="000B7247"/>
    <w:rsid w:val="000B744A"/>
    <w:rsid w:val="000B7474"/>
    <w:rsid w:val="000B747E"/>
    <w:rsid w:val="000B76F7"/>
    <w:rsid w:val="000B78A9"/>
    <w:rsid w:val="000B7AAC"/>
    <w:rsid w:val="000B7D06"/>
    <w:rsid w:val="000B7D1E"/>
    <w:rsid w:val="000B7E30"/>
    <w:rsid w:val="000C00C1"/>
    <w:rsid w:val="000C00FF"/>
    <w:rsid w:val="000C043C"/>
    <w:rsid w:val="000C04FC"/>
    <w:rsid w:val="000C0689"/>
    <w:rsid w:val="000C097E"/>
    <w:rsid w:val="000C09CD"/>
    <w:rsid w:val="000C0A4B"/>
    <w:rsid w:val="000C0BA4"/>
    <w:rsid w:val="000C0E52"/>
    <w:rsid w:val="000C12FB"/>
    <w:rsid w:val="000C1382"/>
    <w:rsid w:val="000C14A3"/>
    <w:rsid w:val="000C165F"/>
    <w:rsid w:val="000C1689"/>
    <w:rsid w:val="000C178E"/>
    <w:rsid w:val="000C1AD6"/>
    <w:rsid w:val="000C1B94"/>
    <w:rsid w:val="000C1E16"/>
    <w:rsid w:val="000C1EA3"/>
    <w:rsid w:val="000C27AA"/>
    <w:rsid w:val="000C2996"/>
    <w:rsid w:val="000C29B3"/>
    <w:rsid w:val="000C2C64"/>
    <w:rsid w:val="000C2CFB"/>
    <w:rsid w:val="000C2DB0"/>
    <w:rsid w:val="000C3086"/>
    <w:rsid w:val="000C308D"/>
    <w:rsid w:val="000C30EC"/>
    <w:rsid w:val="000C323D"/>
    <w:rsid w:val="000C3585"/>
    <w:rsid w:val="000C3873"/>
    <w:rsid w:val="000C3B60"/>
    <w:rsid w:val="000C3CF5"/>
    <w:rsid w:val="000C3DF8"/>
    <w:rsid w:val="000C3EF9"/>
    <w:rsid w:val="000C4051"/>
    <w:rsid w:val="000C411E"/>
    <w:rsid w:val="000C4394"/>
    <w:rsid w:val="000C4785"/>
    <w:rsid w:val="000C49AD"/>
    <w:rsid w:val="000C49F2"/>
    <w:rsid w:val="000C4A84"/>
    <w:rsid w:val="000C4C20"/>
    <w:rsid w:val="000C4E6F"/>
    <w:rsid w:val="000C50DC"/>
    <w:rsid w:val="000C50E1"/>
    <w:rsid w:val="000C524F"/>
    <w:rsid w:val="000C54C7"/>
    <w:rsid w:val="000C5646"/>
    <w:rsid w:val="000C56ED"/>
    <w:rsid w:val="000C5AD0"/>
    <w:rsid w:val="000C5C05"/>
    <w:rsid w:val="000C5C32"/>
    <w:rsid w:val="000C5DAB"/>
    <w:rsid w:val="000C5E18"/>
    <w:rsid w:val="000C5E5D"/>
    <w:rsid w:val="000C603A"/>
    <w:rsid w:val="000C60C8"/>
    <w:rsid w:val="000C6152"/>
    <w:rsid w:val="000C6206"/>
    <w:rsid w:val="000C67C4"/>
    <w:rsid w:val="000C6905"/>
    <w:rsid w:val="000C69F1"/>
    <w:rsid w:val="000C6DA2"/>
    <w:rsid w:val="000C7012"/>
    <w:rsid w:val="000C73B4"/>
    <w:rsid w:val="000C76A2"/>
    <w:rsid w:val="000C7CBB"/>
    <w:rsid w:val="000C7ECD"/>
    <w:rsid w:val="000C7F5A"/>
    <w:rsid w:val="000C7FA5"/>
    <w:rsid w:val="000D0175"/>
    <w:rsid w:val="000D025A"/>
    <w:rsid w:val="000D02C5"/>
    <w:rsid w:val="000D0329"/>
    <w:rsid w:val="000D036B"/>
    <w:rsid w:val="000D0584"/>
    <w:rsid w:val="000D05BB"/>
    <w:rsid w:val="000D083D"/>
    <w:rsid w:val="000D0857"/>
    <w:rsid w:val="000D0AE2"/>
    <w:rsid w:val="000D0CF0"/>
    <w:rsid w:val="000D129C"/>
    <w:rsid w:val="000D138C"/>
    <w:rsid w:val="000D1432"/>
    <w:rsid w:val="000D15D5"/>
    <w:rsid w:val="000D1BDC"/>
    <w:rsid w:val="000D2044"/>
    <w:rsid w:val="000D2130"/>
    <w:rsid w:val="000D2317"/>
    <w:rsid w:val="000D239E"/>
    <w:rsid w:val="000D2582"/>
    <w:rsid w:val="000D263A"/>
    <w:rsid w:val="000D2836"/>
    <w:rsid w:val="000D2B06"/>
    <w:rsid w:val="000D2E8D"/>
    <w:rsid w:val="000D2F98"/>
    <w:rsid w:val="000D2FA0"/>
    <w:rsid w:val="000D31CF"/>
    <w:rsid w:val="000D3263"/>
    <w:rsid w:val="000D35B2"/>
    <w:rsid w:val="000D3890"/>
    <w:rsid w:val="000D3CAD"/>
    <w:rsid w:val="000D3DC8"/>
    <w:rsid w:val="000D403E"/>
    <w:rsid w:val="000D404F"/>
    <w:rsid w:val="000D4113"/>
    <w:rsid w:val="000D4328"/>
    <w:rsid w:val="000D4592"/>
    <w:rsid w:val="000D45BF"/>
    <w:rsid w:val="000D4693"/>
    <w:rsid w:val="000D46D5"/>
    <w:rsid w:val="000D46E2"/>
    <w:rsid w:val="000D47B5"/>
    <w:rsid w:val="000D4932"/>
    <w:rsid w:val="000D527A"/>
    <w:rsid w:val="000D5360"/>
    <w:rsid w:val="000D5442"/>
    <w:rsid w:val="000D56FA"/>
    <w:rsid w:val="000D5B27"/>
    <w:rsid w:val="000D5BA7"/>
    <w:rsid w:val="000D5EB0"/>
    <w:rsid w:val="000D5EC3"/>
    <w:rsid w:val="000D6021"/>
    <w:rsid w:val="000D6037"/>
    <w:rsid w:val="000D65F4"/>
    <w:rsid w:val="000D6960"/>
    <w:rsid w:val="000D6E1E"/>
    <w:rsid w:val="000D6F76"/>
    <w:rsid w:val="000D7139"/>
    <w:rsid w:val="000D7349"/>
    <w:rsid w:val="000D7482"/>
    <w:rsid w:val="000D74B4"/>
    <w:rsid w:val="000D7864"/>
    <w:rsid w:val="000D7A9D"/>
    <w:rsid w:val="000D7BBE"/>
    <w:rsid w:val="000D7E2C"/>
    <w:rsid w:val="000D7F61"/>
    <w:rsid w:val="000E045D"/>
    <w:rsid w:val="000E06A8"/>
    <w:rsid w:val="000E086A"/>
    <w:rsid w:val="000E08D6"/>
    <w:rsid w:val="000E0999"/>
    <w:rsid w:val="000E09A8"/>
    <w:rsid w:val="000E0C93"/>
    <w:rsid w:val="000E0CB8"/>
    <w:rsid w:val="000E0E3B"/>
    <w:rsid w:val="000E10B6"/>
    <w:rsid w:val="000E114F"/>
    <w:rsid w:val="000E1249"/>
    <w:rsid w:val="000E12CB"/>
    <w:rsid w:val="000E13B6"/>
    <w:rsid w:val="000E13DB"/>
    <w:rsid w:val="000E13FE"/>
    <w:rsid w:val="000E16B6"/>
    <w:rsid w:val="000E16BC"/>
    <w:rsid w:val="000E176D"/>
    <w:rsid w:val="000E17AF"/>
    <w:rsid w:val="000E1813"/>
    <w:rsid w:val="000E1C66"/>
    <w:rsid w:val="000E1D0B"/>
    <w:rsid w:val="000E1F5D"/>
    <w:rsid w:val="000E209C"/>
    <w:rsid w:val="000E23E0"/>
    <w:rsid w:val="000E279E"/>
    <w:rsid w:val="000E27A3"/>
    <w:rsid w:val="000E2820"/>
    <w:rsid w:val="000E2864"/>
    <w:rsid w:val="000E2DF6"/>
    <w:rsid w:val="000E2FED"/>
    <w:rsid w:val="000E30CD"/>
    <w:rsid w:val="000E3291"/>
    <w:rsid w:val="000E3296"/>
    <w:rsid w:val="000E3410"/>
    <w:rsid w:val="000E364B"/>
    <w:rsid w:val="000E3BFE"/>
    <w:rsid w:val="000E3D91"/>
    <w:rsid w:val="000E3FA3"/>
    <w:rsid w:val="000E447C"/>
    <w:rsid w:val="000E44ED"/>
    <w:rsid w:val="000E45E2"/>
    <w:rsid w:val="000E471E"/>
    <w:rsid w:val="000E4AE6"/>
    <w:rsid w:val="000E4BF2"/>
    <w:rsid w:val="000E4E79"/>
    <w:rsid w:val="000E4F01"/>
    <w:rsid w:val="000E5028"/>
    <w:rsid w:val="000E509F"/>
    <w:rsid w:val="000E515A"/>
    <w:rsid w:val="000E51BF"/>
    <w:rsid w:val="000E5522"/>
    <w:rsid w:val="000E5B00"/>
    <w:rsid w:val="000E5C0C"/>
    <w:rsid w:val="000E5DB9"/>
    <w:rsid w:val="000E62EF"/>
    <w:rsid w:val="000E6D01"/>
    <w:rsid w:val="000E6EB5"/>
    <w:rsid w:val="000E6F28"/>
    <w:rsid w:val="000E6FFC"/>
    <w:rsid w:val="000E70CE"/>
    <w:rsid w:val="000E721E"/>
    <w:rsid w:val="000E7444"/>
    <w:rsid w:val="000E744A"/>
    <w:rsid w:val="000E7731"/>
    <w:rsid w:val="000E77FA"/>
    <w:rsid w:val="000E780D"/>
    <w:rsid w:val="000E79F8"/>
    <w:rsid w:val="000E7D67"/>
    <w:rsid w:val="000E7DC4"/>
    <w:rsid w:val="000EA09A"/>
    <w:rsid w:val="000F0026"/>
    <w:rsid w:val="000F008D"/>
    <w:rsid w:val="000F00AD"/>
    <w:rsid w:val="000F010D"/>
    <w:rsid w:val="000F0140"/>
    <w:rsid w:val="000F0151"/>
    <w:rsid w:val="000F0231"/>
    <w:rsid w:val="000F02EA"/>
    <w:rsid w:val="000F034B"/>
    <w:rsid w:val="000F0AB1"/>
    <w:rsid w:val="000F0D20"/>
    <w:rsid w:val="000F115E"/>
    <w:rsid w:val="000F1188"/>
    <w:rsid w:val="000F12AF"/>
    <w:rsid w:val="000F1892"/>
    <w:rsid w:val="000F18E3"/>
    <w:rsid w:val="000F1AD6"/>
    <w:rsid w:val="000F1BE1"/>
    <w:rsid w:val="000F1CD3"/>
    <w:rsid w:val="000F1D63"/>
    <w:rsid w:val="000F1EBA"/>
    <w:rsid w:val="000F2051"/>
    <w:rsid w:val="000F2079"/>
    <w:rsid w:val="000F211C"/>
    <w:rsid w:val="000F233C"/>
    <w:rsid w:val="000F23C8"/>
    <w:rsid w:val="000F2908"/>
    <w:rsid w:val="000F2909"/>
    <w:rsid w:val="000F2A86"/>
    <w:rsid w:val="000F2BEE"/>
    <w:rsid w:val="000F2C76"/>
    <w:rsid w:val="000F3001"/>
    <w:rsid w:val="000F322F"/>
    <w:rsid w:val="000F34D0"/>
    <w:rsid w:val="000F34D5"/>
    <w:rsid w:val="000F3675"/>
    <w:rsid w:val="000F3944"/>
    <w:rsid w:val="000F39A5"/>
    <w:rsid w:val="000F3A20"/>
    <w:rsid w:val="000F3E88"/>
    <w:rsid w:val="000F3F64"/>
    <w:rsid w:val="000F446E"/>
    <w:rsid w:val="000F44DA"/>
    <w:rsid w:val="000F46CC"/>
    <w:rsid w:val="000F4811"/>
    <w:rsid w:val="000F48EC"/>
    <w:rsid w:val="000F4B73"/>
    <w:rsid w:val="000F4BF9"/>
    <w:rsid w:val="000F4DA1"/>
    <w:rsid w:val="000F4E81"/>
    <w:rsid w:val="000F4F41"/>
    <w:rsid w:val="000F509A"/>
    <w:rsid w:val="000F5142"/>
    <w:rsid w:val="000F565F"/>
    <w:rsid w:val="000F581A"/>
    <w:rsid w:val="000F5A2D"/>
    <w:rsid w:val="000F5A50"/>
    <w:rsid w:val="000F5A63"/>
    <w:rsid w:val="000F5A78"/>
    <w:rsid w:val="000F5B9A"/>
    <w:rsid w:val="000F5D6B"/>
    <w:rsid w:val="000F5F4E"/>
    <w:rsid w:val="000F5FA4"/>
    <w:rsid w:val="000F6260"/>
    <w:rsid w:val="000F6AAE"/>
    <w:rsid w:val="000F6C9C"/>
    <w:rsid w:val="000F6DE2"/>
    <w:rsid w:val="000F6F4B"/>
    <w:rsid w:val="000F719E"/>
    <w:rsid w:val="000F7223"/>
    <w:rsid w:val="000F770C"/>
    <w:rsid w:val="000F7AA7"/>
    <w:rsid w:val="000F7B12"/>
    <w:rsid w:val="000F7D6B"/>
    <w:rsid w:val="000F7F6A"/>
    <w:rsid w:val="00100177"/>
    <w:rsid w:val="00100464"/>
    <w:rsid w:val="00100619"/>
    <w:rsid w:val="00100715"/>
    <w:rsid w:val="00100892"/>
    <w:rsid w:val="00100953"/>
    <w:rsid w:val="001009A9"/>
    <w:rsid w:val="00100B7C"/>
    <w:rsid w:val="00100BD2"/>
    <w:rsid w:val="00100D23"/>
    <w:rsid w:val="00100D38"/>
    <w:rsid w:val="00100DA8"/>
    <w:rsid w:val="001010E7"/>
    <w:rsid w:val="00101159"/>
    <w:rsid w:val="00101178"/>
    <w:rsid w:val="001011D8"/>
    <w:rsid w:val="00101549"/>
    <w:rsid w:val="001019D8"/>
    <w:rsid w:val="00101AE6"/>
    <w:rsid w:val="00101CB1"/>
    <w:rsid w:val="00101DE5"/>
    <w:rsid w:val="00102018"/>
    <w:rsid w:val="0010221E"/>
    <w:rsid w:val="00102363"/>
    <w:rsid w:val="001024CB"/>
    <w:rsid w:val="001026A2"/>
    <w:rsid w:val="001027C2"/>
    <w:rsid w:val="00102931"/>
    <w:rsid w:val="0010299A"/>
    <w:rsid w:val="00102AB7"/>
    <w:rsid w:val="00102ADC"/>
    <w:rsid w:val="00102AEB"/>
    <w:rsid w:val="00102C28"/>
    <w:rsid w:val="00103248"/>
    <w:rsid w:val="001038BE"/>
    <w:rsid w:val="00103DD8"/>
    <w:rsid w:val="00103E09"/>
    <w:rsid w:val="00103F1B"/>
    <w:rsid w:val="0010405C"/>
    <w:rsid w:val="001041FB"/>
    <w:rsid w:val="001044D6"/>
    <w:rsid w:val="00104EDC"/>
    <w:rsid w:val="001050FA"/>
    <w:rsid w:val="001051C3"/>
    <w:rsid w:val="001051D4"/>
    <w:rsid w:val="00105352"/>
    <w:rsid w:val="0010553A"/>
    <w:rsid w:val="0010556D"/>
    <w:rsid w:val="001055B0"/>
    <w:rsid w:val="001055C7"/>
    <w:rsid w:val="0010563E"/>
    <w:rsid w:val="00105690"/>
    <w:rsid w:val="00105833"/>
    <w:rsid w:val="00105DA9"/>
    <w:rsid w:val="00105DB3"/>
    <w:rsid w:val="00106145"/>
    <w:rsid w:val="0010614F"/>
    <w:rsid w:val="0010623B"/>
    <w:rsid w:val="001062FC"/>
    <w:rsid w:val="00106A00"/>
    <w:rsid w:val="00106A90"/>
    <w:rsid w:val="00106B13"/>
    <w:rsid w:val="00106E1B"/>
    <w:rsid w:val="0010705E"/>
    <w:rsid w:val="00107302"/>
    <w:rsid w:val="001073B2"/>
    <w:rsid w:val="001075BC"/>
    <w:rsid w:val="001075DF"/>
    <w:rsid w:val="001077C2"/>
    <w:rsid w:val="001077FE"/>
    <w:rsid w:val="001078E5"/>
    <w:rsid w:val="001079A5"/>
    <w:rsid w:val="00107A77"/>
    <w:rsid w:val="00107B5D"/>
    <w:rsid w:val="00107BEC"/>
    <w:rsid w:val="00107D70"/>
    <w:rsid w:val="001101B4"/>
    <w:rsid w:val="001101C3"/>
    <w:rsid w:val="0011045E"/>
    <w:rsid w:val="0011091B"/>
    <w:rsid w:val="00110987"/>
    <w:rsid w:val="00110A57"/>
    <w:rsid w:val="00110BBB"/>
    <w:rsid w:val="00110BD4"/>
    <w:rsid w:val="00110D1B"/>
    <w:rsid w:val="00110D5B"/>
    <w:rsid w:val="00110F9B"/>
    <w:rsid w:val="00111034"/>
    <w:rsid w:val="001111C7"/>
    <w:rsid w:val="0011131B"/>
    <w:rsid w:val="001113EA"/>
    <w:rsid w:val="00111493"/>
    <w:rsid w:val="001115F8"/>
    <w:rsid w:val="0011187A"/>
    <w:rsid w:val="00111D3A"/>
    <w:rsid w:val="00111F03"/>
    <w:rsid w:val="00112073"/>
    <w:rsid w:val="001122A1"/>
    <w:rsid w:val="00112A0A"/>
    <w:rsid w:val="00112C31"/>
    <w:rsid w:val="00112D83"/>
    <w:rsid w:val="00112EE3"/>
    <w:rsid w:val="00112EE4"/>
    <w:rsid w:val="001131A9"/>
    <w:rsid w:val="00113323"/>
    <w:rsid w:val="0011342D"/>
    <w:rsid w:val="001134F3"/>
    <w:rsid w:val="001135D7"/>
    <w:rsid w:val="00113683"/>
    <w:rsid w:val="00113822"/>
    <w:rsid w:val="00113A83"/>
    <w:rsid w:val="00113B6B"/>
    <w:rsid w:val="00113B94"/>
    <w:rsid w:val="00113C57"/>
    <w:rsid w:val="00113C81"/>
    <w:rsid w:val="00113F45"/>
    <w:rsid w:val="0011429B"/>
    <w:rsid w:val="00114347"/>
    <w:rsid w:val="0011437F"/>
    <w:rsid w:val="001143CC"/>
    <w:rsid w:val="0011465B"/>
    <w:rsid w:val="00114A01"/>
    <w:rsid w:val="00114B8A"/>
    <w:rsid w:val="00114F5F"/>
    <w:rsid w:val="00115175"/>
    <w:rsid w:val="00115310"/>
    <w:rsid w:val="00115451"/>
    <w:rsid w:val="00115547"/>
    <w:rsid w:val="0011575A"/>
    <w:rsid w:val="00115810"/>
    <w:rsid w:val="0011589B"/>
    <w:rsid w:val="00115928"/>
    <w:rsid w:val="00115ACC"/>
    <w:rsid w:val="00115AFB"/>
    <w:rsid w:val="00115DB0"/>
    <w:rsid w:val="00115EE5"/>
    <w:rsid w:val="00116010"/>
    <w:rsid w:val="001161F2"/>
    <w:rsid w:val="00116471"/>
    <w:rsid w:val="001164C3"/>
    <w:rsid w:val="0011671D"/>
    <w:rsid w:val="00116864"/>
    <w:rsid w:val="0011687A"/>
    <w:rsid w:val="00116B2D"/>
    <w:rsid w:val="00116CB1"/>
    <w:rsid w:val="00117047"/>
    <w:rsid w:val="001170E5"/>
    <w:rsid w:val="00117493"/>
    <w:rsid w:val="0011749A"/>
    <w:rsid w:val="00117763"/>
    <w:rsid w:val="001178FA"/>
    <w:rsid w:val="0011797C"/>
    <w:rsid w:val="00117C0A"/>
    <w:rsid w:val="00117C45"/>
    <w:rsid w:val="00117DCE"/>
    <w:rsid w:val="00117EAF"/>
    <w:rsid w:val="00117F48"/>
    <w:rsid w:val="0011FDED"/>
    <w:rsid w:val="001200CC"/>
    <w:rsid w:val="001202A1"/>
    <w:rsid w:val="001202DD"/>
    <w:rsid w:val="001204DF"/>
    <w:rsid w:val="00120BDF"/>
    <w:rsid w:val="00120D01"/>
    <w:rsid w:val="00120D03"/>
    <w:rsid w:val="00120DEE"/>
    <w:rsid w:val="00121036"/>
    <w:rsid w:val="001213F8"/>
    <w:rsid w:val="001217CD"/>
    <w:rsid w:val="001218F2"/>
    <w:rsid w:val="00121A13"/>
    <w:rsid w:val="00121AA9"/>
    <w:rsid w:val="00121ACB"/>
    <w:rsid w:val="001220A3"/>
    <w:rsid w:val="0012220D"/>
    <w:rsid w:val="0012247C"/>
    <w:rsid w:val="00122515"/>
    <w:rsid w:val="00122560"/>
    <w:rsid w:val="0012280A"/>
    <w:rsid w:val="00122946"/>
    <w:rsid w:val="001229F9"/>
    <w:rsid w:val="00122A95"/>
    <w:rsid w:val="00122C14"/>
    <w:rsid w:val="00122C93"/>
    <w:rsid w:val="00122D44"/>
    <w:rsid w:val="00122D9B"/>
    <w:rsid w:val="00122E93"/>
    <w:rsid w:val="0012330F"/>
    <w:rsid w:val="001233D8"/>
    <w:rsid w:val="00123982"/>
    <w:rsid w:val="00123BC8"/>
    <w:rsid w:val="00123DC1"/>
    <w:rsid w:val="00123EFD"/>
    <w:rsid w:val="0012429D"/>
    <w:rsid w:val="001242D4"/>
    <w:rsid w:val="0012449F"/>
    <w:rsid w:val="001245A2"/>
    <w:rsid w:val="00124EF0"/>
    <w:rsid w:val="0012501D"/>
    <w:rsid w:val="001251B3"/>
    <w:rsid w:val="00125455"/>
    <w:rsid w:val="00125934"/>
    <w:rsid w:val="00125AA4"/>
    <w:rsid w:val="00125B48"/>
    <w:rsid w:val="00125FAB"/>
    <w:rsid w:val="001262E8"/>
    <w:rsid w:val="001262E9"/>
    <w:rsid w:val="00126303"/>
    <w:rsid w:val="001263E5"/>
    <w:rsid w:val="001266AC"/>
    <w:rsid w:val="001266EB"/>
    <w:rsid w:val="00126829"/>
    <w:rsid w:val="00126B01"/>
    <w:rsid w:val="00126B20"/>
    <w:rsid w:val="00126B95"/>
    <w:rsid w:val="00126C37"/>
    <w:rsid w:val="00126C98"/>
    <w:rsid w:val="00126F59"/>
    <w:rsid w:val="001275D3"/>
    <w:rsid w:val="001278A6"/>
    <w:rsid w:val="00127B01"/>
    <w:rsid w:val="0013035F"/>
    <w:rsid w:val="001304B3"/>
    <w:rsid w:val="001306A6"/>
    <w:rsid w:val="001306C4"/>
    <w:rsid w:val="00130858"/>
    <w:rsid w:val="00130A33"/>
    <w:rsid w:val="00130ADF"/>
    <w:rsid w:val="00130FA5"/>
    <w:rsid w:val="00130FD0"/>
    <w:rsid w:val="00131474"/>
    <w:rsid w:val="00131794"/>
    <w:rsid w:val="00131C48"/>
    <w:rsid w:val="00131EAD"/>
    <w:rsid w:val="0013216C"/>
    <w:rsid w:val="00132400"/>
    <w:rsid w:val="001328EE"/>
    <w:rsid w:val="00132917"/>
    <w:rsid w:val="00132998"/>
    <w:rsid w:val="001329AC"/>
    <w:rsid w:val="00132EB5"/>
    <w:rsid w:val="00133111"/>
    <w:rsid w:val="0013324C"/>
    <w:rsid w:val="001332D9"/>
    <w:rsid w:val="0013333E"/>
    <w:rsid w:val="00133501"/>
    <w:rsid w:val="00133812"/>
    <w:rsid w:val="001339ED"/>
    <w:rsid w:val="00133F66"/>
    <w:rsid w:val="00134362"/>
    <w:rsid w:val="001343AA"/>
    <w:rsid w:val="001344E0"/>
    <w:rsid w:val="001346C7"/>
    <w:rsid w:val="0013472F"/>
    <w:rsid w:val="00134792"/>
    <w:rsid w:val="00134840"/>
    <w:rsid w:val="00134863"/>
    <w:rsid w:val="00134989"/>
    <w:rsid w:val="00134B8E"/>
    <w:rsid w:val="00134BBD"/>
    <w:rsid w:val="00134DD5"/>
    <w:rsid w:val="00135120"/>
    <w:rsid w:val="0013518D"/>
    <w:rsid w:val="00135595"/>
    <w:rsid w:val="00135863"/>
    <w:rsid w:val="0013593A"/>
    <w:rsid w:val="001359F1"/>
    <w:rsid w:val="00135E0D"/>
    <w:rsid w:val="00136071"/>
    <w:rsid w:val="00136117"/>
    <w:rsid w:val="00136348"/>
    <w:rsid w:val="001363F8"/>
    <w:rsid w:val="00136590"/>
    <w:rsid w:val="001366DE"/>
    <w:rsid w:val="001367CA"/>
    <w:rsid w:val="001367E8"/>
    <w:rsid w:val="001367F8"/>
    <w:rsid w:val="001369D0"/>
    <w:rsid w:val="00136A02"/>
    <w:rsid w:val="00136C1F"/>
    <w:rsid w:val="00136D9D"/>
    <w:rsid w:val="00136F42"/>
    <w:rsid w:val="00136F98"/>
    <w:rsid w:val="001372B3"/>
    <w:rsid w:val="00137597"/>
    <w:rsid w:val="001376BD"/>
    <w:rsid w:val="001401E7"/>
    <w:rsid w:val="0014039C"/>
    <w:rsid w:val="001406CF"/>
    <w:rsid w:val="00140778"/>
    <w:rsid w:val="00140B65"/>
    <w:rsid w:val="00140CE6"/>
    <w:rsid w:val="00141897"/>
    <w:rsid w:val="00141B3B"/>
    <w:rsid w:val="00141B6C"/>
    <w:rsid w:val="00141CE6"/>
    <w:rsid w:val="00141E0C"/>
    <w:rsid w:val="00142054"/>
    <w:rsid w:val="00142096"/>
    <w:rsid w:val="00142A39"/>
    <w:rsid w:val="00142A61"/>
    <w:rsid w:val="00142DDB"/>
    <w:rsid w:val="00142E8C"/>
    <w:rsid w:val="00142ECD"/>
    <w:rsid w:val="00143084"/>
    <w:rsid w:val="001431A1"/>
    <w:rsid w:val="001431E5"/>
    <w:rsid w:val="001434D4"/>
    <w:rsid w:val="0014361D"/>
    <w:rsid w:val="0014394F"/>
    <w:rsid w:val="001439B7"/>
    <w:rsid w:val="00143C9E"/>
    <w:rsid w:val="00143D48"/>
    <w:rsid w:val="00144676"/>
    <w:rsid w:val="00144704"/>
    <w:rsid w:val="001449B7"/>
    <w:rsid w:val="00144D75"/>
    <w:rsid w:val="00144E94"/>
    <w:rsid w:val="00144F63"/>
    <w:rsid w:val="0014505C"/>
    <w:rsid w:val="00145548"/>
    <w:rsid w:val="00145BA8"/>
    <w:rsid w:val="00145BF0"/>
    <w:rsid w:val="00145E6E"/>
    <w:rsid w:val="00145F6C"/>
    <w:rsid w:val="001466D1"/>
    <w:rsid w:val="0014684B"/>
    <w:rsid w:val="00146998"/>
    <w:rsid w:val="00146B8C"/>
    <w:rsid w:val="00146ED6"/>
    <w:rsid w:val="00146F19"/>
    <w:rsid w:val="00146FA4"/>
    <w:rsid w:val="001475D5"/>
    <w:rsid w:val="001479BE"/>
    <w:rsid w:val="00147AA0"/>
    <w:rsid w:val="00147BA0"/>
    <w:rsid w:val="00147F82"/>
    <w:rsid w:val="0015003F"/>
    <w:rsid w:val="00150078"/>
    <w:rsid w:val="00150299"/>
    <w:rsid w:val="0015031C"/>
    <w:rsid w:val="001503B8"/>
    <w:rsid w:val="00150875"/>
    <w:rsid w:val="00150935"/>
    <w:rsid w:val="00150D20"/>
    <w:rsid w:val="00150EBE"/>
    <w:rsid w:val="00151164"/>
    <w:rsid w:val="0015137F"/>
    <w:rsid w:val="00151634"/>
    <w:rsid w:val="00151719"/>
    <w:rsid w:val="00151ABD"/>
    <w:rsid w:val="00151BF0"/>
    <w:rsid w:val="00151C9B"/>
    <w:rsid w:val="00151D5F"/>
    <w:rsid w:val="001520B9"/>
    <w:rsid w:val="00152190"/>
    <w:rsid w:val="00152543"/>
    <w:rsid w:val="001526E8"/>
    <w:rsid w:val="00152A51"/>
    <w:rsid w:val="00152B2A"/>
    <w:rsid w:val="00152C2A"/>
    <w:rsid w:val="00152C54"/>
    <w:rsid w:val="00152CB0"/>
    <w:rsid w:val="00152E50"/>
    <w:rsid w:val="00152F53"/>
    <w:rsid w:val="001532E8"/>
    <w:rsid w:val="00153554"/>
    <w:rsid w:val="00153860"/>
    <w:rsid w:val="00153872"/>
    <w:rsid w:val="00153A44"/>
    <w:rsid w:val="00153B02"/>
    <w:rsid w:val="00153DB8"/>
    <w:rsid w:val="001541A1"/>
    <w:rsid w:val="001542C1"/>
    <w:rsid w:val="0015433C"/>
    <w:rsid w:val="0015465C"/>
    <w:rsid w:val="00154851"/>
    <w:rsid w:val="001548A9"/>
    <w:rsid w:val="00154B42"/>
    <w:rsid w:val="00154BB7"/>
    <w:rsid w:val="00154FEB"/>
    <w:rsid w:val="001550E2"/>
    <w:rsid w:val="0015524F"/>
    <w:rsid w:val="0015549B"/>
    <w:rsid w:val="001554F9"/>
    <w:rsid w:val="00155709"/>
    <w:rsid w:val="0015584E"/>
    <w:rsid w:val="00155861"/>
    <w:rsid w:val="0015588D"/>
    <w:rsid w:val="00155C13"/>
    <w:rsid w:val="00155C1B"/>
    <w:rsid w:val="00155C68"/>
    <w:rsid w:val="00155D28"/>
    <w:rsid w:val="00155F63"/>
    <w:rsid w:val="00155F99"/>
    <w:rsid w:val="00156135"/>
    <w:rsid w:val="001564C5"/>
    <w:rsid w:val="001565DB"/>
    <w:rsid w:val="001567EB"/>
    <w:rsid w:val="00156981"/>
    <w:rsid w:val="00156B2D"/>
    <w:rsid w:val="00156B2F"/>
    <w:rsid w:val="00156B8C"/>
    <w:rsid w:val="00156DDB"/>
    <w:rsid w:val="00156F6D"/>
    <w:rsid w:val="001572D8"/>
    <w:rsid w:val="001574E4"/>
    <w:rsid w:val="00157931"/>
    <w:rsid w:val="00157936"/>
    <w:rsid w:val="00157A67"/>
    <w:rsid w:val="00157BE6"/>
    <w:rsid w:val="00157BF1"/>
    <w:rsid w:val="00157C0A"/>
    <w:rsid w:val="00157F3E"/>
    <w:rsid w:val="00160127"/>
    <w:rsid w:val="00160239"/>
    <w:rsid w:val="00160290"/>
    <w:rsid w:val="00160307"/>
    <w:rsid w:val="0016047B"/>
    <w:rsid w:val="001604C6"/>
    <w:rsid w:val="00160969"/>
    <w:rsid w:val="001609FC"/>
    <w:rsid w:val="00160A13"/>
    <w:rsid w:val="00160C11"/>
    <w:rsid w:val="00160D1D"/>
    <w:rsid w:val="00160EC0"/>
    <w:rsid w:val="001612B1"/>
    <w:rsid w:val="001612E2"/>
    <w:rsid w:val="00161379"/>
    <w:rsid w:val="0016150E"/>
    <w:rsid w:val="00161545"/>
    <w:rsid w:val="001616EA"/>
    <w:rsid w:val="0016186F"/>
    <w:rsid w:val="0016191F"/>
    <w:rsid w:val="00161A48"/>
    <w:rsid w:val="00161AF3"/>
    <w:rsid w:val="00161C82"/>
    <w:rsid w:val="00161D3C"/>
    <w:rsid w:val="00161E42"/>
    <w:rsid w:val="00161EB7"/>
    <w:rsid w:val="00161FB5"/>
    <w:rsid w:val="00162095"/>
    <w:rsid w:val="001626D0"/>
    <w:rsid w:val="00162703"/>
    <w:rsid w:val="001628DF"/>
    <w:rsid w:val="00162CFC"/>
    <w:rsid w:val="00162DFD"/>
    <w:rsid w:val="0016363C"/>
    <w:rsid w:val="001638D0"/>
    <w:rsid w:val="00163BEF"/>
    <w:rsid w:val="00163E72"/>
    <w:rsid w:val="00163F41"/>
    <w:rsid w:val="001640D0"/>
    <w:rsid w:val="0016414D"/>
    <w:rsid w:val="001641DD"/>
    <w:rsid w:val="001641E9"/>
    <w:rsid w:val="00164287"/>
    <w:rsid w:val="001644D2"/>
    <w:rsid w:val="00164ACC"/>
    <w:rsid w:val="00164B4D"/>
    <w:rsid w:val="00164D30"/>
    <w:rsid w:val="00165282"/>
    <w:rsid w:val="00165745"/>
    <w:rsid w:val="00165C1B"/>
    <w:rsid w:val="00165C33"/>
    <w:rsid w:val="00165D16"/>
    <w:rsid w:val="00165DC8"/>
    <w:rsid w:val="001660F5"/>
    <w:rsid w:val="0016618D"/>
    <w:rsid w:val="001662DF"/>
    <w:rsid w:val="00166625"/>
    <w:rsid w:val="00166CB6"/>
    <w:rsid w:val="00167171"/>
    <w:rsid w:val="0016760F"/>
    <w:rsid w:val="00167632"/>
    <w:rsid w:val="0016775C"/>
    <w:rsid w:val="001679F2"/>
    <w:rsid w:val="00167D08"/>
    <w:rsid w:val="00167D94"/>
    <w:rsid w:val="0017010C"/>
    <w:rsid w:val="00170315"/>
    <w:rsid w:val="00170340"/>
    <w:rsid w:val="00170426"/>
    <w:rsid w:val="001706B6"/>
    <w:rsid w:val="00170DA4"/>
    <w:rsid w:val="001710C5"/>
    <w:rsid w:val="00171109"/>
    <w:rsid w:val="0017117C"/>
    <w:rsid w:val="0017120C"/>
    <w:rsid w:val="001713B2"/>
    <w:rsid w:val="0017148C"/>
    <w:rsid w:val="001715B8"/>
    <w:rsid w:val="00171B67"/>
    <w:rsid w:val="00171E3F"/>
    <w:rsid w:val="00171F01"/>
    <w:rsid w:val="001724DE"/>
    <w:rsid w:val="00172538"/>
    <w:rsid w:val="001725F4"/>
    <w:rsid w:val="001726C8"/>
    <w:rsid w:val="001726EE"/>
    <w:rsid w:val="001727E2"/>
    <w:rsid w:val="00172A81"/>
    <w:rsid w:val="00172ABD"/>
    <w:rsid w:val="00172B93"/>
    <w:rsid w:val="00172F50"/>
    <w:rsid w:val="0017329E"/>
    <w:rsid w:val="0017331D"/>
    <w:rsid w:val="00173697"/>
    <w:rsid w:val="00173AAF"/>
    <w:rsid w:val="00173E54"/>
    <w:rsid w:val="00173E5B"/>
    <w:rsid w:val="00173F6B"/>
    <w:rsid w:val="00174209"/>
    <w:rsid w:val="0017425B"/>
    <w:rsid w:val="00174264"/>
    <w:rsid w:val="00174472"/>
    <w:rsid w:val="001744F8"/>
    <w:rsid w:val="00174616"/>
    <w:rsid w:val="00174788"/>
    <w:rsid w:val="00174898"/>
    <w:rsid w:val="001748B8"/>
    <w:rsid w:val="001749C2"/>
    <w:rsid w:val="00174B87"/>
    <w:rsid w:val="00174C00"/>
    <w:rsid w:val="00174CB8"/>
    <w:rsid w:val="00174D3B"/>
    <w:rsid w:val="00174D76"/>
    <w:rsid w:val="00174DCA"/>
    <w:rsid w:val="001750C8"/>
    <w:rsid w:val="0017524B"/>
    <w:rsid w:val="00175262"/>
    <w:rsid w:val="00175263"/>
    <w:rsid w:val="00175686"/>
    <w:rsid w:val="0017577F"/>
    <w:rsid w:val="00175795"/>
    <w:rsid w:val="001757D2"/>
    <w:rsid w:val="001758EF"/>
    <w:rsid w:val="0017593B"/>
    <w:rsid w:val="00175BF7"/>
    <w:rsid w:val="00175EDB"/>
    <w:rsid w:val="001760D8"/>
    <w:rsid w:val="0017645C"/>
    <w:rsid w:val="001764A5"/>
    <w:rsid w:val="0017652F"/>
    <w:rsid w:val="00176784"/>
    <w:rsid w:val="001767A4"/>
    <w:rsid w:val="00176A85"/>
    <w:rsid w:val="00176B26"/>
    <w:rsid w:val="00176D1E"/>
    <w:rsid w:val="00176FF6"/>
    <w:rsid w:val="0017713C"/>
    <w:rsid w:val="00177146"/>
    <w:rsid w:val="001771CF"/>
    <w:rsid w:val="001771D2"/>
    <w:rsid w:val="001771F6"/>
    <w:rsid w:val="0017738A"/>
    <w:rsid w:val="00177490"/>
    <w:rsid w:val="001774CB"/>
    <w:rsid w:val="0017753A"/>
    <w:rsid w:val="00177631"/>
    <w:rsid w:val="001776D2"/>
    <w:rsid w:val="0017771F"/>
    <w:rsid w:val="00177EB5"/>
    <w:rsid w:val="0018014F"/>
    <w:rsid w:val="00180189"/>
    <w:rsid w:val="00180340"/>
    <w:rsid w:val="001807A6"/>
    <w:rsid w:val="0018084B"/>
    <w:rsid w:val="001808FE"/>
    <w:rsid w:val="0018091E"/>
    <w:rsid w:val="00180A35"/>
    <w:rsid w:val="00180A7B"/>
    <w:rsid w:val="00180C45"/>
    <w:rsid w:val="00180EB0"/>
    <w:rsid w:val="00181082"/>
    <w:rsid w:val="001810D2"/>
    <w:rsid w:val="001813D7"/>
    <w:rsid w:val="00181614"/>
    <w:rsid w:val="0018190D"/>
    <w:rsid w:val="00181A3A"/>
    <w:rsid w:val="00181A6D"/>
    <w:rsid w:val="00181ACE"/>
    <w:rsid w:val="00181BAF"/>
    <w:rsid w:val="00181BE0"/>
    <w:rsid w:val="001824E8"/>
    <w:rsid w:val="001827B0"/>
    <w:rsid w:val="001829D6"/>
    <w:rsid w:val="00182D9D"/>
    <w:rsid w:val="00182EB1"/>
    <w:rsid w:val="001831B4"/>
    <w:rsid w:val="00183AB1"/>
    <w:rsid w:val="00183E41"/>
    <w:rsid w:val="00184168"/>
    <w:rsid w:val="0018429F"/>
    <w:rsid w:val="00184475"/>
    <w:rsid w:val="001846EF"/>
    <w:rsid w:val="001847E3"/>
    <w:rsid w:val="001848C2"/>
    <w:rsid w:val="00185224"/>
    <w:rsid w:val="00185240"/>
    <w:rsid w:val="00185381"/>
    <w:rsid w:val="001853FB"/>
    <w:rsid w:val="001854A7"/>
    <w:rsid w:val="00185608"/>
    <w:rsid w:val="00185AD6"/>
    <w:rsid w:val="00185FA8"/>
    <w:rsid w:val="001861FB"/>
    <w:rsid w:val="00186228"/>
    <w:rsid w:val="001862B4"/>
    <w:rsid w:val="001865D7"/>
    <w:rsid w:val="001868CA"/>
    <w:rsid w:val="001868E2"/>
    <w:rsid w:val="001869BA"/>
    <w:rsid w:val="00186F0B"/>
    <w:rsid w:val="00186F3B"/>
    <w:rsid w:val="0018718A"/>
    <w:rsid w:val="0018718F"/>
    <w:rsid w:val="0018726D"/>
    <w:rsid w:val="00187308"/>
    <w:rsid w:val="00187620"/>
    <w:rsid w:val="00187743"/>
    <w:rsid w:val="0018785F"/>
    <w:rsid w:val="00187C2B"/>
    <w:rsid w:val="00187E2B"/>
    <w:rsid w:val="00187E4A"/>
    <w:rsid w:val="00190074"/>
    <w:rsid w:val="001901B5"/>
    <w:rsid w:val="001906A2"/>
    <w:rsid w:val="00190869"/>
    <w:rsid w:val="00190D08"/>
    <w:rsid w:val="001911B6"/>
    <w:rsid w:val="0019127C"/>
    <w:rsid w:val="001913C9"/>
    <w:rsid w:val="00191667"/>
    <w:rsid w:val="00191706"/>
    <w:rsid w:val="00191B54"/>
    <w:rsid w:val="00191D31"/>
    <w:rsid w:val="00191FD0"/>
    <w:rsid w:val="001922F4"/>
    <w:rsid w:val="00192312"/>
    <w:rsid w:val="00192589"/>
    <w:rsid w:val="00192636"/>
    <w:rsid w:val="00192684"/>
    <w:rsid w:val="0019284F"/>
    <w:rsid w:val="00192BC2"/>
    <w:rsid w:val="00192CD7"/>
    <w:rsid w:val="00192E39"/>
    <w:rsid w:val="0019300A"/>
    <w:rsid w:val="00193122"/>
    <w:rsid w:val="00193209"/>
    <w:rsid w:val="00193257"/>
    <w:rsid w:val="00193414"/>
    <w:rsid w:val="0019358B"/>
    <w:rsid w:val="001935C5"/>
    <w:rsid w:val="001937E2"/>
    <w:rsid w:val="00193844"/>
    <w:rsid w:val="00193A63"/>
    <w:rsid w:val="00193A98"/>
    <w:rsid w:val="00193B39"/>
    <w:rsid w:val="00193B6E"/>
    <w:rsid w:val="00193CBD"/>
    <w:rsid w:val="00193D6F"/>
    <w:rsid w:val="00194150"/>
    <w:rsid w:val="001941FB"/>
    <w:rsid w:val="001941FC"/>
    <w:rsid w:val="00194248"/>
    <w:rsid w:val="001942C0"/>
    <w:rsid w:val="0019459F"/>
    <w:rsid w:val="00194695"/>
    <w:rsid w:val="00194724"/>
    <w:rsid w:val="001947CA"/>
    <w:rsid w:val="00194F72"/>
    <w:rsid w:val="00194FEB"/>
    <w:rsid w:val="00195283"/>
    <w:rsid w:val="001954BB"/>
    <w:rsid w:val="0019573C"/>
    <w:rsid w:val="00195974"/>
    <w:rsid w:val="00195BB8"/>
    <w:rsid w:val="00195BB9"/>
    <w:rsid w:val="00196002"/>
    <w:rsid w:val="00196196"/>
    <w:rsid w:val="001961E6"/>
    <w:rsid w:val="00196219"/>
    <w:rsid w:val="0019625E"/>
    <w:rsid w:val="00196588"/>
    <w:rsid w:val="0019683F"/>
    <w:rsid w:val="00196A84"/>
    <w:rsid w:val="00196D2F"/>
    <w:rsid w:val="0019772F"/>
    <w:rsid w:val="00197918"/>
    <w:rsid w:val="00197A56"/>
    <w:rsid w:val="00197AB9"/>
    <w:rsid w:val="00197D95"/>
    <w:rsid w:val="00197E3C"/>
    <w:rsid w:val="00197F93"/>
    <w:rsid w:val="001A000E"/>
    <w:rsid w:val="001A0034"/>
    <w:rsid w:val="001A045D"/>
    <w:rsid w:val="001A0482"/>
    <w:rsid w:val="001A0538"/>
    <w:rsid w:val="001A094E"/>
    <w:rsid w:val="001A0AAC"/>
    <w:rsid w:val="001A0C05"/>
    <w:rsid w:val="001A0D81"/>
    <w:rsid w:val="001A0E64"/>
    <w:rsid w:val="001A11E5"/>
    <w:rsid w:val="001A1397"/>
    <w:rsid w:val="001A1479"/>
    <w:rsid w:val="001A18C9"/>
    <w:rsid w:val="001A1940"/>
    <w:rsid w:val="001A1D1A"/>
    <w:rsid w:val="001A1E72"/>
    <w:rsid w:val="001A1F25"/>
    <w:rsid w:val="001A221B"/>
    <w:rsid w:val="001A2232"/>
    <w:rsid w:val="001A225D"/>
    <w:rsid w:val="001A269A"/>
    <w:rsid w:val="001A2740"/>
    <w:rsid w:val="001A27A4"/>
    <w:rsid w:val="001A2834"/>
    <w:rsid w:val="001A29A1"/>
    <w:rsid w:val="001A29BA"/>
    <w:rsid w:val="001A2A9D"/>
    <w:rsid w:val="001A2CF8"/>
    <w:rsid w:val="001A3119"/>
    <w:rsid w:val="001A34D0"/>
    <w:rsid w:val="001A3530"/>
    <w:rsid w:val="001A3549"/>
    <w:rsid w:val="001A38AF"/>
    <w:rsid w:val="001A3A90"/>
    <w:rsid w:val="001A3DF8"/>
    <w:rsid w:val="001A3E25"/>
    <w:rsid w:val="001A3E26"/>
    <w:rsid w:val="001A3F6D"/>
    <w:rsid w:val="001A3F88"/>
    <w:rsid w:val="001A40A0"/>
    <w:rsid w:val="001A41A9"/>
    <w:rsid w:val="001A4304"/>
    <w:rsid w:val="001A4381"/>
    <w:rsid w:val="001A47A3"/>
    <w:rsid w:val="001A47C1"/>
    <w:rsid w:val="001A4AD6"/>
    <w:rsid w:val="001A4BF6"/>
    <w:rsid w:val="001A4C77"/>
    <w:rsid w:val="001A4DA7"/>
    <w:rsid w:val="001A5038"/>
    <w:rsid w:val="001A56A1"/>
    <w:rsid w:val="001A574D"/>
    <w:rsid w:val="001A58CC"/>
    <w:rsid w:val="001A594D"/>
    <w:rsid w:val="001A5CB4"/>
    <w:rsid w:val="001A5D0E"/>
    <w:rsid w:val="001A5E6C"/>
    <w:rsid w:val="001A5EB1"/>
    <w:rsid w:val="001A6082"/>
    <w:rsid w:val="001A6339"/>
    <w:rsid w:val="001A640E"/>
    <w:rsid w:val="001A6463"/>
    <w:rsid w:val="001A6935"/>
    <w:rsid w:val="001A6B01"/>
    <w:rsid w:val="001A6BB5"/>
    <w:rsid w:val="001A6BCB"/>
    <w:rsid w:val="001A6BF1"/>
    <w:rsid w:val="001A6E06"/>
    <w:rsid w:val="001A71B0"/>
    <w:rsid w:val="001A72CA"/>
    <w:rsid w:val="001A7704"/>
    <w:rsid w:val="001A7747"/>
    <w:rsid w:val="001A7AD6"/>
    <w:rsid w:val="001A7BFC"/>
    <w:rsid w:val="001A7CF1"/>
    <w:rsid w:val="001A7D68"/>
    <w:rsid w:val="001A7E12"/>
    <w:rsid w:val="001A7E5B"/>
    <w:rsid w:val="001A7E79"/>
    <w:rsid w:val="001A7EEA"/>
    <w:rsid w:val="001B004F"/>
    <w:rsid w:val="001B0225"/>
    <w:rsid w:val="001B04E7"/>
    <w:rsid w:val="001B0506"/>
    <w:rsid w:val="001B0530"/>
    <w:rsid w:val="001B09B8"/>
    <w:rsid w:val="001B0A52"/>
    <w:rsid w:val="001B0CBF"/>
    <w:rsid w:val="001B0D56"/>
    <w:rsid w:val="001B0DB7"/>
    <w:rsid w:val="001B10AA"/>
    <w:rsid w:val="001B1403"/>
    <w:rsid w:val="001B1439"/>
    <w:rsid w:val="001B14FA"/>
    <w:rsid w:val="001B18BA"/>
    <w:rsid w:val="001B1A51"/>
    <w:rsid w:val="001B1A5D"/>
    <w:rsid w:val="001B1CAE"/>
    <w:rsid w:val="001B1CBE"/>
    <w:rsid w:val="001B1D4A"/>
    <w:rsid w:val="001B1E72"/>
    <w:rsid w:val="001B1EC4"/>
    <w:rsid w:val="001B216A"/>
    <w:rsid w:val="001B217F"/>
    <w:rsid w:val="001B219E"/>
    <w:rsid w:val="001B231C"/>
    <w:rsid w:val="001B2321"/>
    <w:rsid w:val="001B236F"/>
    <w:rsid w:val="001B24F7"/>
    <w:rsid w:val="001B2862"/>
    <w:rsid w:val="001B29BC"/>
    <w:rsid w:val="001B2A5E"/>
    <w:rsid w:val="001B2BA5"/>
    <w:rsid w:val="001B2CA8"/>
    <w:rsid w:val="001B3071"/>
    <w:rsid w:val="001B3362"/>
    <w:rsid w:val="001B3508"/>
    <w:rsid w:val="001B350D"/>
    <w:rsid w:val="001B3778"/>
    <w:rsid w:val="001B3AE0"/>
    <w:rsid w:val="001B3AE6"/>
    <w:rsid w:val="001B3B1E"/>
    <w:rsid w:val="001B3B71"/>
    <w:rsid w:val="001B3BA2"/>
    <w:rsid w:val="001B3ECF"/>
    <w:rsid w:val="001B3F02"/>
    <w:rsid w:val="001B3FAA"/>
    <w:rsid w:val="001B40AF"/>
    <w:rsid w:val="001B4243"/>
    <w:rsid w:val="001B44BF"/>
    <w:rsid w:val="001B45FC"/>
    <w:rsid w:val="001B4605"/>
    <w:rsid w:val="001B4704"/>
    <w:rsid w:val="001B48A1"/>
    <w:rsid w:val="001B4C54"/>
    <w:rsid w:val="001B4D15"/>
    <w:rsid w:val="001B4F39"/>
    <w:rsid w:val="001B4FC4"/>
    <w:rsid w:val="001B518C"/>
    <w:rsid w:val="001B5521"/>
    <w:rsid w:val="001B5581"/>
    <w:rsid w:val="001B55CF"/>
    <w:rsid w:val="001B56FF"/>
    <w:rsid w:val="001B5B26"/>
    <w:rsid w:val="001B5D07"/>
    <w:rsid w:val="001B6902"/>
    <w:rsid w:val="001B6938"/>
    <w:rsid w:val="001B6AA7"/>
    <w:rsid w:val="001B6BC0"/>
    <w:rsid w:val="001B6DF3"/>
    <w:rsid w:val="001B6F47"/>
    <w:rsid w:val="001B6F77"/>
    <w:rsid w:val="001B70CB"/>
    <w:rsid w:val="001B75A6"/>
    <w:rsid w:val="001B75FA"/>
    <w:rsid w:val="001B76D0"/>
    <w:rsid w:val="001B7891"/>
    <w:rsid w:val="001B78C0"/>
    <w:rsid w:val="001B7AAB"/>
    <w:rsid w:val="001C0047"/>
    <w:rsid w:val="001C01F1"/>
    <w:rsid w:val="001C047D"/>
    <w:rsid w:val="001C0490"/>
    <w:rsid w:val="001C0651"/>
    <w:rsid w:val="001C0737"/>
    <w:rsid w:val="001C0782"/>
    <w:rsid w:val="001C0934"/>
    <w:rsid w:val="001C0A5A"/>
    <w:rsid w:val="001C0BB1"/>
    <w:rsid w:val="001C0E04"/>
    <w:rsid w:val="001C0E6A"/>
    <w:rsid w:val="001C1126"/>
    <w:rsid w:val="001C1D8D"/>
    <w:rsid w:val="001C1DB7"/>
    <w:rsid w:val="001C1E79"/>
    <w:rsid w:val="001C212B"/>
    <w:rsid w:val="001C224F"/>
    <w:rsid w:val="001C229B"/>
    <w:rsid w:val="001C23FB"/>
    <w:rsid w:val="001C26A4"/>
    <w:rsid w:val="001C2739"/>
    <w:rsid w:val="001C2A26"/>
    <w:rsid w:val="001C2C68"/>
    <w:rsid w:val="001C2D1E"/>
    <w:rsid w:val="001C2E6A"/>
    <w:rsid w:val="001C2F94"/>
    <w:rsid w:val="001C305A"/>
    <w:rsid w:val="001C3241"/>
    <w:rsid w:val="001C3333"/>
    <w:rsid w:val="001C3654"/>
    <w:rsid w:val="001C3657"/>
    <w:rsid w:val="001C367F"/>
    <w:rsid w:val="001C36DA"/>
    <w:rsid w:val="001C3977"/>
    <w:rsid w:val="001C3B85"/>
    <w:rsid w:val="001C3C92"/>
    <w:rsid w:val="001C3CD7"/>
    <w:rsid w:val="001C3D6E"/>
    <w:rsid w:val="001C3F57"/>
    <w:rsid w:val="001C3FFF"/>
    <w:rsid w:val="001C4025"/>
    <w:rsid w:val="001C42E3"/>
    <w:rsid w:val="001C42F2"/>
    <w:rsid w:val="001C46DB"/>
    <w:rsid w:val="001C4735"/>
    <w:rsid w:val="001C48DB"/>
    <w:rsid w:val="001C4ACD"/>
    <w:rsid w:val="001C4B70"/>
    <w:rsid w:val="001C4E89"/>
    <w:rsid w:val="001C5286"/>
    <w:rsid w:val="001C5758"/>
    <w:rsid w:val="001C5793"/>
    <w:rsid w:val="001C58D6"/>
    <w:rsid w:val="001C5C88"/>
    <w:rsid w:val="001C5F94"/>
    <w:rsid w:val="001C600C"/>
    <w:rsid w:val="001C6054"/>
    <w:rsid w:val="001C6153"/>
    <w:rsid w:val="001C618F"/>
    <w:rsid w:val="001C638C"/>
    <w:rsid w:val="001C6484"/>
    <w:rsid w:val="001C6544"/>
    <w:rsid w:val="001C6953"/>
    <w:rsid w:val="001C6977"/>
    <w:rsid w:val="001C6D45"/>
    <w:rsid w:val="001C6E07"/>
    <w:rsid w:val="001C6EBA"/>
    <w:rsid w:val="001C71E4"/>
    <w:rsid w:val="001C7273"/>
    <w:rsid w:val="001C72FA"/>
    <w:rsid w:val="001C73F0"/>
    <w:rsid w:val="001C7437"/>
    <w:rsid w:val="001C7493"/>
    <w:rsid w:val="001C74D6"/>
    <w:rsid w:val="001C7582"/>
    <w:rsid w:val="001C7621"/>
    <w:rsid w:val="001C7718"/>
    <w:rsid w:val="001C7738"/>
    <w:rsid w:val="001C7A34"/>
    <w:rsid w:val="001C7B43"/>
    <w:rsid w:val="001C7DB3"/>
    <w:rsid w:val="001C7E6C"/>
    <w:rsid w:val="001C7F31"/>
    <w:rsid w:val="001C7FD7"/>
    <w:rsid w:val="001C7FF6"/>
    <w:rsid w:val="001CCEB8"/>
    <w:rsid w:val="001D0083"/>
    <w:rsid w:val="001D0091"/>
    <w:rsid w:val="001D01EC"/>
    <w:rsid w:val="001D0238"/>
    <w:rsid w:val="001D0328"/>
    <w:rsid w:val="001D034E"/>
    <w:rsid w:val="001D05E2"/>
    <w:rsid w:val="001D0858"/>
    <w:rsid w:val="001D089A"/>
    <w:rsid w:val="001D092E"/>
    <w:rsid w:val="001D0B72"/>
    <w:rsid w:val="001D0CC1"/>
    <w:rsid w:val="001D0D0A"/>
    <w:rsid w:val="001D1458"/>
    <w:rsid w:val="001D1544"/>
    <w:rsid w:val="001D1583"/>
    <w:rsid w:val="001D16D5"/>
    <w:rsid w:val="001D19E7"/>
    <w:rsid w:val="001D1B07"/>
    <w:rsid w:val="001D1B9A"/>
    <w:rsid w:val="001D1CC3"/>
    <w:rsid w:val="001D205D"/>
    <w:rsid w:val="001D20A6"/>
    <w:rsid w:val="001D2168"/>
    <w:rsid w:val="001D22F9"/>
    <w:rsid w:val="001D23D1"/>
    <w:rsid w:val="001D26C8"/>
    <w:rsid w:val="001D29E1"/>
    <w:rsid w:val="001D2A36"/>
    <w:rsid w:val="001D2C54"/>
    <w:rsid w:val="001D2E61"/>
    <w:rsid w:val="001D2F06"/>
    <w:rsid w:val="001D2F65"/>
    <w:rsid w:val="001D2FB9"/>
    <w:rsid w:val="001D320A"/>
    <w:rsid w:val="001D38E5"/>
    <w:rsid w:val="001D3BCA"/>
    <w:rsid w:val="001D3BD8"/>
    <w:rsid w:val="001D3BFC"/>
    <w:rsid w:val="001D3DF2"/>
    <w:rsid w:val="001D3F83"/>
    <w:rsid w:val="001D43A0"/>
    <w:rsid w:val="001D471F"/>
    <w:rsid w:val="001D4B84"/>
    <w:rsid w:val="001D53B3"/>
    <w:rsid w:val="001D5583"/>
    <w:rsid w:val="001D5C4D"/>
    <w:rsid w:val="001D5C70"/>
    <w:rsid w:val="001D5FC8"/>
    <w:rsid w:val="001D606C"/>
    <w:rsid w:val="001D607E"/>
    <w:rsid w:val="001D615C"/>
    <w:rsid w:val="001D6295"/>
    <w:rsid w:val="001D62BD"/>
    <w:rsid w:val="001D630C"/>
    <w:rsid w:val="001D647E"/>
    <w:rsid w:val="001D668C"/>
    <w:rsid w:val="001D6834"/>
    <w:rsid w:val="001D6869"/>
    <w:rsid w:val="001D6D75"/>
    <w:rsid w:val="001D6E0F"/>
    <w:rsid w:val="001D6E2E"/>
    <w:rsid w:val="001D7047"/>
    <w:rsid w:val="001D73C9"/>
    <w:rsid w:val="001D74D0"/>
    <w:rsid w:val="001D79AB"/>
    <w:rsid w:val="001D7EFC"/>
    <w:rsid w:val="001D7FC3"/>
    <w:rsid w:val="001E024D"/>
    <w:rsid w:val="001E0293"/>
    <w:rsid w:val="001E0360"/>
    <w:rsid w:val="001E03D6"/>
    <w:rsid w:val="001E04E1"/>
    <w:rsid w:val="001E07EA"/>
    <w:rsid w:val="001E0884"/>
    <w:rsid w:val="001E0973"/>
    <w:rsid w:val="001E097F"/>
    <w:rsid w:val="001E0A0D"/>
    <w:rsid w:val="001E0AA4"/>
    <w:rsid w:val="001E0B00"/>
    <w:rsid w:val="001E0FB5"/>
    <w:rsid w:val="001E1035"/>
    <w:rsid w:val="001E1159"/>
    <w:rsid w:val="001E11AA"/>
    <w:rsid w:val="001E1287"/>
    <w:rsid w:val="001E1483"/>
    <w:rsid w:val="001E1859"/>
    <w:rsid w:val="001E1A78"/>
    <w:rsid w:val="001E1CEC"/>
    <w:rsid w:val="001E1D94"/>
    <w:rsid w:val="001E213B"/>
    <w:rsid w:val="001E2186"/>
    <w:rsid w:val="001E219E"/>
    <w:rsid w:val="001E2611"/>
    <w:rsid w:val="001E2711"/>
    <w:rsid w:val="001E287D"/>
    <w:rsid w:val="001E2C9B"/>
    <w:rsid w:val="001E2CAF"/>
    <w:rsid w:val="001E2F30"/>
    <w:rsid w:val="001E313F"/>
    <w:rsid w:val="001E319F"/>
    <w:rsid w:val="001E3201"/>
    <w:rsid w:val="001E32AE"/>
    <w:rsid w:val="001E3531"/>
    <w:rsid w:val="001E3725"/>
    <w:rsid w:val="001E3825"/>
    <w:rsid w:val="001E3A39"/>
    <w:rsid w:val="001E3C2C"/>
    <w:rsid w:val="001E4125"/>
    <w:rsid w:val="001E415C"/>
    <w:rsid w:val="001E41E1"/>
    <w:rsid w:val="001E4351"/>
    <w:rsid w:val="001E43CE"/>
    <w:rsid w:val="001E45F1"/>
    <w:rsid w:val="001E4E97"/>
    <w:rsid w:val="001E503C"/>
    <w:rsid w:val="001E5063"/>
    <w:rsid w:val="001E51DD"/>
    <w:rsid w:val="001E5538"/>
    <w:rsid w:val="001E557F"/>
    <w:rsid w:val="001E564B"/>
    <w:rsid w:val="001E5959"/>
    <w:rsid w:val="001E5CB6"/>
    <w:rsid w:val="001E5D6A"/>
    <w:rsid w:val="001E61E2"/>
    <w:rsid w:val="001E6363"/>
    <w:rsid w:val="001E6751"/>
    <w:rsid w:val="001E6827"/>
    <w:rsid w:val="001E6A74"/>
    <w:rsid w:val="001E6AC9"/>
    <w:rsid w:val="001E6B5E"/>
    <w:rsid w:val="001E6D69"/>
    <w:rsid w:val="001E6E03"/>
    <w:rsid w:val="001E6E9E"/>
    <w:rsid w:val="001E7439"/>
    <w:rsid w:val="001E761A"/>
    <w:rsid w:val="001E77B9"/>
    <w:rsid w:val="001E78FB"/>
    <w:rsid w:val="001E7937"/>
    <w:rsid w:val="001E7B89"/>
    <w:rsid w:val="001E7BA7"/>
    <w:rsid w:val="001E7D10"/>
    <w:rsid w:val="001E7E13"/>
    <w:rsid w:val="001F0284"/>
    <w:rsid w:val="001F04FE"/>
    <w:rsid w:val="001F0609"/>
    <w:rsid w:val="001F0B41"/>
    <w:rsid w:val="001F0BB4"/>
    <w:rsid w:val="001F0C57"/>
    <w:rsid w:val="001F0D46"/>
    <w:rsid w:val="001F0DE2"/>
    <w:rsid w:val="001F0DF8"/>
    <w:rsid w:val="001F0E1F"/>
    <w:rsid w:val="001F1247"/>
    <w:rsid w:val="001F133E"/>
    <w:rsid w:val="001F1397"/>
    <w:rsid w:val="001F1439"/>
    <w:rsid w:val="001F15D7"/>
    <w:rsid w:val="001F16B3"/>
    <w:rsid w:val="001F1878"/>
    <w:rsid w:val="001F19DF"/>
    <w:rsid w:val="001F1AD0"/>
    <w:rsid w:val="001F1D85"/>
    <w:rsid w:val="001F1E2A"/>
    <w:rsid w:val="001F2058"/>
    <w:rsid w:val="001F23EE"/>
    <w:rsid w:val="001F276B"/>
    <w:rsid w:val="001F27AA"/>
    <w:rsid w:val="001F2AC9"/>
    <w:rsid w:val="001F2BAE"/>
    <w:rsid w:val="001F2DCF"/>
    <w:rsid w:val="001F3078"/>
    <w:rsid w:val="001F32B3"/>
    <w:rsid w:val="001F3300"/>
    <w:rsid w:val="001F369D"/>
    <w:rsid w:val="001F3768"/>
    <w:rsid w:val="001F3B56"/>
    <w:rsid w:val="001F3E15"/>
    <w:rsid w:val="001F3F20"/>
    <w:rsid w:val="001F41B9"/>
    <w:rsid w:val="001F426E"/>
    <w:rsid w:val="001F427B"/>
    <w:rsid w:val="001F44CE"/>
    <w:rsid w:val="001F48BE"/>
    <w:rsid w:val="001F499A"/>
    <w:rsid w:val="001F4C8E"/>
    <w:rsid w:val="001F4EAC"/>
    <w:rsid w:val="001F4FCA"/>
    <w:rsid w:val="001F5149"/>
    <w:rsid w:val="001F514E"/>
    <w:rsid w:val="001F51AC"/>
    <w:rsid w:val="001F5265"/>
    <w:rsid w:val="001F56AF"/>
    <w:rsid w:val="001F5819"/>
    <w:rsid w:val="001F582F"/>
    <w:rsid w:val="001F5836"/>
    <w:rsid w:val="001F585D"/>
    <w:rsid w:val="001F5E0A"/>
    <w:rsid w:val="001F5E2F"/>
    <w:rsid w:val="001F631A"/>
    <w:rsid w:val="001F64AE"/>
    <w:rsid w:val="001F64C7"/>
    <w:rsid w:val="001F663D"/>
    <w:rsid w:val="001F66D4"/>
    <w:rsid w:val="001F66DB"/>
    <w:rsid w:val="001F674B"/>
    <w:rsid w:val="001F68EB"/>
    <w:rsid w:val="001F6917"/>
    <w:rsid w:val="001F69B2"/>
    <w:rsid w:val="001F69CF"/>
    <w:rsid w:val="001F6B1F"/>
    <w:rsid w:val="001F7382"/>
    <w:rsid w:val="001F74B1"/>
    <w:rsid w:val="001F74F9"/>
    <w:rsid w:val="001F76DB"/>
    <w:rsid w:val="001F79BB"/>
    <w:rsid w:val="001F7A93"/>
    <w:rsid w:val="001F7A9A"/>
    <w:rsid w:val="001F7B43"/>
    <w:rsid w:val="0020007C"/>
    <w:rsid w:val="00200118"/>
    <w:rsid w:val="0020021D"/>
    <w:rsid w:val="002004BB"/>
    <w:rsid w:val="0020057A"/>
    <w:rsid w:val="0020065A"/>
    <w:rsid w:val="00200FE1"/>
    <w:rsid w:val="00201076"/>
    <w:rsid w:val="0020111B"/>
    <w:rsid w:val="00201168"/>
    <w:rsid w:val="00201281"/>
    <w:rsid w:val="00201822"/>
    <w:rsid w:val="002019BD"/>
    <w:rsid w:val="002019FC"/>
    <w:rsid w:val="00201E9F"/>
    <w:rsid w:val="00202015"/>
    <w:rsid w:val="002023F1"/>
    <w:rsid w:val="0020265F"/>
    <w:rsid w:val="002026F9"/>
    <w:rsid w:val="002027CD"/>
    <w:rsid w:val="00202C44"/>
    <w:rsid w:val="00203410"/>
    <w:rsid w:val="0020360E"/>
    <w:rsid w:val="002037AD"/>
    <w:rsid w:val="00203919"/>
    <w:rsid w:val="00203935"/>
    <w:rsid w:val="002039BF"/>
    <w:rsid w:val="00203BFE"/>
    <w:rsid w:val="00203C51"/>
    <w:rsid w:val="00203CD7"/>
    <w:rsid w:val="0020403A"/>
    <w:rsid w:val="002040E6"/>
    <w:rsid w:val="00204138"/>
    <w:rsid w:val="0020426F"/>
    <w:rsid w:val="0020434B"/>
    <w:rsid w:val="00204523"/>
    <w:rsid w:val="002046D8"/>
    <w:rsid w:val="0020477B"/>
    <w:rsid w:val="0020479A"/>
    <w:rsid w:val="00204828"/>
    <w:rsid w:val="00204881"/>
    <w:rsid w:val="0020490B"/>
    <w:rsid w:val="002050C3"/>
    <w:rsid w:val="002052D3"/>
    <w:rsid w:val="0020552F"/>
    <w:rsid w:val="00205745"/>
    <w:rsid w:val="002057ED"/>
    <w:rsid w:val="00205A4B"/>
    <w:rsid w:val="00205B6C"/>
    <w:rsid w:val="00205C76"/>
    <w:rsid w:val="00205E85"/>
    <w:rsid w:val="00205F3B"/>
    <w:rsid w:val="00206290"/>
    <w:rsid w:val="00206594"/>
    <w:rsid w:val="00206667"/>
    <w:rsid w:val="0020683F"/>
    <w:rsid w:val="00206A3C"/>
    <w:rsid w:val="00206A58"/>
    <w:rsid w:val="00206C6D"/>
    <w:rsid w:val="00206DBC"/>
    <w:rsid w:val="00206E34"/>
    <w:rsid w:val="00206E6B"/>
    <w:rsid w:val="00206FA7"/>
    <w:rsid w:val="00207040"/>
    <w:rsid w:val="00207124"/>
    <w:rsid w:val="00207210"/>
    <w:rsid w:val="002074EA"/>
    <w:rsid w:val="00207503"/>
    <w:rsid w:val="00207518"/>
    <w:rsid w:val="002076FD"/>
    <w:rsid w:val="00207759"/>
    <w:rsid w:val="002077D2"/>
    <w:rsid w:val="00207AE2"/>
    <w:rsid w:val="00207B85"/>
    <w:rsid w:val="00207BE3"/>
    <w:rsid w:val="00207ED3"/>
    <w:rsid w:val="00207FDD"/>
    <w:rsid w:val="0021019E"/>
    <w:rsid w:val="00210206"/>
    <w:rsid w:val="0021038B"/>
    <w:rsid w:val="0021086B"/>
    <w:rsid w:val="00210A3C"/>
    <w:rsid w:val="00210A52"/>
    <w:rsid w:val="00210AE6"/>
    <w:rsid w:val="00210B78"/>
    <w:rsid w:val="00210C21"/>
    <w:rsid w:val="00210CAE"/>
    <w:rsid w:val="00210D23"/>
    <w:rsid w:val="00210EA5"/>
    <w:rsid w:val="00210F88"/>
    <w:rsid w:val="0021107C"/>
    <w:rsid w:val="00211584"/>
    <w:rsid w:val="002115CD"/>
    <w:rsid w:val="002117EC"/>
    <w:rsid w:val="00211DFF"/>
    <w:rsid w:val="00211E43"/>
    <w:rsid w:val="002120C8"/>
    <w:rsid w:val="00212277"/>
    <w:rsid w:val="002122B2"/>
    <w:rsid w:val="002123DF"/>
    <w:rsid w:val="00212558"/>
    <w:rsid w:val="002125EE"/>
    <w:rsid w:val="00212619"/>
    <w:rsid w:val="0021287C"/>
    <w:rsid w:val="00212AB4"/>
    <w:rsid w:val="00212C08"/>
    <w:rsid w:val="00212F81"/>
    <w:rsid w:val="00213034"/>
    <w:rsid w:val="00213094"/>
    <w:rsid w:val="002131F0"/>
    <w:rsid w:val="002134B6"/>
    <w:rsid w:val="002135AA"/>
    <w:rsid w:val="0021385C"/>
    <w:rsid w:val="002138CB"/>
    <w:rsid w:val="00213A16"/>
    <w:rsid w:val="00213A56"/>
    <w:rsid w:val="00213DC6"/>
    <w:rsid w:val="00213F85"/>
    <w:rsid w:val="00214040"/>
    <w:rsid w:val="00214066"/>
    <w:rsid w:val="002141F1"/>
    <w:rsid w:val="0021453D"/>
    <w:rsid w:val="00214626"/>
    <w:rsid w:val="0021478D"/>
    <w:rsid w:val="00214BE3"/>
    <w:rsid w:val="00214C74"/>
    <w:rsid w:val="00214D56"/>
    <w:rsid w:val="00214D8D"/>
    <w:rsid w:val="0021508B"/>
    <w:rsid w:val="00215263"/>
    <w:rsid w:val="002158FE"/>
    <w:rsid w:val="00215DE3"/>
    <w:rsid w:val="0021607E"/>
    <w:rsid w:val="002160ED"/>
    <w:rsid w:val="002162B4"/>
    <w:rsid w:val="0021643F"/>
    <w:rsid w:val="00216508"/>
    <w:rsid w:val="002165B3"/>
    <w:rsid w:val="002166FD"/>
    <w:rsid w:val="002167B6"/>
    <w:rsid w:val="002169EC"/>
    <w:rsid w:val="00216B70"/>
    <w:rsid w:val="00216BC2"/>
    <w:rsid w:val="00216C99"/>
    <w:rsid w:val="002170D4"/>
    <w:rsid w:val="002171AA"/>
    <w:rsid w:val="00217473"/>
    <w:rsid w:val="00217985"/>
    <w:rsid w:val="00217A78"/>
    <w:rsid w:val="00217CB8"/>
    <w:rsid w:val="00217E72"/>
    <w:rsid w:val="00217EC6"/>
    <w:rsid w:val="0022024E"/>
    <w:rsid w:val="00220334"/>
    <w:rsid w:val="0022052A"/>
    <w:rsid w:val="0022067E"/>
    <w:rsid w:val="00220A11"/>
    <w:rsid w:val="00220B94"/>
    <w:rsid w:val="00221195"/>
    <w:rsid w:val="002212BD"/>
    <w:rsid w:val="002213A4"/>
    <w:rsid w:val="00221401"/>
    <w:rsid w:val="00221750"/>
    <w:rsid w:val="0022193E"/>
    <w:rsid w:val="00221980"/>
    <w:rsid w:val="00221A2E"/>
    <w:rsid w:val="00221ADE"/>
    <w:rsid w:val="00221C77"/>
    <w:rsid w:val="00221D81"/>
    <w:rsid w:val="00221E53"/>
    <w:rsid w:val="00221E55"/>
    <w:rsid w:val="00221EE6"/>
    <w:rsid w:val="00222151"/>
    <w:rsid w:val="00222672"/>
    <w:rsid w:val="002227C2"/>
    <w:rsid w:val="00222A3F"/>
    <w:rsid w:val="00222AAB"/>
    <w:rsid w:val="00222B5D"/>
    <w:rsid w:val="00222E03"/>
    <w:rsid w:val="00222E69"/>
    <w:rsid w:val="00223154"/>
    <w:rsid w:val="0022364C"/>
    <w:rsid w:val="0022370E"/>
    <w:rsid w:val="002239D2"/>
    <w:rsid w:val="00223C27"/>
    <w:rsid w:val="00223D8A"/>
    <w:rsid w:val="00223DA4"/>
    <w:rsid w:val="00223E0A"/>
    <w:rsid w:val="00223F2A"/>
    <w:rsid w:val="00223F55"/>
    <w:rsid w:val="002242FA"/>
    <w:rsid w:val="002245F4"/>
    <w:rsid w:val="002249F4"/>
    <w:rsid w:val="00224A26"/>
    <w:rsid w:val="00224B80"/>
    <w:rsid w:val="00224BA3"/>
    <w:rsid w:val="00224D3E"/>
    <w:rsid w:val="0022508B"/>
    <w:rsid w:val="002253F6"/>
    <w:rsid w:val="00225906"/>
    <w:rsid w:val="00225ADB"/>
    <w:rsid w:val="00225CD0"/>
    <w:rsid w:val="00225D2E"/>
    <w:rsid w:val="00225F92"/>
    <w:rsid w:val="002262D6"/>
    <w:rsid w:val="00226B82"/>
    <w:rsid w:val="00226C96"/>
    <w:rsid w:val="00227288"/>
    <w:rsid w:val="002272FA"/>
    <w:rsid w:val="00227608"/>
    <w:rsid w:val="00227690"/>
    <w:rsid w:val="002276CA"/>
    <w:rsid w:val="00227792"/>
    <w:rsid w:val="002277ED"/>
    <w:rsid w:val="002279CD"/>
    <w:rsid w:val="00227B2B"/>
    <w:rsid w:val="00227CB4"/>
    <w:rsid w:val="00230050"/>
    <w:rsid w:val="002302FE"/>
    <w:rsid w:val="002305E7"/>
    <w:rsid w:val="0023071C"/>
    <w:rsid w:val="00230723"/>
    <w:rsid w:val="00230798"/>
    <w:rsid w:val="002308AF"/>
    <w:rsid w:val="00231008"/>
    <w:rsid w:val="00231209"/>
    <w:rsid w:val="00231260"/>
    <w:rsid w:val="00231427"/>
    <w:rsid w:val="00231641"/>
    <w:rsid w:val="00231BA5"/>
    <w:rsid w:val="00231BB8"/>
    <w:rsid w:val="00231D55"/>
    <w:rsid w:val="00231D92"/>
    <w:rsid w:val="00231F35"/>
    <w:rsid w:val="0023290D"/>
    <w:rsid w:val="00232BB4"/>
    <w:rsid w:val="00232BF2"/>
    <w:rsid w:val="00232CD2"/>
    <w:rsid w:val="00232CE3"/>
    <w:rsid w:val="00232D2E"/>
    <w:rsid w:val="002335D9"/>
    <w:rsid w:val="0023365A"/>
    <w:rsid w:val="0023374C"/>
    <w:rsid w:val="00233756"/>
    <w:rsid w:val="00233AF9"/>
    <w:rsid w:val="00233B95"/>
    <w:rsid w:val="00233E5D"/>
    <w:rsid w:val="002340D9"/>
    <w:rsid w:val="00234244"/>
    <w:rsid w:val="00234449"/>
    <w:rsid w:val="00234528"/>
    <w:rsid w:val="002345D7"/>
    <w:rsid w:val="0023467C"/>
    <w:rsid w:val="0023473A"/>
    <w:rsid w:val="0023480F"/>
    <w:rsid w:val="0023488F"/>
    <w:rsid w:val="002348A0"/>
    <w:rsid w:val="0023499C"/>
    <w:rsid w:val="002349F9"/>
    <w:rsid w:val="00234A73"/>
    <w:rsid w:val="00234BD4"/>
    <w:rsid w:val="00234CE7"/>
    <w:rsid w:val="0023501D"/>
    <w:rsid w:val="00235411"/>
    <w:rsid w:val="00235495"/>
    <w:rsid w:val="0023549B"/>
    <w:rsid w:val="0023583F"/>
    <w:rsid w:val="002358E5"/>
    <w:rsid w:val="00235B1C"/>
    <w:rsid w:val="00235C9A"/>
    <w:rsid w:val="0023658E"/>
    <w:rsid w:val="002366E2"/>
    <w:rsid w:val="002369E1"/>
    <w:rsid w:val="00236A6F"/>
    <w:rsid w:val="00236A79"/>
    <w:rsid w:val="00236A80"/>
    <w:rsid w:val="00236A9A"/>
    <w:rsid w:val="00236AB7"/>
    <w:rsid w:val="00236B38"/>
    <w:rsid w:val="00236BC4"/>
    <w:rsid w:val="00236F96"/>
    <w:rsid w:val="0023706A"/>
    <w:rsid w:val="002370A1"/>
    <w:rsid w:val="00237209"/>
    <w:rsid w:val="00237568"/>
    <w:rsid w:val="002375E7"/>
    <w:rsid w:val="002377E0"/>
    <w:rsid w:val="002379DE"/>
    <w:rsid w:val="00237E02"/>
    <w:rsid w:val="00237EFF"/>
    <w:rsid w:val="00237FA5"/>
    <w:rsid w:val="0024000D"/>
    <w:rsid w:val="0024019E"/>
    <w:rsid w:val="002401E0"/>
    <w:rsid w:val="0024091A"/>
    <w:rsid w:val="00240C5D"/>
    <w:rsid w:val="00240C5F"/>
    <w:rsid w:val="00240D3F"/>
    <w:rsid w:val="0024123A"/>
    <w:rsid w:val="00241303"/>
    <w:rsid w:val="002414D3"/>
    <w:rsid w:val="0024168E"/>
    <w:rsid w:val="00241813"/>
    <w:rsid w:val="0024196F"/>
    <w:rsid w:val="00241A3B"/>
    <w:rsid w:val="00241BC2"/>
    <w:rsid w:val="00242012"/>
    <w:rsid w:val="002422AD"/>
    <w:rsid w:val="0024238B"/>
    <w:rsid w:val="002425D9"/>
    <w:rsid w:val="00242772"/>
    <w:rsid w:val="00242B50"/>
    <w:rsid w:val="00242BD2"/>
    <w:rsid w:val="00242C75"/>
    <w:rsid w:val="00242F0B"/>
    <w:rsid w:val="002430CE"/>
    <w:rsid w:val="0024326E"/>
    <w:rsid w:val="002432DB"/>
    <w:rsid w:val="00243399"/>
    <w:rsid w:val="00243490"/>
    <w:rsid w:val="00243574"/>
    <w:rsid w:val="0024358C"/>
    <w:rsid w:val="002437CA"/>
    <w:rsid w:val="00243A5C"/>
    <w:rsid w:val="00243A7E"/>
    <w:rsid w:val="00243AB1"/>
    <w:rsid w:val="00243DA3"/>
    <w:rsid w:val="00243DDA"/>
    <w:rsid w:val="00243E29"/>
    <w:rsid w:val="00243E51"/>
    <w:rsid w:val="00244146"/>
    <w:rsid w:val="0024428D"/>
    <w:rsid w:val="002443B1"/>
    <w:rsid w:val="002444D1"/>
    <w:rsid w:val="0024458B"/>
    <w:rsid w:val="0024464B"/>
    <w:rsid w:val="00244707"/>
    <w:rsid w:val="00244ACA"/>
    <w:rsid w:val="00244B2A"/>
    <w:rsid w:val="00244BB4"/>
    <w:rsid w:val="0024520F"/>
    <w:rsid w:val="002454AD"/>
    <w:rsid w:val="00245515"/>
    <w:rsid w:val="0024555B"/>
    <w:rsid w:val="00245723"/>
    <w:rsid w:val="00245786"/>
    <w:rsid w:val="00245C22"/>
    <w:rsid w:val="00245D7D"/>
    <w:rsid w:val="00245DA2"/>
    <w:rsid w:val="00245DFB"/>
    <w:rsid w:val="00245EB9"/>
    <w:rsid w:val="00245F4A"/>
    <w:rsid w:val="00246134"/>
    <w:rsid w:val="002462B2"/>
    <w:rsid w:val="002463B8"/>
    <w:rsid w:val="0024649B"/>
    <w:rsid w:val="00246540"/>
    <w:rsid w:val="00246629"/>
    <w:rsid w:val="00246957"/>
    <w:rsid w:val="00246FF3"/>
    <w:rsid w:val="002470C0"/>
    <w:rsid w:val="00247331"/>
    <w:rsid w:val="00247355"/>
    <w:rsid w:val="00247753"/>
    <w:rsid w:val="002477DE"/>
    <w:rsid w:val="0024782A"/>
    <w:rsid w:val="00247B58"/>
    <w:rsid w:val="00247EF9"/>
    <w:rsid w:val="0025020B"/>
    <w:rsid w:val="002503CA"/>
    <w:rsid w:val="002505E4"/>
    <w:rsid w:val="0025066F"/>
    <w:rsid w:val="002506EE"/>
    <w:rsid w:val="002507DD"/>
    <w:rsid w:val="00250848"/>
    <w:rsid w:val="00250916"/>
    <w:rsid w:val="00250B51"/>
    <w:rsid w:val="00250F4C"/>
    <w:rsid w:val="00251042"/>
    <w:rsid w:val="0025147F"/>
    <w:rsid w:val="00251803"/>
    <w:rsid w:val="002518AB"/>
    <w:rsid w:val="00251904"/>
    <w:rsid w:val="002519C2"/>
    <w:rsid w:val="002519EC"/>
    <w:rsid w:val="00251D9C"/>
    <w:rsid w:val="00251EA3"/>
    <w:rsid w:val="00251F2B"/>
    <w:rsid w:val="00251F8D"/>
    <w:rsid w:val="00252140"/>
    <w:rsid w:val="002524FD"/>
    <w:rsid w:val="002526E9"/>
    <w:rsid w:val="0025290F"/>
    <w:rsid w:val="00252A68"/>
    <w:rsid w:val="00252AA1"/>
    <w:rsid w:val="00252B34"/>
    <w:rsid w:val="00252B63"/>
    <w:rsid w:val="00252CB4"/>
    <w:rsid w:val="00252CC8"/>
    <w:rsid w:val="00252F3A"/>
    <w:rsid w:val="00252F43"/>
    <w:rsid w:val="002532A9"/>
    <w:rsid w:val="002532F2"/>
    <w:rsid w:val="0025334F"/>
    <w:rsid w:val="0025339A"/>
    <w:rsid w:val="00253432"/>
    <w:rsid w:val="0025376F"/>
    <w:rsid w:val="00253ACD"/>
    <w:rsid w:val="00253D7A"/>
    <w:rsid w:val="00254172"/>
    <w:rsid w:val="002544C9"/>
    <w:rsid w:val="002545C0"/>
    <w:rsid w:val="002546BA"/>
    <w:rsid w:val="0025495B"/>
    <w:rsid w:val="00254D49"/>
    <w:rsid w:val="00254E3E"/>
    <w:rsid w:val="00254EE9"/>
    <w:rsid w:val="00254EF5"/>
    <w:rsid w:val="00255042"/>
    <w:rsid w:val="002550AC"/>
    <w:rsid w:val="0025539B"/>
    <w:rsid w:val="00255632"/>
    <w:rsid w:val="00255972"/>
    <w:rsid w:val="002561D6"/>
    <w:rsid w:val="002561F3"/>
    <w:rsid w:val="0025676A"/>
    <w:rsid w:val="00256A16"/>
    <w:rsid w:val="00256AC3"/>
    <w:rsid w:val="00256B51"/>
    <w:rsid w:val="0025741B"/>
    <w:rsid w:val="002574AC"/>
    <w:rsid w:val="002579BE"/>
    <w:rsid w:val="00257A39"/>
    <w:rsid w:val="00257A62"/>
    <w:rsid w:val="00257B6B"/>
    <w:rsid w:val="00257BE5"/>
    <w:rsid w:val="00257C05"/>
    <w:rsid w:val="00257FC1"/>
    <w:rsid w:val="0026022C"/>
    <w:rsid w:val="0026057B"/>
    <w:rsid w:val="0026065B"/>
    <w:rsid w:val="002609B4"/>
    <w:rsid w:val="00260C7A"/>
    <w:rsid w:val="00260CB5"/>
    <w:rsid w:val="00260CF8"/>
    <w:rsid w:val="00260D65"/>
    <w:rsid w:val="00260F1D"/>
    <w:rsid w:val="00261156"/>
    <w:rsid w:val="00261821"/>
    <w:rsid w:val="00261859"/>
    <w:rsid w:val="00261977"/>
    <w:rsid w:val="00261A56"/>
    <w:rsid w:val="00261D79"/>
    <w:rsid w:val="00262151"/>
    <w:rsid w:val="002627DF"/>
    <w:rsid w:val="002627FB"/>
    <w:rsid w:val="00262943"/>
    <w:rsid w:val="00262AF6"/>
    <w:rsid w:val="00262DDA"/>
    <w:rsid w:val="00262E69"/>
    <w:rsid w:val="00262F9F"/>
    <w:rsid w:val="002631EA"/>
    <w:rsid w:val="00263408"/>
    <w:rsid w:val="0026349F"/>
    <w:rsid w:val="002636CF"/>
    <w:rsid w:val="00263B06"/>
    <w:rsid w:val="00263C04"/>
    <w:rsid w:val="00263C42"/>
    <w:rsid w:val="00263CFF"/>
    <w:rsid w:val="0026410B"/>
    <w:rsid w:val="002642CF"/>
    <w:rsid w:val="00264572"/>
    <w:rsid w:val="002645EC"/>
    <w:rsid w:val="002646B9"/>
    <w:rsid w:val="002647AB"/>
    <w:rsid w:val="002648DB"/>
    <w:rsid w:val="00264A25"/>
    <w:rsid w:val="00264B97"/>
    <w:rsid w:val="00264C07"/>
    <w:rsid w:val="00264C4A"/>
    <w:rsid w:val="00264EC9"/>
    <w:rsid w:val="00264F90"/>
    <w:rsid w:val="00264FF4"/>
    <w:rsid w:val="00265295"/>
    <w:rsid w:val="0026552B"/>
    <w:rsid w:val="00265637"/>
    <w:rsid w:val="00265802"/>
    <w:rsid w:val="00265AFA"/>
    <w:rsid w:val="00265B26"/>
    <w:rsid w:val="00265F20"/>
    <w:rsid w:val="00265F27"/>
    <w:rsid w:val="00266138"/>
    <w:rsid w:val="002661B6"/>
    <w:rsid w:val="00266441"/>
    <w:rsid w:val="00266479"/>
    <w:rsid w:val="0026687F"/>
    <w:rsid w:val="00266973"/>
    <w:rsid w:val="00266B7C"/>
    <w:rsid w:val="00266B92"/>
    <w:rsid w:val="00266C3B"/>
    <w:rsid w:val="00266CDC"/>
    <w:rsid w:val="00266E23"/>
    <w:rsid w:val="00266E8B"/>
    <w:rsid w:val="00266ECD"/>
    <w:rsid w:val="00266FAB"/>
    <w:rsid w:val="00267114"/>
    <w:rsid w:val="002671F1"/>
    <w:rsid w:val="00267325"/>
    <w:rsid w:val="002677B2"/>
    <w:rsid w:val="002679FB"/>
    <w:rsid w:val="00267DA7"/>
    <w:rsid w:val="00267E02"/>
    <w:rsid w:val="0026DC97"/>
    <w:rsid w:val="002701BC"/>
    <w:rsid w:val="002702FD"/>
    <w:rsid w:val="00270345"/>
    <w:rsid w:val="0027040A"/>
    <w:rsid w:val="002704D7"/>
    <w:rsid w:val="0027085D"/>
    <w:rsid w:val="00270878"/>
    <w:rsid w:val="002708C4"/>
    <w:rsid w:val="00270AD2"/>
    <w:rsid w:val="00270B63"/>
    <w:rsid w:val="00270B95"/>
    <w:rsid w:val="00270DAE"/>
    <w:rsid w:val="002713E9"/>
    <w:rsid w:val="002713F4"/>
    <w:rsid w:val="002714F1"/>
    <w:rsid w:val="00271517"/>
    <w:rsid w:val="00271679"/>
    <w:rsid w:val="00271996"/>
    <w:rsid w:val="00271E3D"/>
    <w:rsid w:val="00272105"/>
    <w:rsid w:val="0027224E"/>
    <w:rsid w:val="00272387"/>
    <w:rsid w:val="00272409"/>
    <w:rsid w:val="00272426"/>
    <w:rsid w:val="00272454"/>
    <w:rsid w:val="0027253D"/>
    <w:rsid w:val="002726FE"/>
    <w:rsid w:val="002732DA"/>
    <w:rsid w:val="002732EC"/>
    <w:rsid w:val="002733C9"/>
    <w:rsid w:val="00273795"/>
    <w:rsid w:val="002739A0"/>
    <w:rsid w:val="00273A7A"/>
    <w:rsid w:val="00273BE2"/>
    <w:rsid w:val="00273D1E"/>
    <w:rsid w:val="00273E18"/>
    <w:rsid w:val="00274052"/>
    <w:rsid w:val="002740F9"/>
    <w:rsid w:val="00274434"/>
    <w:rsid w:val="00274501"/>
    <w:rsid w:val="00274706"/>
    <w:rsid w:val="002747E0"/>
    <w:rsid w:val="00274B43"/>
    <w:rsid w:val="00274C43"/>
    <w:rsid w:val="00274EC7"/>
    <w:rsid w:val="002750CF"/>
    <w:rsid w:val="002750F6"/>
    <w:rsid w:val="00275154"/>
    <w:rsid w:val="0027540B"/>
    <w:rsid w:val="00275656"/>
    <w:rsid w:val="0027566F"/>
    <w:rsid w:val="002756AB"/>
    <w:rsid w:val="00275703"/>
    <w:rsid w:val="00275733"/>
    <w:rsid w:val="00275895"/>
    <w:rsid w:val="00275AD4"/>
    <w:rsid w:val="00275BA0"/>
    <w:rsid w:val="00275BF6"/>
    <w:rsid w:val="00275E64"/>
    <w:rsid w:val="00275E75"/>
    <w:rsid w:val="00276145"/>
    <w:rsid w:val="002762E0"/>
    <w:rsid w:val="002763EF"/>
    <w:rsid w:val="00276505"/>
    <w:rsid w:val="00276601"/>
    <w:rsid w:val="002767AD"/>
    <w:rsid w:val="002768A2"/>
    <w:rsid w:val="0027691E"/>
    <w:rsid w:val="00276BBC"/>
    <w:rsid w:val="00276D3B"/>
    <w:rsid w:val="0027708B"/>
    <w:rsid w:val="0027709F"/>
    <w:rsid w:val="002772B7"/>
    <w:rsid w:val="002772BA"/>
    <w:rsid w:val="0027735C"/>
    <w:rsid w:val="002776EB"/>
    <w:rsid w:val="002777AC"/>
    <w:rsid w:val="0027781C"/>
    <w:rsid w:val="00277BA2"/>
    <w:rsid w:val="00277E1F"/>
    <w:rsid w:val="00280101"/>
    <w:rsid w:val="00280197"/>
    <w:rsid w:val="00280277"/>
    <w:rsid w:val="0028044B"/>
    <w:rsid w:val="002804DA"/>
    <w:rsid w:val="002806F1"/>
    <w:rsid w:val="00280AD6"/>
    <w:rsid w:val="00280BBC"/>
    <w:rsid w:val="00280CA7"/>
    <w:rsid w:val="002810E7"/>
    <w:rsid w:val="002810EB"/>
    <w:rsid w:val="002811E0"/>
    <w:rsid w:val="00281229"/>
    <w:rsid w:val="00281644"/>
    <w:rsid w:val="002816E1"/>
    <w:rsid w:val="0028198C"/>
    <w:rsid w:val="00281B34"/>
    <w:rsid w:val="00281B8F"/>
    <w:rsid w:val="00281E3F"/>
    <w:rsid w:val="0028205E"/>
    <w:rsid w:val="00282093"/>
    <w:rsid w:val="0028209F"/>
    <w:rsid w:val="002820B6"/>
    <w:rsid w:val="00282909"/>
    <w:rsid w:val="00282949"/>
    <w:rsid w:val="00282AC8"/>
    <w:rsid w:val="00282BA5"/>
    <w:rsid w:val="00282BB8"/>
    <w:rsid w:val="00282C11"/>
    <w:rsid w:val="00282EC6"/>
    <w:rsid w:val="00283224"/>
    <w:rsid w:val="002833DC"/>
    <w:rsid w:val="002837C9"/>
    <w:rsid w:val="002839CB"/>
    <w:rsid w:val="00283B17"/>
    <w:rsid w:val="00283BEB"/>
    <w:rsid w:val="00283EE7"/>
    <w:rsid w:val="00283F9E"/>
    <w:rsid w:val="002841D9"/>
    <w:rsid w:val="00284250"/>
    <w:rsid w:val="002842B2"/>
    <w:rsid w:val="002842B3"/>
    <w:rsid w:val="002843D3"/>
    <w:rsid w:val="00284502"/>
    <w:rsid w:val="0028452C"/>
    <w:rsid w:val="002848AD"/>
    <w:rsid w:val="00284944"/>
    <w:rsid w:val="00284AB9"/>
    <w:rsid w:val="00284ADD"/>
    <w:rsid w:val="00284AEA"/>
    <w:rsid w:val="00284D40"/>
    <w:rsid w:val="00284FD7"/>
    <w:rsid w:val="00285136"/>
    <w:rsid w:val="002851B8"/>
    <w:rsid w:val="00285239"/>
    <w:rsid w:val="0028527F"/>
    <w:rsid w:val="0028535C"/>
    <w:rsid w:val="002853A9"/>
    <w:rsid w:val="002853F0"/>
    <w:rsid w:val="0028551E"/>
    <w:rsid w:val="002855DF"/>
    <w:rsid w:val="0028560D"/>
    <w:rsid w:val="002856FD"/>
    <w:rsid w:val="00285779"/>
    <w:rsid w:val="002859D4"/>
    <w:rsid w:val="00285A53"/>
    <w:rsid w:val="00286300"/>
    <w:rsid w:val="002863A4"/>
    <w:rsid w:val="0028643A"/>
    <w:rsid w:val="0028654D"/>
    <w:rsid w:val="0028691E"/>
    <w:rsid w:val="00286ACA"/>
    <w:rsid w:val="00286AD4"/>
    <w:rsid w:val="00286CCA"/>
    <w:rsid w:val="00286D62"/>
    <w:rsid w:val="002870A9"/>
    <w:rsid w:val="002870BB"/>
    <w:rsid w:val="00287318"/>
    <w:rsid w:val="0028765D"/>
    <w:rsid w:val="0028773D"/>
    <w:rsid w:val="00287B2E"/>
    <w:rsid w:val="00287EFE"/>
    <w:rsid w:val="002901C2"/>
    <w:rsid w:val="002903C8"/>
    <w:rsid w:val="002904E9"/>
    <w:rsid w:val="0029054F"/>
    <w:rsid w:val="00290692"/>
    <w:rsid w:val="0029092B"/>
    <w:rsid w:val="00290990"/>
    <w:rsid w:val="00290A40"/>
    <w:rsid w:val="00290C0C"/>
    <w:rsid w:val="00290FA3"/>
    <w:rsid w:val="00291262"/>
    <w:rsid w:val="0029138E"/>
    <w:rsid w:val="002914A6"/>
    <w:rsid w:val="002914F8"/>
    <w:rsid w:val="00291637"/>
    <w:rsid w:val="002917EA"/>
    <w:rsid w:val="00291B1C"/>
    <w:rsid w:val="00291C0A"/>
    <w:rsid w:val="00291CFE"/>
    <w:rsid w:val="00291DBA"/>
    <w:rsid w:val="00291E94"/>
    <w:rsid w:val="00292288"/>
    <w:rsid w:val="002923DC"/>
    <w:rsid w:val="0029255A"/>
    <w:rsid w:val="0029268D"/>
    <w:rsid w:val="002926C6"/>
    <w:rsid w:val="0029275B"/>
    <w:rsid w:val="00292831"/>
    <w:rsid w:val="00292A0E"/>
    <w:rsid w:val="00292A2F"/>
    <w:rsid w:val="00292C5A"/>
    <w:rsid w:val="00292DAD"/>
    <w:rsid w:val="00292FE0"/>
    <w:rsid w:val="002930CF"/>
    <w:rsid w:val="00293682"/>
    <w:rsid w:val="00293855"/>
    <w:rsid w:val="0029385E"/>
    <w:rsid w:val="00293997"/>
    <w:rsid w:val="00293A9D"/>
    <w:rsid w:val="00293E81"/>
    <w:rsid w:val="00293F02"/>
    <w:rsid w:val="002941F7"/>
    <w:rsid w:val="00294313"/>
    <w:rsid w:val="00294337"/>
    <w:rsid w:val="002944A7"/>
    <w:rsid w:val="00294A10"/>
    <w:rsid w:val="00294D83"/>
    <w:rsid w:val="00294EF6"/>
    <w:rsid w:val="002953F4"/>
    <w:rsid w:val="00295877"/>
    <w:rsid w:val="00296363"/>
    <w:rsid w:val="0029687B"/>
    <w:rsid w:val="002968E9"/>
    <w:rsid w:val="00296A5E"/>
    <w:rsid w:val="00296C27"/>
    <w:rsid w:val="002970B6"/>
    <w:rsid w:val="0029728A"/>
    <w:rsid w:val="0029754F"/>
    <w:rsid w:val="002978B5"/>
    <w:rsid w:val="002979B4"/>
    <w:rsid w:val="002979C1"/>
    <w:rsid w:val="002979E5"/>
    <w:rsid w:val="002979EA"/>
    <w:rsid w:val="002979EF"/>
    <w:rsid w:val="00297AD3"/>
    <w:rsid w:val="00297ED3"/>
    <w:rsid w:val="00297F79"/>
    <w:rsid w:val="002A0595"/>
    <w:rsid w:val="002A0832"/>
    <w:rsid w:val="002A08D2"/>
    <w:rsid w:val="002A0CE0"/>
    <w:rsid w:val="002A122E"/>
    <w:rsid w:val="002A13C9"/>
    <w:rsid w:val="002A1460"/>
    <w:rsid w:val="002A152E"/>
    <w:rsid w:val="002A1799"/>
    <w:rsid w:val="002A1963"/>
    <w:rsid w:val="002A1A81"/>
    <w:rsid w:val="002A1C0C"/>
    <w:rsid w:val="002A1D0F"/>
    <w:rsid w:val="002A1D1B"/>
    <w:rsid w:val="002A1E58"/>
    <w:rsid w:val="002A1E6E"/>
    <w:rsid w:val="002A212E"/>
    <w:rsid w:val="002A22CA"/>
    <w:rsid w:val="002A232F"/>
    <w:rsid w:val="002A254D"/>
    <w:rsid w:val="002A2605"/>
    <w:rsid w:val="002A2990"/>
    <w:rsid w:val="002A29F8"/>
    <w:rsid w:val="002A2ADB"/>
    <w:rsid w:val="002A2BDC"/>
    <w:rsid w:val="002A2C7E"/>
    <w:rsid w:val="002A3222"/>
    <w:rsid w:val="002A373D"/>
    <w:rsid w:val="002A39F1"/>
    <w:rsid w:val="002A3B8D"/>
    <w:rsid w:val="002A3C41"/>
    <w:rsid w:val="002A3CA6"/>
    <w:rsid w:val="002A3E0A"/>
    <w:rsid w:val="002A3FA4"/>
    <w:rsid w:val="002A403C"/>
    <w:rsid w:val="002A404C"/>
    <w:rsid w:val="002A452A"/>
    <w:rsid w:val="002A4598"/>
    <w:rsid w:val="002A46D0"/>
    <w:rsid w:val="002A4845"/>
    <w:rsid w:val="002A4963"/>
    <w:rsid w:val="002A4B05"/>
    <w:rsid w:val="002A4F73"/>
    <w:rsid w:val="002A5178"/>
    <w:rsid w:val="002A51D1"/>
    <w:rsid w:val="002A524D"/>
    <w:rsid w:val="002A5329"/>
    <w:rsid w:val="002A5509"/>
    <w:rsid w:val="002A57CC"/>
    <w:rsid w:val="002A58B4"/>
    <w:rsid w:val="002A5A0A"/>
    <w:rsid w:val="002A5DC5"/>
    <w:rsid w:val="002A5E59"/>
    <w:rsid w:val="002A5ECE"/>
    <w:rsid w:val="002A60C1"/>
    <w:rsid w:val="002A63F1"/>
    <w:rsid w:val="002A6505"/>
    <w:rsid w:val="002A667B"/>
    <w:rsid w:val="002A6726"/>
    <w:rsid w:val="002A6766"/>
    <w:rsid w:val="002A67FE"/>
    <w:rsid w:val="002A696A"/>
    <w:rsid w:val="002A69D8"/>
    <w:rsid w:val="002A6CB7"/>
    <w:rsid w:val="002A6F59"/>
    <w:rsid w:val="002A7199"/>
    <w:rsid w:val="002A7286"/>
    <w:rsid w:val="002A73AC"/>
    <w:rsid w:val="002A7444"/>
    <w:rsid w:val="002A752E"/>
    <w:rsid w:val="002A7535"/>
    <w:rsid w:val="002A78F7"/>
    <w:rsid w:val="002A7A6A"/>
    <w:rsid w:val="002A7AAB"/>
    <w:rsid w:val="002B0002"/>
    <w:rsid w:val="002B019B"/>
    <w:rsid w:val="002B032F"/>
    <w:rsid w:val="002B0498"/>
    <w:rsid w:val="002B069E"/>
    <w:rsid w:val="002B07A1"/>
    <w:rsid w:val="002B08C7"/>
    <w:rsid w:val="002B0AA6"/>
    <w:rsid w:val="002B0D3A"/>
    <w:rsid w:val="002B0DB7"/>
    <w:rsid w:val="002B0DB8"/>
    <w:rsid w:val="002B104F"/>
    <w:rsid w:val="002B16FB"/>
    <w:rsid w:val="002B185E"/>
    <w:rsid w:val="002B1933"/>
    <w:rsid w:val="002B1B73"/>
    <w:rsid w:val="002B1CD1"/>
    <w:rsid w:val="002B1D0D"/>
    <w:rsid w:val="002B1DA5"/>
    <w:rsid w:val="002B1EB7"/>
    <w:rsid w:val="002B22A7"/>
    <w:rsid w:val="002B231B"/>
    <w:rsid w:val="002B2331"/>
    <w:rsid w:val="002B2418"/>
    <w:rsid w:val="002B26BB"/>
    <w:rsid w:val="002B28CB"/>
    <w:rsid w:val="002B28DF"/>
    <w:rsid w:val="002B2BE2"/>
    <w:rsid w:val="002B2C65"/>
    <w:rsid w:val="002B2EE8"/>
    <w:rsid w:val="002B2FDD"/>
    <w:rsid w:val="002B3178"/>
    <w:rsid w:val="002B3264"/>
    <w:rsid w:val="002B3507"/>
    <w:rsid w:val="002B361F"/>
    <w:rsid w:val="002B3717"/>
    <w:rsid w:val="002B383B"/>
    <w:rsid w:val="002B3A47"/>
    <w:rsid w:val="002B3A89"/>
    <w:rsid w:val="002B3AE5"/>
    <w:rsid w:val="002B3C09"/>
    <w:rsid w:val="002B41D4"/>
    <w:rsid w:val="002B421E"/>
    <w:rsid w:val="002B44FB"/>
    <w:rsid w:val="002B47C2"/>
    <w:rsid w:val="002B4844"/>
    <w:rsid w:val="002B49A0"/>
    <w:rsid w:val="002B4B60"/>
    <w:rsid w:val="002B4C16"/>
    <w:rsid w:val="002B4D98"/>
    <w:rsid w:val="002B4EE0"/>
    <w:rsid w:val="002B4F0A"/>
    <w:rsid w:val="002B4F22"/>
    <w:rsid w:val="002B4F44"/>
    <w:rsid w:val="002B4FEB"/>
    <w:rsid w:val="002B50A4"/>
    <w:rsid w:val="002B546C"/>
    <w:rsid w:val="002B54F2"/>
    <w:rsid w:val="002B57B0"/>
    <w:rsid w:val="002B58CD"/>
    <w:rsid w:val="002B5915"/>
    <w:rsid w:val="002B5948"/>
    <w:rsid w:val="002B5BD7"/>
    <w:rsid w:val="002B5CB6"/>
    <w:rsid w:val="002B5D28"/>
    <w:rsid w:val="002B6236"/>
    <w:rsid w:val="002B623A"/>
    <w:rsid w:val="002B632B"/>
    <w:rsid w:val="002B6377"/>
    <w:rsid w:val="002B6649"/>
    <w:rsid w:val="002B671E"/>
    <w:rsid w:val="002B68C2"/>
    <w:rsid w:val="002B69AF"/>
    <w:rsid w:val="002B6A94"/>
    <w:rsid w:val="002B6A97"/>
    <w:rsid w:val="002B6BE8"/>
    <w:rsid w:val="002B6CCA"/>
    <w:rsid w:val="002B7015"/>
    <w:rsid w:val="002B7373"/>
    <w:rsid w:val="002B739B"/>
    <w:rsid w:val="002B7543"/>
    <w:rsid w:val="002B7690"/>
    <w:rsid w:val="002B7755"/>
    <w:rsid w:val="002B77EE"/>
    <w:rsid w:val="002B78A4"/>
    <w:rsid w:val="002B7A16"/>
    <w:rsid w:val="002B7E67"/>
    <w:rsid w:val="002B7F47"/>
    <w:rsid w:val="002B7FBB"/>
    <w:rsid w:val="002B7FE2"/>
    <w:rsid w:val="002C0152"/>
    <w:rsid w:val="002C0398"/>
    <w:rsid w:val="002C03D9"/>
    <w:rsid w:val="002C0413"/>
    <w:rsid w:val="002C0536"/>
    <w:rsid w:val="002C0871"/>
    <w:rsid w:val="002C08F7"/>
    <w:rsid w:val="002C0935"/>
    <w:rsid w:val="002C098D"/>
    <w:rsid w:val="002C0B76"/>
    <w:rsid w:val="002C0D81"/>
    <w:rsid w:val="002C1095"/>
    <w:rsid w:val="002C1134"/>
    <w:rsid w:val="002C1427"/>
    <w:rsid w:val="002C15D3"/>
    <w:rsid w:val="002C182A"/>
    <w:rsid w:val="002C1898"/>
    <w:rsid w:val="002C198A"/>
    <w:rsid w:val="002C1A0A"/>
    <w:rsid w:val="002C1AC5"/>
    <w:rsid w:val="002C1B3A"/>
    <w:rsid w:val="002C1BA7"/>
    <w:rsid w:val="002C1CF9"/>
    <w:rsid w:val="002C1DD6"/>
    <w:rsid w:val="002C1E7B"/>
    <w:rsid w:val="002C1EA5"/>
    <w:rsid w:val="002C1FB1"/>
    <w:rsid w:val="002C21AE"/>
    <w:rsid w:val="002C21FF"/>
    <w:rsid w:val="002C2282"/>
    <w:rsid w:val="002C2466"/>
    <w:rsid w:val="002C24A2"/>
    <w:rsid w:val="002C2555"/>
    <w:rsid w:val="002C279C"/>
    <w:rsid w:val="002C2813"/>
    <w:rsid w:val="002C2867"/>
    <w:rsid w:val="002C28FA"/>
    <w:rsid w:val="002C2C45"/>
    <w:rsid w:val="002C2D74"/>
    <w:rsid w:val="002C2E9C"/>
    <w:rsid w:val="002C2F46"/>
    <w:rsid w:val="002C308C"/>
    <w:rsid w:val="002C327F"/>
    <w:rsid w:val="002C36B1"/>
    <w:rsid w:val="002C3944"/>
    <w:rsid w:val="002C396A"/>
    <w:rsid w:val="002C3B0B"/>
    <w:rsid w:val="002C3B2F"/>
    <w:rsid w:val="002C3BDA"/>
    <w:rsid w:val="002C3FE2"/>
    <w:rsid w:val="002C4064"/>
    <w:rsid w:val="002C4211"/>
    <w:rsid w:val="002C4256"/>
    <w:rsid w:val="002C4362"/>
    <w:rsid w:val="002C43BA"/>
    <w:rsid w:val="002C4564"/>
    <w:rsid w:val="002C4A8B"/>
    <w:rsid w:val="002C4BAC"/>
    <w:rsid w:val="002C4D9B"/>
    <w:rsid w:val="002C4ED8"/>
    <w:rsid w:val="002C5044"/>
    <w:rsid w:val="002C524D"/>
    <w:rsid w:val="002C535D"/>
    <w:rsid w:val="002C5528"/>
    <w:rsid w:val="002C553A"/>
    <w:rsid w:val="002C56E2"/>
    <w:rsid w:val="002C577C"/>
    <w:rsid w:val="002C57E2"/>
    <w:rsid w:val="002C57F0"/>
    <w:rsid w:val="002C57F6"/>
    <w:rsid w:val="002C5870"/>
    <w:rsid w:val="002C5C30"/>
    <w:rsid w:val="002C5FA2"/>
    <w:rsid w:val="002C6101"/>
    <w:rsid w:val="002C62BC"/>
    <w:rsid w:val="002C650E"/>
    <w:rsid w:val="002C668C"/>
    <w:rsid w:val="002C66A7"/>
    <w:rsid w:val="002C6788"/>
    <w:rsid w:val="002C6805"/>
    <w:rsid w:val="002C6833"/>
    <w:rsid w:val="002C697D"/>
    <w:rsid w:val="002C6B37"/>
    <w:rsid w:val="002C6E16"/>
    <w:rsid w:val="002C6E64"/>
    <w:rsid w:val="002C6FEA"/>
    <w:rsid w:val="002C719E"/>
    <w:rsid w:val="002C76BA"/>
    <w:rsid w:val="002C7846"/>
    <w:rsid w:val="002C7AF6"/>
    <w:rsid w:val="002C7B1E"/>
    <w:rsid w:val="002C7B35"/>
    <w:rsid w:val="002C7B72"/>
    <w:rsid w:val="002C7CA2"/>
    <w:rsid w:val="002C7CDB"/>
    <w:rsid w:val="002C7CF3"/>
    <w:rsid w:val="002C7E9C"/>
    <w:rsid w:val="002C7F5D"/>
    <w:rsid w:val="002D037C"/>
    <w:rsid w:val="002D03BB"/>
    <w:rsid w:val="002D04DE"/>
    <w:rsid w:val="002D04E0"/>
    <w:rsid w:val="002D05A0"/>
    <w:rsid w:val="002D09CA"/>
    <w:rsid w:val="002D0B2B"/>
    <w:rsid w:val="002D0C65"/>
    <w:rsid w:val="002D0CAF"/>
    <w:rsid w:val="002D0CD0"/>
    <w:rsid w:val="002D0D04"/>
    <w:rsid w:val="002D0F9C"/>
    <w:rsid w:val="002D0FD7"/>
    <w:rsid w:val="002D1256"/>
    <w:rsid w:val="002D13D4"/>
    <w:rsid w:val="002D14F8"/>
    <w:rsid w:val="002D151E"/>
    <w:rsid w:val="002D1636"/>
    <w:rsid w:val="002D1784"/>
    <w:rsid w:val="002D1797"/>
    <w:rsid w:val="002D17B3"/>
    <w:rsid w:val="002D186C"/>
    <w:rsid w:val="002D18EA"/>
    <w:rsid w:val="002D18F6"/>
    <w:rsid w:val="002D19CC"/>
    <w:rsid w:val="002D19D1"/>
    <w:rsid w:val="002D1D0D"/>
    <w:rsid w:val="002D1F75"/>
    <w:rsid w:val="002D299C"/>
    <w:rsid w:val="002D2ADA"/>
    <w:rsid w:val="002D2D88"/>
    <w:rsid w:val="002D2DBE"/>
    <w:rsid w:val="002D2F49"/>
    <w:rsid w:val="002D30F1"/>
    <w:rsid w:val="002D312D"/>
    <w:rsid w:val="002D3203"/>
    <w:rsid w:val="002D320F"/>
    <w:rsid w:val="002D32E8"/>
    <w:rsid w:val="002D35D6"/>
    <w:rsid w:val="002D3770"/>
    <w:rsid w:val="002D3F39"/>
    <w:rsid w:val="002D4161"/>
    <w:rsid w:val="002D41B9"/>
    <w:rsid w:val="002D4217"/>
    <w:rsid w:val="002D4A9E"/>
    <w:rsid w:val="002D4BB4"/>
    <w:rsid w:val="002D4DE9"/>
    <w:rsid w:val="002D4E20"/>
    <w:rsid w:val="002D4F52"/>
    <w:rsid w:val="002D515B"/>
    <w:rsid w:val="002D5191"/>
    <w:rsid w:val="002D59A7"/>
    <w:rsid w:val="002D5AA5"/>
    <w:rsid w:val="002D5B96"/>
    <w:rsid w:val="002D5C45"/>
    <w:rsid w:val="002D5DBE"/>
    <w:rsid w:val="002D5FDC"/>
    <w:rsid w:val="002D5FFD"/>
    <w:rsid w:val="002D6082"/>
    <w:rsid w:val="002D6212"/>
    <w:rsid w:val="002D6269"/>
    <w:rsid w:val="002D634C"/>
    <w:rsid w:val="002D64D5"/>
    <w:rsid w:val="002D69A1"/>
    <w:rsid w:val="002D7043"/>
    <w:rsid w:val="002D7052"/>
    <w:rsid w:val="002D7226"/>
    <w:rsid w:val="002D7424"/>
    <w:rsid w:val="002D7435"/>
    <w:rsid w:val="002D7486"/>
    <w:rsid w:val="002D7547"/>
    <w:rsid w:val="002D778B"/>
    <w:rsid w:val="002D7ADA"/>
    <w:rsid w:val="002D7AF7"/>
    <w:rsid w:val="002D7B5F"/>
    <w:rsid w:val="002D7C1C"/>
    <w:rsid w:val="002D7C88"/>
    <w:rsid w:val="002D7E30"/>
    <w:rsid w:val="002E0108"/>
    <w:rsid w:val="002E0555"/>
    <w:rsid w:val="002E06DF"/>
    <w:rsid w:val="002E0A7D"/>
    <w:rsid w:val="002E0AAE"/>
    <w:rsid w:val="002E0D11"/>
    <w:rsid w:val="002E0F1B"/>
    <w:rsid w:val="002E1028"/>
    <w:rsid w:val="002E112C"/>
    <w:rsid w:val="002E13B8"/>
    <w:rsid w:val="002E13C9"/>
    <w:rsid w:val="002E13D4"/>
    <w:rsid w:val="002E14CA"/>
    <w:rsid w:val="002E1592"/>
    <w:rsid w:val="002E15D2"/>
    <w:rsid w:val="002E177A"/>
    <w:rsid w:val="002E19A5"/>
    <w:rsid w:val="002E1CF7"/>
    <w:rsid w:val="002E1D39"/>
    <w:rsid w:val="002E1ED5"/>
    <w:rsid w:val="002E2312"/>
    <w:rsid w:val="002E2384"/>
    <w:rsid w:val="002E25BD"/>
    <w:rsid w:val="002E2D6F"/>
    <w:rsid w:val="002E3231"/>
    <w:rsid w:val="002E325A"/>
    <w:rsid w:val="002E333A"/>
    <w:rsid w:val="002E337D"/>
    <w:rsid w:val="002E33C9"/>
    <w:rsid w:val="002E33D8"/>
    <w:rsid w:val="002E35DC"/>
    <w:rsid w:val="002E35E1"/>
    <w:rsid w:val="002E35E8"/>
    <w:rsid w:val="002E3688"/>
    <w:rsid w:val="002E37E2"/>
    <w:rsid w:val="002E3A39"/>
    <w:rsid w:val="002E3C48"/>
    <w:rsid w:val="002E3E23"/>
    <w:rsid w:val="002E44E6"/>
    <w:rsid w:val="002E487B"/>
    <w:rsid w:val="002E4923"/>
    <w:rsid w:val="002E4A55"/>
    <w:rsid w:val="002E4C07"/>
    <w:rsid w:val="002E4E21"/>
    <w:rsid w:val="002E4F6E"/>
    <w:rsid w:val="002E4FB9"/>
    <w:rsid w:val="002E5171"/>
    <w:rsid w:val="002E51CA"/>
    <w:rsid w:val="002E5501"/>
    <w:rsid w:val="002E5733"/>
    <w:rsid w:val="002E58E4"/>
    <w:rsid w:val="002E5AEE"/>
    <w:rsid w:val="002E5AF8"/>
    <w:rsid w:val="002E5B57"/>
    <w:rsid w:val="002E5E94"/>
    <w:rsid w:val="002E618B"/>
    <w:rsid w:val="002E66DE"/>
    <w:rsid w:val="002E69AE"/>
    <w:rsid w:val="002E6B33"/>
    <w:rsid w:val="002E6EDA"/>
    <w:rsid w:val="002E703F"/>
    <w:rsid w:val="002E70B3"/>
    <w:rsid w:val="002E727D"/>
    <w:rsid w:val="002E7503"/>
    <w:rsid w:val="002E7785"/>
    <w:rsid w:val="002E78A3"/>
    <w:rsid w:val="002E79B2"/>
    <w:rsid w:val="002E7BBC"/>
    <w:rsid w:val="002E7E76"/>
    <w:rsid w:val="002E7FF2"/>
    <w:rsid w:val="002F0066"/>
    <w:rsid w:val="002F00E6"/>
    <w:rsid w:val="002F020E"/>
    <w:rsid w:val="002F0381"/>
    <w:rsid w:val="002F06E5"/>
    <w:rsid w:val="002F07A7"/>
    <w:rsid w:val="002F083E"/>
    <w:rsid w:val="002F08C3"/>
    <w:rsid w:val="002F0AA6"/>
    <w:rsid w:val="002F0E17"/>
    <w:rsid w:val="002F111F"/>
    <w:rsid w:val="002F16E3"/>
    <w:rsid w:val="002F1705"/>
    <w:rsid w:val="002F1B7D"/>
    <w:rsid w:val="002F1E16"/>
    <w:rsid w:val="002F1FF0"/>
    <w:rsid w:val="002F202C"/>
    <w:rsid w:val="002F21F5"/>
    <w:rsid w:val="002F2320"/>
    <w:rsid w:val="002F23CA"/>
    <w:rsid w:val="002F2682"/>
    <w:rsid w:val="002F283C"/>
    <w:rsid w:val="002F2B6E"/>
    <w:rsid w:val="002F2DBC"/>
    <w:rsid w:val="002F344A"/>
    <w:rsid w:val="002F3482"/>
    <w:rsid w:val="002F3591"/>
    <w:rsid w:val="002F3672"/>
    <w:rsid w:val="002F36E7"/>
    <w:rsid w:val="002F38F5"/>
    <w:rsid w:val="002F3906"/>
    <w:rsid w:val="002F3954"/>
    <w:rsid w:val="002F39F5"/>
    <w:rsid w:val="002F426A"/>
    <w:rsid w:val="002F450A"/>
    <w:rsid w:val="002F48CF"/>
    <w:rsid w:val="002F4ACB"/>
    <w:rsid w:val="002F4AF4"/>
    <w:rsid w:val="002F4B84"/>
    <w:rsid w:val="002F5219"/>
    <w:rsid w:val="002F5573"/>
    <w:rsid w:val="002F5765"/>
    <w:rsid w:val="002F5928"/>
    <w:rsid w:val="002F5ABA"/>
    <w:rsid w:val="002F5DD6"/>
    <w:rsid w:val="002F5F9D"/>
    <w:rsid w:val="002F60EF"/>
    <w:rsid w:val="002F615F"/>
    <w:rsid w:val="002F6391"/>
    <w:rsid w:val="002F64AA"/>
    <w:rsid w:val="002F6842"/>
    <w:rsid w:val="002F6BDB"/>
    <w:rsid w:val="002F6F33"/>
    <w:rsid w:val="002F7031"/>
    <w:rsid w:val="002F7099"/>
    <w:rsid w:val="002F7125"/>
    <w:rsid w:val="002F7714"/>
    <w:rsid w:val="002F7722"/>
    <w:rsid w:val="002F786F"/>
    <w:rsid w:val="002F7B98"/>
    <w:rsid w:val="002F7D6F"/>
    <w:rsid w:val="002F7DA5"/>
    <w:rsid w:val="002F7DC5"/>
    <w:rsid w:val="002F7EAD"/>
    <w:rsid w:val="002F7ED5"/>
    <w:rsid w:val="00300030"/>
    <w:rsid w:val="0030007F"/>
    <w:rsid w:val="003001A1"/>
    <w:rsid w:val="003002F7"/>
    <w:rsid w:val="00300672"/>
    <w:rsid w:val="003006E0"/>
    <w:rsid w:val="00300901"/>
    <w:rsid w:val="00300A6E"/>
    <w:rsid w:val="00300BFA"/>
    <w:rsid w:val="00300C8A"/>
    <w:rsid w:val="00300DCB"/>
    <w:rsid w:val="00300DFA"/>
    <w:rsid w:val="0030130A"/>
    <w:rsid w:val="0030169E"/>
    <w:rsid w:val="003016E7"/>
    <w:rsid w:val="00301804"/>
    <w:rsid w:val="003019A8"/>
    <w:rsid w:val="00301C06"/>
    <w:rsid w:val="00301CC6"/>
    <w:rsid w:val="00301D51"/>
    <w:rsid w:val="00301D93"/>
    <w:rsid w:val="003025F9"/>
    <w:rsid w:val="003027AD"/>
    <w:rsid w:val="00302924"/>
    <w:rsid w:val="00302B7D"/>
    <w:rsid w:val="00302F91"/>
    <w:rsid w:val="00303057"/>
    <w:rsid w:val="00303253"/>
    <w:rsid w:val="0030332C"/>
    <w:rsid w:val="003033F4"/>
    <w:rsid w:val="0030340E"/>
    <w:rsid w:val="003037F1"/>
    <w:rsid w:val="003037F6"/>
    <w:rsid w:val="00303A76"/>
    <w:rsid w:val="00303AE8"/>
    <w:rsid w:val="00303C26"/>
    <w:rsid w:val="00303DBF"/>
    <w:rsid w:val="00303E2E"/>
    <w:rsid w:val="003040B0"/>
    <w:rsid w:val="003040CE"/>
    <w:rsid w:val="00304123"/>
    <w:rsid w:val="003041D6"/>
    <w:rsid w:val="003041EB"/>
    <w:rsid w:val="003044DA"/>
    <w:rsid w:val="00304558"/>
    <w:rsid w:val="00304659"/>
    <w:rsid w:val="0030465A"/>
    <w:rsid w:val="00304A53"/>
    <w:rsid w:val="00304C6E"/>
    <w:rsid w:val="00304EE3"/>
    <w:rsid w:val="00305327"/>
    <w:rsid w:val="003054E4"/>
    <w:rsid w:val="003055E2"/>
    <w:rsid w:val="00305682"/>
    <w:rsid w:val="003059C7"/>
    <w:rsid w:val="00305CBE"/>
    <w:rsid w:val="00305F13"/>
    <w:rsid w:val="00305F73"/>
    <w:rsid w:val="00306143"/>
    <w:rsid w:val="0030623D"/>
    <w:rsid w:val="00306266"/>
    <w:rsid w:val="00306286"/>
    <w:rsid w:val="003064E9"/>
    <w:rsid w:val="003069B2"/>
    <w:rsid w:val="00306B8B"/>
    <w:rsid w:val="00306E71"/>
    <w:rsid w:val="00306F9F"/>
    <w:rsid w:val="0030731B"/>
    <w:rsid w:val="0030739C"/>
    <w:rsid w:val="0030745C"/>
    <w:rsid w:val="00307656"/>
    <w:rsid w:val="0030776F"/>
    <w:rsid w:val="00307974"/>
    <w:rsid w:val="00307B15"/>
    <w:rsid w:val="00307BB7"/>
    <w:rsid w:val="00307C04"/>
    <w:rsid w:val="00307E68"/>
    <w:rsid w:val="0031052C"/>
    <w:rsid w:val="003105BB"/>
    <w:rsid w:val="003106DC"/>
    <w:rsid w:val="00310703"/>
    <w:rsid w:val="00310816"/>
    <w:rsid w:val="00310B10"/>
    <w:rsid w:val="00310BB6"/>
    <w:rsid w:val="003112B3"/>
    <w:rsid w:val="003112B6"/>
    <w:rsid w:val="00311684"/>
    <w:rsid w:val="003116B7"/>
    <w:rsid w:val="003118F4"/>
    <w:rsid w:val="00311A63"/>
    <w:rsid w:val="00311BBA"/>
    <w:rsid w:val="00311F0C"/>
    <w:rsid w:val="00312096"/>
    <w:rsid w:val="00312380"/>
    <w:rsid w:val="00312988"/>
    <w:rsid w:val="0031298C"/>
    <w:rsid w:val="00312B6F"/>
    <w:rsid w:val="00312BE3"/>
    <w:rsid w:val="00312BEF"/>
    <w:rsid w:val="00312E25"/>
    <w:rsid w:val="003130B7"/>
    <w:rsid w:val="0031332F"/>
    <w:rsid w:val="0031339E"/>
    <w:rsid w:val="00313454"/>
    <w:rsid w:val="003135B9"/>
    <w:rsid w:val="00313629"/>
    <w:rsid w:val="0031369E"/>
    <w:rsid w:val="003136C5"/>
    <w:rsid w:val="003136EA"/>
    <w:rsid w:val="003137A1"/>
    <w:rsid w:val="0031393B"/>
    <w:rsid w:val="00313CEF"/>
    <w:rsid w:val="00313DD9"/>
    <w:rsid w:val="00313F2D"/>
    <w:rsid w:val="00313FFB"/>
    <w:rsid w:val="003140C4"/>
    <w:rsid w:val="003140CB"/>
    <w:rsid w:val="00314106"/>
    <w:rsid w:val="003141EF"/>
    <w:rsid w:val="003142FB"/>
    <w:rsid w:val="00314412"/>
    <w:rsid w:val="003147DC"/>
    <w:rsid w:val="0031496A"/>
    <w:rsid w:val="0031497B"/>
    <w:rsid w:val="00314A89"/>
    <w:rsid w:val="00314B3C"/>
    <w:rsid w:val="00314DB8"/>
    <w:rsid w:val="00314F36"/>
    <w:rsid w:val="00314F7D"/>
    <w:rsid w:val="00314F7F"/>
    <w:rsid w:val="00315030"/>
    <w:rsid w:val="003150D7"/>
    <w:rsid w:val="00315128"/>
    <w:rsid w:val="0031543D"/>
    <w:rsid w:val="00315639"/>
    <w:rsid w:val="00315FBD"/>
    <w:rsid w:val="003163B3"/>
    <w:rsid w:val="0031643B"/>
    <w:rsid w:val="003164F1"/>
    <w:rsid w:val="00316579"/>
    <w:rsid w:val="003165C4"/>
    <w:rsid w:val="00316731"/>
    <w:rsid w:val="003167A1"/>
    <w:rsid w:val="00316D36"/>
    <w:rsid w:val="00316EAA"/>
    <w:rsid w:val="00316F78"/>
    <w:rsid w:val="00317254"/>
    <w:rsid w:val="00317265"/>
    <w:rsid w:val="003172D4"/>
    <w:rsid w:val="003174AD"/>
    <w:rsid w:val="00317585"/>
    <w:rsid w:val="003177B7"/>
    <w:rsid w:val="0031780A"/>
    <w:rsid w:val="00317911"/>
    <w:rsid w:val="00317BCE"/>
    <w:rsid w:val="00317C65"/>
    <w:rsid w:val="00317D2E"/>
    <w:rsid w:val="00320290"/>
    <w:rsid w:val="003202B3"/>
    <w:rsid w:val="0032058E"/>
    <w:rsid w:val="00320ABF"/>
    <w:rsid w:val="00320AE3"/>
    <w:rsid w:val="00320B93"/>
    <w:rsid w:val="00320BBC"/>
    <w:rsid w:val="00320C2A"/>
    <w:rsid w:val="00320FBC"/>
    <w:rsid w:val="00320FC9"/>
    <w:rsid w:val="00321103"/>
    <w:rsid w:val="00321116"/>
    <w:rsid w:val="00321126"/>
    <w:rsid w:val="003217C1"/>
    <w:rsid w:val="003219CC"/>
    <w:rsid w:val="00321A78"/>
    <w:rsid w:val="00321B40"/>
    <w:rsid w:val="00321C0A"/>
    <w:rsid w:val="00321CB5"/>
    <w:rsid w:val="00321CCD"/>
    <w:rsid w:val="00321DE2"/>
    <w:rsid w:val="00321DF4"/>
    <w:rsid w:val="00322001"/>
    <w:rsid w:val="00322165"/>
    <w:rsid w:val="003221F1"/>
    <w:rsid w:val="003225D7"/>
    <w:rsid w:val="00322836"/>
    <w:rsid w:val="00322849"/>
    <w:rsid w:val="003228AE"/>
    <w:rsid w:val="00322976"/>
    <w:rsid w:val="00322D1D"/>
    <w:rsid w:val="00323451"/>
    <w:rsid w:val="00323645"/>
    <w:rsid w:val="00323781"/>
    <w:rsid w:val="00323FD6"/>
    <w:rsid w:val="00324201"/>
    <w:rsid w:val="0032432D"/>
    <w:rsid w:val="0032433D"/>
    <w:rsid w:val="003245D1"/>
    <w:rsid w:val="00324B74"/>
    <w:rsid w:val="00324CA4"/>
    <w:rsid w:val="00324F78"/>
    <w:rsid w:val="00324FBE"/>
    <w:rsid w:val="00325149"/>
    <w:rsid w:val="003253BD"/>
    <w:rsid w:val="00325422"/>
    <w:rsid w:val="00325D85"/>
    <w:rsid w:val="00325DA5"/>
    <w:rsid w:val="00326273"/>
    <w:rsid w:val="00326389"/>
    <w:rsid w:val="00326463"/>
    <w:rsid w:val="00326616"/>
    <w:rsid w:val="0032676C"/>
    <w:rsid w:val="00326AFF"/>
    <w:rsid w:val="00326B3E"/>
    <w:rsid w:val="00326BBD"/>
    <w:rsid w:val="00326D61"/>
    <w:rsid w:val="00326E5B"/>
    <w:rsid w:val="00326E5E"/>
    <w:rsid w:val="00326FDF"/>
    <w:rsid w:val="00327098"/>
    <w:rsid w:val="00327144"/>
    <w:rsid w:val="00327369"/>
    <w:rsid w:val="003274B7"/>
    <w:rsid w:val="003274F1"/>
    <w:rsid w:val="0032768A"/>
    <w:rsid w:val="003278ED"/>
    <w:rsid w:val="00327945"/>
    <w:rsid w:val="00327C9D"/>
    <w:rsid w:val="00327D32"/>
    <w:rsid w:val="0033029B"/>
    <w:rsid w:val="003303F3"/>
    <w:rsid w:val="00330525"/>
    <w:rsid w:val="003305C4"/>
    <w:rsid w:val="00330690"/>
    <w:rsid w:val="00330E43"/>
    <w:rsid w:val="00330F5C"/>
    <w:rsid w:val="00330FB0"/>
    <w:rsid w:val="0033127A"/>
    <w:rsid w:val="003312E9"/>
    <w:rsid w:val="0033141A"/>
    <w:rsid w:val="003314A1"/>
    <w:rsid w:val="0033153B"/>
    <w:rsid w:val="00331594"/>
    <w:rsid w:val="00331633"/>
    <w:rsid w:val="00331919"/>
    <w:rsid w:val="00331A68"/>
    <w:rsid w:val="00331B38"/>
    <w:rsid w:val="00331E7F"/>
    <w:rsid w:val="003320AE"/>
    <w:rsid w:val="00332106"/>
    <w:rsid w:val="0033241A"/>
    <w:rsid w:val="003324DF"/>
    <w:rsid w:val="00332699"/>
    <w:rsid w:val="003329D3"/>
    <w:rsid w:val="00332C78"/>
    <w:rsid w:val="00332D40"/>
    <w:rsid w:val="00332FFB"/>
    <w:rsid w:val="003330E7"/>
    <w:rsid w:val="00333117"/>
    <w:rsid w:val="0033357D"/>
    <w:rsid w:val="003337BE"/>
    <w:rsid w:val="00333888"/>
    <w:rsid w:val="0033388A"/>
    <w:rsid w:val="00333B42"/>
    <w:rsid w:val="00333B7B"/>
    <w:rsid w:val="00333B83"/>
    <w:rsid w:val="00333C09"/>
    <w:rsid w:val="00333F79"/>
    <w:rsid w:val="0033410C"/>
    <w:rsid w:val="0033431F"/>
    <w:rsid w:val="00334408"/>
    <w:rsid w:val="00334454"/>
    <w:rsid w:val="0033460B"/>
    <w:rsid w:val="003346F1"/>
    <w:rsid w:val="00334A12"/>
    <w:rsid w:val="00334A23"/>
    <w:rsid w:val="00334E94"/>
    <w:rsid w:val="00334F82"/>
    <w:rsid w:val="003351E2"/>
    <w:rsid w:val="003352FD"/>
    <w:rsid w:val="0033531E"/>
    <w:rsid w:val="00335844"/>
    <w:rsid w:val="00335863"/>
    <w:rsid w:val="003358C5"/>
    <w:rsid w:val="003358F6"/>
    <w:rsid w:val="00335932"/>
    <w:rsid w:val="00335DB0"/>
    <w:rsid w:val="0033630B"/>
    <w:rsid w:val="003365F1"/>
    <w:rsid w:val="0033677A"/>
    <w:rsid w:val="0033687F"/>
    <w:rsid w:val="00336A2E"/>
    <w:rsid w:val="00336C56"/>
    <w:rsid w:val="00337283"/>
    <w:rsid w:val="003372C4"/>
    <w:rsid w:val="0033731E"/>
    <w:rsid w:val="0033732C"/>
    <w:rsid w:val="00337810"/>
    <w:rsid w:val="0033789C"/>
    <w:rsid w:val="00337979"/>
    <w:rsid w:val="00337ABE"/>
    <w:rsid w:val="00337B86"/>
    <w:rsid w:val="00337EFB"/>
    <w:rsid w:val="00340070"/>
    <w:rsid w:val="0034017C"/>
    <w:rsid w:val="003404EC"/>
    <w:rsid w:val="00340526"/>
    <w:rsid w:val="00340924"/>
    <w:rsid w:val="00340927"/>
    <w:rsid w:val="0034099E"/>
    <w:rsid w:val="0034123A"/>
    <w:rsid w:val="00341244"/>
    <w:rsid w:val="00341320"/>
    <w:rsid w:val="00341A8E"/>
    <w:rsid w:val="00341DF6"/>
    <w:rsid w:val="00341DFA"/>
    <w:rsid w:val="00341E50"/>
    <w:rsid w:val="00341E54"/>
    <w:rsid w:val="00341ECF"/>
    <w:rsid w:val="0034261F"/>
    <w:rsid w:val="003427C7"/>
    <w:rsid w:val="003429F7"/>
    <w:rsid w:val="00342A00"/>
    <w:rsid w:val="00342BE2"/>
    <w:rsid w:val="00342C0D"/>
    <w:rsid w:val="00342DB7"/>
    <w:rsid w:val="00342E2D"/>
    <w:rsid w:val="00342ED0"/>
    <w:rsid w:val="00342F43"/>
    <w:rsid w:val="00343147"/>
    <w:rsid w:val="00343334"/>
    <w:rsid w:val="00343514"/>
    <w:rsid w:val="003435A4"/>
    <w:rsid w:val="00343666"/>
    <w:rsid w:val="003437EF"/>
    <w:rsid w:val="00343BD0"/>
    <w:rsid w:val="00343CD6"/>
    <w:rsid w:val="00343D78"/>
    <w:rsid w:val="00344133"/>
    <w:rsid w:val="0034439D"/>
    <w:rsid w:val="003445A4"/>
    <w:rsid w:val="00344611"/>
    <w:rsid w:val="00344812"/>
    <w:rsid w:val="00344855"/>
    <w:rsid w:val="003448A1"/>
    <w:rsid w:val="00344ABA"/>
    <w:rsid w:val="00344E3C"/>
    <w:rsid w:val="00344EAD"/>
    <w:rsid w:val="00344F91"/>
    <w:rsid w:val="00345728"/>
    <w:rsid w:val="003457FE"/>
    <w:rsid w:val="003459A5"/>
    <w:rsid w:val="003459C3"/>
    <w:rsid w:val="00345A13"/>
    <w:rsid w:val="00345AF8"/>
    <w:rsid w:val="00346100"/>
    <w:rsid w:val="003462C4"/>
    <w:rsid w:val="003469DC"/>
    <w:rsid w:val="00346DC4"/>
    <w:rsid w:val="00346E36"/>
    <w:rsid w:val="00346E50"/>
    <w:rsid w:val="00346EF0"/>
    <w:rsid w:val="00346FA5"/>
    <w:rsid w:val="00347273"/>
    <w:rsid w:val="0034737F"/>
    <w:rsid w:val="00347723"/>
    <w:rsid w:val="00347907"/>
    <w:rsid w:val="0034790A"/>
    <w:rsid w:val="00347971"/>
    <w:rsid w:val="00347A6F"/>
    <w:rsid w:val="00347A72"/>
    <w:rsid w:val="00347B81"/>
    <w:rsid w:val="00347E72"/>
    <w:rsid w:val="00347F90"/>
    <w:rsid w:val="00350196"/>
    <w:rsid w:val="003501C8"/>
    <w:rsid w:val="003502EF"/>
    <w:rsid w:val="003504DD"/>
    <w:rsid w:val="003504F5"/>
    <w:rsid w:val="003506D5"/>
    <w:rsid w:val="003506F3"/>
    <w:rsid w:val="00350AD4"/>
    <w:rsid w:val="00350B0F"/>
    <w:rsid w:val="00350E4D"/>
    <w:rsid w:val="0035100E"/>
    <w:rsid w:val="00351065"/>
    <w:rsid w:val="0035147A"/>
    <w:rsid w:val="00351919"/>
    <w:rsid w:val="00351ABB"/>
    <w:rsid w:val="00351B4A"/>
    <w:rsid w:val="00351C47"/>
    <w:rsid w:val="00351E47"/>
    <w:rsid w:val="00351E72"/>
    <w:rsid w:val="00351E92"/>
    <w:rsid w:val="0035208A"/>
    <w:rsid w:val="0035228D"/>
    <w:rsid w:val="003523C7"/>
    <w:rsid w:val="00352534"/>
    <w:rsid w:val="003527F9"/>
    <w:rsid w:val="00352810"/>
    <w:rsid w:val="003528B6"/>
    <w:rsid w:val="00352C1A"/>
    <w:rsid w:val="00352E21"/>
    <w:rsid w:val="00352EA9"/>
    <w:rsid w:val="00352F9A"/>
    <w:rsid w:val="0035315D"/>
    <w:rsid w:val="00353311"/>
    <w:rsid w:val="003535F9"/>
    <w:rsid w:val="003536BB"/>
    <w:rsid w:val="003537AB"/>
    <w:rsid w:val="00353802"/>
    <w:rsid w:val="00353882"/>
    <w:rsid w:val="003539D3"/>
    <w:rsid w:val="00353F4D"/>
    <w:rsid w:val="00353FBD"/>
    <w:rsid w:val="003541FE"/>
    <w:rsid w:val="00354273"/>
    <w:rsid w:val="003544A7"/>
    <w:rsid w:val="00354799"/>
    <w:rsid w:val="00354924"/>
    <w:rsid w:val="00354947"/>
    <w:rsid w:val="00354B45"/>
    <w:rsid w:val="00354FDD"/>
    <w:rsid w:val="00355512"/>
    <w:rsid w:val="0035551C"/>
    <w:rsid w:val="003559BC"/>
    <w:rsid w:val="00355AFD"/>
    <w:rsid w:val="00355CC2"/>
    <w:rsid w:val="00355E7E"/>
    <w:rsid w:val="00356001"/>
    <w:rsid w:val="0035600D"/>
    <w:rsid w:val="00356177"/>
    <w:rsid w:val="00356209"/>
    <w:rsid w:val="00356284"/>
    <w:rsid w:val="00356431"/>
    <w:rsid w:val="003564B2"/>
    <w:rsid w:val="00356838"/>
    <w:rsid w:val="00356CAB"/>
    <w:rsid w:val="00356E02"/>
    <w:rsid w:val="00357048"/>
    <w:rsid w:val="003572F7"/>
    <w:rsid w:val="00357370"/>
    <w:rsid w:val="003574A0"/>
    <w:rsid w:val="00357668"/>
    <w:rsid w:val="003577E3"/>
    <w:rsid w:val="003579CE"/>
    <w:rsid w:val="00357AA0"/>
    <w:rsid w:val="00357E06"/>
    <w:rsid w:val="00357E7F"/>
    <w:rsid w:val="00357F4C"/>
    <w:rsid w:val="00360013"/>
    <w:rsid w:val="00360453"/>
    <w:rsid w:val="0036059D"/>
    <w:rsid w:val="003607C5"/>
    <w:rsid w:val="003608A2"/>
    <w:rsid w:val="00360A5B"/>
    <w:rsid w:val="00360C68"/>
    <w:rsid w:val="00360F14"/>
    <w:rsid w:val="00360FBF"/>
    <w:rsid w:val="003610E7"/>
    <w:rsid w:val="003611B1"/>
    <w:rsid w:val="003612FB"/>
    <w:rsid w:val="00361325"/>
    <w:rsid w:val="003613EB"/>
    <w:rsid w:val="00361B9C"/>
    <w:rsid w:val="00361C42"/>
    <w:rsid w:val="003622DF"/>
    <w:rsid w:val="003624DD"/>
    <w:rsid w:val="003626D5"/>
    <w:rsid w:val="00362804"/>
    <w:rsid w:val="0036298D"/>
    <w:rsid w:val="00362B40"/>
    <w:rsid w:val="00362BE1"/>
    <w:rsid w:val="00362CAE"/>
    <w:rsid w:val="00362CC3"/>
    <w:rsid w:val="00362D5B"/>
    <w:rsid w:val="00362D78"/>
    <w:rsid w:val="00362DEE"/>
    <w:rsid w:val="00362E3C"/>
    <w:rsid w:val="0036304E"/>
    <w:rsid w:val="00363199"/>
    <w:rsid w:val="0036319D"/>
    <w:rsid w:val="0036336A"/>
    <w:rsid w:val="00363548"/>
    <w:rsid w:val="003635C4"/>
    <w:rsid w:val="00363B0B"/>
    <w:rsid w:val="00363C75"/>
    <w:rsid w:val="00363C8C"/>
    <w:rsid w:val="00363EC9"/>
    <w:rsid w:val="00363EDB"/>
    <w:rsid w:val="00364229"/>
    <w:rsid w:val="00364969"/>
    <w:rsid w:val="00364A4F"/>
    <w:rsid w:val="00364C42"/>
    <w:rsid w:val="00364E84"/>
    <w:rsid w:val="00364F35"/>
    <w:rsid w:val="00365090"/>
    <w:rsid w:val="0036509F"/>
    <w:rsid w:val="00365277"/>
    <w:rsid w:val="00365554"/>
    <w:rsid w:val="0036560C"/>
    <w:rsid w:val="00365798"/>
    <w:rsid w:val="00365989"/>
    <w:rsid w:val="00365E96"/>
    <w:rsid w:val="00365EF4"/>
    <w:rsid w:val="00365F8F"/>
    <w:rsid w:val="003663FA"/>
    <w:rsid w:val="003664F2"/>
    <w:rsid w:val="00366599"/>
    <w:rsid w:val="003667B3"/>
    <w:rsid w:val="00366852"/>
    <w:rsid w:val="00366879"/>
    <w:rsid w:val="00366BE1"/>
    <w:rsid w:val="00366C10"/>
    <w:rsid w:val="00366E88"/>
    <w:rsid w:val="003670FB"/>
    <w:rsid w:val="003673ED"/>
    <w:rsid w:val="0036747A"/>
    <w:rsid w:val="003674B0"/>
    <w:rsid w:val="003678A7"/>
    <w:rsid w:val="00367975"/>
    <w:rsid w:val="00367C59"/>
    <w:rsid w:val="00367CB3"/>
    <w:rsid w:val="00367CB7"/>
    <w:rsid w:val="00367EC8"/>
    <w:rsid w:val="00370582"/>
    <w:rsid w:val="00370D2D"/>
    <w:rsid w:val="00371005"/>
    <w:rsid w:val="00371321"/>
    <w:rsid w:val="003714EC"/>
    <w:rsid w:val="0037191D"/>
    <w:rsid w:val="00371BBB"/>
    <w:rsid w:val="00371E28"/>
    <w:rsid w:val="00371E6D"/>
    <w:rsid w:val="00371FC6"/>
    <w:rsid w:val="003720DA"/>
    <w:rsid w:val="0037236C"/>
    <w:rsid w:val="00372618"/>
    <w:rsid w:val="003726BB"/>
    <w:rsid w:val="0037272F"/>
    <w:rsid w:val="00372765"/>
    <w:rsid w:val="003728B7"/>
    <w:rsid w:val="00372987"/>
    <w:rsid w:val="00372C8B"/>
    <w:rsid w:val="0037304E"/>
    <w:rsid w:val="0037351B"/>
    <w:rsid w:val="003736CA"/>
    <w:rsid w:val="0037372B"/>
    <w:rsid w:val="0037387A"/>
    <w:rsid w:val="00373C4B"/>
    <w:rsid w:val="00373C9C"/>
    <w:rsid w:val="00373DCD"/>
    <w:rsid w:val="00374116"/>
    <w:rsid w:val="00374133"/>
    <w:rsid w:val="00374391"/>
    <w:rsid w:val="00374768"/>
    <w:rsid w:val="00374925"/>
    <w:rsid w:val="00374A19"/>
    <w:rsid w:val="00374A6D"/>
    <w:rsid w:val="00374A95"/>
    <w:rsid w:val="00374B29"/>
    <w:rsid w:val="00374CBC"/>
    <w:rsid w:val="00374D2D"/>
    <w:rsid w:val="00374D77"/>
    <w:rsid w:val="00374F44"/>
    <w:rsid w:val="00375025"/>
    <w:rsid w:val="003750F1"/>
    <w:rsid w:val="00375232"/>
    <w:rsid w:val="003756A5"/>
    <w:rsid w:val="0037577D"/>
    <w:rsid w:val="003757AC"/>
    <w:rsid w:val="00375C95"/>
    <w:rsid w:val="00376036"/>
    <w:rsid w:val="0037627B"/>
    <w:rsid w:val="00376471"/>
    <w:rsid w:val="00376645"/>
    <w:rsid w:val="003767E2"/>
    <w:rsid w:val="00376876"/>
    <w:rsid w:val="00376A67"/>
    <w:rsid w:val="00376AA4"/>
    <w:rsid w:val="00376AFE"/>
    <w:rsid w:val="00376E22"/>
    <w:rsid w:val="00376E2D"/>
    <w:rsid w:val="003770DA"/>
    <w:rsid w:val="0037779B"/>
    <w:rsid w:val="00377A9A"/>
    <w:rsid w:val="00377DAA"/>
    <w:rsid w:val="003801BD"/>
    <w:rsid w:val="00380383"/>
    <w:rsid w:val="00380389"/>
    <w:rsid w:val="0038044C"/>
    <w:rsid w:val="00380453"/>
    <w:rsid w:val="0038055F"/>
    <w:rsid w:val="00380A69"/>
    <w:rsid w:val="00380A6E"/>
    <w:rsid w:val="00380B23"/>
    <w:rsid w:val="00380B90"/>
    <w:rsid w:val="00380BFC"/>
    <w:rsid w:val="00380CFC"/>
    <w:rsid w:val="00380F70"/>
    <w:rsid w:val="0038114D"/>
    <w:rsid w:val="00381460"/>
    <w:rsid w:val="003815EF"/>
    <w:rsid w:val="00381777"/>
    <w:rsid w:val="00381899"/>
    <w:rsid w:val="00381904"/>
    <w:rsid w:val="00381BAE"/>
    <w:rsid w:val="00381C20"/>
    <w:rsid w:val="003820D7"/>
    <w:rsid w:val="003821CC"/>
    <w:rsid w:val="00382244"/>
    <w:rsid w:val="00382414"/>
    <w:rsid w:val="00382493"/>
    <w:rsid w:val="003826DE"/>
    <w:rsid w:val="00382906"/>
    <w:rsid w:val="00382B56"/>
    <w:rsid w:val="00382DF9"/>
    <w:rsid w:val="00382EE2"/>
    <w:rsid w:val="00383320"/>
    <w:rsid w:val="003833D6"/>
    <w:rsid w:val="003834C2"/>
    <w:rsid w:val="0038362E"/>
    <w:rsid w:val="0038372F"/>
    <w:rsid w:val="003838ED"/>
    <w:rsid w:val="003838F8"/>
    <w:rsid w:val="003838FF"/>
    <w:rsid w:val="00383BA8"/>
    <w:rsid w:val="00383BD6"/>
    <w:rsid w:val="00383F4A"/>
    <w:rsid w:val="003844E7"/>
    <w:rsid w:val="003847A3"/>
    <w:rsid w:val="00384B4C"/>
    <w:rsid w:val="00384B5F"/>
    <w:rsid w:val="00384C66"/>
    <w:rsid w:val="00384DCA"/>
    <w:rsid w:val="003850A8"/>
    <w:rsid w:val="003850D7"/>
    <w:rsid w:val="003851B0"/>
    <w:rsid w:val="0038521F"/>
    <w:rsid w:val="003853CE"/>
    <w:rsid w:val="00385607"/>
    <w:rsid w:val="00385682"/>
    <w:rsid w:val="0038577A"/>
    <w:rsid w:val="00385821"/>
    <w:rsid w:val="00385C20"/>
    <w:rsid w:val="00385C42"/>
    <w:rsid w:val="00385CDA"/>
    <w:rsid w:val="00385CE1"/>
    <w:rsid w:val="00385DC4"/>
    <w:rsid w:val="00385F8D"/>
    <w:rsid w:val="0038627A"/>
    <w:rsid w:val="003863F7"/>
    <w:rsid w:val="00386632"/>
    <w:rsid w:val="0038671C"/>
    <w:rsid w:val="00386945"/>
    <w:rsid w:val="00386BD7"/>
    <w:rsid w:val="00386C6E"/>
    <w:rsid w:val="00386D00"/>
    <w:rsid w:val="003874C8"/>
    <w:rsid w:val="00387A18"/>
    <w:rsid w:val="00387B36"/>
    <w:rsid w:val="00387BAC"/>
    <w:rsid w:val="00387BDA"/>
    <w:rsid w:val="00387CD3"/>
    <w:rsid w:val="00387D8A"/>
    <w:rsid w:val="00387E39"/>
    <w:rsid w:val="0039033A"/>
    <w:rsid w:val="00390381"/>
    <w:rsid w:val="003908C5"/>
    <w:rsid w:val="0039099A"/>
    <w:rsid w:val="00390D5E"/>
    <w:rsid w:val="00390E4C"/>
    <w:rsid w:val="00390E5A"/>
    <w:rsid w:val="00390FC7"/>
    <w:rsid w:val="00391357"/>
    <w:rsid w:val="00391370"/>
    <w:rsid w:val="00391879"/>
    <w:rsid w:val="00391925"/>
    <w:rsid w:val="00391948"/>
    <w:rsid w:val="00391B5D"/>
    <w:rsid w:val="00391C74"/>
    <w:rsid w:val="00391D00"/>
    <w:rsid w:val="00391E63"/>
    <w:rsid w:val="00392075"/>
    <w:rsid w:val="00392179"/>
    <w:rsid w:val="00392806"/>
    <w:rsid w:val="00392889"/>
    <w:rsid w:val="00392895"/>
    <w:rsid w:val="00392927"/>
    <w:rsid w:val="00392ADA"/>
    <w:rsid w:val="00392C03"/>
    <w:rsid w:val="00392F4E"/>
    <w:rsid w:val="003931A6"/>
    <w:rsid w:val="00393525"/>
    <w:rsid w:val="003936E8"/>
    <w:rsid w:val="00393816"/>
    <w:rsid w:val="00394224"/>
    <w:rsid w:val="00394325"/>
    <w:rsid w:val="0039440F"/>
    <w:rsid w:val="003944C8"/>
    <w:rsid w:val="00394589"/>
    <w:rsid w:val="0039462B"/>
    <w:rsid w:val="0039473C"/>
    <w:rsid w:val="00394AA2"/>
    <w:rsid w:val="00394AEA"/>
    <w:rsid w:val="00394BB9"/>
    <w:rsid w:val="00394C16"/>
    <w:rsid w:val="00394EFA"/>
    <w:rsid w:val="0039506A"/>
    <w:rsid w:val="003951BC"/>
    <w:rsid w:val="00395549"/>
    <w:rsid w:val="00395570"/>
    <w:rsid w:val="0039558E"/>
    <w:rsid w:val="00395885"/>
    <w:rsid w:val="003958B0"/>
    <w:rsid w:val="003959BC"/>
    <w:rsid w:val="00395A9A"/>
    <w:rsid w:val="00395D16"/>
    <w:rsid w:val="00396031"/>
    <w:rsid w:val="0039617F"/>
    <w:rsid w:val="003961F2"/>
    <w:rsid w:val="0039631E"/>
    <w:rsid w:val="00396323"/>
    <w:rsid w:val="003966B1"/>
    <w:rsid w:val="0039671A"/>
    <w:rsid w:val="00396972"/>
    <w:rsid w:val="00396D0D"/>
    <w:rsid w:val="0039707A"/>
    <w:rsid w:val="003970AB"/>
    <w:rsid w:val="00397122"/>
    <w:rsid w:val="00397184"/>
    <w:rsid w:val="00397330"/>
    <w:rsid w:val="00397340"/>
    <w:rsid w:val="00397400"/>
    <w:rsid w:val="0039751F"/>
    <w:rsid w:val="0039759E"/>
    <w:rsid w:val="0039770D"/>
    <w:rsid w:val="003977E1"/>
    <w:rsid w:val="003978DF"/>
    <w:rsid w:val="00397942"/>
    <w:rsid w:val="003979A9"/>
    <w:rsid w:val="00397A12"/>
    <w:rsid w:val="00397B93"/>
    <w:rsid w:val="00397CDC"/>
    <w:rsid w:val="00397D4E"/>
    <w:rsid w:val="00397D87"/>
    <w:rsid w:val="00397F1F"/>
    <w:rsid w:val="003A00C0"/>
    <w:rsid w:val="003A00EB"/>
    <w:rsid w:val="003A01DA"/>
    <w:rsid w:val="003A0398"/>
    <w:rsid w:val="003A0666"/>
    <w:rsid w:val="003A0ADA"/>
    <w:rsid w:val="003A0B0B"/>
    <w:rsid w:val="003A1238"/>
    <w:rsid w:val="003A1421"/>
    <w:rsid w:val="003A15A3"/>
    <w:rsid w:val="003A18E7"/>
    <w:rsid w:val="003A19AC"/>
    <w:rsid w:val="003A1A40"/>
    <w:rsid w:val="003A1E73"/>
    <w:rsid w:val="003A1EA6"/>
    <w:rsid w:val="003A1F1C"/>
    <w:rsid w:val="003A2099"/>
    <w:rsid w:val="003A21FE"/>
    <w:rsid w:val="003A24FE"/>
    <w:rsid w:val="003A2672"/>
    <w:rsid w:val="003A28B1"/>
    <w:rsid w:val="003A28C5"/>
    <w:rsid w:val="003A2BED"/>
    <w:rsid w:val="003A2CA6"/>
    <w:rsid w:val="003A2D63"/>
    <w:rsid w:val="003A2D80"/>
    <w:rsid w:val="003A2E78"/>
    <w:rsid w:val="003A2EF2"/>
    <w:rsid w:val="003A2FBD"/>
    <w:rsid w:val="003A304D"/>
    <w:rsid w:val="003A305B"/>
    <w:rsid w:val="003A314B"/>
    <w:rsid w:val="003A3180"/>
    <w:rsid w:val="003A3340"/>
    <w:rsid w:val="003A341B"/>
    <w:rsid w:val="003A3454"/>
    <w:rsid w:val="003A35CE"/>
    <w:rsid w:val="003A36FA"/>
    <w:rsid w:val="003A374C"/>
    <w:rsid w:val="003A3910"/>
    <w:rsid w:val="003A397D"/>
    <w:rsid w:val="003A39DB"/>
    <w:rsid w:val="003A3A0C"/>
    <w:rsid w:val="003A3B5C"/>
    <w:rsid w:val="003A3C73"/>
    <w:rsid w:val="003A3EE3"/>
    <w:rsid w:val="003A3F00"/>
    <w:rsid w:val="003A4028"/>
    <w:rsid w:val="003A4613"/>
    <w:rsid w:val="003A4846"/>
    <w:rsid w:val="003A48A1"/>
    <w:rsid w:val="003A4926"/>
    <w:rsid w:val="003A4A4C"/>
    <w:rsid w:val="003A4D74"/>
    <w:rsid w:val="003A4FBB"/>
    <w:rsid w:val="003A52BC"/>
    <w:rsid w:val="003A543B"/>
    <w:rsid w:val="003A5A97"/>
    <w:rsid w:val="003A5B93"/>
    <w:rsid w:val="003A5D55"/>
    <w:rsid w:val="003A5E23"/>
    <w:rsid w:val="003A61D4"/>
    <w:rsid w:val="003A61DA"/>
    <w:rsid w:val="003A6233"/>
    <w:rsid w:val="003A65CD"/>
    <w:rsid w:val="003A67DA"/>
    <w:rsid w:val="003A698A"/>
    <w:rsid w:val="003A6A0E"/>
    <w:rsid w:val="003A6A21"/>
    <w:rsid w:val="003A6DE8"/>
    <w:rsid w:val="003A726E"/>
    <w:rsid w:val="003A72B9"/>
    <w:rsid w:val="003A7417"/>
    <w:rsid w:val="003A75A9"/>
    <w:rsid w:val="003A7619"/>
    <w:rsid w:val="003A76AF"/>
    <w:rsid w:val="003A783E"/>
    <w:rsid w:val="003A7959"/>
    <w:rsid w:val="003A7C32"/>
    <w:rsid w:val="003A7CA8"/>
    <w:rsid w:val="003A7DA9"/>
    <w:rsid w:val="003A7EE3"/>
    <w:rsid w:val="003B0035"/>
    <w:rsid w:val="003B0100"/>
    <w:rsid w:val="003B0112"/>
    <w:rsid w:val="003B0358"/>
    <w:rsid w:val="003B0621"/>
    <w:rsid w:val="003B07AB"/>
    <w:rsid w:val="003B0C35"/>
    <w:rsid w:val="003B0CAC"/>
    <w:rsid w:val="003B0F87"/>
    <w:rsid w:val="003B131A"/>
    <w:rsid w:val="003B1A15"/>
    <w:rsid w:val="003B1E78"/>
    <w:rsid w:val="003B1FF6"/>
    <w:rsid w:val="003B2048"/>
    <w:rsid w:val="003B205C"/>
    <w:rsid w:val="003B240C"/>
    <w:rsid w:val="003B24AF"/>
    <w:rsid w:val="003B26F0"/>
    <w:rsid w:val="003B27AF"/>
    <w:rsid w:val="003B29B2"/>
    <w:rsid w:val="003B29FF"/>
    <w:rsid w:val="003B2D55"/>
    <w:rsid w:val="003B2E22"/>
    <w:rsid w:val="003B31FA"/>
    <w:rsid w:val="003B37CE"/>
    <w:rsid w:val="003B3A44"/>
    <w:rsid w:val="003B3BF2"/>
    <w:rsid w:val="003B3C35"/>
    <w:rsid w:val="003B3D66"/>
    <w:rsid w:val="003B3E15"/>
    <w:rsid w:val="003B42DF"/>
    <w:rsid w:val="003B438E"/>
    <w:rsid w:val="003B4606"/>
    <w:rsid w:val="003B4870"/>
    <w:rsid w:val="003B497F"/>
    <w:rsid w:val="003B4A5E"/>
    <w:rsid w:val="003B4ADA"/>
    <w:rsid w:val="003B5079"/>
    <w:rsid w:val="003B524A"/>
    <w:rsid w:val="003B529E"/>
    <w:rsid w:val="003B532B"/>
    <w:rsid w:val="003B5367"/>
    <w:rsid w:val="003B550B"/>
    <w:rsid w:val="003B5524"/>
    <w:rsid w:val="003B577B"/>
    <w:rsid w:val="003B5945"/>
    <w:rsid w:val="003B5A13"/>
    <w:rsid w:val="003B5A5F"/>
    <w:rsid w:val="003B5BE9"/>
    <w:rsid w:val="003B6046"/>
    <w:rsid w:val="003B6080"/>
    <w:rsid w:val="003B6182"/>
    <w:rsid w:val="003B6383"/>
    <w:rsid w:val="003B639B"/>
    <w:rsid w:val="003B67EF"/>
    <w:rsid w:val="003B693B"/>
    <w:rsid w:val="003B6EBE"/>
    <w:rsid w:val="003B70FA"/>
    <w:rsid w:val="003B7218"/>
    <w:rsid w:val="003B7473"/>
    <w:rsid w:val="003B7611"/>
    <w:rsid w:val="003B7621"/>
    <w:rsid w:val="003B77F2"/>
    <w:rsid w:val="003B79A9"/>
    <w:rsid w:val="003B79D4"/>
    <w:rsid w:val="003B7A06"/>
    <w:rsid w:val="003B7DC8"/>
    <w:rsid w:val="003B7EED"/>
    <w:rsid w:val="003C000F"/>
    <w:rsid w:val="003C00E9"/>
    <w:rsid w:val="003C02CC"/>
    <w:rsid w:val="003C02D2"/>
    <w:rsid w:val="003C0543"/>
    <w:rsid w:val="003C0566"/>
    <w:rsid w:val="003C0629"/>
    <w:rsid w:val="003C06AB"/>
    <w:rsid w:val="003C0840"/>
    <w:rsid w:val="003C09D4"/>
    <w:rsid w:val="003C0A94"/>
    <w:rsid w:val="003C0BD9"/>
    <w:rsid w:val="003C0BED"/>
    <w:rsid w:val="003C0ED9"/>
    <w:rsid w:val="003C102A"/>
    <w:rsid w:val="003C10FB"/>
    <w:rsid w:val="003C1148"/>
    <w:rsid w:val="003C116B"/>
    <w:rsid w:val="003C13B9"/>
    <w:rsid w:val="003C14D3"/>
    <w:rsid w:val="003C159C"/>
    <w:rsid w:val="003C15E6"/>
    <w:rsid w:val="003C18D2"/>
    <w:rsid w:val="003C1AA4"/>
    <w:rsid w:val="003C1C7B"/>
    <w:rsid w:val="003C1E11"/>
    <w:rsid w:val="003C1E9D"/>
    <w:rsid w:val="003C2158"/>
    <w:rsid w:val="003C2193"/>
    <w:rsid w:val="003C21FC"/>
    <w:rsid w:val="003C2420"/>
    <w:rsid w:val="003C2745"/>
    <w:rsid w:val="003C27FA"/>
    <w:rsid w:val="003C2887"/>
    <w:rsid w:val="003C2A4B"/>
    <w:rsid w:val="003C2A4C"/>
    <w:rsid w:val="003C2C63"/>
    <w:rsid w:val="003C2C79"/>
    <w:rsid w:val="003C2D30"/>
    <w:rsid w:val="003C2FBC"/>
    <w:rsid w:val="003C30C4"/>
    <w:rsid w:val="003C3453"/>
    <w:rsid w:val="003C3472"/>
    <w:rsid w:val="003C34DC"/>
    <w:rsid w:val="003C3753"/>
    <w:rsid w:val="003C3A57"/>
    <w:rsid w:val="003C3F10"/>
    <w:rsid w:val="003C3F44"/>
    <w:rsid w:val="003C3F5F"/>
    <w:rsid w:val="003C3F64"/>
    <w:rsid w:val="003C404B"/>
    <w:rsid w:val="003C41D6"/>
    <w:rsid w:val="003C422B"/>
    <w:rsid w:val="003C4301"/>
    <w:rsid w:val="003C4459"/>
    <w:rsid w:val="003C44A4"/>
    <w:rsid w:val="003C47A0"/>
    <w:rsid w:val="003C48BD"/>
    <w:rsid w:val="003C48D9"/>
    <w:rsid w:val="003C4AB8"/>
    <w:rsid w:val="003C4B33"/>
    <w:rsid w:val="003C4CA4"/>
    <w:rsid w:val="003C4CC0"/>
    <w:rsid w:val="003C4D88"/>
    <w:rsid w:val="003C4E08"/>
    <w:rsid w:val="003C50BB"/>
    <w:rsid w:val="003C5234"/>
    <w:rsid w:val="003C549A"/>
    <w:rsid w:val="003C5A14"/>
    <w:rsid w:val="003C5EE3"/>
    <w:rsid w:val="003C5EE7"/>
    <w:rsid w:val="003C6115"/>
    <w:rsid w:val="003C6145"/>
    <w:rsid w:val="003C6280"/>
    <w:rsid w:val="003C62C3"/>
    <w:rsid w:val="003C64FD"/>
    <w:rsid w:val="003C66F2"/>
    <w:rsid w:val="003C679A"/>
    <w:rsid w:val="003C67A6"/>
    <w:rsid w:val="003C6A92"/>
    <w:rsid w:val="003C6BD4"/>
    <w:rsid w:val="003C6CC7"/>
    <w:rsid w:val="003C6CE1"/>
    <w:rsid w:val="003C6CFD"/>
    <w:rsid w:val="003C70A4"/>
    <w:rsid w:val="003C743B"/>
    <w:rsid w:val="003C7648"/>
    <w:rsid w:val="003C76DE"/>
    <w:rsid w:val="003C77C3"/>
    <w:rsid w:val="003C7948"/>
    <w:rsid w:val="003C7BD5"/>
    <w:rsid w:val="003C7C1B"/>
    <w:rsid w:val="003C7CBA"/>
    <w:rsid w:val="003D0141"/>
    <w:rsid w:val="003D038E"/>
    <w:rsid w:val="003D066A"/>
    <w:rsid w:val="003D082A"/>
    <w:rsid w:val="003D0857"/>
    <w:rsid w:val="003D0B41"/>
    <w:rsid w:val="003D0C70"/>
    <w:rsid w:val="003D0ED6"/>
    <w:rsid w:val="003D1149"/>
    <w:rsid w:val="003D131C"/>
    <w:rsid w:val="003D13A8"/>
    <w:rsid w:val="003D1663"/>
    <w:rsid w:val="003D187F"/>
    <w:rsid w:val="003D1FB3"/>
    <w:rsid w:val="003D2062"/>
    <w:rsid w:val="003D2159"/>
    <w:rsid w:val="003D25B0"/>
    <w:rsid w:val="003D25C9"/>
    <w:rsid w:val="003D27EF"/>
    <w:rsid w:val="003D28A1"/>
    <w:rsid w:val="003D2A55"/>
    <w:rsid w:val="003D2AEE"/>
    <w:rsid w:val="003D2C2D"/>
    <w:rsid w:val="003D2C36"/>
    <w:rsid w:val="003D2F0F"/>
    <w:rsid w:val="003D2FA1"/>
    <w:rsid w:val="003D2FDD"/>
    <w:rsid w:val="003D30BB"/>
    <w:rsid w:val="003D329F"/>
    <w:rsid w:val="003D337F"/>
    <w:rsid w:val="003D34C5"/>
    <w:rsid w:val="003D35C3"/>
    <w:rsid w:val="003D373B"/>
    <w:rsid w:val="003D3A73"/>
    <w:rsid w:val="003D3AAE"/>
    <w:rsid w:val="003D3F6C"/>
    <w:rsid w:val="003D41C5"/>
    <w:rsid w:val="003D44FA"/>
    <w:rsid w:val="003D478D"/>
    <w:rsid w:val="003D4861"/>
    <w:rsid w:val="003D48C5"/>
    <w:rsid w:val="003D48F6"/>
    <w:rsid w:val="003D498C"/>
    <w:rsid w:val="003D4CB3"/>
    <w:rsid w:val="003D4D73"/>
    <w:rsid w:val="003D4D9E"/>
    <w:rsid w:val="003D5205"/>
    <w:rsid w:val="003D55CD"/>
    <w:rsid w:val="003D5657"/>
    <w:rsid w:val="003D565A"/>
    <w:rsid w:val="003D596D"/>
    <w:rsid w:val="003D5C1D"/>
    <w:rsid w:val="003D5E53"/>
    <w:rsid w:val="003D5E55"/>
    <w:rsid w:val="003D5F6C"/>
    <w:rsid w:val="003D601E"/>
    <w:rsid w:val="003D60F5"/>
    <w:rsid w:val="003D64FB"/>
    <w:rsid w:val="003D65C3"/>
    <w:rsid w:val="003D6806"/>
    <w:rsid w:val="003D69FA"/>
    <w:rsid w:val="003D6B9C"/>
    <w:rsid w:val="003D6BA0"/>
    <w:rsid w:val="003D6C68"/>
    <w:rsid w:val="003D6CDB"/>
    <w:rsid w:val="003D6E05"/>
    <w:rsid w:val="003D6EF1"/>
    <w:rsid w:val="003D7384"/>
    <w:rsid w:val="003D7441"/>
    <w:rsid w:val="003D75A1"/>
    <w:rsid w:val="003D768A"/>
    <w:rsid w:val="003D7930"/>
    <w:rsid w:val="003D796B"/>
    <w:rsid w:val="003D7B29"/>
    <w:rsid w:val="003D7BDD"/>
    <w:rsid w:val="003D7BEC"/>
    <w:rsid w:val="003D7CD1"/>
    <w:rsid w:val="003D7D5E"/>
    <w:rsid w:val="003D7D68"/>
    <w:rsid w:val="003D7E0D"/>
    <w:rsid w:val="003E003F"/>
    <w:rsid w:val="003E0140"/>
    <w:rsid w:val="003E052B"/>
    <w:rsid w:val="003E068B"/>
    <w:rsid w:val="003E06B5"/>
    <w:rsid w:val="003E08BD"/>
    <w:rsid w:val="003E0BE1"/>
    <w:rsid w:val="003E0ECF"/>
    <w:rsid w:val="003E106D"/>
    <w:rsid w:val="003E10C3"/>
    <w:rsid w:val="003E13EB"/>
    <w:rsid w:val="003E1605"/>
    <w:rsid w:val="003E1A97"/>
    <w:rsid w:val="003E1D06"/>
    <w:rsid w:val="003E1D13"/>
    <w:rsid w:val="003E1EAC"/>
    <w:rsid w:val="003E1F3E"/>
    <w:rsid w:val="003E20B6"/>
    <w:rsid w:val="003E219E"/>
    <w:rsid w:val="003E2250"/>
    <w:rsid w:val="003E22A3"/>
    <w:rsid w:val="003E259B"/>
    <w:rsid w:val="003E25C8"/>
    <w:rsid w:val="003E272F"/>
    <w:rsid w:val="003E28E2"/>
    <w:rsid w:val="003E2965"/>
    <w:rsid w:val="003E2D72"/>
    <w:rsid w:val="003E2ED3"/>
    <w:rsid w:val="003E32DA"/>
    <w:rsid w:val="003E3452"/>
    <w:rsid w:val="003E347C"/>
    <w:rsid w:val="003E3571"/>
    <w:rsid w:val="003E360F"/>
    <w:rsid w:val="003E366C"/>
    <w:rsid w:val="003E377A"/>
    <w:rsid w:val="003E39AF"/>
    <w:rsid w:val="003E3A78"/>
    <w:rsid w:val="003E3E0E"/>
    <w:rsid w:val="003E3F0F"/>
    <w:rsid w:val="003E4018"/>
    <w:rsid w:val="003E4161"/>
    <w:rsid w:val="003E422A"/>
    <w:rsid w:val="003E4323"/>
    <w:rsid w:val="003E4389"/>
    <w:rsid w:val="003E45F4"/>
    <w:rsid w:val="003E4767"/>
    <w:rsid w:val="003E485A"/>
    <w:rsid w:val="003E4872"/>
    <w:rsid w:val="003E4929"/>
    <w:rsid w:val="003E4CF2"/>
    <w:rsid w:val="003E4DD8"/>
    <w:rsid w:val="003E4F30"/>
    <w:rsid w:val="003E57A1"/>
    <w:rsid w:val="003E5BBE"/>
    <w:rsid w:val="003E5CC1"/>
    <w:rsid w:val="003E5F39"/>
    <w:rsid w:val="003E5F95"/>
    <w:rsid w:val="003E6138"/>
    <w:rsid w:val="003E615B"/>
    <w:rsid w:val="003E61F3"/>
    <w:rsid w:val="003E6202"/>
    <w:rsid w:val="003E6629"/>
    <w:rsid w:val="003E6903"/>
    <w:rsid w:val="003E6C19"/>
    <w:rsid w:val="003E7008"/>
    <w:rsid w:val="003E7976"/>
    <w:rsid w:val="003E7EE9"/>
    <w:rsid w:val="003F0458"/>
    <w:rsid w:val="003F0AA0"/>
    <w:rsid w:val="003F0B43"/>
    <w:rsid w:val="003F0C95"/>
    <w:rsid w:val="003F0E05"/>
    <w:rsid w:val="003F10B9"/>
    <w:rsid w:val="003F12ED"/>
    <w:rsid w:val="003F1376"/>
    <w:rsid w:val="003F13A5"/>
    <w:rsid w:val="003F13DA"/>
    <w:rsid w:val="003F16B4"/>
    <w:rsid w:val="003F18D5"/>
    <w:rsid w:val="003F1A58"/>
    <w:rsid w:val="003F1BBE"/>
    <w:rsid w:val="003F1D57"/>
    <w:rsid w:val="003F1E33"/>
    <w:rsid w:val="003F1ECA"/>
    <w:rsid w:val="003F1F06"/>
    <w:rsid w:val="003F212E"/>
    <w:rsid w:val="003F223E"/>
    <w:rsid w:val="003F2413"/>
    <w:rsid w:val="003F2589"/>
    <w:rsid w:val="003F262D"/>
    <w:rsid w:val="003F2738"/>
    <w:rsid w:val="003F2B86"/>
    <w:rsid w:val="003F2D02"/>
    <w:rsid w:val="003F3017"/>
    <w:rsid w:val="003F3238"/>
    <w:rsid w:val="003F32D7"/>
    <w:rsid w:val="003F3373"/>
    <w:rsid w:val="003F33B0"/>
    <w:rsid w:val="003F33ED"/>
    <w:rsid w:val="003F3467"/>
    <w:rsid w:val="003F38E2"/>
    <w:rsid w:val="003F38F7"/>
    <w:rsid w:val="003F3A85"/>
    <w:rsid w:val="003F3AE2"/>
    <w:rsid w:val="003F3D4B"/>
    <w:rsid w:val="003F3D8D"/>
    <w:rsid w:val="003F3DA5"/>
    <w:rsid w:val="003F3E29"/>
    <w:rsid w:val="003F43AD"/>
    <w:rsid w:val="003F43D2"/>
    <w:rsid w:val="003F4563"/>
    <w:rsid w:val="003F464A"/>
    <w:rsid w:val="003F47C9"/>
    <w:rsid w:val="003F48C9"/>
    <w:rsid w:val="003F4FC8"/>
    <w:rsid w:val="003F52AD"/>
    <w:rsid w:val="003F5435"/>
    <w:rsid w:val="003F5547"/>
    <w:rsid w:val="003F5563"/>
    <w:rsid w:val="003F5569"/>
    <w:rsid w:val="003F56AF"/>
    <w:rsid w:val="003F59D2"/>
    <w:rsid w:val="003F5AD7"/>
    <w:rsid w:val="003F6003"/>
    <w:rsid w:val="003F6051"/>
    <w:rsid w:val="003F61AE"/>
    <w:rsid w:val="003F61E9"/>
    <w:rsid w:val="003F6206"/>
    <w:rsid w:val="003F622B"/>
    <w:rsid w:val="003F666C"/>
    <w:rsid w:val="003F66B7"/>
    <w:rsid w:val="003F67F1"/>
    <w:rsid w:val="003F6988"/>
    <w:rsid w:val="003F6A20"/>
    <w:rsid w:val="003F6B40"/>
    <w:rsid w:val="003F6BB6"/>
    <w:rsid w:val="003F71C3"/>
    <w:rsid w:val="003F7441"/>
    <w:rsid w:val="003F7469"/>
    <w:rsid w:val="003F7611"/>
    <w:rsid w:val="003F7696"/>
    <w:rsid w:val="003F76A9"/>
    <w:rsid w:val="003F7904"/>
    <w:rsid w:val="003F7A57"/>
    <w:rsid w:val="003F7C4F"/>
    <w:rsid w:val="003F7D0B"/>
    <w:rsid w:val="003F7F6B"/>
    <w:rsid w:val="00400387"/>
    <w:rsid w:val="0040048E"/>
    <w:rsid w:val="004006A6"/>
    <w:rsid w:val="004007AD"/>
    <w:rsid w:val="004007E9"/>
    <w:rsid w:val="004008F4"/>
    <w:rsid w:val="00400A60"/>
    <w:rsid w:val="00400C12"/>
    <w:rsid w:val="00400ECE"/>
    <w:rsid w:val="00400F70"/>
    <w:rsid w:val="004010D4"/>
    <w:rsid w:val="0040116A"/>
    <w:rsid w:val="004016DB"/>
    <w:rsid w:val="0040177E"/>
    <w:rsid w:val="004019D2"/>
    <w:rsid w:val="00401A76"/>
    <w:rsid w:val="00401B10"/>
    <w:rsid w:val="00401C4B"/>
    <w:rsid w:val="00401CB5"/>
    <w:rsid w:val="00401DD0"/>
    <w:rsid w:val="00401E80"/>
    <w:rsid w:val="00401F4C"/>
    <w:rsid w:val="004020B4"/>
    <w:rsid w:val="00402195"/>
    <w:rsid w:val="00402412"/>
    <w:rsid w:val="00402A4F"/>
    <w:rsid w:val="00402AB7"/>
    <w:rsid w:val="00402B01"/>
    <w:rsid w:val="00402E74"/>
    <w:rsid w:val="00402FC5"/>
    <w:rsid w:val="00403042"/>
    <w:rsid w:val="00403253"/>
    <w:rsid w:val="00403778"/>
    <w:rsid w:val="00403AA6"/>
    <w:rsid w:val="00403BAD"/>
    <w:rsid w:val="00403C1F"/>
    <w:rsid w:val="00403C90"/>
    <w:rsid w:val="00403CA5"/>
    <w:rsid w:val="00403D28"/>
    <w:rsid w:val="00403D2C"/>
    <w:rsid w:val="00403E26"/>
    <w:rsid w:val="00403F52"/>
    <w:rsid w:val="00404096"/>
    <w:rsid w:val="004041BE"/>
    <w:rsid w:val="0040441D"/>
    <w:rsid w:val="004044C3"/>
    <w:rsid w:val="0040463C"/>
    <w:rsid w:val="004046D7"/>
    <w:rsid w:val="004047B5"/>
    <w:rsid w:val="0040486A"/>
    <w:rsid w:val="00404B2D"/>
    <w:rsid w:val="00404B74"/>
    <w:rsid w:val="00404D86"/>
    <w:rsid w:val="00404ECA"/>
    <w:rsid w:val="00404F8B"/>
    <w:rsid w:val="00404FC1"/>
    <w:rsid w:val="00404FF3"/>
    <w:rsid w:val="004050AC"/>
    <w:rsid w:val="00405177"/>
    <w:rsid w:val="00405438"/>
    <w:rsid w:val="00405635"/>
    <w:rsid w:val="00405762"/>
    <w:rsid w:val="004059C7"/>
    <w:rsid w:val="00405ADB"/>
    <w:rsid w:val="00405B1E"/>
    <w:rsid w:val="00405BF7"/>
    <w:rsid w:val="00405D55"/>
    <w:rsid w:val="00405E91"/>
    <w:rsid w:val="00406031"/>
    <w:rsid w:val="0040609E"/>
    <w:rsid w:val="0040617B"/>
    <w:rsid w:val="0040638F"/>
    <w:rsid w:val="004063E7"/>
    <w:rsid w:val="00406420"/>
    <w:rsid w:val="0040659D"/>
    <w:rsid w:val="00406699"/>
    <w:rsid w:val="00406808"/>
    <w:rsid w:val="004068EB"/>
    <w:rsid w:val="004069E0"/>
    <w:rsid w:val="00406A19"/>
    <w:rsid w:val="00406B1F"/>
    <w:rsid w:val="00406F17"/>
    <w:rsid w:val="0040708C"/>
    <w:rsid w:val="0040714D"/>
    <w:rsid w:val="00407153"/>
    <w:rsid w:val="0040726B"/>
    <w:rsid w:val="004074A5"/>
    <w:rsid w:val="004074AE"/>
    <w:rsid w:val="00407721"/>
    <w:rsid w:val="00407881"/>
    <w:rsid w:val="00407C70"/>
    <w:rsid w:val="00407E39"/>
    <w:rsid w:val="004100BA"/>
    <w:rsid w:val="004105D9"/>
    <w:rsid w:val="004105E3"/>
    <w:rsid w:val="004107AB"/>
    <w:rsid w:val="00410A96"/>
    <w:rsid w:val="00410B1C"/>
    <w:rsid w:val="00410C2D"/>
    <w:rsid w:val="00410DD7"/>
    <w:rsid w:val="00410E41"/>
    <w:rsid w:val="00410EC5"/>
    <w:rsid w:val="004110B2"/>
    <w:rsid w:val="00411194"/>
    <w:rsid w:val="0041121B"/>
    <w:rsid w:val="004116BB"/>
    <w:rsid w:val="00411869"/>
    <w:rsid w:val="00411D2C"/>
    <w:rsid w:val="00411DD3"/>
    <w:rsid w:val="00412058"/>
    <w:rsid w:val="0041206D"/>
    <w:rsid w:val="00412125"/>
    <w:rsid w:val="00412361"/>
    <w:rsid w:val="0041245E"/>
    <w:rsid w:val="0041251A"/>
    <w:rsid w:val="00412638"/>
    <w:rsid w:val="00412953"/>
    <w:rsid w:val="00412B1A"/>
    <w:rsid w:val="00412CBB"/>
    <w:rsid w:val="00412E82"/>
    <w:rsid w:val="00413310"/>
    <w:rsid w:val="004134D1"/>
    <w:rsid w:val="004135A5"/>
    <w:rsid w:val="004136FD"/>
    <w:rsid w:val="00413776"/>
    <w:rsid w:val="004139E3"/>
    <w:rsid w:val="00413AA9"/>
    <w:rsid w:val="00413D59"/>
    <w:rsid w:val="00413E33"/>
    <w:rsid w:val="0041401D"/>
    <w:rsid w:val="004144F9"/>
    <w:rsid w:val="00414861"/>
    <w:rsid w:val="00414A47"/>
    <w:rsid w:val="00414C65"/>
    <w:rsid w:val="00414C94"/>
    <w:rsid w:val="0041513F"/>
    <w:rsid w:val="004151A8"/>
    <w:rsid w:val="0041522C"/>
    <w:rsid w:val="00415383"/>
    <w:rsid w:val="004153D9"/>
    <w:rsid w:val="004154F5"/>
    <w:rsid w:val="004155A6"/>
    <w:rsid w:val="004156F6"/>
    <w:rsid w:val="004157EF"/>
    <w:rsid w:val="00415823"/>
    <w:rsid w:val="00415C14"/>
    <w:rsid w:val="00415CF7"/>
    <w:rsid w:val="00415D9D"/>
    <w:rsid w:val="00415E00"/>
    <w:rsid w:val="00415F53"/>
    <w:rsid w:val="00415F79"/>
    <w:rsid w:val="004160D5"/>
    <w:rsid w:val="004161D5"/>
    <w:rsid w:val="0041638D"/>
    <w:rsid w:val="00416781"/>
    <w:rsid w:val="00416AE3"/>
    <w:rsid w:val="00416D07"/>
    <w:rsid w:val="00416D31"/>
    <w:rsid w:val="00416FF0"/>
    <w:rsid w:val="0041725D"/>
    <w:rsid w:val="00417366"/>
    <w:rsid w:val="004174F2"/>
    <w:rsid w:val="0041760D"/>
    <w:rsid w:val="004176F7"/>
    <w:rsid w:val="004177DA"/>
    <w:rsid w:val="004177E9"/>
    <w:rsid w:val="00417BB1"/>
    <w:rsid w:val="00417D77"/>
    <w:rsid w:val="00417E10"/>
    <w:rsid w:val="004202E7"/>
    <w:rsid w:val="0042047A"/>
    <w:rsid w:val="00420710"/>
    <w:rsid w:val="004207F2"/>
    <w:rsid w:val="0042080A"/>
    <w:rsid w:val="004209A5"/>
    <w:rsid w:val="00420DF9"/>
    <w:rsid w:val="00420E46"/>
    <w:rsid w:val="00420EA3"/>
    <w:rsid w:val="004212A3"/>
    <w:rsid w:val="0042133E"/>
    <w:rsid w:val="004214CC"/>
    <w:rsid w:val="0042158B"/>
    <w:rsid w:val="0042183A"/>
    <w:rsid w:val="00421E85"/>
    <w:rsid w:val="004220E1"/>
    <w:rsid w:val="004223DF"/>
    <w:rsid w:val="00422497"/>
    <w:rsid w:val="004225A5"/>
    <w:rsid w:val="004225BE"/>
    <w:rsid w:val="0042277F"/>
    <w:rsid w:val="004228DE"/>
    <w:rsid w:val="004228EB"/>
    <w:rsid w:val="00422C64"/>
    <w:rsid w:val="00422DB7"/>
    <w:rsid w:val="00423094"/>
    <w:rsid w:val="0042337E"/>
    <w:rsid w:val="004233FA"/>
    <w:rsid w:val="00423496"/>
    <w:rsid w:val="004234E5"/>
    <w:rsid w:val="004238CD"/>
    <w:rsid w:val="00423B32"/>
    <w:rsid w:val="00423BE8"/>
    <w:rsid w:val="00423DF4"/>
    <w:rsid w:val="00423E61"/>
    <w:rsid w:val="00423EAD"/>
    <w:rsid w:val="00423FDF"/>
    <w:rsid w:val="004242C1"/>
    <w:rsid w:val="00424307"/>
    <w:rsid w:val="00424341"/>
    <w:rsid w:val="00424625"/>
    <w:rsid w:val="0042472F"/>
    <w:rsid w:val="004248EE"/>
    <w:rsid w:val="00424AA6"/>
    <w:rsid w:val="00425042"/>
    <w:rsid w:val="0042515A"/>
    <w:rsid w:val="0042542C"/>
    <w:rsid w:val="0042571B"/>
    <w:rsid w:val="004257D8"/>
    <w:rsid w:val="00425913"/>
    <w:rsid w:val="004259DF"/>
    <w:rsid w:val="00425BDC"/>
    <w:rsid w:val="00425BDF"/>
    <w:rsid w:val="00425F03"/>
    <w:rsid w:val="00425F9C"/>
    <w:rsid w:val="00425FF1"/>
    <w:rsid w:val="00426128"/>
    <w:rsid w:val="004263BD"/>
    <w:rsid w:val="00426448"/>
    <w:rsid w:val="004266E9"/>
    <w:rsid w:val="00426811"/>
    <w:rsid w:val="004268A1"/>
    <w:rsid w:val="00426DDF"/>
    <w:rsid w:val="00426DEB"/>
    <w:rsid w:val="00426E8D"/>
    <w:rsid w:val="004271DB"/>
    <w:rsid w:val="00427359"/>
    <w:rsid w:val="0042775A"/>
    <w:rsid w:val="00427780"/>
    <w:rsid w:val="004277BE"/>
    <w:rsid w:val="00427963"/>
    <w:rsid w:val="00427D46"/>
    <w:rsid w:val="00427DD7"/>
    <w:rsid w:val="00427EDB"/>
    <w:rsid w:val="0042EBBB"/>
    <w:rsid w:val="004300A8"/>
    <w:rsid w:val="0043044E"/>
    <w:rsid w:val="004304BE"/>
    <w:rsid w:val="00430673"/>
    <w:rsid w:val="00430960"/>
    <w:rsid w:val="00430BA7"/>
    <w:rsid w:val="00430D30"/>
    <w:rsid w:val="00430DBE"/>
    <w:rsid w:val="00430E8E"/>
    <w:rsid w:val="0043100E"/>
    <w:rsid w:val="0043134F"/>
    <w:rsid w:val="00431372"/>
    <w:rsid w:val="0043153B"/>
    <w:rsid w:val="0043184B"/>
    <w:rsid w:val="00431880"/>
    <w:rsid w:val="004318F5"/>
    <w:rsid w:val="00431A86"/>
    <w:rsid w:val="00431B2A"/>
    <w:rsid w:val="00431D95"/>
    <w:rsid w:val="00431FF2"/>
    <w:rsid w:val="0043224E"/>
    <w:rsid w:val="004322AD"/>
    <w:rsid w:val="004325CF"/>
    <w:rsid w:val="00432788"/>
    <w:rsid w:val="0043285A"/>
    <w:rsid w:val="00432992"/>
    <w:rsid w:val="00432A5B"/>
    <w:rsid w:val="00432DFA"/>
    <w:rsid w:val="00432F46"/>
    <w:rsid w:val="0043345C"/>
    <w:rsid w:val="004337A0"/>
    <w:rsid w:val="00433A07"/>
    <w:rsid w:val="00433A38"/>
    <w:rsid w:val="00433BB0"/>
    <w:rsid w:val="00433C70"/>
    <w:rsid w:val="00433CCD"/>
    <w:rsid w:val="00433F84"/>
    <w:rsid w:val="00433FA0"/>
    <w:rsid w:val="0043402C"/>
    <w:rsid w:val="00434087"/>
    <w:rsid w:val="00434289"/>
    <w:rsid w:val="00434701"/>
    <w:rsid w:val="004347AC"/>
    <w:rsid w:val="00434945"/>
    <w:rsid w:val="00434CFD"/>
    <w:rsid w:val="00434F53"/>
    <w:rsid w:val="00434F66"/>
    <w:rsid w:val="0043501B"/>
    <w:rsid w:val="004352DE"/>
    <w:rsid w:val="00435446"/>
    <w:rsid w:val="004355EB"/>
    <w:rsid w:val="004356E1"/>
    <w:rsid w:val="00435A3E"/>
    <w:rsid w:val="00435A5A"/>
    <w:rsid w:val="00435B15"/>
    <w:rsid w:val="00435FCA"/>
    <w:rsid w:val="0043633F"/>
    <w:rsid w:val="0043655E"/>
    <w:rsid w:val="0043667E"/>
    <w:rsid w:val="00436723"/>
    <w:rsid w:val="00436790"/>
    <w:rsid w:val="00436CA6"/>
    <w:rsid w:val="00436CE1"/>
    <w:rsid w:val="00436FAD"/>
    <w:rsid w:val="00436FC3"/>
    <w:rsid w:val="004370B6"/>
    <w:rsid w:val="00437619"/>
    <w:rsid w:val="00437671"/>
    <w:rsid w:val="004378AF"/>
    <w:rsid w:val="00437A55"/>
    <w:rsid w:val="00437C8B"/>
    <w:rsid w:val="00437F80"/>
    <w:rsid w:val="00440045"/>
    <w:rsid w:val="0044039A"/>
    <w:rsid w:val="004403E0"/>
    <w:rsid w:val="0044073B"/>
    <w:rsid w:val="0044088E"/>
    <w:rsid w:val="0044090D"/>
    <w:rsid w:val="004409A7"/>
    <w:rsid w:val="00440B3B"/>
    <w:rsid w:val="00440B62"/>
    <w:rsid w:val="00440E3A"/>
    <w:rsid w:val="00441130"/>
    <w:rsid w:val="004415E5"/>
    <w:rsid w:val="0044175F"/>
    <w:rsid w:val="00441B22"/>
    <w:rsid w:val="00441BD2"/>
    <w:rsid w:val="0044240E"/>
    <w:rsid w:val="0044294D"/>
    <w:rsid w:val="00442A1E"/>
    <w:rsid w:val="00443493"/>
    <w:rsid w:val="00443773"/>
    <w:rsid w:val="00443824"/>
    <w:rsid w:val="00443D28"/>
    <w:rsid w:val="00444112"/>
    <w:rsid w:val="00444135"/>
    <w:rsid w:val="00444476"/>
    <w:rsid w:val="00444618"/>
    <w:rsid w:val="00444749"/>
    <w:rsid w:val="00444CC2"/>
    <w:rsid w:val="00444E62"/>
    <w:rsid w:val="00444E99"/>
    <w:rsid w:val="0044501F"/>
    <w:rsid w:val="0044511A"/>
    <w:rsid w:val="00445254"/>
    <w:rsid w:val="004453F5"/>
    <w:rsid w:val="004458D0"/>
    <w:rsid w:val="004459DC"/>
    <w:rsid w:val="00445C04"/>
    <w:rsid w:val="00445DAD"/>
    <w:rsid w:val="00446192"/>
    <w:rsid w:val="00446249"/>
    <w:rsid w:val="00446458"/>
    <w:rsid w:val="004465EF"/>
    <w:rsid w:val="004467C3"/>
    <w:rsid w:val="004469C6"/>
    <w:rsid w:val="00446A09"/>
    <w:rsid w:val="00446E05"/>
    <w:rsid w:val="004472A1"/>
    <w:rsid w:val="0044741D"/>
    <w:rsid w:val="004474AC"/>
    <w:rsid w:val="004475EF"/>
    <w:rsid w:val="00447726"/>
    <w:rsid w:val="00447750"/>
    <w:rsid w:val="00447B35"/>
    <w:rsid w:val="00447B84"/>
    <w:rsid w:val="00447DF5"/>
    <w:rsid w:val="00447E25"/>
    <w:rsid w:val="00447E3A"/>
    <w:rsid w:val="00450034"/>
    <w:rsid w:val="00450256"/>
    <w:rsid w:val="004503F1"/>
    <w:rsid w:val="004505C2"/>
    <w:rsid w:val="004506B8"/>
    <w:rsid w:val="00450746"/>
    <w:rsid w:val="00450BFA"/>
    <w:rsid w:val="00450C1F"/>
    <w:rsid w:val="00450D92"/>
    <w:rsid w:val="00450DBC"/>
    <w:rsid w:val="00450EE7"/>
    <w:rsid w:val="00450FF7"/>
    <w:rsid w:val="00451089"/>
    <w:rsid w:val="00451188"/>
    <w:rsid w:val="0045131F"/>
    <w:rsid w:val="0045139D"/>
    <w:rsid w:val="00451583"/>
    <w:rsid w:val="004516E2"/>
    <w:rsid w:val="004517D6"/>
    <w:rsid w:val="00451812"/>
    <w:rsid w:val="00451CCF"/>
    <w:rsid w:val="00451DD3"/>
    <w:rsid w:val="00451FED"/>
    <w:rsid w:val="004520EF"/>
    <w:rsid w:val="00452371"/>
    <w:rsid w:val="00452658"/>
    <w:rsid w:val="004526D3"/>
    <w:rsid w:val="0045278D"/>
    <w:rsid w:val="004527A6"/>
    <w:rsid w:val="00452919"/>
    <w:rsid w:val="00452C27"/>
    <w:rsid w:val="00452E54"/>
    <w:rsid w:val="00452F40"/>
    <w:rsid w:val="0045304B"/>
    <w:rsid w:val="004530BB"/>
    <w:rsid w:val="00453131"/>
    <w:rsid w:val="00453209"/>
    <w:rsid w:val="00453B46"/>
    <w:rsid w:val="00453C94"/>
    <w:rsid w:val="00453EB5"/>
    <w:rsid w:val="00454135"/>
    <w:rsid w:val="004541B3"/>
    <w:rsid w:val="004544D5"/>
    <w:rsid w:val="004545D3"/>
    <w:rsid w:val="0045460F"/>
    <w:rsid w:val="00454936"/>
    <w:rsid w:val="0045496F"/>
    <w:rsid w:val="00454A15"/>
    <w:rsid w:val="00454B8D"/>
    <w:rsid w:val="00454BB4"/>
    <w:rsid w:val="00454CEC"/>
    <w:rsid w:val="00454D24"/>
    <w:rsid w:val="00454E35"/>
    <w:rsid w:val="00454E6E"/>
    <w:rsid w:val="00454F05"/>
    <w:rsid w:val="00455033"/>
    <w:rsid w:val="004552BC"/>
    <w:rsid w:val="004553CF"/>
    <w:rsid w:val="004553E8"/>
    <w:rsid w:val="00455463"/>
    <w:rsid w:val="0045556F"/>
    <w:rsid w:val="004555BA"/>
    <w:rsid w:val="004556CF"/>
    <w:rsid w:val="004557D4"/>
    <w:rsid w:val="00455817"/>
    <w:rsid w:val="004559DB"/>
    <w:rsid w:val="00455CD5"/>
    <w:rsid w:val="00455DE6"/>
    <w:rsid w:val="00455E3A"/>
    <w:rsid w:val="00455F35"/>
    <w:rsid w:val="004561A3"/>
    <w:rsid w:val="0045623C"/>
    <w:rsid w:val="0045665C"/>
    <w:rsid w:val="00456701"/>
    <w:rsid w:val="004568E4"/>
    <w:rsid w:val="00456AC5"/>
    <w:rsid w:val="00456B3E"/>
    <w:rsid w:val="00456F5A"/>
    <w:rsid w:val="00457178"/>
    <w:rsid w:val="00457414"/>
    <w:rsid w:val="00457957"/>
    <w:rsid w:val="00457C6E"/>
    <w:rsid w:val="00457D2A"/>
    <w:rsid w:val="00457D79"/>
    <w:rsid w:val="00457EC6"/>
    <w:rsid w:val="00457F01"/>
    <w:rsid w:val="00457F1E"/>
    <w:rsid w:val="00457F5A"/>
    <w:rsid w:val="0046012D"/>
    <w:rsid w:val="00460163"/>
    <w:rsid w:val="0046023C"/>
    <w:rsid w:val="00460609"/>
    <w:rsid w:val="00460734"/>
    <w:rsid w:val="00460A04"/>
    <w:rsid w:val="00460A0A"/>
    <w:rsid w:val="00460C15"/>
    <w:rsid w:val="00460CAC"/>
    <w:rsid w:val="00460E0E"/>
    <w:rsid w:val="00460FA6"/>
    <w:rsid w:val="00460FC7"/>
    <w:rsid w:val="00461659"/>
    <w:rsid w:val="0046173A"/>
    <w:rsid w:val="00461844"/>
    <w:rsid w:val="004619CE"/>
    <w:rsid w:val="00461AB2"/>
    <w:rsid w:val="00461C02"/>
    <w:rsid w:val="00461C62"/>
    <w:rsid w:val="00461D8D"/>
    <w:rsid w:val="00461F8D"/>
    <w:rsid w:val="00462185"/>
    <w:rsid w:val="004622AF"/>
    <w:rsid w:val="00462380"/>
    <w:rsid w:val="0046252C"/>
    <w:rsid w:val="004625F9"/>
    <w:rsid w:val="0046287C"/>
    <w:rsid w:val="00462BEB"/>
    <w:rsid w:val="00462CC8"/>
    <w:rsid w:val="00462DBF"/>
    <w:rsid w:val="00462DDF"/>
    <w:rsid w:val="00462E38"/>
    <w:rsid w:val="00462E41"/>
    <w:rsid w:val="00462F66"/>
    <w:rsid w:val="00462FD8"/>
    <w:rsid w:val="004632C7"/>
    <w:rsid w:val="00463363"/>
    <w:rsid w:val="004637A2"/>
    <w:rsid w:val="004637C7"/>
    <w:rsid w:val="004638E5"/>
    <w:rsid w:val="00463AA8"/>
    <w:rsid w:val="00463CEF"/>
    <w:rsid w:val="00463D18"/>
    <w:rsid w:val="00463EB2"/>
    <w:rsid w:val="00464165"/>
    <w:rsid w:val="0046419D"/>
    <w:rsid w:val="004641B9"/>
    <w:rsid w:val="00464236"/>
    <w:rsid w:val="004644E5"/>
    <w:rsid w:val="00464930"/>
    <w:rsid w:val="00464ACF"/>
    <w:rsid w:val="00464B1C"/>
    <w:rsid w:val="00464B58"/>
    <w:rsid w:val="00464D92"/>
    <w:rsid w:val="00464EF1"/>
    <w:rsid w:val="00464FBD"/>
    <w:rsid w:val="004650A1"/>
    <w:rsid w:val="0046512A"/>
    <w:rsid w:val="00465251"/>
    <w:rsid w:val="0046557E"/>
    <w:rsid w:val="004655DF"/>
    <w:rsid w:val="00465B0C"/>
    <w:rsid w:val="00465B9C"/>
    <w:rsid w:val="00465BF3"/>
    <w:rsid w:val="00465C91"/>
    <w:rsid w:val="00465DB2"/>
    <w:rsid w:val="00465E41"/>
    <w:rsid w:val="0046602C"/>
    <w:rsid w:val="00466102"/>
    <w:rsid w:val="00466368"/>
    <w:rsid w:val="00466444"/>
    <w:rsid w:val="0046651C"/>
    <w:rsid w:val="00466521"/>
    <w:rsid w:val="00466567"/>
    <w:rsid w:val="0046678B"/>
    <w:rsid w:val="0046679D"/>
    <w:rsid w:val="00466A4B"/>
    <w:rsid w:val="00466B0E"/>
    <w:rsid w:val="00466B47"/>
    <w:rsid w:val="00466D55"/>
    <w:rsid w:val="00466F06"/>
    <w:rsid w:val="00467127"/>
    <w:rsid w:val="00467269"/>
    <w:rsid w:val="0046728C"/>
    <w:rsid w:val="00467349"/>
    <w:rsid w:val="0046754B"/>
    <w:rsid w:val="004675C7"/>
    <w:rsid w:val="00467657"/>
    <w:rsid w:val="004679A0"/>
    <w:rsid w:val="00467DF9"/>
    <w:rsid w:val="00467FEB"/>
    <w:rsid w:val="00470058"/>
    <w:rsid w:val="004701F7"/>
    <w:rsid w:val="00470400"/>
    <w:rsid w:val="00470423"/>
    <w:rsid w:val="00470A4C"/>
    <w:rsid w:val="00470AF2"/>
    <w:rsid w:val="00470CDD"/>
    <w:rsid w:val="00470F21"/>
    <w:rsid w:val="004710B4"/>
    <w:rsid w:val="004710D2"/>
    <w:rsid w:val="004711A1"/>
    <w:rsid w:val="00471206"/>
    <w:rsid w:val="004712D8"/>
    <w:rsid w:val="00471393"/>
    <w:rsid w:val="00471563"/>
    <w:rsid w:val="0047170B"/>
    <w:rsid w:val="00471849"/>
    <w:rsid w:val="00471ACF"/>
    <w:rsid w:val="00471ADC"/>
    <w:rsid w:val="00471BDD"/>
    <w:rsid w:val="00471CFC"/>
    <w:rsid w:val="00471E09"/>
    <w:rsid w:val="00471F2C"/>
    <w:rsid w:val="00471FC5"/>
    <w:rsid w:val="0047214D"/>
    <w:rsid w:val="00472236"/>
    <w:rsid w:val="0047235C"/>
    <w:rsid w:val="004726AF"/>
    <w:rsid w:val="00472705"/>
    <w:rsid w:val="00472AD2"/>
    <w:rsid w:val="00472B33"/>
    <w:rsid w:val="00472D6E"/>
    <w:rsid w:val="00472E82"/>
    <w:rsid w:val="004730DE"/>
    <w:rsid w:val="004733C2"/>
    <w:rsid w:val="004735FE"/>
    <w:rsid w:val="004737A5"/>
    <w:rsid w:val="00473A19"/>
    <w:rsid w:val="00473A6D"/>
    <w:rsid w:val="00473AC9"/>
    <w:rsid w:val="00473D17"/>
    <w:rsid w:val="00473E89"/>
    <w:rsid w:val="00474157"/>
    <w:rsid w:val="0047433A"/>
    <w:rsid w:val="0047451E"/>
    <w:rsid w:val="004745B6"/>
    <w:rsid w:val="004746D9"/>
    <w:rsid w:val="0047492D"/>
    <w:rsid w:val="00474E05"/>
    <w:rsid w:val="00474E10"/>
    <w:rsid w:val="0047517D"/>
    <w:rsid w:val="004752B8"/>
    <w:rsid w:val="004758EC"/>
    <w:rsid w:val="00475A13"/>
    <w:rsid w:val="00475AA4"/>
    <w:rsid w:val="00475B9D"/>
    <w:rsid w:val="00475C4C"/>
    <w:rsid w:val="00475CB0"/>
    <w:rsid w:val="00475E21"/>
    <w:rsid w:val="004768B0"/>
    <w:rsid w:val="0047696D"/>
    <w:rsid w:val="00476BC0"/>
    <w:rsid w:val="00476BD4"/>
    <w:rsid w:val="00476C43"/>
    <w:rsid w:val="00476C6C"/>
    <w:rsid w:val="00476CCB"/>
    <w:rsid w:val="00476D4D"/>
    <w:rsid w:val="00476D86"/>
    <w:rsid w:val="00476E27"/>
    <w:rsid w:val="00476EE3"/>
    <w:rsid w:val="00476F2D"/>
    <w:rsid w:val="00476F78"/>
    <w:rsid w:val="00476FA6"/>
    <w:rsid w:val="0047757F"/>
    <w:rsid w:val="00477753"/>
    <w:rsid w:val="0047790C"/>
    <w:rsid w:val="004779A9"/>
    <w:rsid w:val="00477A24"/>
    <w:rsid w:val="00477A4C"/>
    <w:rsid w:val="00477B03"/>
    <w:rsid w:val="00477B47"/>
    <w:rsid w:val="00477C98"/>
    <w:rsid w:val="00477CB6"/>
    <w:rsid w:val="00477CE3"/>
    <w:rsid w:val="00477ECD"/>
    <w:rsid w:val="00477ED0"/>
    <w:rsid w:val="004802B0"/>
    <w:rsid w:val="00480491"/>
    <w:rsid w:val="004804F1"/>
    <w:rsid w:val="00480606"/>
    <w:rsid w:val="00480672"/>
    <w:rsid w:val="00480B2F"/>
    <w:rsid w:val="00480BC4"/>
    <w:rsid w:val="00480FC7"/>
    <w:rsid w:val="004813B4"/>
    <w:rsid w:val="004814E3"/>
    <w:rsid w:val="0048165D"/>
    <w:rsid w:val="0048167F"/>
    <w:rsid w:val="004816C0"/>
    <w:rsid w:val="004816F1"/>
    <w:rsid w:val="00481893"/>
    <w:rsid w:val="00481C1B"/>
    <w:rsid w:val="00481C80"/>
    <w:rsid w:val="00482054"/>
    <w:rsid w:val="0048207A"/>
    <w:rsid w:val="00482830"/>
    <w:rsid w:val="00482C24"/>
    <w:rsid w:val="00482D21"/>
    <w:rsid w:val="00482D5F"/>
    <w:rsid w:val="00482E85"/>
    <w:rsid w:val="00482F12"/>
    <w:rsid w:val="00482F30"/>
    <w:rsid w:val="00483171"/>
    <w:rsid w:val="004831B3"/>
    <w:rsid w:val="00483553"/>
    <w:rsid w:val="00483CD7"/>
    <w:rsid w:val="00483EAF"/>
    <w:rsid w:val="0048401C"/>
    <w:rsid w:val="004841E9"/>
    <w:rsid w:val="004842A1"/>
    <w:rsid w:val="004842D2"/>
    <w:rsid w:val="0048456C"/>
    <w:rsid w:val="00484586"/>
    <w:rsid w:val="00484769"/>
    <w:rsid w:val="00484AB9"/>
    <w:rsid w:val="00484C43"/>
    <w:rsid w:val="00484CB6"/>
    <w:rsid w:val="00484E4E"/>
    <w:rsid w:val="00484EE2"/>
    <w:rsid w:val="00484F6E"/>
    <w:rsid w:val="004853D2"/>
    <w:rsid w:val="0048552F"/>
    <w:rsid w:val="004858AC"/>
    <w:rsid w:val="00485990"/>
    <w:rsid w:val="00485A2B"/>
    <w:rsid w:val="00485B70"/>
    <w:rsid w:val="00485CBF"/>
    <w:rsid w:val="00486056"/>
    <w:rsid w:val="004863DB"/>
    <w:rsid w:val="004864FB"/>
    <w:rsid w:val="004865F2"/>
    <w:rsid w:val="00486721"/>
    <w:rsid w:val="00486912"/>
    <w:rsid w:val="00486940"/>
    <w:rsid w:val="00486A99"/>
    <w:rsid w:val="004870BA"/>
    <w:rsid w:val="00487151"/>
    <w:rsid w:val="00487633"/>
    <w:rsid w:val="0048785E"/>
    <w:rsid w:val="00487B60"/>
    <w:rsid w:val="00487C52"/>
    <w:rsid w:val="00487CB3"/>
    <w:rsid w:val="00487E69"/>
    <w:rsid w:val="00487EBB"/>
    <w:rsid w:val="00490437"/>
    <w:rsid w:val="00490B08"/>
    <w:rsid w:val="00490B24"/>
    <w:rsid w:val="00490B86"/>
    <w:rsid w:val="00490F69"/>
    <w:rsid w:val="00491071"/>
    <w:rsid w:val="004911BF"/>
    <w:rsid w:val="004917BF"/>
    <w:rsid w:val="00491BBB"/>
    <w:rsid w:val="00491C75"/>
    <w:rsid w:val="00491CBE"/>
    <w:rsid w:val="00491EBB"/>
    <w:rsid w:val="00491F33"/>
    <w:rsid w:val="00492023"/>
    <w:rsid w:val="00492051"/>
    <w:rsid w:val="004920CB"/>
    <w:rsid w:val="00492378"/>
    <w:rsid w:val="004925D9"/>
    <w:rsid w:val="004926C4"/>
    <w:rsid w:val="0049277E"/>
    <w:rsid w:val="004927FA"/>
    <w:rsid w:val="00492898"/>
    <w:rsid w:val="00492944"/>
    <w:rsid w:val="004929A9"/>
    <w:rsid w:val="00492B61"/>
    <w:rsid w:val="00492F9A"/>
    <w:rsid w:val="004931FC"/>
    <w:rsid w:val="00493217"/>
    <w:rsid w:val="00493297"/>
    <w:rsid w:val="004933A8"/>
    <w:rsid w:val="0049358D"/>
    <w:rsid w:val="0049372B"/>
    <w:rsid w:val="004937E8"/>
    <w:rsid w:val="004938F0"/>
    <w:rsid w:val="00493F5D"/>
    <w:rsid w:val="0049400A"/>
    <w:rsid w:val="00494143"/>
    <w:rsid w:val="004942F7"/>
    <w:rsid w:val="00494315"/>
    <w:rsid w:val="0049449C"/>
    <w:rsid w:val="0049481E"/>
    <w:rsid w:val="00494A74"/>
    <w:rsid w:val="00494CF1"/>
    <w:rsid w:val="00494E52"/>
    <w:rsid w:val="0049502C"/>
    <w:rsid w:val="0049511D"/>
    <w:rsid w:val="00495157"/>
    <w:rsid w:val="00495163"/>
    <w:rsid w:val="004951FA"/>
    <w:rsid w:val="0049521B"/>
    <w:rsid w:val="00495376"/>
    <w:rsid w:val="00495646"/>
    <w:rsid w:val="00495704"/>
    <w:rsid w:val="00495719"/>
    <w:rsid w:val="00495773"/>
    <w:rsid w:val="00495964"/>
    <w:rsid w:val="00495A2F"/>
    <w:rsid w:val="00495B15"/>
    <w:rsid w:val="00495B57"/>
    <w:rsid w:val="00495EA1"/>
    <w:rsid w:val="00496022"/>
    <w:rsid w:val="00496087"/>
    <w:rsid w:val="00496182"/>
    <w:rsid w:val="004962BC"/>
    <w:rsid w:val="004964CE"/>
    <w:rsid w:val="004966C7"/>
    <w:rsid w:val="00496928"/>
    <w:rsid w:val="00496B2B"/>
    <w:rsid w:val="00496D01"/>
    <w:rsid w:val="00496ED5"/>
    <w:rsid w:val="00497064"/>
    <w:rsid w:val="0049727C"/>
    <w:rsid w:val="00497326"/>
    <w:rsid w:val="004975AB"/>
    <w:rsid w:val="004975DC"/>
    <w:rsid w:val="004977E1"/>
    <w:rsid w:val="00497817"/>
    <w:rsid w:val="004978F3"/>
    <w:rsid w:val="00497AA5"/>
    <w:rsid w:val="00497B45"/>
    <w:rsid w:val="00497C35"/>
    <w:rsid w:val="004A0223"/>
    <w:rsid w:val="004A0242"/>
    <w:rsid w:val="004A0246"/>
    <w:rsid w:val="004A0554"/>
    <w:rsid w:val="004A0802"/>
    <w:rsid w:val="004A08BF"/>
    <w:rsid w:val="004A0AF1"/>
    <w:rsid w:val="004A0C07"/>
    <w:rsid w:val="004A0E01"/>
    <w:rsid w:val="004A0E2C"/>
    <w:rsid w:val="004A0E64"/>
    <w:rsid w:val="004A111A"/>
    <w:rsid w:val="004A1289"/>
    <w:rsid w:val="004A13C8"/>
    <w:rsid w:val="004A152F"/>
    <w:rsid w:val="004A1A65"/>
    <w:rsid w:val="004A1B7E"/>
    <w:rsid w:val="004A1BE4"/>
    <w:rsid w:val="004A1CE9"/>
    <w:rsid w:val="004A1E76"/>
    <w:rsid w:val="004A1E79"/>
    <w:rsid w:val="004A20A6"/>
    <w:rsid w:val="004A2164"/>
    <w:rsid w:val="004A25AD"/>
    <w:rsid w:val="004A2A81"/>
    <w:rsid w:val="004A2B8B"/>
    <w:rsid w:val="004A2BB4"/>
    <w:rsid w:val="004A2E46"/>
    <w:rsid w:val="004A30A1"/>
    <w:rsid w:val="004A3186"/>
    <w:rsid w:val="004A31A9"/>
    <w:rsid w:val="004A343E"/>
    <w:rsid w:val="004A3592"/>
    <w:rsid w:val="004A35F6"/>
    <w:rsid w:val="004A3695"/>
    <w:rsid w:val="004A372A"/>
    <w:rsid w:val="004A37FC"/>
    <w:rsid w:val="004A39CA"/>
    <w:rsid w:val="004A3A81"/>
    <w:rsid w:val="004A3AA0"/>
    <w:rsid w:val="004A3D87"/>
    <w:rsid w:val="004A3D96"/>
    <w:rsid w:val="004A3E87"/>
    <w:rsid w:val="004A40A0"/>
    <w:rsid w:val="004A44A3"/>
    <w:rsid w:val="004A45F9"/>
    <w:rsid w:val="004A49B5"/>
    <w:rsid w:val="004A4A92"/>
    <w:rsid w:val="004A4BE7"/>
    <w:rsid w:val="004A4C1A"/>
    <w:rsid w:val="004A4E99"/>
    <w:rsid w:val="004A529F"/>
    <w:rsid w:val="004A5338"/>
    <w:rsid w:val="004A5469"/>
    <w:rsid w:val="004A550D"/>
    <w:rsid w:val="004A5520"/>
    <w:rsid w:val="004A5849"/>
    <w:rsid w:val="004A5B4B"/>
    <w:rsid w:val="004A5D58"/>
    <w:rsid w:val="004A5DE9"/>
    <w:rsid w:val="004A5F43"/>
    <w:rsid w:val="004A5F64"/>
    <w:rsid w:val="004A6180"/>
    <w:rsid w:val="004A6228"/>
    <w:rsid w:val="004A6405"/>
    <w:rsid w:val="004A6978"/>
    <w:rsid w:val="004A6A18"/>
    <w:rsid w:val="004A6A4F"/>
    <w:rsid w:val="004A6BEA"/>
    <w:rsid w:val="004A6F4E"/>
    <w:rsid w:val="004A7316"/>
    <w:rsid w:val="004A74E1"/>
    <w:rsid w:val="004A7526"/>
    <w:rsid w:val="004A76FC"/>
    <w:rsid w:val="004A77A7"/>
    <w:rsid w:val="004A781D"/>
    <w:rsid w:val="004B00B8"/>
    <w:rsid w:val="004B057E"/>
    <w:rsid w:val="004B08EF"/>
    <w:rsid w:val="004B0A22"/>
    <w:rsid w:val="004B0CA3"/>
    <w:rsid w:val="004B105E"/>
    <w:rsid w:val="004B1304"/>
    <w:rsid w:val="004B1392"/>
    <w:rsid w:val="004B1527"/>
    <w:rsid w:val="004B1619"/>
    <w:rsid w:val="004B172E"/>
    <w:rsid w:val="004B1776"/>
    <w:rsid w:val="004B1825"/>
    <w:rsid w:val="004B187F"/>
    <w:rsid w:val="004B1885"/>
    <w:rsid w:val="004B1B0F"/>
    <w:rsid w:val="004B1C7F"/>
    <w:rsid w:val="004B1CCF"/>
    <w:rsid w:val="004B22AC"/>
    <w:rsid w:val="004B2320"/>
    <w:rsid w:val="004B2403"/>
    <w:rsid w:val="004B244F"/>
    <w:rsid w:val="004B2640"/>
    <w:rsid w:val="004B29A5"/>
    <w:rsid w:val="004B2A9F"/>
    <w:rsid w:val="004B2C3C"/>
    <w:rsid w:val="004B2CA8"/>
    <w:rsid w:val="004B2E79"/>
    <w:rsid w:val="004B3393"/>
    <w:rsid w:val="004B34FD"/>
    <w:rsid w:val="004B367F"/>
    <w:rsid w:val="004B3716"/>
    <w:rsid w:val="004B393A"/>
    <w:rsid w:val="004B3956"/>
    <w:rsid w:val="004B39F2"/>
    <w:rsid w:val="004B3C77"/>
    <w:rsid w:val="004B3C7C"/>
    <w:rsid w:val="004B4033"/>
    <w:rsid w:val="004B42F0"/>
    <w:rsid w:val="004B4312"/>
    <w:rsid w:val="004B4433"/>
    <w:rsid w:val="004B4A9B"/>
    <w:rsid w:val="004B4B82"/>
    <w:rsid w:val="004B4BEC"/>
    <w:rsid w:val="004B508B"/>
    <w:rsid w:val="004B512F"/>
    <w:rsid w:val="004B5152"/>
    <w:rsid w:val="004B53C8"/>
    <w:rsid w:val="004B574F"/>
    <w:rsid w:val="004B5804"/>
    <w:rsid w:val="004B596D"/>
    <w:rsid w:val="004B5E7B"/>
    <w:rsid w:val="004B5EF6"/>
    <w:rsid w:val="004B5F3F"/>
    <w:rsid w:val="004B64D2"/>
    <w:rsid w:val="004B6688"/>
    <w:rsid w:val="004B693B"/>
    <w:rsid w:val="004B6E68"/>
    <w:rsid w:val="004B6EC9"/>
    <w:rsid w:val="004B708C"/>
    <w:rsid w:val="004B71B6"/>
    <w:rsid w:val="004B71F7"/>
    <w:rsid w:val="004B76B2"/>
    <w:rsid w:val="004B79AF"/>
    <w:rsid w:val="004B7A01"/>
    <w:rsid w:val="004B7BEC"/>
    <w:rsid w:val="004B7DA8"/>
    <w:rsid w:val="004B7FA2"/>
    <w:rsid w:val="004C0076"/>
    <w:rsid w:val="004C0124"/>
    <w:rsid w:val="004C01A2"/>
    <w:rsid w:val="004C023C"/>
    <w:rsid w:val="004C0284"/>
    <w:rsid w:val="004C0291"/>
    <w:rsid w:val="004C05AD"/>
    <w:rsid w:val="004C094A"/>
    <w:rsid w:val="004C0AFC"/>
    <w:rsid w:val="004C0C55"/>
    <w:rsid w:val="004C10E4"/>
    <w:rsid w:val="004C122A"/>
    <w:rsid w:val="004C12DC"/>
    <w:rsid w:val="004C14AD"/>
    <w:rsid w:val="004C16E5"/>
    <w:rsid w:val="004C17A3"/>
    <w:rsid w:val="004C1858"/>
    <w:rsid w:val="004C18CF"/>
    <w:rsid w:val="004C2833"/>
    <w:rsid w:val="004C2A19"/>
    <w:rsid w:val="004C2BA4"/>
    <w:rsid w:val="004C32F9"/>
    <w:rsid w:val="004C33B4"/>
    <w:rsid w:val="004C3647"/>
    <w:rsid w:val="004C37C9"/>
    <w:rsid w:val="004C393C"/>
    <w:rsid w:val="004C39F8"/>
    <w:rsid w:val="004C3B48"/>
    <w:rsid w:val="004C44FF"/>
    <w:rsid w:val="004C4663"/>
    <w:rsid w:val="004C4707"/>
    <w:rsid w:val="004C48B9"/>
    <w:rsid w:val="004C4A8D"/>
    <w:rsid w:val="004C4D46"/>
    <w:rsid w:val="004C4F87"/>
    <w:rsid w:val="004C4FBC"/>
    <w:rsid w:val="004C512E"/>
    <w:rsid w:val="004C555E"/>
    <w:rsid w:val="004C55F6"/>
    <w:rsid w:val="004C56B5"/>
    <w:rsid w:val="004C5804"/>
    <w:rsid w:val="004C5ABB"/>
    <w:rsid w:val="004C5B59"/>
    <w:rsid w:val="004C5B88"/>
    <w:rsid w:val="004C5D90"/>
    <w:rsid w:val="004C5E14"/>
    <w:rsid w:val="004C6291"/>
    <w:rsid w:val="004C638C"/>
    <w:rsid w:val="004C68E7"/>
    <w:rsid w:val="004C6A6D"/>
    <w:rsid w:val="004C6A85"/>
    <w:rsid w:val="004C6B14"/>
    <w:rsid w:val="004C6C65"/>
    <w:rsid w:val="004C6E55"/>
    <w:rsid w:val="004C6F0E"/>
    <w:rsid w:val="004C707C"/>
    <w:rsid w:val="004C7176"/>
    <w:rsid w:val="004C718A"/>
    <w:rsid w:val="004C7264"/>
    <w:rsid w:val="004C73FB"/>
    <w:rsid w:val="004C7425"/>
    <w:rsid w:val="004C742D"/>
    <w:rsid w:val="004C74E0"/>
    <w:rsid w:val="004C780E"/>
    <w:rsid w:val="004D052B"/>
    <w:rsid w:val="004D05BB"/>
    <w:rsid w:val="004D064E"/>
    <w:rsid w:val="004D0D22"/>
    <w:rsid w:val="004D0E2E"/>
    <w:rsid w:val="004D0E36"/>
    <w:rsid w:val="004D0E51"/>
    <w:rsid w:val="004D0F95"/>
    <w:rsid w:val="004D103D"/>
    <w:rsid w:val="004D130A"/>
    <w:rsid w:val="004D1991"/>
    <w:rsid w:val="004D1A02"/>
    <w:rsid w:val="004D1AA4"/>
    <w:rsid w:val="004D1B04"/>
    <w:rsid w:val="004D203A"/>
    <w:rsid w:val="004D2289"/>
    <w:rsid w:val="004D2326"/>
    <w:rsid w:val="004D233A"/>
    <w:rsid w:val="004D238C"/>
    <w:rsid w:val="004D2A21"/>
    <w:rsid w:val="004D2AF6"/>
    <w:rsid w:val="004D2BE5"/>
    <w:rsid w:val="004D2E27"/>
    <w:rsid w:val="004D2E84"/>
    <w:rsid w:val="004D2F67"/>
    <w:rsid w:val="004D2FE3"/>
    <w:rsid w:val="004D301B"/>
    <w:rsid w:val="004D315A"/>
    <w:rsid w:val="004D3316"/>
    <w:rsid w:val="004D339B"/>
    <w:rsid w:val="004D35F6"/>
    <w:rsid w:val="004D35FA"/>
    <w:rsid w:val="004D3623"/>
    <w:rsid w:val="004D3802"/>
    <w:rsid w:val="004D3972"/>
    <w:rsid w:val="004D3AB8"/>
    <w:rsid w:val="004D3E02"/>
    <w:rsid w:val="004D3E64"/>
    <w:rsid w:val="004D3EBC"/>
    <w:rsid w:val="004D4091"/>
    <w:rsid w:val="004D4356"/>
    <w:rsid w:val="004D4358"/>
    <w:rsid w:val="004D435B"/>
    <w:rsid w:val="004D44E3"/>
    <w:rsid w:val="004D486E"/>
    <w:rsid w:val="004D4AF9"/>
    <w:rsid w:val="004D4B86"/>
    <w:rsid w:val="004D4C3A"/>
    <w:rsid w:val="004D4C5C"/>
    <w:rsid w:val="004D5268"/>
    <w:rsid w:val="004D5411"/>
    <w:rsid w:val="004D56D5"/>
    <w:rsid w:val="004D5AB7"/>
    <w:rsid w:val="004D5B3F"/>
    <w:rsid w:val="004D611D"/>
    <w:rsid w:val="004D632A"/>
    <w:rsid w:val="004D6413"/>
    <w:rsid w:val="004D64DE"/>
    <w:rsid w:val="004D6709"/>
    <w:rsid w:val="004D6733"/>
    <w:rsid w:val="004D6B92"/>
    <w:rsid w:val="004D6F89"/>
    <w:rsid w:val="004D6FEF"/>
    <w:rsid w:val="004D72D4"/>
    <w:rsid w:val="004D74AE"/>
    <w:rsid w:val="004D7589"/>
    <w:rsid w:val="004D7964"/>
    <w:rsid w:val="004D7A32"/>
    <w:rsid w:val="004D7B2E"/>
    <w:rsid w:val="004D7BBC"/>
    <w:rsid w:val="004D7BCE"/>
    <w:rsid w:val="004E036D"/>
    <w:rsid w:val="004E049C"/>
    <w:rsid w:val="004E050A"/>
    <w:rsid w:val="004E09D1"/>
    <w:rsid w:val="004E09DF"/>
    <w:rsid w:val="004E0B45"/>
    <w:rsid w:val="004E0DDB"/>
    <w:rsid w:val="004E1137"/>
    <w:rsid w:val="004E13E5"/>
    <w:rsid w:val="004E1649"/>
    <w:rsid w:val="004E1738"/>
    <w:rsid w:val="004E1839"/>
    <w:rsid w:val="004E190A"/>
    <w:rsid w:val="004E195C"/>
    <w:rsid w:val="004E1972"/>
    <w:rsid w:val="004E21DA"/>
    <w:rsid w:val="004E222D"/>
    <w:rsid w:val="004E22CD"/>
    <w:rsid w:val="004E2300"/>
    <w:rsid w:val="004E2899"/>
    <w:rsid w:val="004E2F8E"/>
    <w:rsid w:val="004E3127"/>
    <w:rsid w:val="004E3155"/>
    <w:rsid w:val="004E32F9"/>
    <w:rsid w:val="004E3748"/>
    <w:rsid w:val="004E37E1"/>
    <w:rsid w:val="004E3912"/>
    <w:rsid w:val="004E3A65"/>
    <w:rsid w:val="004E3CEA"/>
    <w:rsid w:val="004E44A6"/>
    <w:rsid w:val="004E44E3"/>
    <w:rsid w:val="004E45F3"/>
    <w:rsid w:val="004E4732"/>
    <w:rsid w:val="004E488E"/>
    <w:rsid w:val="004E492C"/>
    <w:rsid w:val="004E4A1C"/>
    <w:rsid w:val="004E4D91"/>
    <w:rsid w:val="004E4FAB"/>
    <w:rsid w:val="004E527C"/>
    <w:rsid w:val="004E5972"/>
    <w:rsid w:val="004E59E4"/>
    <w:rsid w:val="004E5B66"/>
    <w:rsid w:val="004E5BD4"/>
    <w:rsid w:val="004E5CEA"/>
    <w:rsid w:val="004E5DD6"/>
    <w:rsid w:val="004E5DFC"/>
    <w:rsid w:val="004E60CB"/>
    <w:rsid w:val="004E6179"/>
    <w:rsid w:val="004E61D2"/>
    <w:rsid w:val="004E6218"/>
    <w:rsid w:val="004E62E4"/>
    <w:rsid w:val="004E67A3"/>
    <w:rsid w:val="004E6B76"/>
    <w:rsid w:val="004E6D63"/>
    <w:rsid w:val="004E7006"/>
    <w:rsid w:val="004E7134"/>
    <w:rsid w:val="004E7279"/>
    <w:rsid w:val="004E72E0"/>
    <w:rsid w:val="004E7637"/>
    <w:rsid w:val="004E78AB"/>
    <w:rsid w:val="004E7A00"/>
    <w:rsid w:val="004E7DEA"/>
    <w:rsid w:val="004E7EAB"/>
    <w:rsid w:val="004F0004"/>
    <w:rsid w:val="004F002D"/>
    <w:rsid w:val="004F017E"/>
    <w:rsid w:val="004F020D"/>
    <w:rsid w:val="004F02C6"/>
    <w:rsid w:val="004F03A4"/>
    <w:rsid w:val="004F0443"/>
    <w:rsid w:val="004F046D"/>
    <w:rsid w:val="004F04E6"/>
    <w:rsid w:val="004F0567"/>
    <w:rsid w:val="004F0637"/>
    <w:rsid w:val="004F069E"/>
    <w:rsid w:val="004F0773"/>
    <w:rsid w:val="004F086C"/>
    <w:rsid w:val="004F08F5"/>
    <w:rsid w:val="004F0A05"/>
    <w:rsid w:val="004F0F27"/>
    <w:rsid w:val="004F0F38"/>
    <w:rsid w:val="004F10B5"/>
    <w:rsid w:val="004F11A0"/>
    <w:rsid w:val="004F161A"/>
    <w:rsid w:val="004F16BA"/>
    <w:rsid w:val="004F177C"/>
    <w:rsid w:val="004F178C"/>
    <w:rsid w:val="004F17E1"/>
    <w:rsid w:val="004F18C9"/>
    <w:rsid w:val="004F1920"/>
    <w:rsid w:val="004F1A09"/>
    <w:rsid w:val="004F1A9F"/>
    <w:rsid w:val="004F1B1F"/>
    <w:rsid w:val="004F2012"/>
    <w:rsid w:val="004F245B"/>
    <w:rsid w:val="004F24DC"/>
    <w:rsid w:val="004F267E"/>
    <w:rsid w:val="004F2975"/>
    <w:rsid w:val="004F2A75"/>
    <w:rsid w:val="004F2AC3"/>
    <w:rsid w:val="004F2DC1"/>
    <w:rsid w:val="004F314A"/>
    <w:rsid w:val="004F32A3"/>
    <w:rsid w:val="004F3764"/>
    <w:rsid w:val="004F3A33"/>
    <w:rsid w:val="004F3A65"/>
    <w:rsid w:val="004F3B81"/>
    <w:rsid w:val="004F3F58"/>
    <w:rsid w:val="004F4323"/>
    <w:rsid w:val="004F4593"/>
    <w:rsid w:val="004F4649"/>
    <w:rsid w:val="004F464B"/>
    <w:rsid w:val="004F4775"/>
    <w:rsid w:val="004F4908"/>
    <w:rsid w:val="004F492C"/>
    <w:rsid w:val="004F4A1A"/>
    <w:rsid w:val="004F4B93"/>
    <w:rsid w:val="004F4E9C"/>
    <w:rsid w:val="004F5083"/>
    <w:rsid w:val="004F53E6"/>
    <w:rsid w:val="004F5441"/>
    <w:rsid w:val="004F5595"/>
    <w:rsid w:val="004F570F"/>
    <w:rsid w:val="004F5B01"/>
    <w:rsid w:val="004F5B6A"/>
    <w:rsid w:val="004F5BDB"/>
    <w:rsid w:val="004F5C37"/>
    <w:rsid w:val="004F5DDE"/>
    <w:rsid w:val="004F5ED7"/>
    <w:rsid w:val="004F5F21"/>
    <w:rsid w:val="004F5F89"/>
    <w:rsid w:val="004F5FA1"/>
    <w:rsid w:val="004F6036"/>
    <w:rsid w:val="004F60A5"/>
    <w:rsid w:val="004F61A3"/>
    <w:rsid w:val="004F62E0"/>
    <w:rsid w:val="004F62EC"/>
    <w:rsid w:val="004F638E"/>
    <w:rsid w:val="004F6580"/>
    <w:rsid w:val="004F66E1"/>
    <w:rsid w:val="004F6750"/>
    <w:rsid w:val="004F67F7"/>
    <w:rsid w:val="004F695A"/>
    <w:rsid w:val="004F6CA3"/>
    <w:rsid w:val="004F6F75"/>
    <w:rsid w:val="004F70FC"/>
    <w:rsid w:val="004F72F5"/>
    <w:rsid w:val="004F750E"/>
    <w:rsid w:val="004F7593"/>
    <w:rsid w:val="004F7738"/>
    <w:rsid w:val="004F7794"/>
    <w:rsid w:val="004F79BB"/>
    <w:rsid w:val="004F7D9A"/>
    <w:rsid w:val="004F7DE6"/>
    <w:rsid w:val="004F7FA2"/>
    <w:rsid w:val="004F7FB8"/>
    <w:rsid w:val="004FAA81"/>
    <w:rsid w:val="0050023E"/>
    <w:rsid w:val="00500A13"/>
    <w:rsid w:val="00500AE6"/>
    <w:rsid w:val="00500DA3"/>
    <w:rsid w:val="00500F46"/>
    <w:rsid w:val="00500F63"/>
    <w:rsid w:val="005010E7"/>
    <w:rsid w:val="005010F8"/>
    <w:rsid w:val="00501250"/>
    <w:rsid w:val="00501492"/>
    <w:rsid w:val="005016D4"/>
    <w:rsid w:val="005019EA"/>
    <w:rsid w:val="00501A02"/>
    <w:rsid w:val="00501A60"/>
    <w:rsid w:val="00501D83"/>
    <w:rsid w:val="00501F81"/>
    <w:rsid w:val="00501FFA"/>
    <w:rsid w:val="005020FD"/>
    <w:rsid w:val="00502113"/>
    <w:rsid w:val="00502243"/>
    <w:rsid w:val="00502486"/>
    <w:rsid w:val="0050256D"/>
    <w:rsid w:val="00502598"/>
    <w:rsid w:val="00502944"/>
    <w:rsid w:val="00502A13"/>
    <w:rsid w:val="00502C9B"/>
    <w:rsid w:val="00502EDA"/>
    <w:rsid w:val="00502F39"/>
    <w:rsid w:val="00503059"/>
    <w:rsid w:val="005031F5"/>
    <w:rsid w:val="005031FE"/>
    <w:rsid w:val="00503CEE"/>
    <w:rsid w:val="00503EB7"/>
    <w:rsid w:val="00503F52"/>
    <w:rsid w:val="005042F4"/>
    <w:rsid w:val="005048C5"/>
    <w:rsid w:val="005048CE"/>
    <w:rsid w:val="00504C73"/>
    <w:rsid w:val="00504D7D"/>
    <w:rsid w:val="00504DD1"/>
    <w:rsid w:val="00504DE0"/>
    <w:rsid w:val="005050C2"/>
    <w:rsid w:val="00505142"/>
    <w:rsid w:val="0050548E"/>
    <w:rsid w:val="00505505"/>
    <w:rsid w:val="00505FA1"/>
    <w:rsid w:val="005061AF"/>
    <w:rsid w:val="00506252"/>
    <w:rsid w:val="005063BA"/>
    <w:rsid w:val="00506936"/>
    <w:rsid w:val="00506965"/>
    <w:rsid w:val="00506987"/>
    <w:rsid w:val="00506C76"/>
    <w:rsid w:val="00506EE7"/>
    <w:rsid w:val="00507148"/>
    <w:rsid w:val="00507202"/>
    <w:rsid w:val="005073E4"/>
    <w:rsid w:val="0050750C"/>
    <w:rsid w:val="00507526"/>
    <w:rsid w:val="00507741"/>
    <w:rsid w:val="00507837"/>
    <w:rsid w:val="00507942"/>
    <w:rsid w:val="00507D04"/>
    <w:rsid w:val="00507D4A"/>
    <w:rsid w:val="00507DE1"/>
    <w:rsid w:val="0050AD41"/>
    <w:rsid w:val="00510098"/>
    <w:rsid w:val="00510313"/>
    <w:rsid w:val="00510354"/>
    <w:rsid w:val="0051056A"/>
    <w:rsid w:val="00510598"/>
    <w:rsid w:val="005106AC"/>
    <w:rsid w:val="00510811"/>
    <w:rsid w:val="005108CA"/>
    <w:rsid w:val="00510C93"/>
    <w:rsid w:val="00510CBA"/>
    <w:rsid w:val="00510D9D"/>
    <w:rsid w:val="00510E8C"/>
    <w:rsid w:val="00511023"/>
    <w:rsid w:val="0051143E"/>
    <w:rsid w:val="005115C6"/>
    <w:rsid w:val="005117AC"/>
    <w:rsid w:val="00511B67"/>
    <w:rsid w:val="00511C3D"/>
    <w:rsid w:val="00511CD2"/>
    <w:rsid w:val="00511D87"/>
    <w:rsid w:val="00511DAC"/>
    <w:rsid w:val="00511DDE"/>
    <w:rsid w:val="00511ED8"/>
    <w:rsid w:val="00511F24"/>
    <w:rsid w:val="00512007"/>
    <w:rsid w:val="00512217"/>
    <w:rsid w:val="00512222"/>
    <w:rsid w:val="00512283"/>
    <w:rsid w:val="00512DAA"/>
    <w:rsid w:val="00512E73"/>
    <w:rsid w:val="00512F4E"/>
    <w:rsid w:val="00512FCA"/>
    <w:rsid w:val="00513027"/>
    <w:rsid w:val="005130E1"/>
    <w:rsid w:val="0051333B"/>
    <w:rsid w:val="00513840"/>
    <w:rsid w:val="00513A66"/>
    <w:rsid w:val="00513CF1"/>
    <w:rsid w:val="00513D44"/>
    <w:rsid w:val="00513F27"/>
    <w:rsid w:val="00514084"/>
    <w:rsid w:val="0051434F"/>
    <w:rsid w:val="005144B9"/>
    <w:rsid w:val="005146C0"/>
    <w:rsid w:val="005146CD"/>
    <w:rsid w:val="00514CC2"/>
    <w:rsid w:val="00514D87"/>
    <w:rsid w:val="00514E3E"/>
    <w:rsid w:val="00514ED6"/>
    <w:rsid w:val="00514FBA"/>
    <w:rsid w:val="005154F5"/>
    <w:rsid w:val="005157A7"/>
    <w:rsid w:val="00515BBB"/>
    <w:rsid w:val="00515D40"/>
    <w:rsid w:val="00515DB5"/>
    <w:rsid w:val="00515E80"/>
    <w:rsid w:val="005161AA"/>
    <w:rsid w:val="005162D9"/>
    <w:rsid w:val="00516815"/>
    <w:rsid w:val="00516970"/>
    <w:rsid w:val="00516A65"/>
    <w:rsid w:val="00516C9F"/>
    <w:rsid w:val="00516E72"/>
    <w:rsid w:val="00516FAD"/>
    <w:rsid w:val="005173AF"/>
    <w:rsid w:val="0051772C"/>
    <w:rsid w:val="005177FA"/>
    <w:rsid w:val="00517987"/>
    <w:rsid w:val="00517A9B"/>
    <w:rsid w:val="00517B12"/>
    <w:rsid w:val="00517B30"/>
    <w:rsid w:val="00517B35"/>
    <w:rsid w:val="00517BA1"/>
    <w:rsid w:val="00520149"/>
    <w:rsid w:val="00520486"/>
    <w:rsid w:val="00520728"/>
    <w:rsid w:val="0052094B"/>
    <w:rsid w:val="005209E7"/>
    <w:rsid w:val="00520C1D"/>
    <w:rsid w:val="00520C6E"/>
    <w:rsid w:val="00520C74"/>
    <w:rsid w:val="00520CD0"/>
    <w:rsid w:val="00520D78"/>
    <w:rsid w:val="00520DFA"/>
    <w:rsid w:val="00520E89"/>
    <w:rsid w:val="00521078"/>
    <w:rsid w:val="00521096"/>
    <w:rsid w:val="0052115C"/>
    <w:rsid w:val="0052127E"/>
    <w:rsid w:val="00521341"/>
    <w:rsid w:val="00521806"/>
    <w:rsid w:val="0052183E"/>
    <w:rsid w:val="00521A36"/>
    <w:rsid w:val="00521B7D"/>
    <w:rsid w:val="00521BBF"/>
    <w:rsid w:val="00521CFA"/>
    <w:rsid w:val="00521E4D"/>
    <w:rsid w:val="005221A4"/>
    <w:rsid w:val="00522229"/>
    <w:rsid w:val="00522328"/>
    <w:rsid w:val="0052254A"/>
    <w:rsid w:val="0052279D"/>
    <w:rsid w:val="005227C6"/>
    <w:rsid w:val="005229C3"/>
    <w:rsid w:val="005229D4"/>
    <w:rsid w:val="00522C6A"/>
    <w:rsid w:val="00522DC8"/>
    <w:rsid w:val="00523151"/>
    <w:rsid w:val="00523165"/>
    <w:rsid w:val="00523573"/>
    <w:rsid w:val="005235B7"/>
    <w:rsid w:val="005238AB"/>
    <w:rsid w:val="005239D4"/>
    <w:rsid w:val="00523C2E"/>
    <w:rsid w:val="00523C52"/>
    <w:rsid w:val="005241C7"/>
    <w:rsid w:val="005244B7"/>
    <w:rsid w:val="005246D4"/>
    <w:rsid w:val="005246D8"/>
    <w:rsid w:val="00524708"/>
    <w:rsid w:val="005249BE"/>
    <w:rsid w:val="00524ADE"/>
    <w:rsid w:val="00524B78"/>
    <w:rsid w:val="00524BF9"/>
    <w:rsid w:val="00524C46"/>
    <w:rsid w:val="00525296"/>
    <w:rsid w:val="00525784"/>
    <w:rsid w:val="005257CE"/>
    <w:rsid w:val="00525C7D"/>
    <w:rsid w:val="00525EA0"/>
    <w:rsid w:val="00525EE7"/>
    <w:rsid w:val="00525FDE"/>
    <w:rsid w:val="005265F6"/>
    <w:rsid w:val="00526665"/>
    <w:rsid w:val="0052667D"/>
    <w:rsid w:val="00526D7B"/>
    <w:rsid w:val="00526F98"/>
    <w:rsid w:val="00527364"/>
    <w:rsid w:val="005273BA"/>
    <w:rsid w:val="00527942"/>
    <w:rsid w:val="00527CCF"/>
    <w:rsid w:val="00527E33"/>
    <w:rsid w:val="0053003C"/>
    <w:rsid w:val="005301A0"/>
    <w:rsid w:val="00530200"/>
    <w:rsid w:val="00530245"/>
    <w:rsid w:val="00530318"/>
    <w:rsid w:val="00530565"/>
    <w:rsid w:val="00530600"/>
    <w:rsid w:val="00530890"/>
    <w:rsid w:val="005309FA"/>
    <w:rsid w:val="00530B74"/>
    <w:rsid w:val="00530BAB"/>
    <w:rsid w:val="00530C7B"/>
    <w:rsid w:val="00530E00"/>
    <w:rsid w:val="00530F58"/>
    <w:rsid w:val="005314E3"/>
    <w:rsid w:val="005315B0"/>
    <w:rsid w:val="00531638"/>
    <w:rsid w:val="005318B9"/>
    <w:rsid w:val="0053197D"/>
    <w:rsid w:val="005319BD"/>
    <w:rsid w:val="005319F1"/>
    <w:rsid w:val="00531C78"/>
    <w:rsid w:val="00531FDE"/>
    <w:rsid w:val="00532207"/>
    <w:rsid w:val="005323CB"/>
    <w:rsid w:val="0053244D"/>
    <w:rsid w:val="00532481"/>
    <w:rsid w:val="00532483"/>
    <w:rsid w:val="00532517"/>
    <w:rsid w:val="00532BC1"/>
    <w:rsid w:val="00532DCC"/>
    <w:rsid w:val="00532F9F"/>
    <w:rsid w:val="00533393"/>
    <w:rsid w:val="00533623"/>
    <w:rsid w:val="0053373A"/>
    <w:rsid w:val="005339F2"/>
    <w:rsid w:val="00533A3E"/>
    <w:rsid w:val="00533BD2"/>
    <w:rsid w:val="00533F34"/>
    <w:rsid w:val="00534050"/>
    <w:rsid w:val="00534195"/>
    <w:rsid w:val="005341AE"/>
    <w:rsid w:val="00534225"/>
    <w:rsid w:val="0053436D"/>
    <w:rsid w:val="005345BB"/>
    <w:rsid w:val="00534616"/>
    <w:rsid w:val="00534654"/>
    <w:rsid w:val="00534ABB"/>
    <w:rsid w:val="00534BE3"/>
    <w:rsid w:val="00534EE6"/>
    <w:rsid w:val="00535042"/>
    <w:rsid w:val="005353DC"/>
    <w:rsid w:val="005354BB"/>
    <w:rsid w:val="00535983"/>
    <w:rsid w:val="005359E5"/>
    <w:rsid w:val="00535A06"/>
    <w:rsid w:val="00535B01"/>
    <w:rsid w:val="00535C76"/>
    <w:rsid w:val="00535E74"/>
    <w:rsid w:val="00535E8A"/>
    <w:rsid w:val="005360B8"/>
    <w:rsid w:val="00536149"/>
    <w:rsid w:val="00536154"/>
    <w:rsid w:val="005361C6"/>
    <w:rsid w:val="005362DC"/>
    <w:rsid w:val="00536377"/>
    <w:rsid w:val="0053643A"/>
    <w:rsid w:val="0053659E"/>
    <w:rsid w:val="00536CD3"/>
    <w:rsid w:val="00536CE3"/>
    <w:rsid w:val="00536EC7"/>
    <w:rsid w:val="00537143"/>
    <w:rsid w:val="00537182"/>
    <w:rsid w:val="0053756D"/>
    <w:rsid w:val="00537622"/>
    <w:rsid w:val="005377CE"/>
    <w:rsid w:val="005378E5"/>
    <w:rsid w:val="00537967"/>
    <w:rsid w:val="00537A3D"/>
    <w:rsid w:val="00537D4A"/>
    <w:rsid w:val="00537D84"/>
    <w:rsid w:val="00537ED6"/>
    <w:rsid w:val="0054014D"/>
    <w:rsid w:val="005404C8"/>
    <w:rsid w:val="0054064E"/>
    <w:rsid w:val="00540892"/>
    <w:rsid w:val="005411E4"/>
    <w:rsid w:val="0054126E"/>
    <w:rsid w:val="00541407"/>
    <w:rsid w:val="0054141D"/>
    <w:rsid w:val="005414B4"/>
    <w:rsid w:val="005415B4"/>
    <w:rsid w:val="005415D5"/>
    <w:rsid w:val="0054174D"/>
    <w:rsid w:val="00541814"/>
    <w:rsid w:val="005419D7"/>
    <w:rsid w:val="00541A18"/>
    <w:rsid w:val="00541AF4"/>
    <w:rsid w:val="00541B0E"/>
    <w:rsid w:val="00541B32"/>
    <w:rsid w:val="00541C3B"/>
    <w:rsid w:val="00541D49"/>
    <w:rsid w:val="00541E04"/>
    <w:rsid w:val="00541E0D"/>
    <w:rsid w:val="0054222B"/>
    <w:rsid w:val="00542557"/>
    <w:rsid w:val="0054270C"/>
    <w:rsid w:val="00542714"/>
    <w:rsid w:val="00542C01"/>
    <w:rsid w:val="00542D02"/>
    <w:rsid w:val="00542DF1"/>
    <w:rsid w:val="0054317C"/>
    <w:rsid w:val="00543182"/>
    <w:rsid w:val="0054371A"/>
    <w:rsid w:val="00543C7F"/>
    <w:rsid w:val="00543D8B"/>
    <w:rsid w:val="00544394"/>
    <w:rsid w:val="00544857"/>
    <w:rsid w:val="00544A33"/>
    <w:rsid w:val="00544C3E"/>
    <w:rsid w:val="00544DAF"/>
    <w:rsid w:val="00544E61"/>
    <w:rsid w:val="00544EC9"/>
    <w:rsid w:val="00544F1F"/>
    <w:rsid w:val="00544F60"/>
    <w:rsid w:val="00545171"/>
    <w:rsid w:val="00545174"/>
    <w:rsid w:val="005451A5"/>
    <w:rsid w:val="00545373"/>
    <w:rsid w:val="00545478"/>
    <w:rsid w:val="0054581D"/>
    <w:rsid w:val="005458E7"/>
    <w:rsid w:val="0054597A"/>
    <w:rsid w:val="00545A51"/>
    <w:rsid w:val="00545AD8"/>
    <w:rsid w:val="00545D64"/>
    <w:rsid w:val="00545E20"/>
    <w:rsid w:val="00545F9B"/>
    <w:rsid w:val="00546279"/>
    <w:rsid w:val="005462C4"/>
    <w:rsid w:val="00546574"/>
    <w:rsid w:val="00546723"/>
    <w:rsid w:val="005468DF"/>
    <w:rsid w:val="00546E50"/>
    <w:rsid w:val="00546F7D"/>
    <w:rsid w:val="00546FEA"/>
    <w:rsid w:val="0054701E"/>
    <w:rsid w:val="0054713B"/>
    <w:rsid w:val="0054767B"/>
    <w:rsid w:val="005476A0"/>
    <w:rsid w:val="005477C5"/>
    <w:rsid w:val="005478E1"/>
    <w:rsid w:val="00547A39"/>
    <w:rsid w:val="00547BC9"/>
    <w:rsid w:val="00547DBB"/>
    <w:rsid w:val="00550537"/>
    <w:rsid w:val="0055068A"/>
    <w:rsid w:val="00550A35"/>
    <w:rsid w:val="00551088"/>
    <w:rsid w:val="0055108A"/>
    <w:rsid w:val="00551199"/>
    <w:rsid w:val="00551452"/>
    <w:rsid w:val="00551C14"/>
    <w:rsid w:val="00552004"/>
    <w:rsid w:val="005526AC"/>
    <w:rsid w:val="00552778"/>
    <w:rsid w:val="00552BD9"/>
    <w:rsid w:val="00552FF5"/>
    <w:rsid w:val="0055302E"/>
    <w:rsid w:val="005535C4"/>
    <w:rsid w:val="005535D4"/>
    <w:rsid w:val="00553627"/>
    <w:rsid w:val="00553788"/>
    <w:rsid w:val="00553DFC"/>
    <w:rsid w:val="0055411F"/>
    <w:rsid w:val="00554321"/>
    <w:rsid w:val="005545CC"/>
    <w:rsid w:val="00554842"/>
    <w:rsid w:val="00554EF8"/>
    <w:rsid w:val="00554F93"/>
    <w:rsid w:val="005554D3"/>
    <w:rsid w:val="00555641"/>
    <w:rsid w:val="005557D8"/>
    <w:rsid w:val="00555CD0"/>
    <w:rsid w:val="00556026"/>
    <w:rsid w:val="005561E7"/>
    <w:rsid w:val="00556298"/>
    <w:rsid w:val="0055635C"/>
    <w:rsid w:val="0055642F"/>
    <w:rsid w:val="005564F1"/>
    <w:rsid w:val="00556698"/>
    <w:rsid w:val="00556742"/>
    <w:rsid w:val="00556831"/>
    <w:rsid w:val="005568C0"/>
    <w:rsid w:val="00556B67"/>
    <w:rsid w:val="00556D36"/>
    <w:rsid w:val="00556E39"/>
    <w:rsid w:val="005571E8"/>
    <w:rsid w:val="00557778"/>
    <w:rsid w:val="005577D7"/>
    <w:rsid w:val="00557AF2"/>
    <w:rsid w:val="00557B41"/>
    <w:rsid w:val="00557B8D"/>
    <w:rsid w:val="00557FCB"/>
    <w:rsid w:val="0056022D"/>
    <w:rsid w:val="005607EF"/>
    <w:rsid w:val="00560982"/>
    <w:rsid w:val="00560B8F"/>
    <w:rsid w:val="00560BDC"/>
    <w:rsid w:val="00560E16"/>
    <w:rsid w:val="00560E9E"/>
    <w:rsid w:val="00561127"/>
    <w:rsid w:val="00561758"/>
    <w:rsid w:val="00561D52"/>
    <w:rsid w:val="00562611"/>
    <w:rsid w:val="00562828"/>
    <w:rsid w:val="00562DB8"/>
    <w:rsid w:val="00562E56"/>
    <w:rsid w:val="00562FBA"/>
    <w:rsid w:val="00563351"/>
    <w:rsid w:val="00563384"/>
    <w:rsid w:val="00563385"/>
    <w:rsid w:val="005633EB"/>
    <w:rsid w:val="00563668"/>
    <w:rsid w:val="0056386F"/>
    <w:rsid w:val="0056398F"/>
    <w:rsid w:val="00563A3B"/>
    <w:rsid w:val="00563AD6"/>
    <w:rsid w:val="00563D6E"/>
    <w:rsid w:val="00563DF8"/>
    <w:rsid w:val="00563F03"/>
    <w:rsid w:val="00564006"/>
    <w:rsid w:val="00564024"/>
    <w:rsid w:val="005642C9"/>
    <w:rsid w:val="00564742"/>
    <w:rsid w:val="00564AE3"/>
    <w:rsid w:val="00564BA6"/>
    <w:rsid w:val="00564F1D"/>
    <w:rsid w:val="00564F76"/>
    <w:rsid w:val="00565427"/>
    <w:rsid w:val="005658B8"/>
    <w:rsid w:val="00565D42"/>
    <w:rsid w:val="00565D56"/>
    <w:rsid w:val="00566198"/>
    <w:rsid w:val="005661FC"/>
    <w:rsid w:val="005662B9"/>
    <w:rsid w:val="0056650E"/>
    <w:rsid w:val="005665E3"/>
    <w:rsid w:val="00566931"/>
    <w:rsid w:val="00566938"/>
    <w:rsid w:val="00566A0B"/>
    <w:rsid w:val="005670D5"/>
    <w:rsid w:val="00567333"/>
    <w:rsid w:val="0056748B"/>
    <w:rsid w:val="00567579"/>
    <w:rsid w:val="005677A5"/>
    <w:rsid w:val="00567837"/>
    <w:rsid w:val="005679D4"/>
    <w:rsid w:val="00567CCA"/>
    <w:rsid w:val="00567D2F"/>
    <w:rsid w:val="00567D30"/>
    <w:rsid w:val="00567F61"/>
    <w:rsid w:val="00570093"/>
    <w:rsid w:val="0057014D"/>
    <w:rsid w:val="00570286"/>
    <w:rsid w:val="005702E4"/>
    <w:rsid w:val="005703FB"/>
    <w:rsid w:val="005705DA"/>
    <w:rsid w:val="005707D1"/>
    <w:rsid w:val="00570AFD"/>
    <w:rsid w:val="00570B49"/>
    <w:rsid w:val="00570B7A"/>
    <w:rsid w:val="00570BC3"/>
    <w:rsid w:val="00570D9F"/>
    <w:rsid w:val="00570FF2"/>
    <w:rsid w:val="005710E2"/>
    <w:rsid w:val="00571101"/>
    <w:rsid w:val="0057117B"/>
    <w:rsid w:val="0057125A"/>
    <w:rsid w:val="00571364"/>
    <w:rsid w:val="005713CE"/>
    <w:rsid w:val="005713F0"/>
    <w:rsid w:val="00571A8E"/>
    <w:rsid w:val="00571B2D"/>
    <w:rsid w:val="00571B4F"/>
    <w:rsid w:val="00571CD4"/>
    <w:rsid w:val="00571E01"/>
    <w:rsid w:val="0057201E"/>
    <w:rsid w:val="00572218"/>
    <w:rsid w:val="00572303"/>
    <w:rsid w:val="0057235B"/>
    <w:rsid w:val="005723D2"/>
    <w:rsid w:val="00572580"/>
    <w:rsid w:val="00572826"/>
    <w:rsid w:val="00572CF9"/>
    <w:rsid w:val="00572FB5"/>
    <w:rsid w:val="00572FC2"/>
    <w:rsid w:val="005735CA"/>
    <w:rsid w:val="00573B28"/>
    <w:rsid w:val="00573B82"/>
    <w:rsid w:val="00574285"/>
    <w:rsid w:val="00574877"/>
    <w:rsid w:val="005749BF"/>
    <w:rsid w:val="005749E7"/>
    <w:rsid w:val="005749F4"/>
    <w:rsid w:val="00574A8E"/>
    <w:rsid w:val="00574BAC"/>
    <w:rsid w:val="00574EF6"/>
    <w:rsid w:val="00575566"/>
    <w:rsid w:val="0057556F"/>
    <w:rsid w:val="00575747"/>
    <w:rsid w:val="0057596D"/>
    <w:rsid w:val="00575AE8"/>
    <w:rsid w:val="00575CDC"/>
    <w:rsid w:val="00575E76"/>
    <w:rsid w:val="00575E9C"/>
    <w:rsid w:val="00575F20"/>
    <w:rsid w:val="00575F76"/>
    <w:rsid w:val="005761FB"/>
    <w:rsid w:val="005762AC"/>
    <w:rsid w:val="0057630A"/>
    <w:rsid w:val="005766D2"/>
    <w:rsid w:val="005767BD"/>
    <w:rsid w:val="00576896"/>
    <w:rsid w:val="00576930"/>
    <w:rsid w:val="00576A03"/>
    <w:rsid w:val="00576B33"/>
    <w:rsid w:val="00576CA2"/>
    <w:rsid w:val="00576D34"/>
    <w:rsid w:val="00576F41"/>
    <w:rsid w:val="00577149"/>
    <w:rsid w:val="00577168"/>
    <w:rsid w:val="005771A2"/>
    <w:rsid w:val="00577468"/>
    <w:rsid w:val="005774FD"/>
    <w:rsid w:val="005778AC"/>
    <w:rsid w:val="00577912"/>
    <w:rsid w:val="00577BD9"/>
    <w:rsid w:val="00577CAA"/>
    <w:rsid w:val="00577FDC"/>
    <w:rsid w:val="0058047C"/>
    <w:rsid w:val="0058061F"/>
    <w:rsid w:val="00580DBA"/>
    <w:rsid w:val="00581086"/>
    <w:rsid w:val="0058124D"/>
    <w:rsid w:val="005812DE"/>
    <w:rsid w:val="00581A29"/>
    <w:rsid w:val="00581B81"/>
    <w:rsid w:val="005824DE"/>
    <w:rsid w:val="00582754"/>
    <w:rsid w:val="005829B6"/>
    <w:rsid w:val="00582AF9"/>
    <w:rsid w:val="00582BA5"/>
    <w:rsid w:val="00582EDE"/>
    <w:rsid w:val="00582EF5"/>
    <w:rsid w:val="00583222"/>
    <w:rsid w:val="005832F9"/>
    <w:rsid w:val="00583561"/>
    <w:rsid w:val="005839AA"/>
    <w:rsid w:val="00583B27"/>
    <w:rsid w:val="00583C36"/>
    <w:rsid w:val="00583C6A"/>
    <w:rsid w:val="00583D23"/>
    <w:rsid w:val="00583DC3"/>
    <w:rsid w:val="005841B4"/>
    <w:rsid w:val="0058485C"/>
    <w:rsid w:val="005849D8"/>
    <w:rsid w:val="00584AD3"/>
    <w:rsid w:val="00584B36"/>
    <w:rsid w:val="00584BF8"/>
    <w:rsid w:val="00584C33"/>
    <w:rsid w:val="00584CFF"/>
    <w:rsid w:val="00584D2B"/>
    <w:rsid w:val="00584DB6"/>
    <w:rsid w:val="00584F9A"/>
    <w:rsid w:val="00584FA6"/>
    <w:rsid w:val="0058522D"/>
    <w:rsid w:val="00585365"/>
    <w:rsid w:val="0058541D"/>
    <w:rsid w:val="0058559E"/>
    <w:rsid w:val="00585B99"/>
    <w:rsid w:val="00585E0C"/>
    <w:rsid w:val="00585F2E"/>
    <w:rsid w:val="0058609C"/>
    <w:rsid w:val="00586129"/>
    <w:rsid w:val="005864E3"/>
    <w:rsid w:val="005865A5"/>
    <w:rsid w:val="00586849"/>
    <w:rsid w:val="005868A1"/>
    <w:rsid w:val="00586A4E"/>
    <w:rsid w:val="00586AC8"/>
    <w:rsid w:val="00586D28"/>
    <w:rsid w:val="00586DE3"/>
    <w:rsid w:val="00586ECD"/>
    <w:rsid w:val="00587154"/>
    <w:rsid w:val="00587331"/>
    <w:rsid w:val="00587521"/>
    <w:rsid w:val="00587544"/>
    <w:rsid w:val="0058758B"/>
    <w:rsid w:val="0058763D"/>
    <w:rsid w:val="00587841"/>
    <w:rsid w:val="00587EF2"/>
    <w:rsid w:val="00587F2E"/>
    <w:rsid w:val="00587F7A"/>
    <w:rsid w:val="005900DC"/>
    <w:rsid w:val="0059063E"/>
    <w:rsid w:val="005909A9"/>
    <w:rsid w:val="00590AEF"/>
    <w:rsid w:val="00590B5C"/>
    <w:rsid w:val="00590C47"/>
    <w:rsid w:val="00590D65"/>
    <w:rsid w:val="00590DCD"/>
    <w:rsid w:val="005912D0"/>
    <w:rsid w:val="00591390"/>
    <w:rsid w:val="00591838"/>
    <w:rsid w:val="005919DD"/>
    <w:rsid w:val="00591A00"/>
    <w:rsid w:val="00591A21"/>
    <w:rsid w:val="00591D09"/>
    <w:rsid w:val="00591E6D"/>
    <w:rsid w:val="00592005"/>
    <w:rsid w:val="00592017"/>
    <w:rsid w:val="005921CD"/>
    <w:rsid w:val="005922E2"/>
    <w:rsid w:val="00592423"/>
    <w:rsid w:val="00592651"/>
    <w:rsid w:val="00592B0E"/>
    <w:rsid w:val="00592C0C"/>
    <w:rsid w:val="00592C12"/>
    <w:rsid w:val="00592C7B"/>
    <w:rsid w:val="00592D16"/>
    <w:rsid w:val="0059305A"/>
    <w:rsid w:val="00593065"/>
    <w:rsid w:val="00593260"/>
    <w:rsid w:val="005932D4"/>
    <w:rsid w:val="00593360"/>
    <w:rsid w:val="00593816"/>
    <w:rsid w:val="00593893"/>
    <w:rsid w:val="0059396C"/>
    <w:rsid w:val="00593B96"/>
    <w:rsid w:val="00593DCC"/>
    <w:rsid w:val="00593E08"/>
    <w:rsid w:val="00594261"/>
    <w:rsid w:val="0059446C"/>
    <w:rsid w:val="00594621"/>
    <w:rsid w:val="00594903"/>
    <w:rsid w:val="00594C17"/>
    <w:rsid w:val="00594C60"/>
    <w:rsid w:val="00594F2F"/>
    <w:rsid w:val="0059514C"/>
    <w:rsid w:val="0059515F"/>
    <w:rsid w:val="005951C3"/>
    <w:rsid w:val="005953AD"/>
    <w:rsid w:val="005953EA"/>
    <w:rsid w:val="005953F0"/>
    <w:rsid w:val="00595553"/>
    <w:rsid w:val="00595622"/>
    <w:rsid w:val="00595851"/>
    <w:rsid w:val="005958A6"/>
    <w:rsid w:val="00595D61"/>
    <w:rsid w:val="00595E9B"/>
    <w:rsid w:val="00595F95"/>
    <w:rsid w:val="0059608E"/>
    <w:rsid w:val="005960C0"/>
    <w:rsid w:val="00596626"/>
    <w:rsid w:val="00596679"/>
    <w:rsid w:val="00596BBF"/>
    <w:rsid w:val="00596D13"/>
    <w:rsid w:val="00596D41"/>
    <w:rsid w:val="00597021"/>
    <w:rsid w:val="005971D1"/>
    <w:rsid w:val="00597386"/>
    <w:rsid w:val="0059741E"/>
    <w:rsid w:val="00597498"/>
    <w:rsid w:val="005975F2"/>
    <w:rsid w:val="005978F1"/>
    <w:rsid w:val="00597993"/>
    <w:rsid w:val="00597C22"/>
    <w:rsid w:val="00597CC2"/>
    <w:rsid w:val="00597E6B"/>
    <w:rsid w:val="00597FED"/>
    <w:rsid w:val="005A00B8"/>
    <w:rsid w:val="005A026E"/>
    <w:rsid w:val="005A0541"/>
    <w:rsid w:val="005A08D4"/>
    <w:rsid w:val="005A0A64"/>
    <w:rsid w:val="005A0BCE"/>
    <w:rsid w:val="005A0C39"/>
    <w:rsid w:val="005A0C54"/>
    <w:rsid w:val="005A0C9A"/>
    <w:rsid w:val="005A0CC1"/>
    <w:rsid w:val="005A0ED0"/>
    <w:rsid w:val="005A0FA0"/>
    <w:rsid w:val="005A16C0"/>
    <w:rsid w:val="005A1849"/>
    <w:rsid w:val="005A1996"/>
    <w:rsid w:val="005A19BA"/>
    <w:rsid w:val="005A1B09"/>
    <w:rsid w:val="005A1B42"/>
    <w:rsid w:val="005A1BEC"/>
    <w:rsid w:val="005A1C1E"/>
    <w:rsid w:val="005A1CAB"/>
    <w:rsid w:val="005A1DBC"/>
    <w:rsid w:val="005A1E4C"/>
    <w:rsid w:val="005A1F98"/>
    <w:rsid w:val="005A23FF"/>
    <w:rsid w:val="005A2408"/>
    <w:rsid w:val="005A2421"/>
    <w:rsid w:val="005A2751"/>
    <w:rsid w:val="005A2758"/>
    <w:rsid w:val="005A27C4"/>
    <w:rsid w:val="005A2806"/>
    <w:rsid w:val="005A293D"/>
    <w:rsid w:val="005A2D45"/>
    <w:rsid w:val="005A2DF6"/>
    <w:rsid w:val="005A30B7"/>
    <w:rsid w:val="005A31F3"/>
    <w:rsid w:val="005A3363"/>
    <w:rsid w:val="005A34AE"/>
    <w:rsid w:val="005A357B"/>
    <w:rsid w:val="005A362C"/>
    <w:rsid w:val="005A3661"/>
    <w:rsid w:val="005A392F"/>
    <w:rsid w:val="005A39D3"/>
    <w:rsid w:val="005A3AD7"/>
    <w:rsid w:val="005A3ED9"/>
    <w:rsid w:val="005A3F46"/>
    <w:rsid w:val="005A3F55"/>
    <w:rsid w:val="005A416F"/>
    <w:rsid w:val="005A426B"/>
    <w:rsid w:val="005A45BC"/>
    <w:rsid w:val="005A4926"/>
    <w:rsid w:val="005A49A2"/>
    <w:rsid w:val="005A4B5D"/>
    <w:rsid w:val="005A50BD"/>
    <w:rsid w:val="005A5235"/>
    <w:rsid w:val="005A53B4"/>
    <w:rsid w:val="005A5582"/>
    <w:rsid w:val="005A563A"/>
    <w:rsid w:val="005A5849"/>
    <w:rsid w:val="005A5C25"/>
    <w:rsid w:val="005A5DB9"/>
    <w:rsid w:val="005A5DE5"/>
    <w:rsid w:val="005A5E04"/>
    <w:rsid w:val="005A5E11"/>
    <w:rsid w:val="005A5FF7"/>
    <w:rsid w:val="005A6015"/>
    <w:rsid w:val="005A612B"/>
    <w:rsid w:val="005A64AC"/>
    <w:rsid w:val="005A64CE"/>
    <w:rsid w:val="005A6726"/>
    <w:rsid w:val="005A675A"/>
    <w:rsid w:val="005A68C0"/>
    <w:rsid w:val="005A6F91"/>
    <w:rsid w:val="005A6FE8"/>
    <w:rsid w:val="005A7095"/>
    <w:rsid w:val="005A7251"/>
    <w:rsid w:val="005A73C9"/>
    <w:rsid w:val="005A7477"/>
    <w:rsid w:val="005A74E4"/>
    <w:rsid w:val="005A7646"/>
    <w:rsid w:val="005A77E8"/>
    <w:rsid w:val="005A788A"/>
    <w:rsid w:val="005A78C4"/>
    <w:rsid w:val="005A7AD9"/>
    <w:rsid w:val="005A7C21"/>
    <w:rsid w:val="005B000A"/>
    <w:rsid w:val="005B01E2"/>
    <w:rsid w:val="005B03A6"/>
    <w:rsid w:val="005B0475"/>
    <w:rsid w:val="005B04DA"/>
    <w:rsid w:val="005B0556"/>
    <w:rsid w:val="005B0716"/>
    <w:rsid w:val="005B075F"/>
    <w:rsid w:val="005B0860"/>
    <w:rsid w:val="005B0887"/>
    <w:rsid w:val="005B08AE"/>
    <w:rsid w:val="005B09AD"/>
    <w:rsid w:val="005B0D21"/>
    <w:rsid w:val="005B0F48"/>
    <w:rsid w:val="005B0F70"/>
    <w:rsid w:val="005B1569"/>
    <w:rsid w:val="005B18D6"/>
    <w:rsid w:val="005B197D"/>
    <w:rsid w:val="005B1BC6"/>
    <w:rsid w:val="005B1D37"/>
    <w:rsid w:val="005B1E92"/>
    <w:rsid w:val="005B21A4"/>
    <w:rsid w:val="005B21AB"/>
    <w:rsid w:val="005B26A4"/>
    <w:rsid w:val="005B2917"/>
    <w:rsid w:val="005B2A46"/>
    <w:rsid w:val="005B2D8F"/>
    <w:rsid w:val="005B2EE1"/>
    <w:rsid w:val="005B309F"/>
    <w:rsid w:val="005B3909"/>
    <w:rsid w:val="005B3AC3"/>
    <w:rsid w:val="005B3D73"/>
    <w:rsid w:val="005B3EE7"/>
    <w:rsid w:val="005B41B7"/>
    <w:rsid w:val="005B4205"/>
    <w:rsid w:val="005B434B"/>
    <w:rsid w:val="005B43EA"/>
    <w:rsid w:val="005B48B1"/>
    <w:rsid w:val="005B48CA"/>
    <w:rsid w:val="005B4BBB"/>
    <w:rsid w:val="005B4D4C"/>
    <w:rsid w:val="005B50D9"/>
    <w:rsid w:val="005B5158"/>
    <w:rsid w:val="005B563E"/>
    <w:rsid w:val="005B5811"/>
    <w:rsid w:val="005B5838"/>
    <w:rsid w:val="005B5888"/>
    <w:rsid w:val="005B5982"/>
    <w:rsid w:val="005B5F74"/>
    <w:rsid w:val="005B5FE0"/>
    <w:rsid w:val="005B6011"/>
    <w:rsid w:val="005B6020"/>
    <w:rsid w:val="005B626D"/>
    <w:rsid w:val="005B649E"/>
    <w:rsid w:val="005B669F"/>
    <w:rsid w:val="005B6886"/>
    <w:rsid w:val="005B69B5"/>
    <w:rsid w:val="005B6B41"/>
    <w:rsid w:val="005B6D1C"/>
    <w:rsid w:val="005B7059"/>
    <w:rsid w:val="005B72F0"/>
    <w:rsid w:val="005B77F0"/>
    <w:rsid w:val="005B78E2"/>
    <w:rsid w:val="005B7BFE"/>
    <w:rsid w:val="005B7E43"/>
    <w:rsid w:val="005B7E7B"/>
    <w:rsid w:val="005C002E"/>
    <w:rsid w:val="005C02CD"/>
    <w:rsid w:val="005C02E5"/>
    <w:rsid w:val="005C03E0"/>
    <w:rsid w:val="005C0402"/>
    <w:rsid w:val="005C05DB"/>
    <w:rsid w:val="005C0868"/>
    <w:rsid w:val="005C0871"/>
    <w:rsid w:val="005C08B9"/>
    <w:rsid w:val="005C08E7"/>
    <w:rsid w:val="005C0C10"/>
    <w:rsid w:val="005C0CD5"/>
    <w:rsid w:val="005C0D54"/>
    <w:rsid w:val="005C1393"/>
    <w:rsid w:val="005C1405"/>
    <w:rsid w:val="005C1576"/>
    <w:rsid w:val="005C1905"/>
    <w:rsid w:val="005C1A49"/>
    <w:rsid w:val="005C1D20"/>
    <w:rsid w:val="005C1D6A"/>
    <w:rsid w:val="005C1DE3"/>
    <w:rsid w:val="005C2428"/>
    <w:rsid w:val="005C2534"/>
    <w:rsid w:val="005C2704"/>
    <w:rsid w:val="005C27B9"/>
    <w:rsid w:val="005C2982"/>
    <w:rsid w:val="005C2ADC"/>
    <w:rsid w:val="005C2F2A"/>
    <w:rsid w:val="005C2FC1"/>
    <w:rsid w:val="005C3131"/>
    <w:rsid w:val="005C3182"/>
    <w:rsid w:val="005C3265"/>
    <w:rsid w:val="005C32E2"/>
    <w:rsid w:val="005C33F3"/>
    <w:rsid w:val="005C352E"/>
    <w:rsid w:val="005C3645"/>
    <w:rsid w:val="005C36F3"/>
    <w:rsid w:val="005C3703"/>
    <w:rsid w:val="005C382C"/>
    <w:rsid w:val="005C3B8B"/>
    <w:rsid w:val="005C408D"/>
    <w:rsid w:val="005C425E"/>
    <w:rsid w:val="005C4385"/>
    <w:rsid w:val="005C4455"/>
    <w:rsid w:val="005C465E"/>
    <w:rsid w:val="005C48FB"/>
    <w:rsid w:val="005C49FE"/>
    <w:rsid w:val="005C4BC6"/>
    <w:rsid w:val="005C4E8C"/>
    <w:rsid w:val="005C4FD9"/>
    <w:rsid w:val="005C5059"/>
    <w:rsid w:val="005C50C2"/>
    <w:rsid w:val="005C5123"/>
    <w:rsid w:val="005C52EC"/>
    <w:rsid w:val="005C5418"/>
    <w:rsid w:val="005C5499"/>
    <w:rsid w:val="005C55B7"/>
    <w:rsid w:val="005C56B5"/>
    <w:rsid w:val="005C56EC"/>
    <w:rsid w:val="005C58F4"/>
    <w:rsid w:val="005C59A7"/>
    <w:rsid w:val="005C5CFF"/>
    <w:rsid w:val="005C5D29"/>
    <w:rsid w:val="005C5F78"/>
    <w:rsid w:val="005C62F0"/>
    <w:rsid w:val="005C6698"/>
    <w:rsid w:val="005C6888"/>
    <w:rsid w:val="005C68CF"/>
    <w:rsid w:val="005C6B08"/>
    <w:rsid w:val="005C6B64"/>
    <w:rsid w:val="005C6BAD"/>
    <w:rsid w:val="005C6E5F"/>
    <w:rsid w:val="005C6F85"/>
    <w:rsid w:val="005C6FEA"/>
    <w:rsid w:val="005C7074"/>
    <w:rsid w:val="005C70B2"/>
    <w:rsid w:val="005C7555"/>
    <w:rsid w:val="005C75A6"/>
    <w:rsid w:val="005C77C0"/>
    <w:rsid w:val="005C7929"/>
    <w:rsid w:val="005C7E38"/>
    <w:rsid w:val="005C7EAC"/>
    <w:rsid w:val="005D00A8"/>
    <w:rsid w:val="005D0186"/>
    <w:rsid w:val="005D032D"/>
    <w:rsid w:val="005D03FC"/>
    <w:rsid w:val="005D0509"/>
    <w:rsid w:val="005D0595"/>
    <w:rsid w:val="005D05CC"/>
    <w:rsid w:val="005D0664"/>
    <w:rsid w:val="005D07B4"/>
    <w:rsid w:val="005D08C6"/>
    <w:rsid w:val="005D0B28"/>
    <w:rsid w:val="005D0C33"/>
    <w:rsid w:val="005D0CAF"/>
    <w:rsid w:val="005D10B2"/>
    <w:rsid w:val="005D1139"/>
    <w:rsid w:val="005D1237"/>
    <w:rsid w:val="005D163E"/>
    <w:rsid w:val="005D1771"/>
    <w:rsid w:val="005D1863"/>
    <w:rsid w:val="005D1CEF"/>
    <w:rsid w:val="005D1FB2"/>
    <w:rsid w:val="005D206C"/>
    <w:rsid w:val="005D25DF"/>
    <w:rsid w:val="005D2696"/>
    <w:rsid w:val="005D2D45"/>
    <w:rsid w:val="005D33D8"/>
    <w:rsid w:val="005D363A"/>
    <w:rsid w:val="005D3676"/>
    <w:rsid w:val="005D36EF"/>
    <w:rsid w:val="005D3937"/>
    <w:rsid w:val="005D3A3F"/>
    <w:rsid w:val="005D3FD5"/>
    <w:rsid w:val="005D45A6"/>
    <w:rsid w:val="005D4C23"/>
    <w:rsid w:val="005D4D36"/>
    <w:rsid w:val="005D50E7"/>
    <w:rsid w:val="005D5247"/>
    <w:rsid w:val="005D52C8"/>
    <w:rsid w:val="005D5388"/>
    <w:rsid w:val="005D54DA"/>
    <w:rsid w:val="005D5728"/>
    <w:rsid w:val="005D57FA"/>
    <w:rsid w:val="005D5BD7"/>
    <w:rsid w:val="005D5BD8"/>
    <w:rsid w:val="005D5E3A"/>
    <w:rsid w:val="005D5FA9"/>
    <w:rsid w:val="005D61E4"/>
    <w:rsid w:val="005D68D7"/>
    <w:rsid w:val="005D696D"/>
    <w:rsid w:val="005D6B83"/>
    <w:rsid w:val="005D718D"/>
    <w:rsid w:val="005D73E6"/>
    <w:rsid w:val="005D7608"/>
    <w:rsid w:val="005D770C"/>
    <w:rsid w:val="005D77BD"/>
    <w:rsid w:val="005D79FA"/>
    <w:rsid w:val="005D7B03"/>
    <w:rsid w:val="005D7E75"/>
    <w:rsid w:val="005E00D6"/>
    <w:rsid w:val="005E01E9"/>
    <w:rsid w:val="005E02B0"/>
    <w:rsid w:val="005E0300"/>
    <w:rsid w:val="005E0623"/>
    <w:rsid w:val="005E07BD"/>
    <w:rsid w:val="005E0B78"/>
    <w:rsid w:val="005E0C90"/>
    <w:rsid w:val="005E0C91"/>
    <w:rsid w:val="005E0DA3"/>
    <w:rsid w:val="005E0FBB"/>
    <w:rsid w:val="005E101A"/>
    <w:rsid w:val="005E18CF"/>
    <w:rsid w:val="005E1DC0"/>
    <w:rsid w:val="005E1ED5"/>
    <w:rsid w:val="005E20A4"/>
    <w:rsid w:val="005E20D0"/>
    <w:rsid w:val="005E225A"/>
    <w:rsid w:val="005E2268"/>
    <w:rsid w:val="005E24EC"/>
    <w:rsid w:val="005E25FE"/>
    <w:rsid w:val="005E2682"/>
    <w:rsid w:val="005E273E"/>
    <w:rsid w:val="005E29AA"/>
    <w:rsid w:val="005E2B25"/>
    <w:rsid w:val="005E2D8C"/>
    <w:rsid w:val="005E2D8F"/>
    <w:rsid w:val="005E2F02"/>
    <w:rsid w:val="005E2F62"/>
    <w:rsid w:val="005E2F82"/>
    <w:rsid w:val="005E3568"/>
    <w:rsid w:val="005E399C"/>
    <w:rsid w:val="005E3B42"/>
    <w:rsid w:val="005E3B4C"/>
    <w:rsid w:val="005E3CC6"/>
    <w:rsid w:val="005E3F78"/>
    <w:rsid w:val="005E459E"/>
    <w:rsid w:val="005E4783"/>
    <w:rsid w:val="005E4828"/>
    <w:rsid w:val="005E4989"/>
    <w:rsid w:val="005E4D11"/>
    <w:rsid w:val="005E4D7C"/>
    <w:rsid w:val="005E50F9"/>
    <w:rsid w:val="005E5265"/>
    <w:rsid w:val="005E5442"/>
    <w:rsid w:val="005E55B7"/>
    <w:rsid w:val="005E5833"/>
    <w:rsid w:val="005E5C2A"/>
    <w:rsid w:val="005E5EDC"/>
    <w:rsid w:val="005E60E6"/>
    <w:rsid w:val="005E6144"/>
    <w:rsid w:val="005E61EF"/>
    <w:rsid w:val="005E638E"/>
    <w:rsid w:val="005E64F9"/>
    <w:rsid w:val="005E6542"/>
    <w:rsid w:val="005E65A1"/>
    <w:rsid w:val="005E66D2"/>
    <w:rsid w:val="005E697E"/>
    <w:rsid w:val="005E6B7E"/>
    <w:rsid w:val="005E6C84"/>
    <w:rsid w:val="005E6D28"/>
    <w:rsid w:val="005E71D6"/>
    <w:rsid w:val="005E75A7"/>
    <w:rsid w:val="005E7671"/>
    <w:rsid w:val="005E7691"/>
    <w:rsid w:val="005E7B93"/>
    <w:rsid w:val="005E7DF7"/>
    <w:rsid w:val="005E7F74"/>
    <w:rsid w:val="005E7F9C"/>
    <w:rsid w:val="005F0219"/>
    <w:rsid w:val="005F0269"/>
    <w:rsid w:val="005F0279"/>
    <w:rsid w:val="005F04F3"/>
    <w:rsid w:val="005F09BD"/>
    <w:rsid w:val="005F0B42"/>
    <w:rsid w:val="005F0C4E"/>
    <w:rsid w:val="005F0D29"/>
    <w:rsid w:val="005F0F21"/>
    <w:rsid w:val="005F1077"/>
    <w:rsid w:val="005F1127"/>
    <w:rsid w:val="005F1459"/>
    <w:rsid w:val="005F150B"/>
    <w:rsid w:val="005F151F"/>
    <w:rsid w:val="005F197B"/>
    <w:rsid w:val="005F1A16"/>
    <w:rsid w:val="005F1EB4"/>
    <w:rsid w:val="005F1F11"/>
    <w:rsid w:val="005F1F79"/>
    <w:rsid w:val="005F21BD"/>
    <w:rsid w:val="005F21E7"/>
    <w:rsid w:val="005F2200"/>
    <w:rsid w:val="005F23CD"/>
    <w:rsid w:val="005F2569"/>
    <w:rsid w:val="005F2669"/>
    <w:rsid w:val="005F277A"/>
    <w:rsid w:val="005F2D4C"/>
    <w:rsid w:val="005F2D5C"/>
    <w:rsid w:val="005F306D"/>
    <w:rsid w:val="005F3238"/>
    <w:rsid w:val="005F335A"/>
    <w:rsid w:val="005F35E8"/>
    <w:rsid w:val="005F3658"/>
    <w:rsid w:val="005F3966"/>
    <w:rsid w:val="005F3BE5"/>
    <w:rsid w:val="005F3D9D"/>
    <w:rsid w:val="005F4430"/>
    <w:rsid w:val="005F4461"/>
    <w:rsid w:val="005F4488"/>
    <w:rsid w:val="005F4494"/>
    <w:rsid w:val="005F4B4F"/>
    <w:rsid w:val="005F4ECA"/>
    <w:rsid w:val="005F517C"/>
    <w:rsid w:val="005F54F8"/>
    <w:rsid w:val="005F5516"/>
    <w:rsid w:val="005F551B"/>
    <w:rsid w:val="005F573A"/>
    <w:rsid w:val="005F578B"/>
    <w:rsid w:val="005F5959"/>
    <w:rsid w:val="005F5C1D"/>
    <w:rsid w:val="005F5EA9"/>
    <w:rsid w:val="005F6164"/>
    <w:rsid w:val="005F6212"/>
    <w:rsid w:val="005F6750"/>
    <w:rsid w:val="005F6802"/>
    <w:rsid w:val="005F6D57"/>
    <w:rsid w:val="005F6D59"/>
    <w:rsid w:val="005F6F7C"/>
    <w:rsid w:val="005F73CF"/>
    <w:rsid w:val="005F74CE"/>
    <w:rsid w:val="005F76CB"/>
    <w:rsid w:val="005F77D5"/>
    <w:rsid w:val="005F7D5E"/>
    <w:rsid w:val="005F7DB9"/>
    <w:rsid w:val="005F7DBA"/>
    <w:rsid w:val="005F7E57"/>
    <w:rsid w:val="005F7F20"/>
    <w:rsid w:val="00600000"/>
    <w:rsid w:val="00600667"/>
    <w:rsid w:val="006009F6"/>
    <w:rsid w:val="00600A40"/>
    <w:rsid w:val="00600DA7"/>
    <w:rsid w:val="00600E7D"/>
    <w:rsid w:val="00600EBF"/>
    <w:rsid w:val="00600FA0"/>
    <w:rsid w:val="00600FA5"/>
    <w:rsid w:val="00600FC6"/>
    <w:rsid w:val="00601010"/>
    <w:rsid w:val="006011E9"/>
    <w:rsid w:val="0060135C"/>
    <w:rsid w:val="00601568"/>
    <w:rsid w:val="00601586"/>
    <w:rsid w:val="006016FD"/>
    <w:rsid w:val="006017D3"/>
    <w:rsid w:val="00601912"/>
    <w:rsid w:val="00601B63"/>
    <w:rsid w:val="00601BD3"/>
    <w:rsid w:val="00601FA7"/>
    <w:rsid w:val="0060210E"/>
    <w:rsid w:val="006022A2"/>
    <w:rsid w:val="0060239B"/>
    <w:rsid w:val="006024AE"/>
    <w:rsid w:val="00602518"/>
    <w:rsid w:val="00602568"/>
    <w:rsid w:val="0060259A"/>
    <w:rsid w:val="006025FF"/>
    <w:rsid w:val="00602718"/>
    <w:rsid w:val="006029F7"/>
    <w:rsid w:val="00602B23"/>
    <w:rsid w:val="00602C73"/>
    <w:rsid w:val="00603299"/>
    <w:rsid w:val="00603428"/>
    <w:rsid w:val="006037EA"/>
    <w:rsid w:val="006038B5"/>
    <w:rsid w:val="00603B57"/>
    <w:rsid w:val="00603B58"/>
    <w:rsid w:val="00603D1C"/>
    <w:rsid w:val="006041FC"/>
    <w:rsid w:val="00604512"/>
    <w:rsid w:val="00604610"/>
    <w:rsid w:val="006047EA"/>
    <w:rsid w:val="006048ED"/>
    <w:rsid w:val="00604966"/>
    <w:rsid w:val="00604B4A"/>
    <w:rsid w:val="00604D70"/>
    <w:rsid w:val="00604F30"/>
    <w:rsid w:val="00605064"/>
    <w:rsid w:val="00605072"/>
    <w:rsid w:val="0060515F"/>
    <w:rsid w:val="00605254"/>
    <w:rsid w:val="00605355"/>
    <w:rsid w:val="0060535E"/>
    <w:rsid w:val="006053B6"/>
    <w:rsid w:val="00605443"/>
    <w:rsid w:val="00605560"/>
    <w:rsid w:val="006055ED"/>
    <w:rsid w:val="00605630"/>
    <w:rsid w:val="006057C7"/>
    <w:rsid w:val="0060588E"/>
    <w:rsid w:val="006058F6"/>
    <w:rsid w:val="00605BEB"/>
    <w:rsid w:val="00605C3E"/>
    <w:rsid w:val="00605D36"/>
    <w:rsid w:val="00605ED8"/>
    <w:rsid w:val="00606506"/>
    <w:rsid w:val="00606545"/>
    <w:rsid w:val="0060664C"/>
    <w:rsid w:val="00606690"/>
    <w:rsid w:val="00606766"/>
    <w:rsid w:val="00606ABA"/>
    <w:rsid w:val="00606C2C"/>
    <w:rsid w:val="00606F54"/>
    <w:rsid w:val="00607137"/>
    <w:rsid w:val="006071EF"/>
    <w:rsid w:val="00607286"/>
    <w:rsid w:val="006073D3"/>
    <w:rsid w:val="00607D54"/>
    <w:rsid w:val="00607DDB"/>
    <w:rsid w:val="00607EB1"/>
    <w:rsid w:val="00610181"/>
    <w:rsid w:val="0061022D"/>
    <w:rsid w:val="00610815"/>
    <w:rsid w:val="00610BF8"/>
    <w:rsid w:val="00610E1A"/>
    <w:rsid w:val="0061101E"/>
    <w:rsid w:val="006110BA"/>
    <w:rsid w:val="00611162"/>
    <w:rsid w:val="00611452"/>
    <w:rsid w:val="00611908"/>
    <w:rsid w:val="00611A1A"/>
    <w:rsid w:val="00611AC4"/>
    <w:rsid w:val="00611B34"/>
    <w:rsid w:val="00611DF5"/>
    <w:rsid w:val="00611E10"/>
    <w:rsid w:val="00611FE7"/>
    <w:rsid w:val="00612269"/>
    <w:rsid w:val="0061241F"/>
    <w:rsid w:val="00612508"/>
    <w:rsid w:val="0061284C"/>
    <w:rsid w:val="00612A3E"/>
    <w:rsid w:val="00612C10"/>
    <w:rsid w:val="00612C68"/>
    <w:rsid w:val="00612CA5"/>
    <w:rsid w:val="00612CFB"/>
    <w:rsid w:val="00612D3F"/>
    <w:rsid w:val="006137E7"/>
    <w:rsid w:val="00613940"/>
    <w:rsid w:val="00613A48"/>
    <w:rsid w:val="00613C86"/>
    <w:rsid w:val="00613FA2"/>
    <w:rsid w:val="0061402C"/>
    <w:rsid w:val="0061484F"/>
    <w:rsid w:val="00614A48"/>
    <w:rsid w:val="00614ABA"/>
    <w:rsid w:val="00614C7E"/>
    <w:rsid w:val="00614D20"/>
    <w:rsid w:val="00614F48"/>
    <w:rsid w:val="0061501A"/>
    <w:rsid w:val="00615222"/>
    <w:rsid w:val="00615243"/>
    <w:rsid w:val="0061590F"/>
    <w:rsid w:val="00615B69"/>
    <w:rsid w:val="00615C24"/>
    <w:rsid w:val="00615E6E"/>
    <w:rsid w:val="006162E8"/>
    <w:rsid w:val="006162F0"/>
    <w:rsid w:val="006164AD"/>
    <w:rsid w:val="0061654A"/>
    <w:rsid w:val="006165B8"/>
    <w:rsid w:val="00616682"/>
    <w:rsid w:val="00616BF5"/>
    <w:rsid w:val="00616EC4"/>
    <w:rsid w:val="00616F1F"/>
    <w:rsid w:val="006171D2"/>
    <w:rsid w:val="006172CB"/>
    <w:rsid w:val="0061733F"/>
    <w:rsid w:val="0061750B"/>
    <w:rsid w:val="0061776C"/>
    <w:rsid w:val="006178B3"/>
    <w:rsid w:val="00617995"/>
    <w:rsid w:val="006179E1"/>
    <w:rsid w:val="00617BE3"/>
    <w:rsid w:val="00617D09"/>
    <w:rsid w:val="00617E7A"/>
    <w:rsid w:val="00617F11"/>
    <w:rsid w:val="00617F35"/>
    <w:rsid w:val="0062000B"/>
    <w:rsid w:val="00620257"/>
    <w:rsid w:val="00620350"/>
    <w:rsid w:val="0062051D"/>
    <w:rsid w:val="0062055B"/>
    <w:rsid w:val="00620675"/>
    <w:rsid w:val="00620686"/>
    <w:rsid w:val="00620C9A"/>
    <w:rsid w:val="00620D1C"/>
    <w:rsid w:val="00620F72"/>
    <w:rsid w:val="00620F98"/>
    <w:rsid w:val="00621021"/>
    <w:rsid w:val="0062102F"/>
    <w:rsid w:val="00621102"/>
    <w:rsid w:val="006216B6"/>
    <w:rsid w:val="006219D9"/>
    <w:rsid w:val="00621AC3"/>
    <w:rsid w:val="00621C4D"/>
    <w:rsid w:val="006220BA"/>
    <w:rsid w:val="006220F0"/>
    <w:rsid w:val="00622109"/>
    <w:rsid w:val="00622428"/>
    <w:rsid w:val="0062264F"/>
    <w:rsid w:val="00622BAE"/>
    <w:rsid w:val="00622CDC"/>
    <w:rsid w:val="0062308C"/>
    <w:rsid w:val="006230C6"/>
    <w:rsid w:val="00623168"/>
    <w:rsid w:val="00623411"/>
    <w:rsid w:val="00623639"/>
    <w:rsid w:val="006237F6"/>
    <w:rsid w:val="00623830"/>
    <w:rsid w:val="00623A0B"/>
    <w:rsid w:val="00623B93"/>
    <w:rsid w:val="00624011"/>
    <w:rsid w:val="00624534"/>
    <w:rsid w:val="0062458C"/>
    <w:rsid w:val="006246F7"/>
    <w:rsid w:val="0062485F"/>
    <w:rsid w:val="006249F6"/>
    <w:rsid w:val="00624F42"/>
    <w:rsid w:val="00625153"/>
    <w:rsid w:val="0062522E"/>
    <w:rsid w:val="00625463"/>
    <w:rsid w:val="0062547D"/>
    <w:rsid w:val="006255EE"/>
    <w:rsid w:val="006257BE"/>
    <w:rsid w:val="006258D7"/>
    <w:rsid w:val="00625B3E"/>
    <w:rsid w:val="00625DDA"/>
    <w:rsid w:val="00626148"/>
    <w:rsid w:val="006261F9"/>
    <w:rsid w:val="00626418"/>
    <w:rsid w:val="0062664A"/>
    <w:rsid w:val="00626789"/>
    <w:rsid w:val="006267A8"/>
    <w:rsid w:val="00626852"/>
    <w:rsid w:val="0062698C"/>
    <w:rsid w:val="006269B8"/>
    <w:rsid w:val="00626F9D"/>
    <w:rsid w:val="0062753E"/>
    <w:rsid w:val="00627901"/>
    <w:rsid w:val="006279A5"/>
    <w:rsid w:val="00627D10"/>
    <w:rsid w:val="00627E75"/>
    <w:rsid w:val="0062F54E"/>
    <w:rsid w:val="0063001A"/>
    <w:rsid w:val="0063006B"/>
    <w:rsid w:val="00630115"/>
    <w:rsid w:val="0063024B"/>
    <w:rsid w:val="00630251"/>
    <w:rsid w:val="00630598"/>
    <w:rsid w:val="0063069C"/>
    <w:rsid w:val="006307A5"/>
    <w:rsid w:val="0063092A"/>
    <w:rsid w:val="00630E42"/>
    <w:rsid w:val="00631007"/>
    <w:rsid w:val="00631090"/>
    <w:rsid w:val="00631383"/>
    <w:rsid w:val="006317FA"/>
    <w:rsid w:val="00631C2E"/>
    <w:rsid w:val="00631C74"/>
    <w:rsid w:val="00631CB8"/>
    <w:rsid w:val="00631CCA"/>
    <w:rsid w:val="00631F1B"/>
    <w:rsid w:val="00631F94"/>
    <w:rsid w:val="006320E2"/>
    <w:rsid w:val="006321C0"/>
    <w:rsid w:val="006324F2"/>
    <w:rsid w:val="006325A0"/>
    <w:rsid w:val="0063265C"/>
    <w:rsid w:val="006327F7"/>
    <w:rsid w:val="00632837"/>
    <w:rsid w:val="006328D6"/>
    <w:rsid w:val="00632D87"/>
    <w:rsid w:val="00632E25"/>
    <w:rsid w:val="00632F19"/>
    <w:rsid w:val="00632F7C"/>
    <w:rsid w:val="006333A4"/>
    <w:rsid w:val="00633484"/>
    <w:rsid w:val="00633512"/>
    <w:rsid w:val="00633815"/>
    <w:rsid w:val="00633C88"/>
    <w:rsid w:val="00634048"/>
    <w:rsid w:val="00634089"/>
    <w:rsid w:val="0063442F"/>
    <w:rsid w:val="00634518"/>
    <w:rsid w:val="00634A39"/>
    <w:rsid w:val="00634B8D"/>
    <w:rsid w:val="00634E1C"/>
    <w:rsid w:val="00634FF9"/>
    <w:rsid w:val="0063505B"/>
    <w:rsid w:val="006351D4"/>
    <w:rsid w:val="00635288"/>
    <w:rsid w:val="00635415"/>
    <w:rsid w:val="00635454"/>
    <w:rsid w:val="0063581B"/>
    <w:rsid w:val="0063584E"/>
    <w:rsid w:val="00635C3F"/>
    <w:rsid w:val="006360F0"/>
    <w:rsid w:val="00636116"/>
    <w:rsid w:val="0063620E"/>
    <w:rsid w:val="006363E0"/>
    <w:rsid w:val="0063645C"/>
    <w:rsid w:val="006366B2"/>
    <w:rsid w:val="00636851"/>
    <w:rsid w:val="0063695B"/>
    <w:rsid w:val="00636A1A"/>
    <w:rsid w:val="00636B46"/>
    <w:rsid w:val="00636C1D"/>
    <w:rsid w:val="00636E65"/>
    <w:rsid w:val="00637052"/>
    <w:rsid w:val="0063711D"/>
    <w:rsid w:val="0063736A"/>
    <w:rsid w:val="00637758"/>
    <w:rsid w:val="0063797C"/>
    <w:rsid w:val="00637B5F"/>
    <w:rsid w:val="00640093"/>
    <w:rsid w:val="00640329"/>
    <w:rsid w:val="0064040B"/>
    <w:rsid w:val="0064047E"/>
    <w:rsid w:val="0064065D"/>
    <w:rsid w:val="0064075B"/>
    <w:rsid w:val="006407B3"/>
    <w:rsid w:val="00640EE2"/>
    <w:rsid w:val="00641104"/>
    <w:rsid w:val="00641282"/>
    <w:rsid w:val="00641296"/>
    <w:rsid w:val="00641474"/>
    <w:rsid w:val="0064172B"/>
    <w:rsid w:val="00641BDB"/>
    <w:rsid w:val="00641D19"/>
    <w:rsid w:val="00641FC1"/>
    <w:rsid w:val="0064223D"/>
    <w:rsid w:val="00642269"/>
    <w:rsid w:val="006422F7"/>
    <w:rsid w:val="0064230A"/>
    <w:rsid w:val="0064236F"/>
    <w:rsid w:val="00642439"/>
    <w:rsid w:val="006426D6"/>
    <w:rsid w:val="00642806"/>
    <w:rsid w:val="00642A23"/>
    <w:rsid w:val="00642A5E"/>
    <w:rsid w:val="00642CA8"/>
    <w:rsid w:val="0064306E"/>
    <w:rsid w:val="0064349A"/>
    <w:rsid w:val="006436FC"/>
    <w:rsid w:val="00643729"/>
    <w:rsid w:val="0064383E"/>
    <w:rsid w:val="0064390A"/>
    <w:rsid w:val="00643A29"/>
    <w:rsid w:val="00643BAF"/>
    <w:rsid w:val="00643C24"/>
    <w:rsid w:val="00643E2B"/>
    <w:rsid w:val="00643E83"/>
    <w:rsid w:val="00643EFE"/>
    <w:rsid w:val="00643FC4"/>
    <w:rsid w:val="006441B1"/>
    <w:rsid w:val="00644732"/>
    <w:rsid w:val="00644A0C"/>
    <w:rsid w:val="00644DD6"/>
    <w:rsid w:val="00644FEA"/>
    <w:rsid w:val="00645883"/>
    <w:rsid w:val="006459BD"/>
    <w:rsid w:val="00645B9F"/>
    <w:rsid w:val="00645C63"/>
    <w:rsid w:val="00645DA7"/>
    <w:rsid w:val="00645F4E"/>
    <w:rsid w:val="006461FD"/>
    <w:rsid w:val="00646222"/>
    <w:rsid w:val="006462CD"/>
    <w:rsid w:val="0064635B"/>
    <w:rsid w:val="00646426"/>
    <w:rsid w:val="0064651F"/>
    <w:rsid w:val="006465B5"/>
    <w:rsid w:val="00646653"/>
    <w:rsid w:val="006468AC"/>
    <w:rsid w:val="00646956"/>
    <w:rsid w:val="00646B29"/>
    <w:rsid w:val="00646B3B"/>
    <w:rsid w:val="00646CC6"/>
    <w:rsid w:val="00646E96"/>
    <w:rsid w:val="00646EDA"/>
    <w:rsid w:val="0064723F"/>
    <w:rsid w:val="006473ED"/>
    <w:rsid w:val="0064766B"/>
    <w:rsid w:val="006476D0"/>
    <w:rsid w:val="006479BD"/>
    <w:rsid w:val="00647AA4"/>
    <w:rsid w:val="00647E3C"/>
    <w:rsid w:val="00647EF6"/>
    <w:rsid w:val="006502CC"/>
    <w:rsid w:val="0065043A"/>
    <w:rsid w:val="0065052D"/>
    <w:rsid w:val="00650BDE"/>
    <w:rsid w:val="00650BFE"/>
    <w:rsid w:val="0065105A"/>
    <w:rsid w:val="006510C1"/>
    <w:rsid w:val="00651200"/>
    <w:rsid w:val="00651319"/>
    <w:rsid w:val="00651837"/>
    <w:rsid w:val="006518F1"/>
    <w:rsid w:val="00651945"/>
    <w:rsid w:val="00651FD9"/>
    <w:rsid w:val="00652069"/>
    <w:rsid w:val="0065254C"/>
    <w:rsid w:val="00652782"/>
    <w:rsid w:val="006527B4"/>
    <w:rsid w:val="0065283C"/>
    <w:rsid w:val="00652A71"/>
    <w:rsid w:val="00652AD7"/>
    <w:rsid w:val="00652F50"/>
    <w:rsid w:val="00652FB5"/>
    <w:rsid w:val="00652FC1"/>
    <w:rsid w:val="006536AD"/>
    <w:rsid w:val="00653815"/>
    <w:rsid w:val="00653BEA"/>
    <w:rsid w:val="00653DE2"/>
    <w:rsid w:val="00654128"/>
    <w:rsid w:val="00654137"/>
    <w:rsid w:val="00654417"/>
    <w:rsid w:val="00654A71"/>
    <w:rsid w:val="00654ADE"/>
    <w:rsid w:val="00654CD1"/>
    <w:rsid w:val="00654EF4"/>
    <w:rsid w:val="006551E8"/>
    <w:rsid w:val="0065550D"/>
    <w:rsid w:val="0065553A"/>
    <w:rsid w:val="00655626"/>
    <w:rsid w:val="00655747"/>
    <w:rsid w:val="00655779"/>
    <w:rsid w:val="0065580D"/>
    <w:rsid w:val="00655C72"/>
    <w:rsid w:val="00655CA0"/>
    <w:rsid w:val="00655E01"/>
    <w:rsid w:val="00656081"/>
    <w:rsid w:val="00656259"/>
    <w:rsid w:val="006563B1"/>
    <w:rsid w:val="0065657E"/>
    <w:rsid w:val="006565E6"/>
    <w:rsid w:val="0065664C"/>
    <w:rsid w:val="006566EC"/>
    <w:rsid w:val="00656834"/>
    <w:rsid w:val="00656E7C"/>
    <w:rsid w:val="00656EC0"/>
    <w:rsid w:val="00656EE6"/>
    <w:rsid w:val="0065701E"/>
    <w:rsid w:val="00657025"/>
    <w:rsid w:val="0065713B"/>
    <w:rsid w:val="006571EA"/>
    <w:rsid w:val="006573C3"/>
    <w:rsid w:val="006573FD"/>
    <w:rsid w:val="00657535"/>
    <w:rsid w:val="0065771F"/>
    <w:rsid w:val="006578BB"/>
    <w:rsid w:val="00657905"/>
    <w:rsid w:val="00657C47"/>
    <w:rsid w:val="00657D23"/>
    <w:rsid w:val="00657D57"/>
    <w:rsid w:val="00657F6C"/>
    <w:rsid w:val="00657F83"/>
    <w:rsid w:val="0066029A"/>
    <w:rsid w:val="006602AE"/>
    <w:rsid w:val="00660376"/>
    <w:rsid w:val="006603A7"/>
    <w:rsid w:val="006606E7"/>
    <w:rsid w:val="006607D7"/>
    <w:rsid w:val="00660ACC"/>
    <w:rsid w:val="00660C15"/>
    <w:rsid w:val="00660EC5"/>
    <w:rsid w:val="00660FD1"/>
    <w:rsid w:val="006610E5"/>
    <w:rsid w:val="00661187"/>
    <w:rsid w:val="006612FE"/>
    <w:rsid w:val="006614AB"/>
    <w:rsid w:val="006614D4"/>
    <w:rsid w:val="0066159B"/>
    <w:rsid w:val="006617CC"/>
    <w:rsid w:val="006618FC"/>
    <w:rsid w:val="006619AB"/>
    <w:rsid w:val="00661D55"/>
    <w:rsid w:val="00662442"/>
    <w:rsid w:val="0066253D"/>
    <w:rsid w:val="00662A61"/>
    <w:rsid w:val="00662E2D"/>
    <w:rsid w:val="00662E77"/>
    <w:rsid w:val="00662EED"/>
    <w:rsid w:val="00663049"/>
    <w:rsid w:val="00663055"/>
    <w:rsid w:val="006634C9"/>
    <w:rsid w:val="00663738"/>
    <w:rsid w:val="006638E4"/>
    <w:rsid w:val="00663AFE"/>
    <w:rsid w:val="00663B8E"/>
    <w:rsid w:val="00663C0C"/>
    <w:rsid w:val="00664209"/>
    <w:rsid w:val="00664214"/>
    <w:rsid w:val="00664272"/>
    <w:rsid w:val="006644C5"/>
    <w:rsid w:val="006645E2"/>
    <w:rsid w:val="0066466B"/>
    <w:rsid w:val="0066473D"/>
    <w:rsid w:val="0066490C"/>
    <w:rsid w:val="006649A1"/>
    <w:rsid w:val="00664B69"/>
    <w:rsid w:val="00664BEF"/>
    <w:rsid w:val="00664C67"/>
    <w:rsid w:val="00664CB0"/>
    <w:rsid w:val="00664D06"/>
    <w:rsid w:val="00664FAB"/>
    <w:rsid w:val="00665013"/>
    <w:rsid w:val="00665252"/>
    <w:rsid w:val="0066535C"/>
    <w:rsid w:val="006655EE"/>
    <w:rsid w:val="00665656"/>
    <w:rsid w:val="00665693"/>
    <w:rsid w:val="006658B7"/>
    <w:rsid w:val="00665A18"/>
    <w:rsid w:val="00665C1A"/>
    <w:rsid w:val="00665C2A"/>
    <w:rsid w:val="00665DA2"/>
    <w:rsid w:val="0066606C"/>
    <w:rsid w:val="00666315"/>
    <w:rsid w:val="0066665E"/>
    <w:rsid w:val="00666B04"/>
    <w:rsid w:val="00666B69"/>
    <w:rsid w:val="00666C19"/>
    <w:rsid w:val="00666DEA"/>
    <w:rsid w:val="00666E69"/>
    <w:rsid w:val="00667263"/>
    <w:rsid w:val="006672D4"/>
    <w:rsid w:val="006675E6"/>
    <w:rsid w:val="00667703"/>
    <w:rsid w:val="00667903"/>
    <w:rsid w:val="00667975"/>
    <w:rsid w:val="006679C5"/>
    <w:rsid w:val="00667C3B"/>
    <w:rsid w:val="00667C69"/>
    <w:rsid w:val="00667F85"/>
    <w:rsid w:val="00670107"/>
    <w:rsid w:val="0067010A"/>
    <w:rsid w:val="00670301"/>
    <w:rsid w:val="00670595"/>
    <w:rsid w:val="0067075A"/>
    <w:rsid w:val="00670833"/>
    <w:rsid w:val="00670918"/>
    <w:rsid w:val="00670958"/>
    <w:rsid w:val="00670E50"/>
    <w:rsid w:val="00670EE0"/>
    <w:rsid w:val="006710BA"/>
    <w:rsid w:val="0067125F"/>
    <w:rsid w:val="006712C4"/>
    <w:rsid w:val="00671476"/>
    <w:rsid w:val="006714CB"/>
    <w:rsid w:val="00671888"/>
    <w:rsid w:val="00671B3A"/>
    <w:rsid w:val="00671BB8"/>
    <w:rsid w:val="006720A1"/>
    <w:rsid w:val="006720A3"/>
    <w:rsid w:val="00672373"/>
    <w:rsid w:val="00672397"/>
    <w:rsid w:val="0067249F"/>
    <w:rsid w:val="006724C9"/>
    <w:rsid w:val="00672765"/>
    <w:rsid w:val="00672967"/>
    <w:rsid w:val="00672BEC"/>
    <w:rsid w:val="00672C1C"/>
    <w:rsid w:val="00672F11"/>
    <w:rsid w:val="00673023"/>
    <w:rsid w:val="0067304B"/>
    <w:rsid w:val="006733F3"/>
    <w:rsid w:val="006739F9"/>
    <w:rsid w:val="00673B97"/>
    <w:rsid w:val="006744A9"/>
    <w:rsid w:val="00674617"/>
    <w:rsid w:val="00674801"/>
    <w:rsid w:val="00674996"/>
    <w:rsid w:val="00674AA6"/>
    <w:rsid w:val="00674BE7"/>
    <w:rsid w:val="00674FF0"/>
    <w:rsid w:val="006751FB"/>
    <w:rsid w:val="0067546E"/>
    <w:rsid w:val="006754BE"/>
    <w:rsid w:val="00675595"/>
    <w:rsid w:val="006756CA"/>
    <w:rsid w:val="006759B3"/>
    <w:rsid w:val="00675AEA"/>
    <w:rsid w:val="00675D3E"/>
    <w:rsid w:val="00675DE2"/>
    <w:rsid w:val="00675E70"/>
    <w:rsid w:val="00675F46"/>
    <w:rsid w:val="00676234"/>
    <w:rsid w:val="00676288"/>
    <w:rsid w:val="0067648F"/>
    <w:rsid w:val="006764B4"/>
    <w:rsid w:val="006766B2"/>
    <w:rsid w:val="00676A3B"/>
    <w:rsid w:val="00676AB2"/>
    <w:rsid w:val="00676D8C"/>
    <w:rsid w:val="00676F3A"/>
    <w:rsid w:val="00676F53"/>
    <w:rsid w:val="00676FB1"/>
    <w:rsid w:val="006770C3"/>
    <w:rsid w:val="00677206"/>
    <w:rsid w:val="006773B4"/>
    <w:rsid w:val="006773B8"/>
    <w:rsid w:val="006773BA"/>
    <w:rsid w:val="00677424"/>
    <w:rsid w:val="0067742A"/>
    <w:rsid w:val="00677627"/>
    <w:rsid w:val="006777F2"/>
    <w:rsid w:val="00677AD9"/>
    <w:rsid w:val="00677BB1"/>
    <w:rsid w:val="00677BB7"/>
    <w:rsid w:val="0068013E"/>
    <w:rsid w:val="00680298"/>
    <w:rsid w:val="00680B3E"/>
    <w:rsid w:val="00680EC1"/>
    <w:rsid w:val="00680ED5"/>
    <w:rsid w:val="00681057"/>
    <w:rsid w:val="006810B7"/>
    <w:rsid w:val="00681116"/>
    <w:rsid w:val="006813FA"/>
    <w:rsid w:val="00681436"/>
    <w:rsid w:val="00681736"/>
    <w:rsid w:val="00681783"/>
    <w:rsid w:val="00681821"/>
    <w:rsid w:val="006818D2"/>
    <w:rsid w:val="006819E4"/>
    <w:rsid w:val="00681B2A"/>
    <w:rsid w:val="00681D92"/>
    <w:rsid w:val="00681EB2"/>
    <w:rsid w:val="00681FDB"/>
    <w:rsid w:val="0068206B"/>
    <w:rsid w:val="006823A5"/>
    <w:rsid w:val="006823B1"/>
    <w:rsid w:val="0068240D"/>
    <w:rsid w:val="00682714"/>
    <w:rsid w:val="00682A83"/>
    <w:rsid w:val="00682B22"/>
    <w:rsid w:val="00682C80"/>
    <w:rsid w:val="00682CAB"/>
    <w:rsid w:val="00682D65"/>
    <w:rsid w:val="0068304F"/>
    <w:rsid w:val="006830B5"/>
    <w:rsid w:val="006830DD"/>
    <w:rsid w:val="0068317F"/>
    <w:rsid w:val="0068318E"/>
    <w:rsid w:val="006832B9"/>
    <w:rsid w:val="006834B0"/>
    <w:rsid w:val="006836EF"/>
    <w:rsid w:val="00683949"/>
    <w:rsid w:val="00683A26"/>
    <w:rsid w:val="00683C3E"/>
    <w:rsid w:val="00683D06"/>
    <w:rsid w:val="00684100"/>
    <w:rsid w:val="00684171"/>
    <w:rsid w:val="00684187"/>
    <w:rsid w:val="00684573"/>
    <w:rsid w:val="00684649"/>
    <w:rsid w:val="00684687"/>
    <w:rsid w:val="006846CD"/>
    <w:rsid w:val="0068470C"/>
    <w:rsid w:val="0068470D"/>
    <w:rsid w:val="00684B9C"/>
    <w:rsid w:val="00684C38"/>
    <w:rsid w:val="00684CB0"/>
    <w:rsid w:val="00684CDE"/>
    <w:rsid w:val="00684E04"/>
    <w:rsid w:val="00684F41"/>
    <w:rsid w:val="0068504A"/>
    <w:rsid w:val="006852D5"/>
    <w:rsid w:val="00685379"/>
    <w:rsid w:val="006853C9"/>
    <w:rsid w:val="006854FF"/>
    <w:rsid w:val="00685566"/>
    <w:rsid w:val="006855BA"/>
    <w:rsid w:val="00685B33"/>
    <w:rsid w:val="00685B85"/>
    <w:rsid w:val="00685D3C"/>
    <w:rsid w:val="0068611B"/>
    <w:rsid w:val="0068630C"/>
    <w:rsid w:val="006863BC"/>
    <w:rsid w:val="0068644A"/>
    <w:rsid w:val="006865A3"/>
    <w:rsid w:val="006865B8"/>
    <w:rsid w:val="00686736"/>
    <w:rsid w:val="00686A26"/>
    <w:rsid w:val="00686BFF"/>
    <w:rsid w:val="00686E80"/>
    <w:rsid w:val="00686FFB"/>
    <w:rsid w:val="0068709D"/>
    <w:rsid w:val="006870B8"/>
    <w:rsid w:val="0068714F"/>
    <w:rsid w:val="00687175"/>
    <w:rsid w:val="00687261"/>
    <w:rsid w:val="00687272"/>
    <w:rsid w:val="006872E1"/>
    <w:rsid w:val="00687856"/>
    <w:rsid w:val="006879A8"/>
    <w:rsid w:val="00687B9E"/>
    <w:rsid w:val="00687BD5"/>
    <w:rsid w:val="00687C81"/>
    <w:rsid w:val="00687DEB"/>
    <w:rsid w:val="00687F68"/>
    <w:rsid w:val="00687FF8"/>
    <w:rsid w:val="0069000F"/>
    <w:rsid w:val="00690649"/>
    <w:rsid w:val="00690657"/>
    <w:rsid w:val="00690703"/>
    <w:rsid w:val="006908C2"/>
    <w:rsid w:val="006909B7"/>
    <w:rsid w:val="00690A81"/>
    <w:rsid w:val="00690AD0"/>
    <w:rsid w:val="00690D83"/>
    <w:rsid w:val="00691016"/>
    <w:rsid w:val="00691076"/>
    <w:rsid w:val="00691217"/>
    <w:rsid w:val="00691456"/>
    <w:rsid w:val="00691658"/>
    <w:rsid w:val="00691791"/>
    <w:rsid w:val="006918E5"/>
    <w:rsid w:val="00691B5A"/>
    <w:rsid w:val="00691BBD"/>
    <w:rsid w:val="00691D1E"/>
    <w:rsid w:val="00692090"/>
    <w:rsid w:val="006920CF"/>
    <w:rsid w:val="00692178"/>
    <w:rsid w:val="006923A1"/>
    <w:rsid w:val="006923AC"/>
    <w:rsid w:val="0069246E"/>
    <w:rsid w:val="006925E3"/>
    <w:rsid w:val="00692606"/>
    <w:rsid w:val="00692657"/>
    <w:rsid w:val="00692C17"/>
    <w:rsid w:val="00693234"/>
    <w:rsid w:val="0069328D"/>
    <w:rsid w:val="006932A2"/>
    <w:rsid w:val="00693443"/>
    <w:rsid w:val="006937F0"/>
    <w:rsid w:val="006938A3"/>
    <w:rsid w:val="00693A38"/>
    <w:rsid w:val="00693A83"/>
    <w:rsid w:val="00693AC0"/>
    <w:rsid w:val="00693AE5"/>
    <w:rsid w:val="00693C09"/>
    <w:rsid w:val="00693C57"/>
    <w:rsid w:val="00693E6E"/>
    <w:rsid w:val="00693E83"/>
    <w:rsid w:val="00693EDF"/>
    <w:rsid w:val="006941F8"/>
    <w:rsid w:val="0069420F"/>
    <w:rsid w:val="00694508"/>
    <w:rsid w:val="006946C8"/>
    <w:rsid w:val="00694924"/>
    <w:rsid w:val="00694960"/>
    <w:rsid w:val="00694986"/>
    <w:rsid w:val="006951B1"/>
    <w:rsid w:val="0069579F"/>
    <w:rsid w:val="006957ED"/>
    <w:rsid w:val="006959ED"/>
    <w:rsid w:val="00695A93"/>
    <w:rsid w:val="00695B07"/>
    <w:rsid w:val="00695BAF"/>
    <w:rsid w:val="00695C07"/>
    <w:rsid w:val="00695D7A"/>
    <w:rsid w:val="006961BE"/>
    <w:rsid w:val="006962F8"/>
    <w:rsid w:val="00696353"/>
    <w:rsid w:val="00696596"/>
    <w:rsid w:val="0069693D"/>
    <w:rsid w:val="00696C57"/>
    <w:rsid w:val="00696E84"/>
    <w:rsid w:val="00696FE5"/>
    <w:rsid w:val="006970E2"/>
    <w:rsid w:val="0069712D"/>
    <w:rsid w:val="00697180"/>
    <w:rsid w:val="006971B3"/>
    <w:rsid w:val="006971EE"/>
    <w:rsid w:val="0069727F"/>
    <w:rsid w:val="00697520"/>
    <w:rsid w:val="00697C1B"/>
    <w:rsid w:val="00697D1F"/>
    <w:rsid w:val="00697F22"/>
    <w:rsid w:val="00697FC3"/>
    <w:rsid w:val="00697FE2"/>
    <w:rsid w:val="006A0018"/>
    <w:rsid w:val="006A005F"/>
    <w:rsid w:val="006A0073"/>
    <w:rsid w:val="006A0097"/>
    <w:rsid w:val="006A00A1"/>
    <w:rsid w:val="006A00C3"/>
    <w:rsid w:val="006A0123"/>
    <w:rsid w:val="006A01A3"/>
    <w:rsid w:val="006A0315"/>
    <w:rsid w:val="006A043C"/>
    <w:rsid w:val="006A0499"/>
    <w:rsid w:val="006A0571"/>
    <w:rsid w:val="006A08AC"/>
    <w:rsid w:val="006A0902"/>
    <w:rsid w:val="006A0974"/>
    <w:rsid w:val="006A0A00"/>
    <w:rsid w:val="006A0BE0"/>
    <w:rsid w:val="006A0E14"/>
    <w:rsid w:val="006A1070"/>
    <w:rsid w:val="006A1586"/>
    <w:rsid w:val="006A159F"/>
    <w:rsid w:val="006A18BB"/>
    <w:rsid w:val="006A18CF"/>
    <w:rsid w:val="006A1A14"/>
    <w:rsid w:val="006A1B93"/>
    <w:rsid w:val="006A241B"/>
    <w:rsid w:val="006A242A"/>
    <w:rsid w:val="006A26AF"/>
    <w:rsid w:val="006A26BF"/>
    <w:rsid w:val="006A27D0"/>
    <w:rsid w:val="006A2952"/>
    <w:rsid w:val="006A2AB2"/>
    <w:rsid w:val="006A2E0C"/>
    <w:rsid w:val="006A2FBF"/>
    <w:rsid w:val="006A3017"/>
    <w:rsid w:val="006A315E"/>
    <w:rsid w:val="006A33B8"/>
    <w:rsid w:val="006A3452"/>
    <w:rsid w:val="006A3808"/>
    <w:rsid w:val="006A384D"/>
    <w:rsid w:val="006A38E3"/>
    <w:rsid w:val="006A392D"/>
    <w:rsid w:val="006A3A74"/>
    <w:rsid w:val="006A3B27"/>
    <w:rsid w:val="006A3B36"/>
    <w:rsid w:val="006A3BBC"/>
    <w:rsid w:val="006A3CE6"/>
    <w:rsid w:val="006A3D35"/>
    <w:rsid w:val="006A3F58"/>
    <w:rsid w:val="006A4180"/>
    <w:rsid w:val="006A4196"/>
    <w:rsid w:val="006A4255"/>
    <w:rsid w:val="006A42AA"/>
    <w:rsid w:val="006A4359"/>
    <w:rsid w:val="006A44BD"/>
    <w:rsid w:val="006A46D3"/>
    <w:rsid w:val="006A470C"/>
    <w:rsid w:val="006A47FB"/>
    <w:rsid w:val="006A4801"/>
    <w:rsid w:val="006A4A01"/>
    <w:rsid w:val="006A4A44"/>
    <w:rsid w:val="006A4CF0"/>
    <w:rsid w:val="006A4D74"/>
    <w:rsid w:val="006A4EC5"/>
    <w:rsid w:val="006A5038"/>
    <w:rsid w:val="006A5044"/>
    <w:rsid w:val="006A5137"/>
    <w:rsid w:val="006A5262"/>
    <w:rsid w:val="006A542B"/>
    <w:rsid w:val="006A56A8"/>
    <w:rsid w:val="006A5734"/>
    <w:rsid w:val="006A5A81"/>
    <w:rsid w:val="006A5B9E"/>
    <w:rsid w:val="006A5D5D"/>
    <w:rsid w:val="006A5E71"/>
    <w:rsid w:val="006A5F2C"/>
    <w:rsid w:val="006A5F4D"/>
    <w:rsid w:val="006A6075"/>
    <w:rsid w:val="006A61F1"/>
    <w:rsid w:val="006A627F"/>
    <w:rsid w:val="006A62C8"/>
    <w:rsid w:val="006A63F9"/>
    <w:rsid w:val="006A648F"/>
    <w:rsid w:val="006A64C9"/>
    <w:rsid w:val="006A653E"/>
    <w:rsid w:val="006A65DE"/>
    <w:rsid w:val="006A6608"/>
    <w:rsid w:val="006A6755"/>
    <w:rsid w:val="006A692F"/>
    <w:rsid w:val="006A6930"/>
    <w:rsid w:val="006A69EF"/>
    <w:rsid w:val="006A6BCD"/>
    <w:rsid w:val="006A6E27"/>
    <w:rsid w:val="006A6F6E"/>
    <w:rsid w:val="006A7020"/>
    <w:rsid w:val="006A7247"/>
    <w:rsid w:val="006A7F07"/>
    <w:rsid w:val="006B0069"/>
    <w:rsid w:val="006B007E"/>
    <w:rsid w:val="006B016E"/>
    <w:rsid w:val="006B03C3"/>
    <w:rsid w:val="006B0593"/>
    <w:rsid w:val="006B0801"/>
    <w:rsid w:val="006B0A63"/>
    <w:rsid w:val="006B0A98"/>
    <w:rsid w:val="006B0DC9"/>
    <w:rsid w:val="006B13E8"/>
    <w:rsid w:val="006B1609"/>
    <w:rsid w:val="006B173E"/>
    <w:rsid w:val="006B17F9"/>
    <w:rsid w:val="006B1A19"/>
    <w:rsid w:val="006B1A90"/>
    <w:rsid w:val="006B1AE2"/>
    <w:rsid w:val="006B1C71"/>
    <w:rsid w:val="006B1D7F"/>
    <w:rsid w:val="006B2032"/>
    <w:rsid w:val="006B207D"/>
    <w:rsid w:val="006B2442"/>
    <w:rsid w:val="006B249C"/>
    <w:rsid w:val="006B27E0"/>
    <w:rsid w:val="006B28CE"/>
    <w:rsid w:val="006B2E50"/>
    <w:rsid w:val="006B2E7B"/>
    <w:rsid w:val="006B3000"/>
    <w:rsid w:val="006B329C"/>
    <w:rsid w:val="006B342C"/>
    <w:rsid w:val="006B347F"/>
    <w:rsid w:val="006B34AC"/>
    <w:rsid w:val="006B3862"/>
    <w:rsid w:val="006B38FB"/>
    <w:rsid w:val="006B39F8"/>
    <w:rsid w:val="006B3A76"/>
    <w:rsid w:val="006B3C22"/>
    <w:rsid w:val="006B3CC1"/>
    <w:rsid w:val="006B3CE8"/>
    <w:rsid w:val="006B3D00"/>
    <w:rsid w:val="006B3D0B"/>
    <w:rsid w:val="006B3D26"/>
    <w:rsid w:val="006B3E14"/>
    <w:rsid w:val="006B3EBD"/>
    <w:rsid w:val="006B3EF9"/>
    <w:rsid w:val="006B4164"/>
    <w:rsid w:val="006B4223"/>
    <w:rsid w:val="006B4320"/>
    <w:rsid w:val="006B49B6"/>
    <w:rsid w:val="006B4A81"/>
    <w:rsid w:val="006B4F25"/>
    <w:rsid w:val="006B50A4"/>
    <w:rsid w:val="006B5143"/>
    <w:rsid w:val="006B5499"/>
    <w:rsid w:val="006B55CD"/>
    <w:rsid w:val="006B5750"/>
    <w:rsid w:val="006B5B8F"/>
    <w:rsid w:val="006B5C13"/>
    <w:rsid w:val="006B5E23"/>
    <w:rsid w:val="006B6018"/>
    <w:rsid w:val="006B603A"/>
    <w:rsid w:val="006B604A"/>
    <w:rsid w:val="006B604D"/>
    <w:rsid w:val="006B631B"/>
    <w:rsid w:val="006B65A3"/>
    <w:rsid w:val="006B6890"/>
    <w:rsid w:val="006B692E"/>
    <w:rsid w:val="006B6D72"/>
    <w:rsid w:val="006B70D3"/>
    <w:rsid w:val="006B7482"/>
    <w:rsid w:val="006B76B2"/>
    <w:rsid w:val="006B76C2"/>
    <w:rsid w:val="006B774C"/>
    <w:rsid w:val="006B7A48"/>
    <w:rsid w:val="006B7A82"/>
    <w:rsid w:val="006B7C8F"/>
    <w:rsid w:val="006B7C97"/>
    <w:rsid w:val="006B7CE9"/>
    <w:rsid w:val="006C0087"/>
    <w:rsid w:val="006C00B8"/>
    <w:rsid w:val="006C00BB"/>
    <w:rsid w:val="006C0628"/>
    <w:rsid w:val="006C0648"/>
    <w:rsid w:val="006C149D"/>
    <w:rsid w:val="006C1509"/>
    <w:rsid w:val="006C15C4"/>
    <w:rsid w:val="006C16EA"/>
    <w:rsid w:val="006C19AA"/>
    <w:rsid w:val="006C1A0C"/>
    <w:rsid w:val="006C1A40"/>
    <w:rsid w:val="006C1ADB"/>
    <w:rsid w:val="006C1D33"/>
    <w:rsid w:val="006C1F7D"/>
    <w:rsid w:val="006C20CA"/>
    <w:rsid w:val="006C2447"/>
    <w:rsid w:val="006C2F59"/>
    <w:rsid w:val="006C2F77"/>
    <w:rsid w:val="006C2F9A"/>
    <w:rsid w:val="006C3051"/>
    <w:rsid w:val="006C33B5"/>
    <w:rsid w:val="006C34FF"/>
    <w:rsid w:val="006C37BB"/>
    <w:rsid w:val="006C3896"/>
    <w:rsid w:val="006C393F"/>
    <w:rsid w:val="006C39AA"/>
    <w:rsid w:val="006C3C81"/>
    <w:rsid w:val="006C3E65"/>
    <w:rsid w:val="006C4112"/>
    <w:rsid w:val="006C4145"/>
    <w:rsid w:val="006C41FD"/>
    <w:rsid w:val="006C4519"/>
    <w:rsid w:val="006C4CC1"/>
    <w:rsid w:val="006C4E6F"/>
    <w:rsid w:val="006C4EC4"/>
    <w:rsid w:val="006C4F30"/>
    <w:rsid w:val="006C5253"/>
    <w:rsid w:val="006C5375"/>
    <w:rsid w:val="006C552A"/>
    <w:rsid w:val="006C555F"/>
    <w:rsid w:val="006C581F"/>
    <w:rsid w:val="006C588A"/>
    <w:rsid w:val="006C589C"/>
    <w:rsid w:val="006C5945"/>
    <w:rsid w:val="006C5A3D"/>
    <w:rsid w:val="006C5B97"/>
    <w:rsid w:val="006C5BDB"/>
    <w:rsid w:val="006C5CF4"/>
    <w:rsid w:val="006C5F72"/>
    <w:rsid w:val="006C6115"/>
    <w:rsid w:val="006C62F9"/>
    <w:rsid w:val="006C67AE"/>
    <w:rsid w:val="006C6936"/>
    <w:rsid w:val="006C6C3D"/>
    <w:rsid w:val="006C6E80"/>
    <w:rsid w:val="006C6EC7"/>
    <w:rsid w:val="006C6F34"/>
    <w:rsid w:val="006C7179"/>
    <w:rsid w:val="006C7251"/>
    <w:rsid w:val="006C7400"/>
    <w:rsid w:val="006C7540"/>
    <w:rsid w:val="006C7653"/>
    <w:rsid w:val="006C7805"/>
    <w:rsid w:val="006C783B"/>
    <w:rsid w:val="006C7ADE"/>
    <w:rsid w:val="006C7D34"/>
    <w:rsid w:val="006C7E96"/>
    <w:rsid w:val="006D02DE"/>
    <w:rsid w:val="006D046D"/>
    <w:rsid w:val="006D0686"/>
    <w:rsid w:val="006D0864"/>
    <w:rsid w:val="006D092C"/>
    <w:rsid w:val="006D0BD8"/>
    <w:rsid w:val="006D0C80"/>
    <w:rsid w:val="006D0ECA"/>
    <w:rsid w:val="006D1322"/>
    <w:rsid w:val="006D1489"/>
    <w:rsid w:val="006D1709"/>
    <w:rsid w:val="006D1BF9"/>
    <w:rsid w:val="006D1C17"/>
    <w:rsid w:val="006D1CA0"/>
    <w:rsid w:val="006D1E82"/>
    <w:rsid w:val="006D1EC4"/>
    <w:rsid w:val="006D2037"/>
    <w:rsid w:val="006D20E0"/>
    <w:rsid w:val="006D243B"/>
    <w:rsid w:val="006D261F"/>
    <w:rsid w:val="006D2876"/>
    <w:rsid w:val="006D2AB4"/>
    <w:rsid w:val="006D2BAB"/>
    <w:rsid w:val="006D2F2F"/>
    <w:rsid w:val="006D303B"/>
    <w:rsid w:val="006D3810"/>
    <w:rsid w:val="006D3838"/>
    <w:rsid w:val="006D3E2A"/>
    <w:rsid w:val="006D3E73"/>
    <w:rsid w:val="006D3EE8"/>
    <w:rsid w:val="006D411A"/>
    <w:rsid w:val="006D411C"/>
    <w:rsid w:val="006D420B"/>
    <w:rsid w:val="006D44B0"/>
    <w:rsid w:val="006D4C69"/>
    <w:rsid w:val="006D4C97"/>
    <w:rsid w:val="006D4D05"/>
    <w:rsid w:val="006D4D70"/>
    <w:rsid w:val="006D4DB8"/>
    <w:rsid w:val="006D51C7"/>
    <w:rsid w:val="006D524A"/>
    <w:rsid w:val="006D5264"/>
    <w:rsid w:val="006D5408"/>
    <w:rsid w:val="006D543C"/>
    <w:rsid w:val="006D5939"/>
    <w:rsid w:val="006D5A5D"/>
    <w:rsid w:val="006D5B87"/>
    <w:rsid w:val="006D5CB7"/>
    <w:rsid w:val="006D5CB9"/>
    <w:rsid w:val="006D5CCC"/>
    <w:rsid w:val="006D5D9F"/>
    <w:rsid w:val="006D5E7E"/>
    <w:rsid w:val="006D5F46"/>
    <w:rsid w:val="006D611E"/>
    <w:rsid w:val="006D6209"/>
    <w:rsid w:val="006D62D0"/>
    <w:rsid w:val="006D6308"/>
    <w:rsid w:val="006D6356"/>
    <w:rsid w:val="006D64AA"/>
    <w:rsid w:val="006D6551"/>
    <w:rsid w:val="006D67A4"/>
    <w:rsid w:val="006D68DB"/>
    <w:rsid w:val="006D6920"/>
    <w:rsid w:val="006D6AAB"/>
    <w:rsid w:val="006D6B7F"/>
    <w:rsid w:val="006D6D95"/>
    <w:rsid w:val="006D6E01"/>
    <w:rsid w:val="006D6FD4"/>
    <w:rsid w:val="006D701A"/>
    <w:rsid w:val="006D709A"/>
    <w:rsid w:val="006D7120"/>
    <w:rsid w:val="006D7150"/>
    <w:rsid w:val="006D7168"/>
    <w:rsid w:val="006D7298"/>
    <w:rsid w:val="006D729C"/>
    <w:rsid w:val="006D74A0"/>
    <w:rsid w:val="006D754C"/>
    <w:rsid w:val="006D75A0"/>
    <w:rsid w:val="006D79CD"/>
    <w:rsid w:val="006D7BBC"/>
    <w:rsid w:val="006D7CBF"/>
    <w:rsid w:val="006D7F69"/>
    <w:rsid w:val="006E0034"/>
    <w:rsid w:val="006E080E"/>
    <w:rsid w:val="006E0950"/>
    <w:rsid w:val="006E09A7"/>
    <w:rsid w:val="006E0FAF"/>
    <w:rsid w:val="006E14A6"/>
    <w:rsid w:val="006E1596"/>
    <w:rsid w:val="006E1628"/>
    <w:rsid w:val="006E173B"/>
    <w:rsid w:val="006E1891"/>
    <w:rsid w:val="006E18CC"/>
    <w:rsid w:val="006E199F"/>
    <w:rsid w:val="006E1BF3"/>
    <w:rsid w:val="006E1E30"/>
    <w:rsid w:val="006E1F2B"/>
    <w:rsid w:val="006E2191"/>
    <w:rsid w:val="006E22AA"/>
    <w:rsid w:val="006E2511"/>
    <w:rsid w:val="006E2650"/>
    <w:rsid w:val="006E27F9"/>
    <w:rsid w:val="006E2B00"/>
    <w:rsid w:val="006E2E20"/>
    <w:rsid w:val="006E30F0"/>
    <w:rsid w:val="006E34FC"/>
    <w:rsid w:val="006E369B"/>
    <w:rsid w:val="006E3977"/>
    <w:rsid w:val="006E3A53"/>
    <w:rsid w:val="006E3B49"/>
    <w:rsid w:val="006E3BD7"/>
    <w:rsid w:val="006E3C2B"/>
    <w:rsid w:val="006E3C69"/>
    <w:rsid w:val="006E3C99"/>
    <w:rsid w:val="006E40C3"/>
    <w:rsid w:val="006E423E"/>
    <w:rsid w:val="006E48F8"/>
    <w:rsid w:val="006E4B84"/>
    <w:rsid w:val="006E4E93"/>
    <w:rsid w:val="006E54A2"/>
    <w:rsid w:val="006E54CC"/>
    <w:rsid w:val="006E5501"/>
    <w:rsid w:val="006E5802"/>
    <w:rsid w:val="006E5FF7"/>
    <w:rsid w:val="006E6088"/>
    <w:rsid w:val="006E6135"/>
    <w:rsid w:val="006E6266"/>
    <w:rsid w:val="006E66BC"/>
    <w:rsid w:val="006E66D1"/>
    <w:rsid w:val="006E6A39"/>
    <w:rsid w:val="006E6B27"/>
    <w:rsid w:val="006E6B55"/>
    <w:rsid w:val="006E6B6E"/>
    <w:rsid w:val="006E6C94"/>
    <w:rsid w:val="006E6E7F"/>
    <w:rsid w:val="006E6E8F"/>
    <w:rsid w:val="006E6F3D"/>
    <w:rsid w:val="006E6F4E"/>
    <w:rsid w:val="006E70D0"/>
    <w:rsid w:val="006E710F"/>
    <w:rsid w:val="006E7187"/>
    <w:rsid w:val="006E76CA"/>
    <w:rsid w:val="006E7751"/>
    <w:rsid w:val="006E7B63"/>
    <w:rsid w:val="006E7B68"/>
    <w:rsid w:val="006E7F21"/>
    <w:rsid w:val="006F01CC"/>
    <w:rsid w:val="006F0220"/>
    <w:rsid w:val="006F0579"/>
    <w:rsid w:val="006F066E"/>
    <w:rsid w:val="006F068C"/>
    <w:rsid w:val="006F0D50"/>
    <w:rsid w:val="006F0DF6"/>
    <w:rsid w:val="006F1239"/>
    <w:rsid w:val="006F12AD"/>
    <w:rsid w:val="006F14C6"/>
    <w:rsid w:val="006F15AA"/>
    <w:rsid w:val="006F16D3"/>
    <w:rsid w:val="006F17EA"/>
    <w:rsid w:val="006F1981"/>
    <w:rsid w:val="006F1A80"/>
    <w:rsid w:val="006F1F02"/>
    <w:rsid w:val="006F1FFA"/>
    <w:rsid w:val="006F247C"/>
    <w:rsid w:val="006F27F2"/>
    <w:rsid w:val="006F28DA"/>
    <w:rsid w:val="006F2B7C"/>
    <w:rsid w:val="006F2D63"/>
    <w:rsid w:val="006F30AF"/>
    <w:rsid w:val="006F30D5"/>
    <w:rsid w:val="006F312D"/>
    <w:rsid w:val="006F3155"/>
    <w:rsid w:val="006F34D6"/>
    <w:rsid w:val="006F35D2"/>
    <w:rsid w:val="006F35DD"/>
    <w:rsid w:val="006F3658"/>
    <w:rsid w:val="006F36CF"/>
    <w:rsid w:val="006F36E7"/>
    <w:rsid w:val="006F3751"/>
    <w:rsid w:val="006F3F43"/>
    <w:rsid w:val="006F402A"/>
    <w:rsid w:val="006F4260"/>
    <w:rsid w:val="006F439F"/>
    <w:rsid w:val="006F44A7"/>
    <w:rsid w:val="006F4943"/>
    <w:rsid w:val="006F4944"/>
    <w:rsid w:val="006F4B1C"/>
    <w:rsid w:val="006F4C59"/>
    <w:rsid w:val="006F4E11"/>
    <w:rsid w:val="006F4F2C"/>
    <w:rsid w:val="006F50BC"/>
    <w:rsid w:val="006F519D"/>
    <w:rsid w:val="006F51DE"/>
    <w:rsid w:val="006F525F"/>
    <w:rsid w:val="006F58A0"/>
    <w:rsid w:val="006F5A22"/>
    <w:rsid w:val="006F5AAA"/>
    <w:rsid w:val="006F5AFA"/>
    <w:rsid w:val="006F5CE7"/>
    <w:rsid w:val="006F5D96"/>
    <w:rsid w:val="006F5DB9"/>
    <w:rsid w:val="006F5E83"/>
    <w:rsid w:val="006F6644"/>
    <w:rsid w:val="006F667D"/>
    <w:rsid w:val="006F6757"/>
    <w:rsid w:val="006F67F0"/>
    <w:rsid w:val="006F6A12"/>
    <w:rsid w:val="006F6AFC"/>
    <w:rsid w:val="006F6B41"/>
    <w:rsid w:val="006F6C2A"/>
    <w:rsid w:val="006F6D52"/>
    <w:rsid w:val="006F6E3C"/>
    <w:rsid w:val="006F7024"/>
    <w:rsid w:val="006F70C1"/>
    <w:rsid w:val="006F714E"/>
    <w:rsid w:val="006F73C2"/>
    <w:rsid w:val="006F75A1"/>
    <w:rsid w:val="006F76EF"/>
    <w:rsid w:val="006F7741"/>
    <w:rsid w:val="006F78B6"/>
    <w:rsid w:val="006F7C5F"/>
    <w:rsid w:val="006F7C69"/>
    <w:rsid w:val="00700018"/>
    <w:rsid w:val="00700341"/>
    <w:rsid w:val="00700382"/>
    <w:rsid w:val="00700416"/>
    <w:rsid w:val="0070092D"/>
    <w:rsid w:val="00700937"/>
    <w:rsid w:val="00700A24"/>
    <w:rsid w:val="00700EB4"/>
    <w:rsid w:val="00700F0A"/>
    <w:rsid w:val="00700F1E"/>
    <w:rsid w:val="0070105A"/>
    <w:rsid w:val="007010E7"/>
    <w:rsid w:val="007011C2"/>
    <w:rsid w:val="007013AD"/>
    <w:rsid w:val="00701520"/>
    <w:rsid w:val="00701705"/>
    <w:rsid w:val="00701854"/>
    <w:rsid w:val="0070185F"/>
    <w:rsid w:val="00701868"/>
    <w:rsid w:val="007018D7"/>
    <w:rsid w:val="00701972"/>
    <w:rsid w:val="00701E78"/>
    <w:rsid w:val="00701E7B"/>
    <w:rsid w:val="00701EC0"/>
    <w:rsid w:val="00701F52"/>
    <w:rsid w:val="00701F60"/>
    <w:rsid w:val="0070213E"/>
    <w:rsid w:val="00702170"/>
    <w:rsid w:val="007023E1"/>
    <w:rsid w:val="007024E5"/>
    <w:rsid w:val="007026A2"/>
    <w:rsid w:val="00702A53"/>
    <w:rsid w:val="00702BC9"/>
    <w:rsid w:val="00702C7C"/>
    <w:rsid w:val="00703029"/>
    <w:rsid w:val="0070327D"/>
    <w:rsid w:val="007032CB"/>
    <w:rsid w:val="00703707"/>
    <w:rsid w:val="007037DD"/>
    <w:rsid w:val="007038F0"/>
    <w:rsid w:val="00703A71"/>
    <w:rsid w:val="00703AA8"/>
    <w:rsid w:val="00703DBC"/>
    <w:rsid w:val="00703DCC"/>
    <w:rsid w:val="00704013"/>
    <w:rsid w:val="007041AE"/>
    <w:rsid w:val="0070438A"/>
    <w:rsid w:val="00704462"/>
    <w:rsid w:val="00704479"/>
    <w:rsid w:val="007045CB"/>
    <w:rsid w:val="00704C21"/>
    <w:rsid w:val="007053C5"/>
    <w:rsid w:val="0070561C"/>
    <w:rsid w:val="007056B4"/>
    <w:rsid w:val="007056BE"/>
    <w:rsid w:val="0070573A"/>
    <w:rsid w:val="00705745"/>
    <w:rsid w:val="007058D4"/>
    <w:rsid w:val="00705A57"/>
    <w:rsid w:val="00705D16"/>
    <w:rsid w:val="007064EF"/>
    <w:rsid w:val="00706CB7"/>
    <w:rsid w:val="00706E7B"/>
    <w:rsid w:val="00707049"/>
    <w:rsid w:val="00707154"/>
    <w:rsid w:val="00707521"/>
    <w:rsid w:val="007078AF"/>
    <w:rsid w:val="0070795A"/>
    <w:rsid w:val="007079A4"/>
    <w:rsid w:val="00707BFD"/>
    <w:rsid w:val="00707C87"/>
    <w:rsid w:val="00707DD3"/>
    <w:rsid w:val="00707DD5"/>
    <w:rsid w:val="00707EDC"/>
    <w:rsid w:val="00707F30"/>
    <w:rsid w:val="00710693"/>
    <w:rsid w:val="00710A76"/>
    <w:rsid w:val="00710D56"/>
    <w:rsid w:val="00710D86"/>
    <w:rsid w:val="00710DC9"/>
    <w:rsid w:val="007111B7"/>
    <w:rsid w:val="007112FA"/>
    <w:rsid w:val="007114BE"/>
    <w:rsid w:val="0071164F"/>
    <w:rsid w:val="0071197A"/>
    <w:rsid w:val="007119A9"/>
    <w:rsid w:val="00711B57"/>
    <w:rsid w:val="00711B7C"/>
    <w:rsid w:val="00711ECF"/>
    <w:rsid w:val="00711FE5"/>
    <w:rsid w:val="0071203F"/>
    <w:rsid w:val="007121D5"/>
    <w:rsid w:val="007122C3"/>
    <w:rsid w:val="00712483"/>
    <w:rsid w:val="00712912"/>
    <w:rsid w:val="00712919"/>
    <w:rsid w:val="0071293A"/>
    <w:rsid w:val="00712C1A"/>
    <w:rsid w:val="00712C5A"/>
    <w:rsid w:val="0071301D"/>
    <w:rsid w:val="00713043"/>
    <w:rsid w:val="007131FA"/>
    <w:rsid w:val="007132AC"/>
    <w:rsid w:val="007137D3"/>
    <w:rsid w:val="00713B60"/>
    <w:rsid w:val="00713B68"/>
    <w:rsid w:val="00713C7D"/>
    <w:rsid w:val="00713E9A"/>
    <w:rsid w:val="00714157"/>
    <w:rsid w:val="00714483"/>
    <w:rsid w:val="0071480D"/>
    <w:rsid w:val="007149A0"/>
    <w:rsid w:val="007149B5"/>
    <w:rsid w:val="00714A5A"/>
    <w:rsid w:val="00714F69"/>
    <w:rsid w:val="0071508D"/>
    <w:rsid w:val="007152CE"/>
    <w:rsid w:val="00715784"/>
    <w:rsid w:val="007157A2"/>
    <w:rsid w:val="00715929"/>
    <w:rsid w:val="00715989"/>
    <w:rsid w:val="00715A9A"/>
    <w:rsid w:val="00715CB8"/>
    <w:rsid w:val="00715D60"/>
    <w:rsid w:val="00715D7C"/>
    <w:rsid w:val="00715F35"/>
    <w:rsid w:val="00715F8B"/>
    <w:rsid w:val="00716155"/>
    <w:rsid w:val="0071616E"/>
    <w:rsid w:val="007161BE"/>
    <w:rsid w:val="00716213"/>
    <w:rsid w:val="0071651B"/>
    <w:rsid w:val="0071685D"/>
    <w:rsid w:val="00716A89"/>
    <w:rsid w:val="00716C2E"/>
    <w:rsid w:val="00716EAA"/>
    <w:rsid w:val="00717199"/>
    <w:rsid w:val="007175DD"/>
    <w:rsid w:val="00717674"/>
    <w:rsid w:val="00717741"/>
    <w:rsid w:val="0071777A"/>
    <w:rsid w:val="00717878"/>
    <w:rsid w:val="007179B0"/>
    <w:rsid w:val="00717A1F"/>
    <w:rsid w:val="00717A4B"/>
    <w:rsid w:val="00717A68"/>
    <w:rsid w:val="007200B5"/>
    <w:rsid w:val="00720123"/>
    <w:rsid w:val="00720164"/>
    <w:rsid w:val="00720319"/>
    <w:rsid w:val="007205C9"/>
    <w:rsid w:val="007206A5"/>
    <w:rsid w:val="00720802"/>
    <w:rsid w:val="007208B9"/>
    <w:rsid w:val="0072101F"/>
    <w:rsid w:val="00721246"/>
    <w:rsid w:val="0072137D"/>
    <w:rsid w:val="00721717"/>
    <w:rsid w:val="00721721"/>
    <w:rsid w:val="007217AE"/>
    <w:rsid w:val="00721988"/>
    <w:rsid w:val="007219D0"/>
    <w:rsid w:val="00721A0D"/>
    <w:rsid w:val="00721A9C"/>
    <w:rsid w:val="00721AF5"/>
    <w:rsid w:val="00721C74"/>
    <w:rsid w:val="00721C93"/>
    <w:rsid w:val="00721C9F"/>
    <w:rsid w:val="00721CBC"/>
    <w:rsid w:val="00721CD7"/>
    <w:rsid w:val="00721DA0"/>
    <w:rsid w:val="00721DFF"/>
    <w:rsid w:val="00721E2B"/>
    <w:rsid w:val="00721EFF"/>
    <w:rsid w:val="00721FF3"/>
    <w:rsid w:val="007220CF"/>
    <w:rsid w:val="00722762"/>
    <w:rsid w:val="007228A4"/>
    <w:rsid w:val="00722C92"/>
    <w:rsid w:val="00722DDE"/>
    <w:rsid w:val="00722E4A"/>
    <w:rsid w:val="00722F86"/>
    <w:rsid w:val="00723055"/>
    <w:rsid w:val="007230A2"/>
    <w:rsid w:val="0072325C"/>
    <w:rsid w:val="007233CA"/>
    <w:rsid w:val="00723452"/>
    <w:rsid w:val="00723659"/>
    <w:rsid w:val="00723759"/>
    <w:rsid w:val="007237E3"/>
    <w:rsid w:val="00723B2C"/>
    <w:rsid w:val="00723D10"/>
    <w:rsid w:val="00723F2B"/>
    <w:rsid w:val="00723FEF"/>
    <w:rsid w:val="00724089"/>
    <w:rsid w:val="007240AC"/>
    <w:rsid w:val="007241D5"/>
    <w:rsid w:val="007241F0"/>
    <w:rsid w:val="007244F3"/>
    <w:rsid w:val="0072473E"/>
    <w:rsid w:val="007249E5"/>
    <w:rsid w:val="00724C4D"/>
    <w:rsid w:val="00724CEC"/>
    <w:rsid w:val="00724E5D"/>
    <w:rsid w:val="00725012"/>
    <w:rsid w:val="00725103"/>
    <w:rsid w:val="007252BF"/>
    <w:rsid w:val="007252FC"/>
    <w:rsid w:val="007253B8"/>
    <w:rsid w:val="007253CB"/>
    <w:rsid w:val="007254EA"/>
    <w:rsid w:val="0072555D"/>
    <w:rsid w:val="00725BE5"/>
    <w:rsid w:val="00725C9A"/>
    <w:rsid w:val="0072608B"/>
    <w:rsid w:val="007260D7"/>
    <w:rsid w:val="007267C8"/>
    <w:rsid w:val="0072692B"/>
    <w:rsid w:val="00726EB7"/>
    <w:rsid w:val="00726F2E"/>
    <w:rsid w:val="00727076"/>
    <w:rsid w:val="0072732A"/>
    <w:rsid w:val="007273FC"/>
    <w:rsid w:val="00727457"/>
    <w:rsid w:val="007275E8"/>
    <w:rsid w:val="007279E9"/>
    <w:rsid w:val="00727DFF"/>
    <w:rsid w:val="00730032"/>
    <w:rsid w:val="00730462"/>
    <w:rsid w:val="007304B3"/>
    <w:rsid w:val="007307A6"/>
    <w:rsid w:val="00730AB9"/>
    <w:rsid w:val="00730C25"/>
    <w:rsid w:val="00730C94"/>
    <w:rsid w:val="00730F01"/>
    <w:rsid w:val="00730F2F"/>
    <w:rsid w:val="00730F49"/>
    <w:rsid w:val="0073131D"/>
    <w:rsid w:val="007317FA"/>
    <w:rsid w:val="00731ECA"/>
    <w:rsid w:val="00731F50"/>
    <w:rsid w:val="00732024"/>
    <w:rsid w:val="00732033"/>
    <w:rsid w:val="00732039"/>
    <w:rsid w:val="0073211B"/>
    <w:rsid w:val="0073225E"/>
    <w:rsid w:val="007322B0"/>
    <w:rsid w:val="00732A3A"/>
    <w:rsid w:val="00732AB7"/>
    <w:rsid w:val="00732BC8"/>
    <w:rsid w:val="00732C62"/>
    <w:rsid w:val="00732D70"/>
    <w:rsid w:val="00732E9F"/>
    <w:rsid w:val="00732F71"/>
    <w:rsid w:val="00732FA4"/>
    <w:rsid w:val="00733060"/>
    <w:rsid w:val="007333B8"/>
    <w:rsid w:val="007333F5"/>
    <w:rsid w:val="007336C7"/>
    <w:rsid w:val="00733D25"/>
    <w:rsid w:val="00733E11"/>
    <w:rsid w:val="007340D8"/>
    <w:rsid w:val="00734124"/>
    <w:rsid w:val="0073415C"/>
    <w:rsid w:val="007344B5"/>
    <w:rsid w:val="007346D1"/>
    <w:rsid w:val="007347D7"/>
    <w:rsid w:val="00734B51"/>
    <w:rsid w:val="00734EBC"/>
    <w:rsid w:val="00735168"/>
    <w:rsid w:val="00735769"/>
    <w:rsid w:val="00735CB5"/>
    <w:rsid w:val="007367F0"/>
    <w:rsid w:val="007369A8"/>
    <w:rsid w:val="00736B72"/>
    <w:rsid w:val="00736E30"/>
    <w:rsid w:val="00736E7B"/>
    <w:rsid w:val="007371FB"/>
    <w:rsid w:val="0073748A"/>
    <w:rsid w:val="00737701"/>
    <w:rsid w:val="00737742"/>
    <w:rsid w:val="0073781E"/>
    <w:rsid w:val="00737F33"/>
    <w:rsid w:val="007400FA"/>
    <w:rsid w:val="0074028C"/>
    <w:rsid w:val="007402CC"/>
    <w:rsid w:val="00740379"/>
    <w:rsid w:val="00740536"/>
    <w:rsid w:val="00740803"/>
    <w:rsid w:val="007409F7"/>
    <w:rsid w:val="00740AD9"/>
    <w:rsid w:val="00740B0F"/>
    <w:rsid w:val="00740C70"/>
    <w:rsid w:val="00740D06"/>
    <w:rsid w:val="00740D71"/>
    <w:rsid w:val="00740DFB"/>
    <w:rsid w:val="00740E4E"/>
    <w:rsid w:val="007410D2"/>
    <w:rsid w:val="00741361"/>
    <w:rsid w:val="007417BB"/>
    <w:rsid w:val="007417DE"/>
    <w:rsid w:val="00741A9E"/>
    <w:rsid w:val="00741B0A"/>
    <w:rsid w:val="00741D5B"/>
    <w:rsid w:val="00741F3B"/>
    <w:rsid w:val="0074243A"/>
    <w:rsid w:val="007425AC"/>
    <w:rsid w:val="007429D5"/>
    <w:rsid w:val="00742AD4"/>
    <w:rsid w:val="00742AF6"/>
    <w:rsid w:val="00742C0E"/>
    <w:rsid w:val="00742C99"/>
    <w:rsid w:val="00742E5C"/>
    <w:rsid w:val="00742EA9"/>
    <w:rsid w:val="00743000"/>
    <w:rsid w:val="007432DC"/>
    <w:rsid w:val="007436FE"/>
    <w:rsid w:val="0074387C"/>
    <w:rsid w:val="007439DD"/>
    <w:rsid w:val="00743AE7"/>
    <w:rsid w:val="00743B62"/>
    <w:rsid w:val="00743DEB"/>
    <w:rsid w:val="00743E76"/>
    <w:rsid w:val="00743EB7"/>
    <w:rsid w:val="00744A15"/>
    <w:rsid w:val="00744ABC"/>
    <w:rsid w:val="00744AD1"/>
    <w:rsid w:val="00744BD1"/>
    <w:rsid w:val="00744C9A"/>
    <w:rsid w:val="00744DC8"/>
    <w:rsid w:val="00744E96"/>
    <w:rsid w:val="007452B0"/>
    <w:rsid w:val="007454E7"/>
    <w:rsid w:val="00745571"/>
    <w:rsid w:val="007455D0"/>
    <w:rsid w:val="00745AE7"/>
    <w:rsid w:val="00745E87"/>
    <w:rsid w:val="00745F7A"/>
    <w:rsid w:val="00746350"/>
    <w:rsid w:val="00746758"/>
    <w:rsid w:val="007468D3"/>
    <w:rsid w:val="00746FC7"/>
    <w:rsid w:val="007471CA"/>
    <w:rsid w:val="00747300"/>
    <w:rsid w:val="007479EE"/>
    <w:rsid w:val="00747A72"/>
    <w:rsid w:val="00747C00"/>
    <w:rsid w:val="007500E2"/>
    <w:rsid w:val="007500E8"/>
    <w:rsid w:val="00750278"/>
    <w:rsid w:val="00750467"/>
    <w:rsid w:val="007505E3"/>
    <w:rsid w:val="00750757"/>
    <w:rsid w:val="007507B5"/>
    <w:rsid w:val="00750898"/>
    <w:rsid w:val="007508E6"/>
    <w:rsid w:val="00750B30"/>
    <w:rsid w:val="00750DEB"/>
    <w:rsid w:val="00750F79"/>
    <w:rsid w:val="0075137B"/>
    <w:rsid w:val="007513D3"/>
    <w:rsid w:val="0075143F"/>
    <w:rsid w:val="00751471"/>
    <w:rsid w:val="007514FC"/>
    <w:rsid w:val="00751636"/>
    <w:rsid w:val="007517FD"/>
    <w:rsid w:val="00751963"/>
    <w:rsid w:val="0075198C"/>
    <w:rsid w:val="00751B01"/>
    <w:rsid w:val="00751BDC"/>
    <w:rsid w:val="00751C92"/>
    <w:rsid w:val="00751FE5"/>
    <w:rsid w:val="007521B5"/>
    <w:rsid w:val="007522ED"/>
    <w:rsid w:val="00752377"/>
    <w:rsid w:val="007524B5"/>
    <w:rsid w:val="00752675"/>
    <w:rsid w:val="00752966"/>
    <w:rsid w:val="00752AC7"/>
    <w:rsid w:val="00752B33"/>
    <w:rsid w:val="00753097"/>
    <w:rsid w:val="00753304"/>
    <w:rsid w:val="00753330"/>
    <w:rsid w:val="00753733"/>
    <w:rsid w:val="00753A0D"/>
    <w:rsid w:val="00753E2C"/>
    <w:rsid w:val="00753F6C"/>
    <w:rsid w:val="00753FC3"/>
    <w:rsid w:val="00754005"/>
    <w:rsid w:val="0075410C"/>
    <w:rsid w:val="00754216"/>
    <w:rsid w:val="007543DB"/>
    <w:rsid w:val="007543EE"/>
    <w:rsid w:val="00754673"/>
    <w:rsid w:val="007549D0"/>
    <w:rsid w:val="00754E4B"/>
    <w:rsid w:val="00754E87"/>
    <w:rsid w:val="00754EA5"/>
    <w:rsid w:val="00755373"/>
    <w:rsid w:val="007553AF"/>
    <w:rsid w:val="00755450"/>
    <w:rsid w:val="00755635"/>
    <w:rsid w:val="007557B9"/>
    <w:rsid w:val="0075594E"/>
    <w:rsid w:val="00755DE5"/>
    <w:rsid w:val="00755E85"/>
    <w:rsid w:val="00755FFF"/>
    <w:rsid w:val="0075604F"/>
    <w:rsid w:val="007560E6"/>
    <w:rsid w:val="007562E2"/>
    <w:rsid w:val="00756439"/>
    <w:rsid w:val="007566AC"/>
    <w:rsid w:val="00756936"/>
    <w:rsid w:val="00756A0C"/>
    <w:rsid w:val="00756B95"/>
    <w:rsid w:val="00756CC7"/>
    <w:rsid w:val="00756F90"/>
    <w:rsid w:val="00757276"/>
    <w:rsid w:val="0075727F"/>
    <w:rsid w:val="00757389"/>
    <w:rsid w:val="007573EB"/>
    <w:rsid w:val="00757A6F"/>
    <w:rsid w:val="00757BB6"/>
    <w:rsid w:val="00757BF5"/>
    <w:rsid w:val="00760074"/>
    <w:rsid w:val="0076011D"/>
    <w:rsid w:val="007602F4"/>
    <w:rsid w:val="00760308"/>
    <w:rsid w:val="007603AD"/>
    <w:rsid w:val="0076042F"/>
    <w:rsid w:val="007606DE"/>
    <w:rsid w:val="00760870"/>
    <w:rsid w:val="007608EC"/>
    <w:rsid w:val="00760BA3"/>
    <w:rsid w:val="00760C04"/>
    <w:rsid w:val="00760E61"/>
    <w:rsid w:val="00760E90"/>
    <w:rsid w:val="00760F3F"/>
    <w:rsid w:val="00760F87"/>
    <w:rsid w:val="00761051"/>
    <w:rsid w:val="0076149E"/>
    <w:rsid w:val="00761838"/>
    <w:rsid w:val="00761845"/>
    <w:rsid w:val="00761853"/>
    <w:rsid w:val="00761A54"/>
    <w:rsid w:val="00761C21"/>
    <w:rsid w:val="00762083"/>
    <w:rsid w:val="00762195"/>
    <w:rsid w:val="0076247C"/>
    <w:rsid w:val="0076255C"/>
    <w:rsid w:val="007626CA"/>
    <w:rsid w:val="00762AD5"/>
    <w:rsid w:val="00762AE9"/>
    <w:rsid w:val="00762C66"/>
    <w:rsid w:val="00762CDA"/>
    <w:rsid w:val="00762D19"/>
    <w:rsid w:val="00762DBB"/>
    <w:rsid w:val="007632A1"/>
    <w:rsid w:val="007637FC"/>
    <w:rsid w:val="0076390E"/>
    <w:rsid w:val="00763CA6"/>
    <w:rsid w:val="00764120"/>
    <w:rsid w:val="0076412B"/>
    <w:rsid w:val="0076415E"/>
    <w:rsid w:val="007641EE"/>
    <w:rsid w:val="0076444A"/>
    <w:rsid w:val="007644E9"/>
    <w:rsid w:val="00764701"/>
    <w:rsid w:val="00764909"/>
    <w:rsid w:val="00764925"/>
    <w:rsid w:val="00764E4F"/>
    <w:rsid w:val="00764E73"/>
    <w:rsid w:val="00764F00"/>
    <w:rsid w:val="00765263"/>
    <w:rsid w:val="0076540B"/>
    <w:rsid w:val="0076566B"/>
    <w:rsid w:val="00765721"/>
    <w:rsid w:val="007658E2"/>
    <w:rsid w:val="00765999"/>
    <w:rsid w:val="00765A8A"/>
    <w:rsid w:val="00765BDE"/>
    <w:rsid w:val="0076648F"/>
    <w:rsid w:val="007664E0"/>
    <w:rsid w:val="007665AD"/>
    <w:rsid w:val="00766751"/>
    <w:rsid w:val="007667DE"/>
    <w:rsid w:val="007669D4"/>
    <w:rsid w:val="00766A24"/>
    <w:rsid w:val="00766DC3"/>
    <w:rsid w:val="00766E20"/>
    <w:rsid w:val="00766E62"/>
    <w:rsid w:val="00766EC3"/>
    <w:rsid w:val="00767038"/>
    <w:rsid w:val="0076733E"/>
    <w:rsid w:val="0076734D"/>
    <w:rsid w:val="0076735D"/>
    <w:rsid w:val="00767442"/>
    <w:rsid w:val="007675AB"/>
    <w:rsid w:val="00767635"/>
    <w:rsid w:val="0076795E"/>
    <w:rsid w:val="007679D6"/>
    <w:rsid w:val="00767AB9"/>
    <w:rsid w:val="00770053"/>
    <w:rsid w:val="007701D0"/>
    <w:rsid w:val="0077046A"/>
    <w:rsid w:val="00770C84"/>
    <w:rsid w:val="00770C8B"/>
    <w:rsid w:val="00770C9B"/>
    <w:rsid w:val="00771061"/>
    <w:rsid w:val="007710C4"/>
    <w:rsid w:val="00771160"/>
    <w:rsid w:val="007712BC"/>
    <w:rsid w:val="0077133B"/>
    <w:rsid w:val="00771383"/>
    <w:rsid w:val="00771518"/>
    <w:rsid w:val="0077159C"/>
    <w:rsid w:val="007717A7"/>
    <w:rsid w:val="00771841"/>
    <w:rsid w:val="00771AFA"/>
    <w:rsid w:val="00771CFB"/>
    <w:rsid w:val="00771D7A"/>
    <w:rsid w:val="00771E70"/>
    <w:rsid w:val="00771E87"/>
    <w:rsid w:val="00771F8D"/>
    <w:rsid w:val="0077203F"/>
    <w:rsid w:val="007720AA"/>
    <w:rsid w:val="00772370"/>
    <w:rsid w:val="00772461"/>
    <w:rsid w:val="0077262C"/>
    <w:rsid w:val="00772634"/>
    <w:rsid w:val="0077278D"/>
    <w:rsid w:val="00772970"/>
    <w:rsid w:val="00772A6C"/>
    <w:rsid w:val="00772AD4"/>
    <w:rsid w:val="00772BEF"/>
    <w:rsid w:val="00772CAF"/>
    <w:rsid w:val="00772CB3"/>
    <w:rsid w:val="00772DA4"/>
    <w:rsid w:val="00772E79"/>
    <w:rsid w:val="00772F4D"/>
    <w:rsid w:val="00773067"/>
    <w:rsid w:val="0077306E"/>
    <w:rsid w:val="007731FE"/>
    <w:rsid w:val="007738AB"/>
    <w:rsid w:val="007738C7"/>
    <w:rsid w:val="007738E1"/>
    <w:rsid w:val="0077398A"/>
    <w:rsid w:val="00773A91"/>
    <w:rsid w:val="00773D92"/>
    <w:rsid w:val="00773DE7"/>
    <w:rsid w:val="00773E3B"/>
    <w:rsid w:val="00773F50"/>
    <w:rsid w:val="0077412B"/>
    <w:rsid w:val="00774165"/>
    <w:rsid w:val="00774207"/>
    <w:rsid w:val="0077423E"/>
    <w:rsid w:val="007742B6"/>
    <w:rsid w:val="007743F8"/>
    <w:rsid w:val="00774543"/>
    <w:rsid w:val="007746BB"/>
    <w:rsid w:val="0077483E"/>
    <w:rsid w:val="007748E7"/>
    <w:rsid w:val="00774A26"/>
    <w:rsid w:val="00774A7A"/>
    <w:rsid w:val="00774AAD"/>
    <w:rsid w:val="00774BB1"/>
    <w:rsid w:val="00774C70"/>
    <w:rsid w:val="00774C90"/>
    <w:rsid w:val="00774D58"/>
    <w:rsid w:val="00774E6C"/>
    <w:rsid w:val="00775291"/>
    <w:rsid w:val="007752BA"/>
    <w:rsid w:val="00775786"/>
    <w:rsid w:val="00775949"/>
    <w:rsid w:val="00775A3D"/>
    <w:rsid w:val="00775B8B"/>
    <w:rsid w:val="00775CA3"/>
    <w:rsid w:val="00775CAF"/>
    <w:rsid w:val="00775D8F"/>
    <w:rsid w:val="00776048"/>
    <w:rsid w:val="007760AC"/>
    <w:rsid w:val="007760D2"/>
    <w:rsid w:val="007760E2"/>
    <w:rsid w:val="007763A0"/>
    <w:rsid w:val="00776598"/>
    <w:rsid w:val="0077678E"/>
    <w:rsid w:val="007767AC"/>
    <w:rsid w:val="00776929"/>
    <w:rsid w:val="00776F51"/>
    <w:rsid w:val="00777153"/>
    <w:rsid w:val="007773E7"/>
    <w:rsid w:val="007777F7"/>
    <w:rsid w:val="00777B49"/>
    <w:rsid w:val="00777C50"/>
    <w:rsid w:val="00777E65"/>
    <w:rsid w:val="0077E071"/>
    <w:rsid w:val="007806BF"/>
    <w:rsid w:val="00780905"/>
    <w:rsid w:val="00780A0D"/>
    <w:rsid w:val="00780A98"/>
    <w:rsid w:val="00780BCF"/>
    <w:rsid w:val="00780C7A"/>
    <w:rsid w:val="00780E03"/>
    <w:rsid w:val="0078118B"/>
    <w:rsid w:val="007811A5"/>
    <w:rsid w:val="00781430"/>
    <w:rsid w:val="007815C2"/>
    <w:rsid w:val="0078162D"/>
    <w:rsid w:val="00781722"/>
    <w:rsid w:val="00781C3A"/>
    <w:rsid w:val="00781E3D"/>
    <w:rsid w:val="007820AB"/>
    <w:rsid w:val="00782370"/>
    <w:rsid w:val="007823CF"/>
    <w:rsid w:val="0078250F"/>
    <w:rsid w:val="00782879"/>
    <w:rsid w:val="00782B30"/>
    <w:rsid w:val="00782D78"/>
    <w:rsid w:val="00782DC7"/>
    <w:rsid w:val="00782F17"/>
    <w:rsid w:val="00783784"/>
    <w:rsid w:val="00783913"/>
    <w:rsid w:val="00783A23"/>
    <w:rsid w:val="00783A3B"/>
    <w:rsid w:val="00783B77"/>
    <w:rsid w:val="00783C5B"/>
    <w:rsid w:val="00783CD5"/>
    <w:rsid w:val="00783D3E"/>
    <w:rsid w:val="00783E33"/>
    <w:rsid w:val="00783ECA"/>
    <w:rsid w:val="0078409F"/>
    <w:rsid w:val="007845FC"/>
    <w:rsid w:val="007848A8"/>
    <w:rsid w:val="00784A79"/>
    <w:rsid w:val="00784C32"/>
    <w:rsid w:val="00784F79"/>
    <w:rsid w:val="00784FBC"/>
    <w:rsid w:val="00785192"/>
    <w:rsid w:val="007855E8"/>
    <w:rsid w:val="00785819"/>
    <w:rsid w:val="00785A35"/>
    <w:rsid w:val="00785AF7"/>
    <w:rsid w:val="00785C70"/>
    <w:rsid w:val="00785D43"/>
    <w:rsid w:val="007860A4"/>
    <w:rsid w:val="00786103"/>
    <w:rsid w:val="0078628C"/>
    <w:rsid w:val="0078629A"/>
    <w:rsid w:val="007865EB"/>
    <w:rsid w:val="0078668A"/>
    <w:rsid w:val="00786D00"/>
    <w:rsid w:val="00787036"/>
    <w:rsid w:val="00787984"/>
    <w:rsid w:val="00787A01"/>
    <w:rsid w:val="00787A1B"/>
    <w:rsid w:val="00787C37"/>
    <w:rsid w:val="00787C3A"/>
    <w:rsid w:val="00787D58"/>
    <w:rsid w:val="00787E0F"/>
    <w:rsid w:val="00787F0F"/>
    <w:rsid w:val="00787F10"/>
    <w:rsid w:val="007903AA"/>
    <w:rsid w:val="00790402"/>
    <w:rsid w:val="00790453"/>
    <w:rsid w:val="00790535"/>
    <w:rsid w:val="007905AC"/>
    <w:rsid w:val="00790970"/>
    <w:rsid w:val="007909B3"/>
    <w:rsid w:val="00790B38"/>
    <w:rsid w:val="00790BAD"/>
    <w:rsid w:val="00790BED"/>
    <w:rsid w:val="00790C7E"/>
    <w:rsid w:val="00790E73"/>
    <w:rsid w:val="00791146"/>
    <w:rsid w:val="007912A8"/>
    <w:rsid w:val="00791506"/>
    <w:rsid w:val="007915BF"/>
    <w:rsid w:val="00791642"/>
    <w:rsid w:val="007918EB"/>
    <w:rsid w:val="00791B58"/>
    <w:rsid w:val="00791DB8"/>
    <w:rsid w:val="00791E28"/>
    <w:rsid w:val="00792080"/>
    <w:rsid w:val="00792506"/>
    <w:rsid w:val="007928B3"/>
    <w:rsid w:val="007929C8"/>
    <w:rsid w:val="00792CA1"/>
    <w:rsid w:val="00792E5F"/>
    <w:rsid w:val="00792F98"/>
    <w:rsid w:val="00793085"/>
    <w:rsid w:val="00793213"/>
    <w:rsid w:val="00793562"/>
    <w:rsid w:val="007936C0"/>
    <w:rsid w:val="007937AB"/>
    <w:rsid w:val="00793AB6"/>
    <w:rsid w:val="00793D45"/>
    <w:rsid w:val="00793DB0"/>
    <w:rsid w:val="00793EAF"/>
    <w:rsid w:val="00794275"/>
    <w:rsid w:val="00794571"/>
    <w:rsid w:val="007946FE"/>
    <w:rsid w:val="00794C67"/>
    <w:rsid w:val="007954DF"/>
    <w:rsid w:val="00795759"/>
    <w:rsid w:val="00795824"/>
    <w:rsid w:val="007958A9"/>
    <w:rsid w:val="0079592D"/>
    <w:rsid w:val="00795977"/>
    <w:rsid w:val="00795DEF"/>
    <w:rsid w:val="00795DFD"/>
    <w:rsid w:val="00795E64"/>
    <w:rsid w:val="00795EF4"/>
    <w:rsid w:val="00795FBC"/>
    <w:rsid w:val="007960CB"/>
    <w:rsid w:val="00796130"/>
    <w:rsid w:val="007963B1"/>
    <w:rsid w:val="0079641B"/>
    <w:rsid w:val="00796575"/>
    <w:rsid w:val="00796743"/>
    <w:rsid w:val="007967CE"/>
    <w:rsid w:val="007967FB"/>
    <w:rsid w:val="00797096"/>
    <w:rsid w:val="0079713C"/>
    <w:rsid w:val="00797227"/>
    <w:rsid w:val="007972E7"/>
    <w:rsid w:val="00797394"/>
    <w:rsid w:val="0079766D"/>
    <w:rsid w:val="0079787B"/>
    <w:rsid w:val="00797915"/>
    <w:rsid w:val="00797E5F"/>
    <w:rsid w:val="00797ED2"/>
    <w:rsid w:val="007A00A5"/>
    <w:rsid w:val="007A028A"/>
    <w:rsid w:val="007A02D9"/>
    <w:rsid w:val="007A05B6"/>
    <w:rsid w:val="007A06D7"/>
    <w:rsid w:val="007A0771"/>
    <w:rsid w:val="007A0B25"/>
    <w:rsid w:val="007A0B6A"/>
    <w:rsid w:val="007A0CFD"/>
    <w:rsid w:val="007A0D88"/>
    <w:rsid w:val="007A0DFF"/>
    <w:rsid w:val="007A0FDF"/>
    <w:rsid w:val="007A10F5"/>
    <w:rsid w:val="007A125D"/>
    <w:rsid w:val="007A164B"/>
    <w:rsid w:val="007A1767"/>
    <w:rsid w:val="007A17D1"/>
    <w:rsid w:val="007A19CD"/>
    <w:rsid w:val="007A19EC"/>
    <w:rsid w:val="007A240C"/>
    <w:rsid w:val="007A2419"/>
    <w:rsid w:val="007A2659"/>
    <w:rsid w:val="007A28ED"/>
    <w:rsid w:val="007A2905"/>
    <w:rsid w:val="007A2A4D"/>
    <w:rsid w:val="007A2C98"/>
    <w:rsid w:val="007A2D00"/>
    <w:rsid w:val="007A2D21"/>
    <w:rsid w:val="007A2F71"/>
    <w:rsid w:val="007A2FD6"/>
    <w:rsid w:val="007A304B"/>
    <w:rsid w:val="007A30B7"/>
    <w:rsid w:val="007A30C7"/>
    <w:rsid w:val="007A3182"/>
    <w:rsid w:val="007A3303"/>
    <w:rsid w:val="007A357C"/>
    <w:rsid w:val="007A3586"/>
    <w:rsid w:val="007A36BF"/>
    <w:rsid w:val="007A3789"/>
    <w:rsid w:val="007A379E"/>
    <w:rsid w:val="007A37AE"/>
    <w:rsid w:val="007A37F8"/>
    <w:rsid w:val="007A3875"/>
    <w:rsid w:val="007A3954"/>
    <w:rsid w:val="007A39B0"/>
    <w:rsid w:val="007A3AB0"/>
    <w:rsid w:val="007A3AE1"/>
    <w:rsid w:val="007A3B67"/>
    <w:rsid w:val="007A3B6F"/>
    <w:rsid w:val="007A3BD6"/>
    <w:rsid w:val="007A3DDA"/>
    <w:rsid w:val="007A3DF8"/>
    <w:rsid w:val="007A3F7D"/>
    <w:rsid w:val="007A3FC8"/>
    <w:rsid w:val="007A426F"/>
    <w:rsid w:val="007A43BE"/>
    <w:rsid w:val="007A4426"/>
    <w:rsid w:val="007A4430"/>
    <w:rsid w:val="007A4575"/>
    <w:rsid w:val="007A472F"/>
    <w:rsid w:val="007A4987"/>
    <w:rsid w:val="007A4B3B"/>
    <w:rsid w:val="007A4BF3"/>
    <w:rsid w:val="007A4C2C"/>
    <w:rsid w:val="007A4C56"/>
    <w:rsid w:val="007A4E34"/>
    <w:rsid w:val="007A50EF"/>
    <w:rsid w:val="007A514C"/>
    <w:rsid w:val="007A55C3"/>
    <w:rsid w:val="007A55E4"/>
    <w:rsid w:val="007A5839"/>
    <w:rsid w:val="007A5982"/>
    <w:rsid w:val="007A5A6A"/>
    <w:rsid w:val="007A5D0C"/>
    <w:rsid w:val="007A617A"/>
    <w:rsid w:val="007A61FE"/>
    <w:rsid w:val="007A6213"/>
    <w:rsid w:val="007A674A"/>
    <w:rsid w:val="007A6871"/>
    <w:rsid w:val="007A68C7"/>
    <w:rsid w:val="007A6A76"/>
    <w:rsid w:val="007A6B17"/>
    <w:rsid w:val="007A6C7A"/>
    <w:rsid w:val="007A6E0C"/>
    <w:rsid w:val="007A6FCC"/>
    <w:rsid w:val="007A7577"/>
    <w:rsid w:val="007A75B3"/>
    <w:rsid w:val="007A7756"/>
    <w:rsid w:val="007A775A"/>
    <w:rsid w:val="007A7A06"/>
    <w:rsid w:val="007A7BCA"/>
    <w:rsid w:val="007A7CAA"/>
    <w:rsid w:val="007A7E15"/>
    <w:rsid w:val="007B00D5"/>
    <w:rsid w:val="007B04CB"/>
    <w:rsid w:val="007B0694"/>
    <w:rsid w:val="007B0A46"/>
    <w:rsid w:val="007B0A87"/>
    <w:rsid w:val="007B0B27"/>
    <w:rsid w:val="007B12DB"/>
    <w:rsid w:val="007B136C"/>
    <w:rsid w:val="007B1608"/>
    <w:rsid w:val="007B1635"/>
    <w:rsid w:val="007B16FC"/>
    <w:rsid w:val="007B1711"/>
    <w:rsid w:val="007B175B"/>
    <w:rsid w:val="007B1762"/>
    <w:rsid w:val="007B1769"/>
    <w:rsid w:val="007B17D6"/>
    <w:rsid w:val="007B18B2"/>
    <w:rsid w:val="007B19EE"/>
    <w:rsid w:val="007B1D30"/>
    <w:rsid w:val="007B1DC0"/>
    <w:rsid w:val="007B208A"/>
    <w:rsid w:val="007B20C5"/>
    <w:rsid w:val="007B2174"/>
    <w:rsid w:val="007B21E3"/>
    <w:rsid w:val="007B2220"/>
    <w:rsid w:val="007B2273"/>
    <w:rsid w:val="007B25DA"/>
    <w:rsid w:val="007B277D"/>
    <w:rsid w:val="007B2D34"/>
    <w:rsid w:val="007B2E04"/>
    <w:rsid w:val="007B3089"/>
    <w:rsid w:val="007B3109"/>
    <w:rsid w:val="007B3507"/>
    <w:rsid w:val="007B35FB"/>
    <w:rsid w:val="007B37E8"/>
    <w:rsid w:val="007B386B"/>
    <w:rsid w:val="007B3944"/>
    <w:rsid w:val="007B397B"/>
    <w:rsid w:val="007B3BA3"/>
    <w:rsid w:val="007B3BEB"/>
    <w:rsid w:val="007B3C4D"/>
    <w:rsid w:val="007B3D2F"/>
    <w:rsid w:val="007B3F31"/>
    <w:rsid w:val="007B416B"/>
    <w:rsid w:val="007B4785"/>
    <w:rsid w:val="007B4846"/>
    <w:rsid w:val="007B48F7"/>
    <w:rsid w:val="007B4DA5"/>
    <w:rsid w:val="007B50CD"/>
    <w:rsid w:val="007B5138"/>
    <w:rsid w:val="007B5139"/>
    <w:rsid w:val="007B553A"/>
    <w:rsid w:val="007B57D1"/>
    <w:rsid w:val="007B588D"/>
    <w:rsid w:val="007B595A"/>
    <w:rsid w:val="007B5CD8"/>
    <w:rsid w:val="007B5D4F"/>
    <w:rsid w:val="007B5D7B"/>
    <w:rsid w:val="007B620B"/>
    <w:rsid w:val="007B6697"/>
    <w:rsid w:val="007B6783"/>
    <w:rsid w:val="007B6A6C"/>
    <w:rsid w:val="007B6A9D"/>
    <w:rsid w:val="007B6B59"/>
    <w:rsid w:val="007B6B9F"/>
    <w:rsid w:val="007B6BB9"/>
    <w:rsid w:val="007B6CF4"/>
    <w:rsid w:val="007B6D39"/>
    <w:rsid w:val="007B6D56"/>
    <w:rsid w:val="007B6D79"/>
    <w:rsid w:val="007B705B"/>
    <w:rsid w:val="007B72D2"/>
    <w:rsid w:val="007B73AE"/>
    <w:rsid w:val="007B77E3"/>
    <w:rsid w:val="007B7C04"/>
    <w:rsid w:val="007B7C60"/>
    <w:rsid w:val="007B7D21"/>
    <w:rsid w:val="007B7D24"/>
    <w:rsid w:val="007C0312"/>
    <w:rsid w:val="007C051C"/>
    <w:rsid w:val="007C054E"/>
    <w:rsid w:val="007C07B4"/>
    <w:rsid w:val="007C0889"/>
    <w:rsid w:val="007C0903"/>
    <w:rsid w:val="007C0B23"/>
    <w:rsid w:val="007C0B76"/>
    <w:rsid w:val="007C0D5D"/>
    <w:rsid w:val="007C0DD0"/>
    <w:rsid w:val="007C0DD8"/>
    <w:rsid w:val="007C0ED8"/>
    <w:rsid w:val="007C110D"/>
    <w:rsid w:val="007C180E"/>
    <w:rsid w:val="007C19CC"/>
    <w:rsid w:val="007C19EA"/>
    <w:rsid w:val="007C1AA4"/>
    <w:rsid w:val="007C1AA6"/>
    <w:rsid w:val="007C1AAE"/>
    <w:rsid w:val="007C1EBF"/>
    <w:rsid w:val="007C1EC3"/>
    <w:rsid w:val="007C1F6D"/>
    <w:rsid w:val="007C218E"/>
    <w:rsid w:val="007C2200"/>
    <w:rsid w:val="007C22F6"/>
    <w:rsid w:val="007C2355"/>
    <w:rsid w:val="007C23B8"/>
    <w:rsid w:val="007C24A0"/>
    <w:rsid w:val="007C250E"/>
    <w:rsid w:val="007C2697"/>
    <w:rsid w:val="007C28C8"/>
    <w:rsid w:val="007C2AD0"/>
    <w:rsid w:val="007C2CB7"/>
    <w:rsid w:val="007C317E"/>
    <w:rsid w:val="007C368B"/>
    <w:rsid w:val="007C3865"/>
    <w:rsid w:val="007C3A80"/>
    <w:rsid w:val="007C3DDB"/>
    <w:rsid w:val="007C3EB7"/>
    <w:rsid w:val="007C3F19"/>
    <w:rsid w:val="007C3F37"/>
    <w:rsid w:val="007C3FED"/>
    <w:rsid w:val="007C423C"/>
    <w:rsid w:val="007C4457"/>
    <w:rsid w:val="007C44B1"/>
    <w:rsid w:val="007C44E1"/>
    <w:rsid w:val="007C4700"/>
    <w:rsid w:val="007C49A0"/>
    <w:rsid w:val="007C5022"/>
    <w:rsid w:val="007C532B"/>
    <w:rsid w:val="007C5419"/>
    <w:rsid w:val="007C54B8"/>
    <w:rsid w:val="007C55ED"/>
    <w:rsid w:val="007C5613"/>
    <w:rsid w:val="007C584C"/>
    <w:rsid w:val="007C5892"/>
    <w:rsid w:val="007C5925"/>
    <w:rsid w:val="007C5AF6"/>
    <w:rsid w:val="007C6104"/>
    <w:rsid w:val="007C6345"/>
    <w:rsid w:val="007C6523"/>
    <w:rsid w:val="007C65E5"/>
    <w:rsid w:val="007C699D"/>
    <w:rsid w:val="007C6C4B"/>
    <w:rsid w:val="007C6DC4"/>
    <w:rsid w:val="007C711D"/>
    <w:rsid w:val="007C71FE"/>
    <w:rsid w:val="007C72B9"/>
    <w:rsid w:val="007C7458"/>
    <w:rsid w:val="007C77C2"/>
    <w:rsid w:val="007C79F5"/>
    <w:rsid w:val="007C7B4B"/>
    <w:rsid w:val="007C7B66"/>
    <w:rsid w:val="007C7C5E"/>
    <w:rsid w:val="007C7EE2"/>
    <w:rsid w:val="007D0166"/>
    <w:rsid w:val="007D0168"/>
    <w:rsid w:val="007D02C2"/>
    <w:rsid w:val="007D0301"/>
    <w:rsid w:val="007D03BD"/>
    <w:rsid w:val="007D0473"/>
    <w:rsid w:val="007D0682"/>
    <w:rsid w:val="007D0941"/>
    <w:rsid w:val="007D0AC7"/>
    <w:rsid w:val="007D0AD1"/>
    <w:rsid w:val="007D0B03"/>
    <w:rsid w:val="007D0B5A"/>
    <w:rsid w:val="007D0CD3"/>
    <w:rsid w:val="007D10DD"/>
    <w:rsid w:val="007D1129"/>
    <w:rsid w:val="007D174C"/>
    <w:rsid w:val="007D17FF"/>
    <w:rsid w:val="007D1B1B"/>
    <w:rsid w:val="007D1D93"/>
    <w:rsid w:val="007D1EC8"/>
    <w:rsid w:val="007D214F"/>
    <w:rsid w:val="007D27F3"/>
    <w:rsid w:val="007D2802"/>
    <w:rsid w:val="007D2AB9"/>
    <w:rsid w:val="007D2E4C"/>
    <w:rsid w:val="007D3260"/>
    <w:rsid w:val="007D38FE"/>
    <w:rsid w:val="007D3ACE"/>
    <w:rsid w:val="007D3B86"/>
    <w:rsid w:val="007D3D6C"/>
    <w:rsid w:val="007D4071"/>
    <w:rsid w:val="007D408D"/>
    <w:rsid w:val="007D4118"/>
    <w:rsid w:val="007D42E9"/>
    <w:rsid w:val="007D4740"/>
    <w:rsid w:val="007D4989"/>
    <w:rsid w:val="007D4CEF"/>
    <w:rsid w:val="007D4D31"/>
    <w:rsid w:val="007D4EC0"/>
    <w:rsid w:val="007D5085"/>
    <w:rsid w:val="007D52B9"/>
    <w:rsid w:val="007D55B0"/>
    <w:rsid w:val="007D57CF"/>
    <w:rsid w:val="007D596A"/>
    <w:rsid w:val="007D59F1"/>
    <w:rsid w:val="007D60A2"/>
    <w:rsid w:val="007D6276"/>
    <w:rsid w:val="007D62B4"/>
    <w:rsid w:val="007D6436"/>
    <w:rsid w:val="007D643F"/>
    <w:rsid w:val="007D6592"/>
    <w:rsid w:val="007D66E9"/>
    <w:rsid w:val="007D68D7"/>
    <w:rsid w:val="007D69CF"/>
    <w:rsid w:val="007D6B25"/>
    <w:rsid w:val="007D6C8B"/>
    <w:rsid w:val="007D6D6A"/>
    <w:rsid w:val="007D705E"/>
    <w:rsid w:val="007D7100"/>
    <w:rsid w:val="007D7233"/>
    <w:rsid w:val="007D74B3"/>
    <w:rsid w:val="007D762F"/>
    <w:rsid w:val="007D76D2"/>
    <w:rsid w:val="007D7A82"/>
    <w:rsid w:val="007D7B34"/>
    <w:rsid w:val="007D7D41"/>
    <w:rsid w:val="007D7EB7"/>
    <w:rsid w:val="007E02A2"/>
    <w:rsid w:val="007E03B8"/>
    <w:rsid w:val="007E0874"/>
    <w:rsid w:val="007E0C69"/>
    <w:rsid w:val="007E0E95"/>
    <w:rsid w:val="007E0FF0"/>
    <w:rsid w:val="007E1288"/>
    <w:rsid w:val="007E139D"/>
    <w:rsid w:val="007E1734"/>
    <w:rsid w:val="007E1A5B"/>
    <w:rsid w:val="007E1BC0"/>
    <w:rsid w:val="007E1D53"/>
    <w:rsid w:val="007E1E43"/>
    <w:rsid w:val="007E2033"/>
    <w:rsid w:val="007E20A3"/>
    <w:rsid w:val="007E279D"/>
    <w:rsid w:val="007E27E0"/>
    <w:rsid w:val="007E2818"/>
    <w:rsid w:val="007E28B1"/>
    <w:rsid w:val="007E292A"/>
    <w:rsid w:val="007E299C"/>
    <w:rsid w:val="007E2AB4"/>
    <w:rsid w:val="007E2C02"/>
    <w:rsid w:val="007E3517"/>
    <w:rsid w:val="007E35F0"/>
    <w:rsid w:val="007E3817"/>
    <w:rsid w:val="007E3FA8"/>
    <w:rsid w:val="007E40BB"/>
    <w:rsid w:val="007E44BF"/>
    <w:rsid w:val="007E4531"/>
    <w:rsid w:val="007E4A31"/>
    <w:rsid w:val="007E4A5F"/>
    <w:rsid w:val="007E4CA8"/>
    <w:rsid w:val="007E4D03"/>
    <w:rsid w:val="007E50AD"/>
    <w:rsid w:val="007E522E"/>
    <w:rsid w:val="007E53BC"/>
    <w:rsid w:val="007E580C"/>
    <w:rsid w:val="007E5931"/>
    <w:rsid w:val="007E5D06"/>
    <w:rsid w:val="007E5F2F"/>
    <w:rsid w:val="007E5F45"/>
    <w:rsid w:val="007E5F46"/>
    <w:rsid w:val="007E6058"/>
    <w:rsid w:val="007E6197"/>
    <w:rsid w:val="007E621C"/>
    <w:rsid w:val="007E6A7E"/>
    <w:rsid w:val="007E6E4A"/>
    <w:rsid w:val="007E71D1"/>
    <w:rsid w:val="007E723A"/>
    <w:rsid w:val="007E7362"/>
    <w:rsid w:val="007E74D3"/>
    <w:rsid w:val="007E75E4"/>
    <w:rsid w:val="007E760E"/>
    <w:rsid w:val="007E770D"/>
    <w:rsid w:val="007E7981"/>
    <w:rsid w:val="007E7BF8"/>
    <w:rsid w:val="007E7E29"/>
    <w:rsid w:val="007E7E50"/>
    <w:rsid w:val="007E7EE1"/>
    <w:rsid w:val="007E7F6F"/>
    <w:rsid w:val="007F00F8"/>
    <w:rsid w:val="007F0127"/>
    <w:rsid w:val="007F03ED"/>
    <w:rsid w:val="007F099A"/>
    <w:rsid w:val="007F0C59"/>
    <w:rsid w:val="007F0C74"/>
    <w:rsid w:val="007F0D7C"/>
    <w:rsid w:val="007F117F"/>
    <w:rsid w:val="007F12B2"/>
    <w:rsid w:val="007F13C2"/>
    <w:rsid w:val="007F189E"/>
    <w:rsid w:val="007F1973"/>
    <w:rsid w:val="007F1CBE"/>
    <w:rsid w:val="007F1D7C"/>
    <w:rsid w:val="007F1F90"/>
    <w:rsid w:val="007F2137"/>
    <w:rsid w:val="007F22FF"/>
    <w:rsid w:val="007F2330"/>
    <w:rsid w:val="007F24BF"/>
    <w:rsid w:val="007F2735"/>
    <w:rsid w:val="007F2771"/>
    <w:rsid w:val="007F2A9E"/>
    <w:rsid w:val="007F2AD1"/>
    <w:rsid w:val="007F2D8F"/>
    <w:rsid w:val="007F2F7F"/>
    <w:rsid w:val="007F306A"/>
    <w:rsid w:val="007F32D5"/>
    <w:rsid w:val="007F3302"/>
    <w:rsid w:val="007F35FE"/>
    <w:rsid w:val="007F37FB"/>
    <w:rsid w:val="007F38B1"/>
    <w:rsid w:val="007F38BF"/>
    <w:rsid w:val="007F3908"/>
    <w:rsid w:val="007F3A26"/>
    <w:rsid w:val="007F3B80"/>
    <w:rsid w:val="007F3BD0"/>
    <w:rsid w:val="007F3CAB"/>
    <w:rsid w:val="007F3DA8"/>
    <w:rsid w:val="007F3F8D"/>
    <w:rsid w:val="007F40A0"/>
    <w:rsid w:val="007F40CE"/>
    <w:rsid w:val="007F4230"/>
    <w:rsid w:val="007F425C"/>
    <w:rsid w:val="007F4473"/>
    <w:rsid w:val="007F4A56"/>
    <w:rsid w:val="007F4AAF"/>
    <w:rsid w:val="007F4E7C"/>
    <w:rsid w:val="007F508A"/>
    <w:rsid w:val="007F5139"/>
    <w:rsid w:val="007F5439"/>
    <w:rsid w:val="007F592D"/>
    <w:rsid w:val="007F5967"/>
    <w:rsid w:val="007F59B1"/>
    <w:rsid w:val="007F5ABD"/>
    <w:rsid w:val="007F5D27"/>
    <w:rsid w:val="007F5D7E"/>
    <w:rsid w:val="007F6019"/>
    <w:rsid w:val="007F6117"/>
    <w:rsid w:val="007F6330"/>
    <w:rsid w:val="007F6417"/>
    <w:rsid w:val="007F65E1"/>
    <w:rsid w:val="007F66CD"/>
    <w:rsid w:val="007F6988"/>
    <w:rsid w:val="007F6B50"/>
    <w:rsid w:val="007F6C56"/>
    <w:rsid w:val="007F6D03"/>
    <w:rsid w:val="007F6D82"/>
    <w:rsid w:val="007F6EA7"/>
    <w:rsid w:val="007F6EE7"/>
    <w:rsid w:val="007F6EFD"/>
    <w:rsid w:val="007F6FA6"/>
    <w:rsid w:val="007F7375"/>
    <w:rsid w:val="007F73C2"/>
    <w:rsid w:val="007F7497"/>
    <w:rsid w:val="007F7652"/>
    <w:rsid w:val="007F773E"/>
    <w:rsid w:val="007F775D"/>
    <w:rsid w:val="007F796C"/>
    <w:rsid w:val="007F7ABD"/>
    <w:rsid w:val="007F7B97"/>
    <w:rsid w:val="007F7C7A"/>
    <w:rsid w:val="008001BB"/>
    <w:rsid w:val="008001ED"/>
    <w:rsid w:val="00800280"/>
    <w:rsid w:val="008002BE"/>
    <w:rsid w:val="0080042C"/>
    <w:rsid w:val="008004B2"/>
    <w:rsid w:val="00800706"/>
    <w:rsid w:val="00800751"/>
    <w:rsid w:val="00800773"/>
    <w:rsid w:val="0080078C"/>
    <w:rsid w:val="008008AB"/>
    <w:rsid w:val="008009C9"/>
    <w:rsid w:val="00800ACB"/>
    <w:rsid w:val="008011CD"/>
    <w:rsid w:val="008011D2"/>
    <w:rsid w:val="0080121B"/>
    <w:rsid w:val="00801361"/>
    <w:rsid w:val="00801789"/>
    <w:rsid w:val="00801886"/>
    <w:rsid w:val="008019D8"/>
    <w:rsid w:val="00801A64"/>
    <w:rsid w:val="00801C0B"/>
    <w:rsid w:val="00801DAE"/>
    <w:rsid w:val="00801FE3"/>
    <w:rsid w:val="008020E5"/>
    <w:rsid w:val="008021B0"/>
    <w:rsid w:val="00802418"/>
    <w:rsid w:val="00802514"/>
    <w:rsid w:val="00802628"/>
    <w:rsid w:val="00802657"/>
    <w:rsid w:val="00802A7F"/>
    <w:rsid w:val="00802A90"/>
    <w:rsid w:val="00802BAD"/>
    <w:rsid w:val="00802DE1"/>
    <w:rsid w:val="00802F06"/>
    <w:rsid w:val="00803411"/>
    <w:rsid w:val="00803AC3"/>
    <w:rsid w:val="00803B75"/>
    <w:rsid w:val="00803C4B"/>
    <w:rsid w:val="00803DB0"/>
    <w:rsid w:val="00803EAC"/>
    <w:rsid w:val="00804159"/>
    <w:rsid w:val="00804173"/>
    <w:rsid w:val="00804179"/>
    <w:rsid w:val="008041C2"/>
    <w:rsid w:val="008043D5"/>
    <w:rsid w:val="00804527"/>
    <w:rsid w:val="0080457D"/>
    <w:rsid w:val="00804674"/>
    <w:rsid w:val="008046C5"/>
    <w:rsid w:val="008047FD"/>
    <w:rsid w:val="0080481C"/>
    <w:rsid w:val="00804828"/>
    <w:rsid w:val="008049CF"/>
    <w:rsid w:val="00804A5A"/>
    <w:rsid w:val="00804A79"/>
    <w:rsid w:val="00804B1C"/>
    <w:rsid w:val="00804CB7"/>
    <w:rsid w:val="00804DC0"/>
    <w:rsid w:val="00804E8F"/>
    <w:rsid w:val="00804E98"/>
    <w:rsid w:val="00805124"/>
    <w:rsid w:val="0080523B"/>
    <w:rsid w:val="008053BD"/>
    <w:rsid w:val="0080541E"/>
    <w:rsid w:val="008054DA"/>
    <w:rsid w:val="00805554"/>
    <w:rsid w:val="008055A2"/>
    <w:rsid w:val="0080568A"/>
    <w:rsid w:val="00805B2B"/>
    <w:rsid w:val="00805C44"/>
    <w:rsid w:val="00805CA2"/>
    <w:rsid w:val="00805E73"/>
    <w:rsid w:val="00805FD3"/>
    <w:rsid w:val="008060A1"/>
    <w:rsid w:val="008063E8"/>
    <w:rsid w:val="00806451"/>
    <w:rsid w:val="008065C5"/>
    <w:rsid w:val="0080685D"/>
    <w:rsid w:val="0080696E"/>
    <w:rsid w:val="00806A15"/>
    <w:rsid w:val="00806B38"/>
    <w:rsid w:val="00806C69"/>
    <w:rsid w:val="00807410"/>
    <w:rsid w:val="00807512"/>
    <w:rsid w:val="008075F8"/>
    <w:rsid w:val="00807715"/>
    <w:rsid w:val="008078D7"/>
    <w:rsid w:val="0080793E"/>
    <w:rsid w:val="00807CA7"/>
    <w:rsid w:val="00807D97"/>
    <w:rsid w:val="00807DBC"/>
    <w:rsid w:val="00807E4E"/>
    <w:rsid w:val="00810129"/>
    <w:rsid w:val="008103C7"/>
    <w:rsid w:val="008103E9"/>
    <w:rsid w:val="0081066F"/>
    <w:rsid w:val="00810825"/>
    <w:rsid w:val="008109AA"/>
    <w:rsid w:val="00810B00"/>
    <w:rsid w:val="00810DDE"/>
    <w:rsid w:val="00810F70"/>
    <w:rsid w:val="00811039"/>
    <w:rsid w:val="0081146A"/>
    <w:rsid w:val="00811582"/>
    <w:rsid w:val="008116D6"/>
    <w:rsid w:val="00811A6C"/>
    <w:rsid w:val="00811B40"/>
    <w:rsid w:val="00811D53"/>
    <w:rsid w:val="00811D77"/>
    <w:rsid w:val="00811F36"/>
    <w:rsid w:val="00811F3F"/>
    <w:rsid w:val="00811F79"/>
    <w:rsid w:val="008124B2"/>
    <w:rsid w:val="008126F0"/>
    <w:rsid w:val="00812819"/>
    <w:rsid w:val="008128F6"/>
    <w:rsid w:val="00812AA6"/>
    <w:rsid w:val="00812C99"/>
    <w:rsid w:val="00813174"/>
    <w:rsid w:val="0081332E"/>
    <w:rsid w:val="00813634"/>
    <w:rsid w:val="00813C43"/>
    <w:rsid w:val="00813CE8"/>
    <w:rsid w:val="00813DAA"/>
    <w:rsid w:val="00813E61"/>
    <w:rsid w:val="00813FC6"/>
    <w:rsid w:val="00814037"/>
    <w:rsid w:val="008140DA"/>
    <w:rsid w:val="00814204"/>
    <w:rsid w:val="008143F9"/>
    <w:rsid w:val="008146A1"/>
    <w:rsid w:val="008146AD"/>
    <w:rsid w:val="008146DA"/>
    <w:rsid w:val="008148FF"/>
    <w:rsid w:val="008149B7"/>
    <w:rsid w:val="00814A38"/>
    <w:rsid w:val="00814BBF"/>
    <w:rsid w:val="00814C2F"/>
    <w:rsid w:val="00815163"/>
    <w:rsid w:val="008151F1"/>
    <w:rsid w:val="008156B9"/>
    <w:rsid w:val="00815774"/>
    <w:rsid w:val="008158AE"/>
    <w:rsid w:val="008158D2"/>
    <w:rsid w:val="00815DCA"/>
    <w:rsid w:val="00815F66"/>
    <w:rsid w:val="00815FA4"/>
    <w:rsid w:val="0081613B"/>
    <w:rsid w:val="008162DA"/>
    <w:rsid w:val="00816369"/>
    <w:rsid w:val="008164D5"/>
    <w:rsid w:val="008165D1"/>
    <w:rsid w:val="00816AC4"/>
    <w:rsid w:val="00816BD4"/>
    <w:rsid w:val="00816C26"/>
    <w:rsid w:val="00816FBE"/>
    <w:rsid w:val="00817032"/>
    <w:rsid w:val="00817196"/>
    <w:rsid w:val="00817583"/>
    <w:rsid w:val="008175B4"/>
    <w:rsid w:val="00817695"/>
    <w:rsid w:val="00817728"/>
    <w:rsid w:val="0081784A"/>
    <w:rsid w:val="00817941"/>
    <w:rsid w:val="00817B9C"/>
    <w:rsid w:val="00817C75"/>
    <w:rsid w:val="00817D27"/>
    <w:rsid w:val="008201B1"/>
    <w:rsid w:val="008201BB"/>
    <w:rsid w:val="008203EA"/>
    <w:rsid w:val="00820832"/>
    <w:rsid w:val="0082098A"/>
    <w:rsid w:val="0082099B"/>
    <w:rsid w:val="00820B76"/>
    <w:rsid w:val="00820BAF"/>
    <w:rsid w:val="008210EF"/>
    <w:rsid w:val="0082141B"/>
    <w:rsid w:val="008217E5"/>
    <w:rsid w:val="00821829"/>
    <w:rsid w:val="00821899"/>
    <w:rsid w:val="00821CD7"/>
    <w:rsid w:val="00821F74"/>
    <w:rsid w:val="0082200D"/>
    <w:rsid w:val="0082202C"/>
    <w:rsid w:val="00822125"/>
    <w:rsid w:val="00822297"/>
    <w:rsid w:val="0082242E"/>
    <w:rsid w:val="00822457"/>
    <w:rsid w:val="0082256F"/>
    <w:rsid w:val="00822579"/>
    <w:rsid w:val="008225F5"/>
    <w:rsid w:val="008228FA"/>
    <w:rsid w:val="00822B13"/>
    <w:rsid w:val="00822C95"/>
    <w:rsid w:val="00822F1C"/>
    <w:rsid w:val="00822FFC"/>
    <w:rsid w:val="0082303A"/>
    <w:rsid w:val="00823267"/>
    <w:rsid w:val="0082352D"/>
    <w:rsid w:val="008236B3"/>
    <w:rsid w:val="00823731"/>
    <w:rsid w:val="00823919"/>
    <w:rsid w:val="0082396D"/>
    <w:rsid w:val="00823A9A"/>
    <w:rsid w:val="00823B5D"/>
    <w:rsid w:val="00824234"/>
    <w:rsid w:val="00824331"/>
    <w:rsid w:val="00824492"/>
    <w:rsid w:val="00824763"/>
    <w:rsid w:val="00824B92"/>
    <w:rsid w:val="00824C66"/>
    <w:rsid w:val="0082502A"/>
    <w:rsid w:val="00825036"/>
    <w:rsid w:val="008250E2"/>
    <w:rsid w:val="008251BA"/>
    <w:rsid w:val="008251CE"/>
    <w:rsid w:val="008254A0"/>
    <w:rsid w:val="00825568"/>
    <w:rsid w:val="00825675"/>
    <w:rsid w:val="00825965"/>
    <w:rsid w:val="00825AAE"/>
    <w:rsid w:val="00825B04"/>
    <w:rsid w:val="00825E4D"/>
    <w:rsid w:val="00825FF6"/>
    <w:rsid w:val="008260EF"/>
    <w:rsid w:val="00826132"/>
    <w:rsid w:val="00826B10"/>
    <w:rsid w:val="00826C09"/>
    <w:rsid w:val="00827695"/>
    <w:rsid w:val="008276B2"/>
    <w:rsid w:val="008279B5"/>
    <w:rsid w:val="00827B19"/>
    <w:rsid w:val="00827D86"/>
    <w:rsid w:val="00827DF9"/>
    <w:rsid w:val="00827EC4"/>
    <w:rsid w:val="008301AD"/>
    <w:rsid w:val="008303D4"/>
    <w:rsid w:val="0083049C"/>
    <w:rsid w:val="008305B0"/>
    <w:rsid w:val="008307EA"/>
    <w:rsid w:val="008308D0"/>
    <w:rsid w:val="008309F4"/>
    <w:rsid w:val="00830C73"/>
    <w:rsid w:val="008313F9"/>
    <w:rsid w:val="0083154D"/>
    <w:rsid w:val="00831758"/>
    <w:rsid w:val="008318AE"/>
    <w:rsid w:val="008318F1"/>
    <w:rsid w:val="008318FC"/>
    <w:rsid w:val="00831C5E"/>
    <w:rsid w:val="008320B2"/>
    <w:rsid w:val="00832440"/>
    <w:rsid w:val="0083247F"/>
    <w:rsid w:val="00832942"/>
    <w:rsid w:val="00832B09"/>
    <w:rsid w:val="00832B31"/>
    <w:rsid w:val="00832BDF"/>
    <w:rsid w:val="00832DD7"/>
    <w:rsid w:val="00832EFA"/>
    <w:rsid w:val="00833002"/>
    <w:rsid w:val="008332A5"/>
    <w:rsid w:val="008332A8"/>
    <w:rsid w:val="008333F6"/>
    <w:rsid w:val="0083356F"/>
    <w:rsid w:val="00833E24"/>
    <w:rsid w:val="00833F61"/>
    <w:rsid w:val="0083426A"/>
    <w:rsid w:val="00834409"/>
    <w:rsid w:val="008349A9"/>
    <w:rsid w:val="00834ABD"/>
    <w:rsid w:val="00834AD0"/>
    <w:rsid w:val="00834BA5"/>
    <w:rsid w:val="00834C80"/>
    <w:rsid w:val="00834EB0"/>
    <w:rsid w:val="00834F21"/>
    <w:rsid w:val="008350D6"/>
    <w:rsid w:val="008351A2"/>
    <w:rsid w:val="008355B8"/>
    <w:rsid w:val="008357D0"/>
    <w:rsid w:val="00835846"/>
    <w:rsid w:val="0083589C"/>
    <w:rsid w:val="008358FB"/>
    <w:rsid w:val="00835923"/>
    <w:rsid w:val="00835936"/>
    <w:rsid w:val="00835960"/>
    <w:rsid w:val="00835A3C"/>
    <w:rsid w:val="00835C8A"/>
    <w:rsid w:val="00835D01"/>
    <w:rsid w:val="00836139"/>
    <w:rsid w:val="00836337"/>
    <w:rsid w:val="00836370"/>
    <w:rsid w:val="008363EF"/>
    <w:rsid w:val="008364F1"/>
    <w:rsid w:val="0083651D"/>
    <w:rsid w:val="00836570"/>
    <w:rsid w:val="008365DF"/>
    <w:rsid w:val="008366DA"/>
    <w:rsid w:val="00836A08"/>
    <w:rsid w:val="00836D52"/>
    <w:rsid w:val="00836ED6"/>
    <w:rsid w:val="00836EE7"/>
    <w:rsid w:val="00836F55"/>
    <w:rsid w:val="00837077"/>
    <w:rsid w:val="0083713A"/>
    <w:rsid w:val="008373B8"/>
    <w:rsid w:val="008373CA"/>
    <w:rsid w:val="00837442"/>
    <w:rsid w:val="0083753A"/>
    <w:rsid w:val="00837603"/>
    <w:rsid w:val="00837737"/>
    <w:rsid w:val="008377FA"/>
    <w:rsid w:val="00837836"/>
    <w:rsid w:val="00837AD2"/>
    <w:rsid w:val="00837DA6"/>
    <w:rsid w:val="00837F3B"/>
    <w:rsid w:val="00840093"/>
    <w:rsid w:val="008401D1"/>
    <w:rsid w:val="00840A35"/>
    <w:rsid w:val="00840BF2"/>
    <w:rsid w:val="00840CEE"/>
    <w:rsid w:val="00840D08"/>
    <w:rsid w:val="00840FB9"/>
    <w:rsid w:val="00841238"/>
    <w:rsid w:val="00841599"/>
    <w:rsid w:val="008419C3"/>
    <w:rsid w:val="00841AF5"/>
    <w:rsid w:val="00841C63"/>
    <w:rsid w:val="00841C84"/>
    <w:rsid w:val="00841D53"/>
    <w:rsid w:val="00841D5B"/>
    <w:rsid w:val="00841E10"/>
    <w:rsid w:val="00841FC7"/>
    <w:rsid w:val="00841FE0"/>
    <w:rsid w:val="00841FE3"/>
    <w:rsid w:val="008420FF"/>
    <w:rsid w:val="008421C5"/>
    <w:rsid w:val="008424B0"/>
    <w:rsid w:val="0084256A"/>
    <w:rsid w:val="008426F5"/>
    <w:rsid w:val="00842A11"/>
    <w:rsid w:val="00842B42"/>
    <w:rsid w:val="0084300F"/>
    <w:rsid w:val="00843012"/>
    <w:rsid w:val="00843029"/>
    <w:rsid w:val="0084341D"/>
    <w:rsid w:val="0084343C"/>
    <w:rsid w:val="00843615"/>
    <w:rsid w:val="0084361F"/>
    <w:rsid w:val="00843676"/>
    <w:rsid w:val="00843769"/>
    <w:rsid w:val="00843C07"/>
    <w:rsid w:val="00843E47"/>
    <w:rsid w:val="008440F7"/>
    <w:rsid w:val="00844315"/>
    <w:rsid w:val="00844587"/>
    <w:rsid w:val="00844AE0"/>
    <w:rsid w:val="00844F21"/>
    <w:rsid w:val="00845089"/>
    <w:rsid w:val="00845092"/>
    <w:rsid w:val="008451C3"/>
    <w:rsid w:val="0084521F"/>
    <w:rsid w:val="00845244"/>
    <w:rsid w:val="00845282"/>
    <w:rsid w:val="008453CC"/>
    <w:rsid w:val="00845448"/>
    <w:rsid w:val="0084564F"/>
    <w:rsid w:val="008456AD"/>
    <w:rsid w:val="00845AEE"/>
    <w:rsid w:val="00845B9F"/>
    <w:rsid w:val="00845C76"/>
    <w:rsid w:val="00845F00"/>
    <w:rsid w:val="00846017"/>
    <w:rsid w:val="00846050"/>
    <w:rsid w:val="0084605B"/>
    <w:rsid w:val="00846068"/>
    <w:rsid w:val="008460DE"/>
    <w:rsid w:val="00846784"/>
    <w:rsid w:val="0084684B"/>
    <w:rsid w:val="00846FB0"/>
    <w:rsid w:val="008471A7"/>
    <w:rsid w:val="0084736B"/>
    <w:rsid w:val="008473AB"/>
    <w:rsid w:val="0084771B"/>
    <w:rsid w:val="008477ED"/>
    <w:rsid w:val="00847948"/>
    <w:rsid w:val="00847BA2"/>
    <w:rsid w:val="00847F94"/>
    <w:rsid w:val="00847FCE"/>
    <w:rsid w:val="00850149"/>
    <w:rsid w:val="00850449"/>
    <w:rsid w:val="00850603"/>
    <w:rsid w:val="008508D7"/>
    <w:rsid w:val="00850AAC"/>
    <w:rsid w:val="00850AD3"/>
    <w:rsid w:val="00850CFE"/>
    <w:rsid w:val="00850D43"/>
    <w:rsid w:val="00850D48"/>
    <w:rsid w:val="00850E54"/>
    <w:rsid w:val="00850F2B"/>
    <w:rsid w:val="00850F3C"/>
    <w:rsid w:val="00850FD6"/>
    <w:rsid w:val="0085103B"/>
    <w:rsid w:val="00851345"/>
    <w:rsid w:val="008513B9"/>
    <w:rsid w:val="008513E7"/>
    <w:rsid w:val="008513F2"/>
    <w:rsid w:val="00851669"/>
    <w:rsid w:val="008518AE"/>
    <w:rsid w:val="00851D0E"/>
    <w:rsid w:val="00851E3C"/>
    <w:rsid w:val="00852311"/>
    <w:rsid w:val="0085263E"/>
    <w:rsid w:val="00852700"/>
    <w:rsid w:val="0085273B"/>
    <w:rsid w:val="00852D62"/>
    <w:rsid w:val="00852E9A"/>
    <w:rsid w:val="00853009"/>
    <w:rsid w:val="00853459"/>
    <w:rsid w:val="00853664"/>
    <w:rsid w:val="00853754"/>
    <w:rsid w:val="008537B3"/>
    <w:rsid w:val="0085386B"/>
    <w:rsid w:val="0085388B"/>
    <w:rsid w:val="00853C70"/>
    <w:rsid w:val="00853D59"/>
    <w:rsid w:val="00853E0D"/>
    <w:rsid w:val="008541CD"/>
    <w:rsid w:val="008543E9"/>
    <w:rsid w:val="0085442F"/>
    <w:rsid w:val="0085452F"/>
    <w:rsid w:val="00854685"/>
    <w:rsid w:val="008547E0"/>
    <w:rsid w:val="008547EA"/>
    <w:rsid w:val="008549BE"/>
    <w:rsid w:val="00854A47"/>
    <w:rsid w:val="00854A5C"/>
    <w:rsid w:val="00854A8D"/>
    <w:rsid w:val="00854DC8"/>
    <w:rsid w:val="00854FDF"/>
    <w:rsid w:val="00855072"/>
    <w:rsid w:val="00855191"/>
    <w:rsid w:val="00855383"/>
    <w:rsid w:val="008558B8"/>
    <w:rsid w:val="00855CE0"/>
    <w:rsid w:val="00855D12"/>
    <w:rsid w:val="00855D81"/>
    <w:rsid w:val="00855F46"/>
    <w:rsid w:val="00856364"/>
    <w:rsid w:val="00856465"/>
    <w:rsid w:val="00856756"/>
    <w:rsid w:val="00856B74"/>
    <w:rsid w:val="00856BC4"/>
    <w:rsid w:val="00856CD5"/>
    <w:rsid w:val="00856CEF"/>
    <w:rsid w:val="00856DAB"/>
    <w:rsid w:val="00856DB2"/>
    <w:rsid w:val="00856EE8"/>
    <w:rsid w:val="00857134"/>
    <w:rsid w:val="00857183"/>
    <w:rsid w:val="00857234"/>
    <w:rsid w:val="008572D7"/>
    <w:rsid w:val="008574F3"/>
    <w:rsid w:val="00857824"/>
    <w:rsid w:val="0085783F"/>
    <w:rsid w:val="00857875"/>
    <w:rsid w:val="00857A83"/>
    <w:rsid w:val="00857BFC"/>
    <w:rsid w:val="00857CB2"/>
    <w:rsid w:val="00857CFA"/>
    <w:rsid w:val="00857D53"/>
    <w:rsid w:val="00857F0E"/>
    <w:rsid w:val="00860297"/>
    <w:rsid w:val="008603E5"/>
    <w:rsid w:val="0086052B"/>
    <w:rsid w:val="008605C2"/>
    <w:rsid w:val="008605C8"/>
    <w:rsid w:val="008609DB"/>
    <w:rsid w:val="00860E0A"/>
    <w:rsid w:val="00860E7C"/>
    <w:rsid w:val="00860F9B"/>
    <w:rsid w:val="0086107E"/>
    <w:rsid w:val="008613F3"/>
    <w:rsid w:val="00861611"/>
    <w:rsid w:val="00861797"/>
    <w:rsid w:val="00861B2D"/>
    <w:rsid w:val="00861B77"/>
    <w:rsid w:val="00861CC5"/>
    <w:rsid w:val="00861DCB"/>
    <w:rsid w:val="00861E19"/>
    <w:rsid w:val="00861E8D"/>
    <w:rsid w:val="00861EA8"/>
    <w:rsid w:val="008621FA"/>
    <w:rsid w:val="0086244E"/>
    <w:rsid w:val="00862546"/>
    <w:rsid w:val="008625D0"/>
    <w:rsid w:val="008628C6"/>
    <w:rsid w:val="0086298D"/>
    <w:rsid w:val="008629BE"/>
    <w:rsid w:val="00862A0B"/>
    <w:rsid w:val="00862BD1"/>
    <w:rsid w:val="00862EDB"/>
    <w:rsid w:val="00863404"/>
    <w:rsid w:val="00863636"/>
    <w:rsid w:val="008636CF"/>
    <w:rsid w:val="008639B2"/>
    <w:rsid w:val="00863A85"/>
    <w:rsid w:val="00863B0F"/>
    <w:rsid w:val="00863CA3"/>
    <w:rsid w:val="00863DE0"/>
    <w:rsid w:val="00863DE9"/>
    <w:rsid w:val="00863E7F"/>
    <w:rsid w:val="00864070"/>
    <w:rsid w:val="008640DC"/>
    <w:rsid w:val="008640FB"/>
    <w:rsid w:val="00864114"/>
    <w:rsid w:val="0086418A"/>
    <w:rsid w:val="00864195"/>
    <w:rsid w:val="008642BF"/>
    <w:rsid w:val="00864493"/>
    <w:rsid w:val="00864852"/>
    <w:rsid w:val="00864DA3"/>
    <w:rsid w:val="00864FBE"/>
    <w:rsid w:val="00865246"/>
    <w:rsid w:val="00865443"/>
    <w:rsid w:val="00865962"/>
    <w:rsid w:val="00865B3E"/>
    <w:rsid w:val="00865D5D"/>
    <w:rsid w:val="00865E04"/>
    <w:rsid w:val="00866222"/>
    <w:rsid w:val="0086660D"/>
    <w:rsid w:val="008669DA"/>
    <w:rsid w:val="00866BBB"/>
    <w:rsid w:val="00866C1E"/>
    <w:rsid w:val="00866CD7"/>
    <w:rsid w:val="00866D6E"/>
    <w:rsid w:val="0086715C"/>
    <w:rsid w:val="00867605"/>
    <w:rsid w:val="00867748"/>
    <w:rsid w:val="00867874"/>
    <w:rsid w:val="00867A70"/>
    <w:rsid w:val="00867A8E"/>
    <w:rsid w:val="00867AC6"/>
    <w:rsid w:val="00867C40"/>
    <w:rsid w:val="00867D3A"/>
    <w:rsid w:val="008700DF"/>
    <w:rsid w:val="00870234"/>
    <w:rsid w:val="00870321"/>
    <w:rsid w:val="008706DC"/>
    <w:rsid w:val="00870772"/>
    <w:rsid w:val="008708C6"/>
    <w:rsid w:val="00870A14"/>
    <w:rsid w:val="00870BFB"/>
    <w:rsid w:val="00871015"/>
    <w:rsid w:val="0087114B"/>
    <w:rsid w:val="00871305"/>
    <w:rsid w:val="008713F5"/>
    <w:rsid w:val="008715E3"/>
    <w:rsid w:val="00871670"/>
    <w:rsid w:val="00871729"/>
    <w:rsid w:val="008719C8"/>
    <w:rsid w:val="00871AAE"/>
    <w:rsid w:val="00871B06"/>
    <w:rsid w:val="00871BBF"/>
    <w:rsid w:val="00871F80"/>
    <w:rsid w:val="00871F9D"/>
    <w:rsid w:val="008720B1"/>
    <w:rsid w:val="008720C9"/>
    <w:rsid w:val="0087212B"/>
    <w:rsid w:val="00872133"/>
    <w:rsid w:val="0087221A"/>
    <w:rsid w:val="00872275"/>
    <w:rsid w:val="008722B9"/>
    <w:rsid w:val="00872381"/>
    <w:rsid w:val="0087250E"/>
    <w:rsid w:val="008727E0"/>
    <w:rsid w:val="008727FB"/>
    <w:rsid w:val="00872831"/>
    <w:rsid w:val="00872BAA"/>
    <w:rsid w:val="00872BBD"/>
    <w:rsid w:val="00872C3A"/>
    <w:rsid w:val="00872C51"/>
    <w:rsid w:val="00872D18"/>
    <w:rsid w:val="00872E75"/>
    <w:rsid w:val="00872EC4"/>
    <w:rsid w:val="00873052"/>
    <w:rsid w:val="008737EB"/>
    <w:rsid w:val="00873ACA"/>
    <w:rsid w:val="00873DBE"/>
    <w:rsid w:val="00873DDE"/>
    <w:rsid w:val="008741E7"/>
    <w:rsid w:val="0087439C"/>
    <w:rsid w:val="00874516"/>
    <w:rsid w:val="008748E0"/>
    <w:rsid w:val="00874DE5"/>
    <w:rsid w:val="00875523"/>
    <w:rsid w:val="00875526"/>
    <w:rsid w:val="00875635"/>
    <w:rsid w:val="0087585A"/>
    <w:rsid w:val="0087592C"/>
    <w:rsid w:val="00875B5F"/>
    <w:rsid w:val="00875E1A"/>
    <w:rsid w:val="00876359"/>
    <w:rsid w:val="00876B41"/>
    <w:rsid w:val="00876BB6"/>
    <w:rsid w:val="00876BD7"/>
    <w:rsid w:val="00876C99"/>
    <w:rsid w:val="00876E5F"/>
    <w:rsid w:val="00876F02"/>
    <w:rsid w:val="00876F25"/>
    <w:rsid w:val="00877053"/>
    <w:rsid w:val="00877068"/>
    <w:rsid w:val="0087760B"/>
    <w:rsid w:val="00877710"/>
    <w:rsid w:val="008778CD"/>
    <w:rsid w:val="008779EA"/>
    <w:rsid w:val="00877A44"/>
    <w:rsid w:val="008801C0"/>
    <w:rsid w:val="00880215"/>
    <w:rsid w:val="008802FC"/>
    <w:rsid w:val="008803C5"/>
    <w:rsid w:val="0088098B"/>
    <w:rsid w:val="00880A75"/>
    <w:rsid w:val="0088119A"/>
    <w:rsid w:val="0088124E"/>
    <w:rsid w:val="0088126B"/>
    <w:rsid w:val="00881464"/>
    <w:rsid w:val="0088151F"/>
    <w:rsid w:val="00881544"/>
    <w:rsid w:val="00881825"/>
    <w:rsid w:val="00881986"/>
    <w:rsid w:val="00881A5E"/>
    <w:rsid w:val="00881C77"/>
    <w:rsid w:val="00881D44"/>
    <w:rsid w:val="00881FC5"/>
    <w:rsid w:val="00882146"/>
    <w:rsid w:val="0088298C"/>
    <w:rsid w:val="00882C91"/>
    <w:rsid w:val="00882E17"/>
    <w:rsid w:val="00883126"/>
    <w:rsid w:val="008833CA"/>
    <w:rsid w:val="00883469"/>
    <w:rsid w:val="0088395E"/>
    <w:rsid w:val="008839F3"/>
    <w:rsid w:val="00883C36"/>
    <w:rsid w:val="008840CE"/>
    <w:rsid w:val="008841E3"/>
    <w:rsid w:val="008842A3"/>
    <w:rsid w:val="008844B5"/>
    <w:rsid w:val="00884672"/>
    <w:rsid w:val="0088469E"/>
    <w:rsid w:val="008847A3"/>
    <w:rsid w:val="008848DC"/>
    <w:rsid w:val="0088492B"/>
    <w:rsid w:val="00884C83"/>
    <w:rsid w:val="00884FF1"/>
    <w:rsid w:val="00885035"/>
    <w:rsid w:val="00885193"/>
    <w:rsid w:val="008851DE"/>
    <w:rsid w:val="008851F6"/>
    <w:rsid w:val="0088530A"/>
    <w:rsid w:val="00885530"/>
    <w:rsid w:val="00885535"/>
    <w:rsid w:val="008855C3"/>
    <w:rsid w:val="0088568B"/>
    <w:rsid w:val="008856C9"/>
    <w:rsid w:val="0088577F"/>
    <w:rsid w:val="00885B43"/>
    <w:rsid w:val="00885C23"/>
    <w:rsid w:val="00885F03"/>
    <w:rsid w:val="00886567"/>
    <w:rsid w:val="00886621"/>
    <w:rsid w:val="00886665"/>
    <w:rsid w:val="0088684E"/>
    <w:rsid w:val="0088687B"/>
    <w:rsid w:val="00886C83"/>
    <w:rsid w:val="00886CFF"/>
    <w:rsid w:val="00886D0F"/>
    <w:rsid w:val="00886E1D"/>
    <w:rsid w:val="00886F50"/>
    <w:rsid w:val="00887782"/>
    <w:rsid w:val="0088788F"/>
    <w:rsid w:val="00887B25"/>
    <w:rsid w:val="00887BA3"/>
    <w:rsid w:val="00890306"/>
    <w:rsid w:val="008904C8"/>
    <w:rsid w:val="00890526"/>
    <w:rsid w:val="0089054C"/>
    <w:rsid w:val="00890588"/>
    <w:rsid w:val="00890996"/>
    <w:rsid w:val="00890D97"/>
    <w:rsid w:val="00890D99"/>
    <w:rsid w:val="00890DDD"/>
    <w:rsid w:val="00890E4F"/>
    <w:rsid w:val="00891032"/>
    <w:rsid w:val="008912BE"/>
    <w:rsid w:val="00891781"/>
    <w:rsid w:val="00891CF4"/>
    <w:rsid w:val="00891F28"/>
    <w:rsid w:val="0089206B"/>
    <w:rsid w:val="0089238F"/>
    <w:rsid w:val="00892634"/>
    <w:rsid w:val="008927DA"/>
    <w:rsid w:val="008928C1"/>
    <w:rsid w:val="00892927"/>
    <w:rsid w:val="00892B13"/>
    <w:rsid w:val="00892BE0"/>
    <w:rsid w:val="00892DDA"/>
    <w:rsid w:val="00892F33"/>
    <w:rsid w:val="0089311E"/>
    <w:rsid w:val="008931F0"/>
    <w:rsid w:val="0089396B"/>
    <w:rsid w:val="00893F02"/>
    <w:rsid w:val="00893F82"/>
    <w:rsid w:val="00893FF3"/>
    <w:rsid w:val="00894200"/>
    <w:rsid w:val="00894201"/>
    <w:rsid w:val="008943F6"/>
    <w:rsid w:val="00894403"/>
    <w:rsid w:val="0089450C"/>
    <w:rsid w:val="008947EB"/>
    <w:rsid w:val="0089482B"/>
    <w:rsid w:val="00894B2F"/>
    <w:rsid w:val="00894E9B"/>
    <w:rsid w:val="00894EFA"/>
    <w:rsid w:val="00895017"/>
    <w:rsid w:val="0089519B"/>
    <w:rsid w:val="008951CF"/>
    <w:rsid w:val="0089526D"/>
    <w:rsid w:val="008952D6"/>
    <w:rsid w:val="00895AFB"/>
    <w:rsid w:val="00895D21"/>
    <w:rsid w:val="00895E63"/>
    <w:rsid w:val="00895FDF"/>
    <w:rsid w:val="0089603B"/>
    <w:rsid w:val="008965BB"/>
    <w:rsid w:val="00896758"/>
    <w:rsid w:val="00896C19"/>
    <w:rsid w:val="00896E23"/>
    <w:rsid w:val="00896FB8"/>
    <w:rsid w:val="00897153"/>
    <w:rsid w:val="008971DF"/>
    <w:rsid w:val="00897278"/>
    <w:rsid w:val="008972C1"/>
    <w:rsid w:val="0089733C"/>
    <w:rsid w:val="008973EB"/>
    <w:rsid w:val="00897463"/>
    <w:rsid w:val="00897490"/>
    <w:rsid w:val="008974A4"/>
    <w:rsid w:val="0089753B"/>
    <w:rsid w:val="00897628"/>
    <w:rsid w:val="008976B1"/>
    <w:rsid w:val="0089770B"/>
    <w:rsid w:val="00897956"/>
    <w:rsid w:val="00897965"/>
    <w:rsid w:val="008979A9"/>
    <w:rsid w:val="00897BA6"/>
    <w:rsid w:val="00897C1A"/>
    <w:rsid w:val="00897CA6"/>
    <w:rsid w:val="008A0063"/>
    <w:rsid w:val="008A04E8"/>
    <w:rsid w:val="008A04FC"/>
    <w:rsid w:val="008A06A4"/>
    <w:rsid w:val="008A089A"/>
    <w:rsid w:val="008A0D28"/>
    <w:rsid w:val="008A14F6"/>
    <w:rsid w:val="008A1795"/>
    <w:rsid w:val="008A199C"/>
    <w:rsid w:val="008A19D8"/>
    <w:rsid w:val="008A19F5"/>
    <w:rsid w:val="008A1A6F"/>
    <w:rsid w:val="008A1AAA"/>
    <w:rsid w:val="008A1BE8"/>
    <w:rsid w:val="008A1C25"/>
    <w:rsid w:val="008A1C5D"/>
    <w:rsid w:val="008A212B"/>
    <w:rsid w:val="008A2199"/>
    <w:rsid w:val="008A27FF"/>
    <w:rsid w:val="008A2F24"/>
    <w:rsid w:val="008A3092"/>
    <w:rsid w:val="008A3339"/>
    <w:rsid w:val="008A337C"/>
    <w:rsid w:val="008A347C"/>
    <w:rsid w:val="008A3534"/>
    <w:rsid w:val="008A3915"/>
    <w:rsid w:val="008A39C9"/>
    <w:rsid w:val="008A3D6B"/>
    <w:rsid w:val="008A4113"/>
    <w:rsid w:val="008A4259"/>
    <w:rsid w:val="008A43A9"/>
    <w:rsid w:val="008A43AB"/>
    <w:rsid w:val="008A46A0"/>
    <w:rsid w:val="008A46C8"/>
    <w:rsid w:val="008A4734"/>
    <w:rsid w:val="008A49E0"/>
    <w:rsid w:val="008A4B49"/>
    <w:rsid w:val="008A4C59"/>
    <w:rsid w:val="008A4CA1"/>
    <w:rsid w:val="008A4E7B"/>
    <w:rsid w:val="008A4EC3"/>
    <w:rsid w:val="008A507E"/>
    <w:rsid w:val="008A50D9"/>
    <w:rsid w:val="008A5220"/>
    <w:rsid w:val="008A52EC"/>
    <w:rsid w:val="008A5395"/>
    <w:rsid w:val="008A54B2"/>
    <w:rsid w:val="008A55D4"/>
    <w:rsid w:val="008A5A50"/>
    <w:rsid w:val="008A5F0A"/>
    <w:rsid w:val="008A6504"/>
    <w:rsid w:val="008A6572"/>
    <w:rsid w:val="008A6608"/>
    <w:rsid w:val="008A66BE"/>
    <w:rsid w:val="008A68B0"/>
    <w:rsid w:val="008A69A6"/>
    <w:rsid w:val="008A6DC6"/>
    <w:rsid w:val="008A6FF9"/>
    <w:rsid w:val="008A70B6"/>
    <w:rsid w:val="008A727A"/>
    <w:rsid w:val="008A727F"/>
    <w:rsid w:val="008A740A"/>
    <w:rsid w:val="008A7538"/>
    <w:rsid w:val="008A7600"/>
    <w:rsid w:val="008A7698"/>
    <w:rsid w:val="008A78BC"/>
    <w:rsid w:val="008A793C"/>
    <w:rsid w:val="008A7A2C"/>
    <w:rsid w:val="008A7EA3"/>
    <w:rsid w:val="008A7F6A"/>
    <w:rsid w:val="008B0190"/>
    <w:rsid w:val="008B0485"/>
    <w:rsid w:val="008B0551"/>
    <w:rsid w:val="008B0696"/>
    <w:rsid w:val="008B06DD"/>
    <w:rsid w:val="008B08C6"/>
    <w:rsid w:val="008B0EE3"/>
    <w:rsid w:val="008B0FBE"/>
    <w:rsid w:val="008B0FE2"/>
    <w:rsid w:val="008B132F"/>
    <w:rsid w:val="008B13BC"/>
    <w:rsid w:val="008B1642"/>
    <w:rsid w:val="008B17D9"/>
    <w:rsid w:val="008B1826"/>
    <w:rsid w:val="008B1FA0"/>
    <w:rsid w:val="008B1FB8"/>
    <w:rsid w:val="008B1FE3"/>
    <w:rsid w:val="008B2196"/>
    <w:rsid w:val="008B21E8"/>
    <w:rsid w:val="008B21F3"/>
    <w:rsid w:val="008B296A"/>
    <w:rsid w:val="008B2B91"/>
    <w:rsid w:val="008B2CDC"/>
    <w:rsid w:val="008B2F50"/>
    <w:rsid w:val="008B2F85"/>
    <w:rsid w:val="008B3383"/>
    <w:rsid w:val="008B37AB"/>
    <w:rsid w:val="008B389D"/>
    <w:rsid w:val="008B3B4E"/>
    <w:rsid w:val="008B3E6B"/>
    <w:rsid w:val="008B3EBF"/>
    <w:rsid w:val="008B3F4B"/>
    <w:rsid w:val="008B4253"/>
    <w:rsid w:val="008B4C6E"/>
    <w:rsid w:val="008B4C9B"/>
    <w:rsid w:val="008B4CED"/>
    <w:rsid w:val="008B4CF4"/>
    <w:rsid w:val="008B4E04"/>
    <w:rsid w:val="008B4EEB"/>
    <w:rsid w:val="008B52A3"/>
    <w:rsid w:val="008B544B"/>
    <w:rsid w:val="008B580F"/>
    <w:rsid w:val="008B5940"/>
    <w:rsid w:val="008B5C8A"/>
    <w:rsid w:val="008B5C94"/>
    <w:rsid w:val="008B5D17"/>
    <w:rsid w:val="008B601F"/>
    <w:rsid w:val="008B622C"/>
    <w:rsid w:val="008B6476"/>
    <w:rsid w:val="008B6572"/>
    <w:rsid w:val="008B664B"/>
    <w:rsid w:val="008B6899"/>
    <w:rsid w:val="008B697B"/>
    <w:rsid w:val="008B69E2"/>
    <w:rsid w:val="008B6C14"/>
    <w:rsid w:val="008B6FA0"/>
    <w:rsid w:val="008B6FCE"/>
    <w:rsid w:val="008B7061"/>
    <w:rsid w:val="008B70CD"/>
    <w:rsid w:val="008B760D"/>
    <w:rsid w:val="008B765B"/>
    <w:rsid w:val="008B76AE"/>
    <w:rsid w:val="008B76CD"/>
    <w:rsid w:val="008B7778"/>
    <w:rsid w:val="008B7810"/>
    <w:rsid w:val="008B7913"/>
    <w:rsid w:val="008B7C7B"/>
    <w:rsid w:val="008B7E8D"/>
    <w:rsid w:val="008B7EA8"/>
    <w:rsid w:val="008C0072"/>
    <w:rsid w:val="008C00A9"/>
    <w:rsid w:val="008C00B0"/>
    <w:rsid w:val="008C0489"/>
    <w:rsid w:val="008C0633"/>
    <w:rsid w:val="008C0746"/>
    <w:rsid w:val="008C076C"/>
    <w:rsid w:val="008C0B46"/>
    <w:rsid w:val="008C0C1B"/>
    <w:rsid w:val="008C1041"/>
    <w:rsid w:val="008C1128"/>
    <w:rsid w:val="008C117E"/>
    <w:rsid w:val="008C13C7"/>
    <w:rsid w:val="008C1591"/>
    <w:rsid w:val="008C1B33"/>
    <w:rsid w:val="008C1C47"/>
    <w:rsid w:val="008C1CF6"/>
    <w:rsid w:val="008C1D29"/>
    <w:rsid w:val="008C212A"/>
    <w:rsid w:val="008C23BD"/>
    <w:rsid w:val="008C23FE"/>
    <w:rsid w:val="008C246B"/>
    <w:rsid w:val="008C24E5"/>
    <w:rsid w:val="008C25B9"/>
    <w:rsid w:val="008C262C"/>
    <w:rsid w:val="008C278E"/>
    <w:rsid w:val="008C2898"/>
    <w:rsid w:val="008C2C47"/>
    <w:rsid w:val="008C2FB2"/>
    <w:rsid w:val="008C30AD"/>
    <w:rsid w:val="008C328A"/>
    <w:rsid w:val="008C33E4"/>
    <w:rsid w:val="008C3645"/>
    <w:rsid w:val="008C3727"/>
    <w:rsid w:val="008C3919"/>
    <w:rsid w:val="008C3BC5"/>
    <w:rsid w:val="008C3E71"/>
    <w:rsid w:val="008C42B3"/>
    <w:rsid w:val="008C4442"/>
    <w:rsid w:val="008C44A7"/>
    <w:rsid w:val="008C48EE"/>
    <w:rsid w:val="008C4946"/>
    <w:rsid w:val="008C4A3D"/>
    <w:rsid w:val="008C4A49"/>
    <w:rsid w:val="008C4E73"/>
    <w:rsid w:val="008C513C"/>
    <w:rsid w:val="008C54B3"/>
    <w:rsid w:val="008C5E2B"/>
    <w:rsid w:val="008C5F61"/>
    <w:rsid w:val="008C6006"/>
    <w:rsid w:val="008C6130"/>
    <w:rsid w:val="008C63C5"/>
    <w:rsid w:val="008C658C"/>
    <w:rsid w:val="008C65C6"/>
    <w:rsid w:val="008C65D2"/>
    <w:rsid w:val="008C6653"/>
    <w:rsid w:val="008C6780"/>
    <w:rsid w:val="008C696B"/>
    <w:rsid w:val="008C69B9"/>
    <w:rsid w:val="008C6DF2"/>
    <w:rsid w:val="008C6FA9"/>
    <w:rsid w:val="008C700F"/>
    <w:rsid w:val="008C70EC"/>
    <w:rsid w:val="008C715C"/>
    <w:rsid w:val="008C7354"/>
    <w:rsid w:val="008C7A03"/>
    <w:rsid w:val="008C7A41"/>
    <w:rsid w:val="008C7D81"/>
    <w:rsid w:val="008C7F16"/>
    <w:rsid w:val="008D082C"/>
    <w:rsid w:val="008D10C9"/>
    <w:rsid w:val="008D1118"/>
    <w:rsid w:val="008D1285"/>
    <w:rsid w:val="008D151B"/>
    <w:rsid w:val="008D1886"/>
    <w:rsid w:val="008D1A04"/>
    <w:rsid w:val="008D1B89"/>
    <w:rsid w:val="008D1C81"/>
    <w:rsid w:val="008D1F51"/>
    <w:rsid w:val="008D22B3"/>
    <w:rsid w:val="008D25F5"/>
    <w:rsid w:val="008D2726"/>
    <w:rsid w:val="008D2732"/>
    <w:rsid w:val="008D27A3"/>
    <w:rsid w:val="008D28C4"/>
    <w:rsid w:val="008D2C02"/>
    <w:rsid w:val="008D2F29"/>
    <w:rsid w:val="008D3070"/>
    <w:rsid w:val="008D3274"/>
    <w:rsid w:val="008D346E"/>
    <w:rsid w:val="008D3476"/>
    <w:rsid w:val="008D3490"/>
    <w:rsid w:val="008D3672"/>
    <w:rsid w:val="008D38AA"/>
    <w:rsid w:val="008D3BD6"/>
    <w:rsid w:val="008D3F2A"/>
    <w:rsid w:val="008D3FA1"/>
    <w:rsid w:val="008D43E7"/>
    <w:rsid w:val="008D46F5"/>
    <w:rsid w:val="008D47C3"/>
    <w:rsid w:val="008D4C18"/>
    <w:rsid w:val="008D51EC"/>
    <w:rsid w:val="008D533E"/>
    <w:rsid w:val="008D5522"/>
    <w:rsid w:val="008D5524"/>
    <w:rsid w:val="008D56E8"/>
    <w:rsid w:val="008D5DF7"/>
    <w:rsid w:val="008D5F2B"/>
    <w:rsid w:val="008D61C9"/>
    <w:rsid w:val="008D61EE"/>
    <w:rsid w:val="008D64C0"/>
    <w:rsid w:val="008D6964"/>
    <w:rsid w:val="008D6B76"/>
    <w:rsid w:val="008D6BFC"/>
    <w:rsid w:val="008D6D79"/>
    <w:rsid w:val="008D6E09"/>
    <w:rsid w:val="008D6EC6"/>
    <w:rsid w:val="008D6FF0"/>
    <w:rsid w:val="008D733E"/>
    <w:rsid w:val="008D7549"/>
    <w:rsid w:val="008D75E4"/>
    <w:rsid w:val="008D75FC"/>
    <w:rsid w:val="008D7784"/>
    <w:rsid w:val="008D799D"/>
    <w:rsid w:val="008D7AF0"/>
    <w:rsid w:val="008D7BBC"/>
    <w:rsid w:val="008D7C7B"/>
    <w:rsid w:val="008D7CB3"/>
    <w:rsid w:val="008D7DEB"/>
    <w:rsid w:val="008D7E7B"/>
    <w:rsid w:val="008D7F14"/>
    <w:rsid w:val="008D7F8E"/>
    <w:rsid w:val="008E0024"/>
    <w:rsid w:val="008E01A7"/>
    <w:rsid w:val="008E08FE"/>
    <w:rsid w:val="008E097C"/>
    <w:rsid w:val="008E09F0"/>
    <w:rsid w:val="008E0C9F"/>
    <w:rsid w:val="008E0D95"/>
    <w:rsid w:val="008E0EFB"/>
    <w:rsid w:val="008E11C9"/>
    <w:rsid w:val="008E134A"/>
    <w:rsid w:val="008E141B"/>
    <w:rsid w:val="008E14D4"/>
    <w:rsid w:val="008E14E7"/>
    <w:rsid w:val="008E16CC"/>
    <w:rsid w:val="008E17C2"/>
    <w:rsid w:val="008E17CB"/>
    <w:rsid w:val="008E17D7"/>
    <w:rsid w:val="008E1B5E"/>
    <w:rsid w:val="008E1E39"/>
    <w:rsid w:val="008E1F2D"/>
    <w:rsid w:val="008E1FCA"/>
    <w:rsid w:val="008E208F"/>
    <w:rsid w:val="008E2282"/>
    <w:rsid w:val="008E2516"/>
    <w:rsid w:val="008E253F"/>
    <w:rsid w:val="008E259C"/>
    <w:rsid w:val="008E2865"/>
    <w:rsid w:val="008E29D7"/>
    <w:rsid w:val="008E2A38"/>
    <w:rsid w:val="008E2AE6"/>
    <w:rsid w:val="008E2C35"/>
    <w:rsid w:val="008E2DEB"/>
    <w:rsid w:val="008E3058"/>
    <w:rsid w:val="008E30DB"/>
    <w:rsid w:val="008E3163"/>
    <w:rsid w:val="008E3481"/>
    <w:rsid w:val="008E3A2D"/>
    <w:rsid w:val="008E3A81"/>
    <w:rsid w:val="008E3B43"/>
    <w:rsid w:val="008E3D74"/>
    <w:rsid w:val="008E414A"/>
    <w:rsid w:val="008E41A2"/>
    <w:rsid w:val="008E4228"/>
    <w:rsid w:val="008E48DF"/>
    <w:rsid w:val="008E4AD1"/>
    <w:rsid w:val="008E4C3A"/>
    <w:rsid w:val="008E4D4A"/>
    <w:rsid w:val="008E4FD0"/>
    <w:rsid w:val="008E5167"/>
    <w:rsid w:val="008E5851"/>
    <w:rsid w:val="008E596C"/>
    <w:rsid w:val="008E5A87"/>
    <w:rsid w:val="008E5CE8"/>
    <w:rsid w:val="008E5D0E"/>
    <w:rsid w:val="008E6030"/>
    <w:rsid w:val="008E618F"/>
    <w:rsid w:val="008E6333"/>
    <w:rsid w:val="008E63D5"/>
    <w:rsid w:val="008E63F9"/>
    <w:rsid w:val="008E64B2"/>
    <w:rsid w:val="008E6550"/>
    <w:rsid w:val="008E67AB"/>
    <w:rsid w:val="008E69B1"/>
    <w:rsid w:val="008E703E"/>
    <w:rsid w:val="008E7224"/>
    <w:rsid w:val="008E7263"/>
    <w:rsid w:val="008E7466"/>
    <w:rsid w:val="008E7812"/>
    <w:rsid w:val="008E7B46"/>
    <w:rsid w:val="008E7CB1"/>
    <w:rsid w:val="008E7DE8"/>
    <w:rsid w:val="008E7F28"/>
    <w:rsid w:val="008E7F2D"/>
    <w:rsid w:val="008E7FFE"/>
    <w:rsid w:val="008F0157"/>
    <w:rsid w:val="008F01A5"/>
    <w:rsid w:val="008F034E"/>
    <w:rsid w:val="008F0743"/>
    <w:rsid w:val="008F0B84"/>
    <w:rsid w:val="008F0CC0"/>
    <w:rsid w:val="008F0F86"/>
    <w:rsid w:val="008F107F"/>
    <w:rsid w:val="008F10D0"/>
    <w:rsid w:val="008F12EB"/>
    <w:rsid w:val="008F1309"/>
    <w:rsid w:val="008F154C"/>
    <w:rsid w:val="008F15F6"/>
    <w:rsid w:val="008F1632"/>
    <w:rsid w:val="008F1ADB"/>
    <w:rsid w:val="008F1AE8"/>
    <w:rsid w:val="008F1B42"/>
    <w:rsid w:val="008F1C18"/>
    <w:rsid w:val="008F1D3A"/>
    <w:rsid w:val="008F1D7D"/>
    <w:rsid w:val="008F1FB6"/>
    <w:rsid w:val="008F2124"/>
    <w:rsid w:val="008F2183"/>
    <w:rsid w:val="008F21AD"/>
    <w:rsid w:val="008F21DF"/>
    <w:rsid w:val="008F28B1"/>
    <w:rsid w:val="008F2A44"/>
    <w:rsid w:val="008F2A91"/>
    <w:rsid w:val="008F2B1C"/>
    <w:rsid w:val="008F2BBD"/>
    <w:rsid w:val="008F2BE2"/>
    <w:rsid w:val="008F2C41"/>
    <w:rsid w:val="008F2CA6"/>
    <w:rsid w:val="008F2E2B"/>
    <w:rsid w:val="008F2F40"/>
    <w:rsid w:val="008F319E"/>
    <w:rsid w:val="008F37F2"/>
    <w:rsid w:val="008F3958"/>
    <w:rsid w:val="008F3B20"/>
    <w:rsid w:val="008F3C6A"/>
    <w:rsid w:val="008F3D08"/>
    <w:rsid w:val="008F4153"/>
    <w:rsid w:val="008F42E3"/>
    <w:rsid w:val="008F440E"/>
    <w:rsid w:val="008F4413"/>
    <w:rsid w:val="008F4421"/>
    <w:rsid w:val="008F448D"/>
    <w:rsid w:val="008F450D"/>
    <w:rsid w:val="008F454D"/>
    <w:rsid w:val="008F4599"/>
    <w:rsid w:val="008F4BE6"/>
    <w:rsid w:val="008F4D6E"/>
    <w:rsid w:val="008F4DA7"/>
    <w:rsid w:val="008F4F39"/>
    <w:rsid w:val="008F526A"/>
    <w:rsid w:val="008F5487"/>
    <w:rsid w:val="008F56BF"/>
    <w:rsid w:val="008F58DC"/>
    <w:rsid w:val="008F5A76"/>
    <w:rsid w:val="008F5C2C"/>
    <w:rsid w:val="008F5D34"/>
    <w:rsid w:val="008F5E50"/>
    <w:rsid w:val="008F5EF3"/>
    <w:rsid w:val="008F5FC5"/>
    <w:rsid w:val="008F6066"/>
    <w:rsid w:val="008F6102"/>
    <w:rsid w:val="008F632B"/>
    <w:rsid w:val="008F6473"/>
    <w:rsid w:val="008F65BF"/>
    <w:rsid w:val="008F6677"/>
    <w:rsid w:val="008F66DA"/>
    <w:rsid w:val="008F69F8"/>
    <w:rsid w:val="008F6D63"/>
    <w:rsid w:val="008F6E83"/>
    <w:rsid w:val="008F6FB5"/>
    <w:rsid w:val="008F7417"/>
    <w:rsid w:val="008F7501"/>
    <w:rsid w:val="008F79DF"/>
    <w:rsid w:val="008F7B1A"/>
    <w:rsid w:val="00900204"/>
    <w:rsid w:val="009002A1"/>
    <w:rsid w:val="009002AA"/>
    <w:rsid w:val="00900369"/>
    <w:rsid w:val="0090097C"/>
    <w:rsid w:val="00900B4D"/>
    <w:rsid w:val="00900BBF"/>
    <w:rsid w:val="00900C56"/>
    <w:rsid w:val="00900C8C"/>
    <w:rsid w:val="00900FC4"/>
    <w:rsid w:val="009011B5"/>
    <w:rsid w:val="0090158F"/>
    <w:rsid w:val="009015C0"/>
    <w:rsid w:val="00901767"/>
    <w:rsid w:val="0090195B"/>
    <w:rsid w:val="00901B71"/>
    <w:rsid w:val="00901BA8"/>
    <w:rsid w:val="00901BB3"/>
    <w:rsid w:val="00901C7B"/>
    <w:rsid w:val="00901D9F"/>
    <w:rsid w:val="00901ED0"/>
    <w:rsid w:val="00901F65"/>
    <w:rsid w:val="00901FFD"/>
    <w:rsid w:val="009022C2"/>
    <w:rsid w:val="00902441"/>
    <w:rsid w:val="0090269A"/>
    <w:rsid w:val="0090284B"/>
    <w:rsid w:val="00902A49"/>
    <w:rsid w:val="00902B63"/>
    <w:rsid w:val="00903359"/>
    <w:rsid w:val="009035F9"/>
    <w:rsid w:val="009037C5"/>
    <w:rsid w:val="00903912"/>
    <w:rsid w:val="00903997"/>
    <w:rsid w:val="00903C49"/>
    <w:rsid w:val="00903CE4"/>
    <w:rsid w:val="00903DE7"/>
    <w:rsid w:val="00903FF8"/>
    <w:rsid w:val="00904061"/>
    <w:rsid w:val="009041E5"/>
    <w:rsid w:val="00904209"/>
    <w:rsid w:val="0090420B"/>
    <w:rsid w:val="00904453"/>
    <w:rsid w:val="009047F1"/>
    <w:rsid w:val="00904916"/>
    <w:rsid w:val="00904CB7"/>
    <w:rsid w:val="00904D03"/>
    <w:rsid w:val="00904DEB"/>
    <w:rsid w:val="00904E52"/>
    <w:rsid w:val="00904E99"/>
    <w:rsid w:val="00905106"/>
    <w:rsid w:val="0090516B"/>
    <w:rsid w:val="00905410"/>
    <w:rsid w:val="00905450"/>
    <w:rsid w:val="0090549F"/>
    <w:rsid w:val="00905568"/>
    <w:rsid w:val="00905769"/>
    <w:rsid w:val="0090584C"/>
    <w:rsid w:val="00905B7A"/>
    <w:rsid w:val="0090648F"/>
    <w:rsid w:val="009066B4"/>
    <w:rsid w:val="009067A8"/>
    <w:rsid w:val="00906894"/>
    <w:rsid w:val="00906A85"/>
    <w:rsid w:val="00906C01"/>
    <w:rsid w:val="00906C0E"/>
    <w:rsid w:val="00906C3C"/>
    <w:rsid w:val="0090700A"/>
    <w:rsid w:val="009072B7"/>
    <w:rsid w:val="0090751B"/>
    <w:rsid w:val="00907B17"/>
    <w:rsid w:val="00907B69"/>
    <w:rsid w:val="00907BF5"/>
    <w:rsid w:val="00907C56"/>
    <w:rsid w:val="00907CC2"/>
    <w:rsid w:val="00907F32"/>
    <w:rsid w:val="009100AF"/>
    <w:rsid w:val="00910239"/>
    <w:rsid w:val="00910330"/>
    <w:rsid w:val="009105F0"/>
    <w:rsid w:val="009106E4"/>
    <w:rsid w:val="00910785"/>
    <w:rsid w:val="009109AE"/>
    <w:rsid w:val="00910BAC"/>
    <w:rsid w:val="00910D5B"/>
    <w:rsid w:val="00910E96"/>
    <w:rsid w:val="00910EF2"/>
    <w:rsid w:val="00911009"/>
    <w:rsid w:val="00911146"/>
    <w:rsid w:val="00911ABF"/>
    <w:rsid w:val="00911C05"/>
    <w:rsid w:val="00911C8B"/>
    <w:rsid w:val="009120A5"/>
    <w:rsid w:val="009120C4"/>
    <w:rsid w:val="009124A3"/>
    <w:rsid w:val="00912904"/>
    <w:rsid w:val="00912DA0"/>
    <w:rsid w:val="00912DE6"/>
    <w:rsid w:val="009132E7"/>
    <w:rsid w:val="00913326"/>
    <w:rsid w:val="00913523"/>
    <w:rsid w:val="009136C1"/>
    <w:rsid w:val="0091389D"/>
    <w:rsid w:val="00913A28"/>
    <w:rsid w:val="00913AAA"/>
    <w:rsid w:val="00913DDA"/>
    <w:rsid w:val="009140DA"/>
    <w:rsid w:val="009141A5"/>
    <w:rsid w:val="00914558"/>
    <w:rsid w:val="00914663"/>
    <w:rsid w:val="009148AE"/>
    <w:rsid w:val="009149F2"/>
    <w:rsid w:val="00914AAE"/>
    <w:rsid w:val="00914B1A"/>
    <w:rsid w:val="00914E6D"/>
    <w:rsid w:val="009152E8"/>
    <w:rsid w:val="0091559E"/>
    <w:rsid w:val="00915650"/>
    <w:rsid w:val="00915752"/>
    <w:rsid w:val="00915897"/>
    <w:rsid w:val="00915A37"/>
    <w:rsid w:val="00915EE4"/>
    <w:rsid w:val="00916083"/>
    <w:rsid w:val="009161BE"/>
    <w:rsid w:val="009161D9"/>
    <w:rsid w:val="0091623A"/>
    <w:rsid w:val="0091666C"/>
    <w:rsid w:val="00916959"/>
    <w:rsid w:val="00916E1D"/>
    <w:rsid w:val="00917005"/>
    <w:rsid w:val="00917276"/>
    <w:rsid w:val="0091747D"/>
    <w:rsid w:val="00917807"/>
    <w:rsid w:val="00917CF5"/>
    <w:rsid w:val="00917D86"/>
    <w:rsid w:val="00917DAB"/>
    <w:rsid w:val="009200FA"/>
    <w:rsid w:val="00920379"/>
    <w:rsid w:val="009203DE"/>
    <w:rsid w:val="009204EC"/>
    <w:rsid w:val="009205A4"/>
    <w:rsid w:val="009205DD"/>
    <w:rsid w:val="0092063B"/>
    <w:rsid w:val="00920690"/>
    <w:rsid w:val="00920B79"/>
    <w:rsid w:val="00920C36"/>
    <w:rsid w:val="00920CA3"/>
    <w:rsid w:val="00920D4A"/>
    <w:rsid w:val="00920E6C"/>
    <w:rsid w:val="00920E81"/>
    <w:rsid w:val="00920E95"/>
    <w:rsid w:val="0092108F"/>
    <w:rsid w:val="00921400"/>
    <w:rsid w:val="00921432"/>
    <w:rsid w:val="0092147F"/>
    <w:rsid w:val="0092152B"/>
    <w:rsid w:val="0092152D"/>
    <w:rsid w:val="0092157A"/>
    <w:rsid w:val="00921691"/>
    <w:rsid w:val="00921924"/>
    <w:rsid w:val="00921932"/>
    <w:rsid w:val="00921C38"/>
    <w:rsid w:val="00921CB0"/>
    <w:rsid w:val="00922412"/>
    <w:rsid w:val="00922538"/>
    <w:rsid w:val="0092270D"/>
    <w:rsid w:val="0092273A"/>
    <w:rsid w:val="00922865"/>
    <w:rsid w:val="0092294E"/>
    <w:rsid w:val="00922B23"/>
    <w:rsid w:val="00922B7E"/>
    <w:rsid w:val="00922C68"/>
    <w:rsid w:val="00922CAB"/>
    <w:rsid w:val="00922E66"/>
    <w:rsid w:val="00922F76"/>
    <w:rsid w:val="00923395"/>
    <w:rsid w:val="0092343D"/>
    <w:rsid w:val="009235CC"/>
    <w:rsid w:val="009239D5"/>
    <w:rsid w:val="00923ABB"/>
    <w:rsid w:val="00923F05"/>
    <w:rsid w:val="00924272"/>
    <w:rsid w:val="009242C3"/>
    <w:rsid w:val="009245C7"/>
    <w:rsid w:val="009248F5"/>
    <w:rsid w:val="00924A15"/>
    <w:rsid w:val="00924B1A"/>
    <w:rsid w:val="00924D39"/>
    <w:rsid w:val="00924D9C"/>
    <w:rsid w:val="00924DF5"/>
    <w:rsid w:val="009252C7"/>
    <w:rsid w:val="009253DF"/>
    <w:rsid w:val="009256A3"/>
    <w:rsid w:val="009256CE"/>
    <w:rsid w:val="00925787"/>
    <w:rsid w:val="0092579A"/>
    <w:rsid w:val="009257D1"/>
    <w:rsid w:val="009257D2"/>
    <w:rsid w:val="00925839"/>
    <w:rsid w:val="009258CF"/>
    <w:rsid w:val="00925B82"/>
    <w:rsid w:val="00925DEB"/>
    <w:rsid w:val="00925E1A"/>
    <w:rsid w:val="00925F6D"/>
    <w:rsid w:val="009264A8"/>
    <w:rsid w:val="00926577"/>
    <w:rsid w:val="00926664"/>
    <w:rsid w:val="00926938"/>
    <w:rsid w:val="00926953"/>
    <w:rsid w:val="00926B02"/>
    <w:rsid w:val="00926D3C"/>
    <w:rsid w:val="00926F4B"/>
    <w:rsid w:val="00927316"/>
    <w:rsid w:val="00927375"/>
    <w:rsid w:val="0092763B"/>
    <w:rsid w:val="00927736"/>
    <w:rsid w:val="009278D4"/>
    <w:rsid w:val="00927A14"/>
    <w:rsid w:val="00927A80"/>
    <w:rsid w:val="00927C6E"/>
    <w:rsid w:val="00927E32"/>
    <w:rsid w:val="00927E81"/>
    <w:rsid w:val="00927F22"/>
    <w:rsid w:val="00927FA6"/>
    <w:rsid w:val="00930203"/>
    <w:rsid w:val="00930378"/>
    <w:rsid w:val="009304A9"/>
    <w:rsid w:val="0093067D"/>
    <w:rsid w:val="0093095D"/>
    <w:rsid w:val="00930A14"/>
    <w:rsid w:val="00930AF3"/>
    <w:rsid w:val="00930E84"/>
    <w:rsid w:val="00930ED5"/>
    <w:rsid w:val="00930F4F"/>
    <w:rsid w:val="00931006"/>
    <w:rsid w:val="009311B8"/>
    <w:rsid w:val="00931506"/>
    <w:rsid w:val="0093172E"/>
    <w:rsid w:val="009317ED"/>
    <w:rsid w:val="009319AD"/>
    <w:rsid w:val="00931B1C"/>
    <w:rsid w:val="00931D35"/>
    <w:rsid w:val="0093245F"/>
    <w:rsid w:val="0093284E"/>
    <w:rsid w:val="00932865"/>
    <w:rsid w:val="009328BA"/>
    <w:rsid w:val="00932972"/>
    <w:rsid w:val="009329A1"/>
    <w:rsid w:val="00932A84"/>
    <w:rsid w:val="00932AF7"/>
    <w:rsid w:val="00932D38"/>
    <w:rsid w:val="00932DBE"/>
    <w:rsid w:val="00933013"/>
    <w:rsid w:val="00933298"/>
    <w:rsid w:val="009332EA"/>
    <w:rsid w:val="0093338A"/>
    <w:rsid w:val="0093350D"/>
    <w:rsid w:val="0093355C"/>
    <w:rsid w:val="0093367E"/>
    <w:rsid w:val="009336CF"/>
    <w:rsid w:val="00933747"/>
    <w:rsid w:val="00933748"/>
    <w:rsid w:val="009339C6"/>
    <w:rsid w:val="00933D38"/>
    <w:rsid w:val="00933E8D"/>
    <w:rsid w:val="00933EE5"/>
    <w:rsid w:val="00933F14"/>
    <w:rsid w:val="00934292"/>
    <w:rsid w:val="00934362"/>
    <w:rsid w:val="00934380"/>
    <w:rsid w:val="00934435"/>
    <w:rsid w:val="00934504"/>
    <w:rsid w:val="0093461E"/>
    <w:rsid w:val="00934778"/>
    <w:rsid w:val="009347C8"/>
    <w:rsid w:val="009347DC"/>
    <w:rsid w:val="00934857"/>
    <w:rsid w:val="00934B79"/>
    <w:rsid w:val="00934C50"/>
    <w:rsid w:val="00934D37"/>
    <w:rsid w:val="00935028"/>
    <w:rsid w:val="00935135"/>
    <w:rsid w:val="009351AF"/>
    <w:rsid w:val="009351D5"/>
    <w:rsid w:val="009351E2"/>
    <w:rsid w:val="00935403"/>
    <w:rsid w:val="0093569D"/>
    <w:rsid w:val="00936113"/>
    <w:rsid w:val="009363A4"/>
    <w:rsid w:val="00936425"/>
    <w:rsid w:val="00936705"/>
    <w:rsid w:val="009368EE"/>
    <w:rsid w:val="00936938"/>
    <w:rsid w:val="0093694D"/>
    <w:rsid w:val="00936998"/>
    <w:rsid w:val="00936E4A"/>
    <w:rsid w:val="00936F96"/>
    <w:rsid w:val="00936FA4"/>
    <w:rsid w:val="009370D0"/>
    <w:rsid w:val="009371B6"/>
    <w:rsid w:val="00937241"/>
    <w:rsid w:val="009376D4"/>
    <w:rsid w:val="009376EE"/>
    <w:rsid w:val="0093796B"/>
    <w:rsid w:val="0093798E"/>
    <w:rsid w:val="00937C79"/>
    <w:rsid w:val="00937D22"/>
    <w:rsid w:val="009401D7"/>
    <w:rsid w:val="009402B2"/>
    <w:rsid w:val="00940585"/>
    <w:rsid w:val="009407E2"/>
    <w:rsid w:val="00940E51"/>
    <w:rsid w:val="00940FA7"/>
    <w:rsid w:val="009410D7"/>
    <w:rsid w:val="009411AA"/>
    <w:rsid w:val="0094120E"/>
    <w:rsid w:val="009412B9"/>
    <w:rsid w:val="00941397"/>
    <w:rsid w:val="00941984"/>
    <w:rsid w:val="00941A06"/>
    <w:rsid w:val="00941B1E"/>
    <w:rsid w:val="00941C57"/>
    <w:rsid w:val="00942123"/>
    <w:rsid w:val="0094212D"/>
    <w:rsid w:val="0094214A"/>
    <w:rsid w:val="00942447"/>
    <w:rsid w:val="0094256D"/>
    <w:rsid w:val="0094261C"/>
    <w:rsid w:val="0094285B"/>
    <w:rsid w:val="00942887"/>
    <w:rsid w:val="00942ABC"/>
    <w:rsid w:val="00942B91"/>
    <w:rsid w:val="00942D60"/>
    <w:rsid w:val="00942DC5"/>
    <w:rsid w:val="00942E3D"/>
    <w:rsid w:val="00942F06"/>
    <w:rsid w:val="00942F6C"/>
    <w:rsid w:val="00943016"/>
    <w:rsid w:val="00943191"/>
    <w:rsid w:val="0094322F"/>
    <w:rsid w:val="0094371F"/>
    <w:rsid w:val="00943B39"/>
    <w:rsid w:val="00943D2F"/>
    <w:rsid w:val="0094404D"/>
    <w:rsid w:val="0094407D"/>
    <w:rsid w:val="00944332"/>
    <w:rsid w:val="009443D4"/>
    <w:rsid w:val="00944693"/>
    <w:rsid w:val="0094491C"/>
    <w:rsid w:val="00944AE3"/>
    <w:rsid w:val="00944B12"/>
    <w:rsid w:val="00944C1B"/>
    <w:rsid w:val="00944CFC"/>
    <w:rsid w:val="00944D20"/>
    <w:rsid w:val="00944D45"/>
    <w:rsid w:val="00944DAA"/>
    <w:rsid w:val="009452B8"/>
    <w:rsid w:val="009452CA"/>
    <w:rsid w:val="0094590E"/>
    <w:rsid w:val="009459F8"/>
    <w:rsid w:val="00945A0D"/>
    <w:rsid w:val="00945A37"/>
    <w:rsid w:val="00945C37"/>
    <w:rsid w:val="00945D31"/>
    <w:rsid w:val="00945D99"/>
    <w:rsid w:val="00945F44"/>
    <w:rsid w:val="00946472"/>
    <w:rsid w:val="00946533"/>
    <w:rsid w:val="00946B29"/>
    <w:rsid w:val="00946B4F"/>
    <w:rsid w:val="00946C5E"/>
    <w:rsid w:val="009470F2"/>
    <w:rsid w:val="00947251"/>
    <w:rsid w:val="009474CC"/>
    <w:rsid w:val="009476D9"/>
    <w:rsid w:val="009478BA"/>
    <w:rsid w:val="0094791F"/>
    <w:rsid w:val="00947937"/>
    <w:rsid w:val="00947A1B"/>
    <w:rsid w:val="00947B06"/>
    <w:rsid w:val="00947BFD"/>
    <w:rsid w:val="00947CCC"/>
    <w:rsid w:val="00947CF6"/>
    <w:rsid w:val="00947E0D"/>
    <w:rsid w:val="00947E0F"/>
    <w:rsid w:val="00947FA3"/>
    <w:rsid w:val="0095059B"/>
    <w:rsid w:val="009505FD"/>
    <w:rsid w:val="0095075B"/>
    <w:rsid w:val="0095088C"/>
    <w:rsid w:val="00950960"/>
    <w:rsid w:val="00950C96"/>
    <w:rsid w:val="00950D0A"/>
    <w:rsid w:val="00950DCA"/>
    <w:rsid w:val="00951194"/>
    <w:rsid w:val="00951524"/>
    <w:rsid w:val="00951729"/>
    <w:rsid w:val="009518D2"/>
    <w:rsid w:val="009518EF"/>
    <w:rsid w:val="00951ACC"/>
    <w:rsid w:val="00951ADB"/>
    <w:rsid w:val="00951BE8"/>
    <w:rsid w:val="00951C18"/>
    <w:rsid w:val="00951E5A"/>
    <w:rsid w:val="0095223F"/>
    <w:rsid w:val="00952308"/>
    <w:rsid w:val="009526B3"/>
    <w:rsid w:val="009526DE"/>
    <w:rsid w:val="00952744"/>
    <w:rsid w:val="009529D8"/>
    <w:rsid w:val="00952B59"/>
    <w:rsid w:val="00952C51"/>
    <w:rsid w:val="00952E51"/>
    <w:rsid w:val="009531B6"/>
    <w:rsid w:val="00953729"/>
    <w:rsid w:val="009539E3"/>
    <w:rsid w:val="00953C49"/>
    <w:rsid w:val="00953CEE"/>
    <w:rsid w:val="00953D09"/>
    <w:rsid w:val="0095402F"/>
    <w:rsid w:val="0095419A"/>
    <w:rsid w:val="009541F2"/>
    <w:rsid w:val="00954316"/>
    <w:rsid w:val="0095433C"/>
    <w:rsid w:val="009544E1"/>
    <w:rsid w:val="00954588"/>
    <w:rsid w:val="00954965"/>
    <w:rsid w:val="00954A3A"/>
    <w:rsid w:val="00954A74"/>
    <w:rsid w:val="00954AC6"/>
    <w:rsid w:val="00954BE2"/>
    <w:rsid w:val="00954CE5"/>
    <w:rsid w:val="00954DC9"/>
    <w:rsid w:val="0095514B"/>
    <w:rsid w:val="009552E3"/>
    <w:rsid w:val="009555D8"/>
    <w:rsid w:val="0095598B"/>
    <w:rsid w:val="00955A4C"/>
    <w:rsid w:val="00955CA3"/>
    <w:rsid w:val="00955F68"/>
    <w:rsid w:val="00955F6C"/>
    <w:rsid w:val="00956041"/>
    <w:rsid w:val="009561AE"/>
    <w:rsid w:val="00956544"/>
    <w:rsid w:val="00956899"/>
    <w:rsid w:val="00956C35"/>
    <w:rsid w:val="00957018"/>
    <w:rsid w:val="00957097"/>
    <w:rsid w:val="0095712D"/>
    <w:rsid w:val="009571A6"/>
    <w:rsid w:val="0095749D"/>
    <w:rsid w:val="009578D1"/>
    <w:rsid w:val="00957AA8"/>
    <w:rsid w:val="00957B1E"/>
    <w:rsid w:val="00957CD4"/>
    <w:rsid w:val="00957E69"/>
    <w:rsid w:val="00957E92"/>
    <w:rsid w:val="00957EBA"/>
    <w:rsid w:val="00957F40"/>
    <w:rsid w:val="00960046"/>
    <w:rsid w:val="00960128"/>
    <w:rsid w:val="009601F1"/>
    <w:rsid w:val="00960255"/>
    <w:rsid w:val="009604CF"/>
    <w:rsid w:val="009604F0"/>
    <w:rsid w:val="009606E7"/>
    <w:rsid w:val="009607A2"/>
    <w:rsid w:val="009608A7"/>
    <w:rsid w:val="009608B9"/>
    <w:rsid w:val="00960A0C"/>
    <w:rsid w:val="00960A30"/>
    <w:rsid w:val="00960A9D"/>
    <w:rsid w:val="00960AC3"/>
    <w:rsid w:val="00960E02"/>
    <w:rsid w:val="00960FF0"/>
    <w:rsid w:val="0096103B"/>
    <w:rsid w:val="00961049"/>
    <w:rsid w:val="009610DF"/>
    <w:rsid w:val="009612F8"/>
    <w:rsid w:val="009613E3"/>
    <w:rsid w:val="00961AD2"/>
    <w:rsid w:val="00961C0C"/>
    <w:rsid w:val="00961D56"/>
    <w:rsid w:val="00961DBB"/>
    <w:rsid w:val="00961EC2"/>
    <w:rsid w:val="00961F76"/>
    <w:rsid w:val="009621BD"/>
    <w:rsid w:val="009622F8"/>
    <w:rsid w:val="0096267E"/>
    <w:rsid w:val="00962782"/>
    <w:rsid w:val="00962790"/>
    <w:rsid w:val="0096284A"/>
    <w:rsid w:val="00962A99"/>
    <w:rsid w:val="00962BAB"/>
    <w:rsid w:val="00962F85"/>
    <w:rsid w:val="0096301C"/>
    <w:rsid w:val="009630B9"/>
    <w:rsid w:val="009631BD"/>
    <w:rsid w:val="009631D1"/>
    <w:rsid w:val="009634DF"/>
    <w:rsid w:val="009639B9"/>
    <w:rsid w:val="00963E48"/>
    <w:rsid w:val="00963FCA"/>
    <w:rsid w:val="00964342"/>
    <w:rsid w:val="00964465"/>
    <w:rsid w:val="009644EF"/>
    <w:rsid w:val="009645FF"/>
    <w:rsid w:val="00964771"/>
    <w:rsid w:val="009648D5"/>
    <w:rsid w:val="009649FC"/>
    <w:rsid w:val="00964AC9"/>
    <w:rsid w:val="00964BA2"/>
    <w:rsid w:val="00964C1C"/>
    <w:rsid w:val="00964C1E"/>
    <w:rsid w:val="00964DF1"/>
    <w:rsid w:val="00964FF5"/>
    <w:rsid w:val="00965027"/>
    <w:rsid w:val="009654BF"/>
    <w:rsid w:val="0096563B"/>
    <w:rsid w:val="0096587B"/>
    <w:rsid w:val="00965894"/>
    <w:rsid w:val="009659EA"/>
    <w:rsid w:val="00965A2E"/>
    <w:rsid w:val="00965C85"/>
    <w:rsid w:val="00965D4F"/>
    <w:rsid w:val="00965E76"/>
    <w:rsid w:val="00965EDC"/>
    <w:rsid w:val="00966049"/>
    <w:rsid w:val="0096606E"/>
    <w:rsid w:val="00966070"/>
    <w:rsid w:val="009660BB"/>
    <w:rsid w:val="00966107"/>
    <w:rsid w:val="0096617D"/>
    <w:rsid w:val="00966312"/>
    <w:rsid w:val="00966515"/>
    <w:rsid w:val="0096671A"/>
    <w:rsid w:val="00966859"/>
    <w:rsid w:val="00966969"/>
    <w:rsid w:val="00966A0B"/>
    <w:rsid w:val="00966CFC"/>
    <w:rsid w:val="00966F54"/>
    <w:rsid w:val="00967099"/>
    <w:rsid w:val="009671D1"/>
    <w:rsid w:val="009671F4"/>
    <w:rsid w:val="00967223"/>
    <w:rsid w:val="009675B5"/>
    <w:rsid w:val="009675F5"/>
    <w:rsid w:val="00967657"/>
    <w:rsid w:val="009677C6"/>
    <w:rsid w:val="009678F4"/>
    <w:rsid w:val="00967B18"/>
    <w:rsid w:val="00967C51"/>
    <w:rsid w:val="00967D51"/>
    <w:rsid w:val="0097001D"/>
    <w:rsid w:val="00970166"/>
    <w:rsid w:val="009701E2"/>
    <w:rsid w:val="009704F3"/>
    <w:rsid w:val="009707C8"/>
    <w:rsid w:val="009707F2"/>
    <w:rsid w:val="00970D19"/>
    <w:rsid w:val="00970F06"/>
    <w:rsid w:val="00971139"/>
    <w:rsid w:val="009712F0"/>
    <w:rsid w:val="00971720"/>
    <w:rsid w:val="0097180E"/>
    <w:rsid w:val="00971F0E"/>
    <w:rsid w:val="009723BF"/>
    <w:rsid w:val="00972457"/>
    <w:rsid w:val="0097260B"/>
    <w:rsid w:val="0097271F"/>
    <w:rsid w:val="0097272E"/>
    <w:rsid w:val="009729A5"/>
    <w:rsid w:val="00972E18"/>
    <w:rsid w:val="0097350F"/>
    <w:rsid w:val="00973553"/>
    <w:rsid w:val="0097358B"/>
    <w:rsid w:val="0097364A"/>
    <w:rsid w:val="00973769"/>
    <w:rsid w:val="009737DE"/>
    <w:rsid w:val="00973A81"/>
    <w:rsid w:val="00973B56"/>
    <w:rsid w:val="00973B68"/>
    <w:rsid w:val="00973C40"/>
    <w:rsid w:val="00973D5C"/>
    <w:rsid w:val="00973DCB"/>
    <w:rsid w:val="00973E5A"/>
    <w:rsid w:val="00973F20"/>
    <w:rsid w:val="00973F31"/>
    <w:rsid w:val="0097415B"/>
    <w:rsid w:val="009741DD"/>
    <w:rsid w:val="00974343"/>
    <w:rsid w:val="00974511"/>
    <w:rsid w:val="009745D1"/>
    <w:rsid w:val="0097488D"/>
    <w:rsid w:val="009748EB"/>
    <w:rsid w:val="00974A77"/>
    <w:rsid w:val="00974D95"/>
    <w:rsid w:val="00974E8E"/>
    <w:rsid w:val="00975093"/>
    <w:rsid w:val="009751EB"/>
    <w:rsid w:val="009752C0"/>
    <w:rsid w:val="009752C3"/>
    <w:rsid w:val="00975400"/>
    <w:rsid w:val="00975621"/>
    <w:rsid w:val="00975881"/>
    <w:rsid w:val="009758BE"/>
    <w:rsid w:val="0097594C"/>
    <w:rsid w:val="00975A01"/>
    <w:rsid w:val="00975D1B"/>
    <w:rsid w:val="00975D5C"/>
    <w:rsid w:val="009762C0"/>
    <w:rsid w:val="0097643A"/>
    <w:rsid w:val="009765F7"/>
    <w:rsid w:val="00976E01"/>
    <w:rsid w:val="00976F69"/>
    <w:rsid w:val="009770C1"/>
    <w:rsid w:val="009774BD"/>
    <w:rsid w:val="009774D9"/>
    <w:rsid w:val="00977679"/>
    <w:rsid w:val="0097787D"/>
    <w:rsid w:val="00977BA3"/>
    <w:rsid w:val="00977BB6"/>
    <w:rsid w:val="00977C83"/>
    <w:rsid w:val="00977D75"/>
    <w:rsid w:val="00980228"/>
    <w:rsid w:val="0098040C"/>
    <w:rsid w:val="009804B3"/>
    <w:rsid w:val="0098058E"/>
    <w:rsid w:val="00980646"/>
    <w:rsid w:val="00980790"/>
    <w:rsid w:val="00980964"/>
    <w:rsid w:val="009809AE"/>
    <w:rsid w:val="00980CCD"/>
    <w:rsid w:val="00980D41"/>
    <w:rsid w:val="00981236"/>
    <w:rsid w:val="009816E4"/>
    <w:rsid w:val="0098193F"/>
    <w:rsid w:val="00981944"/>
    <w:rsid w:val="00981967"/>
    <w:rsid w:val="009819C9"/>
    <w:rsid w:val="00982037"/>
    <w:rsid w:val="00982186"/>
    <w:rsid w:val="0098232F"/>
    <w:rsid w:val="009827A1"/>
    <w:rsid w:val="009827EB"/>
    <w:rsid w:val="00982954"/>
    <w:rsid w:val="00982BBE"/>
    <w:rsid w:val="00982BF5"/>
    <w:rsid w:val="00983051"/>
    <w:rsid w:val="00983104"/>
    <w:rsid w:val="0098313C"/>
    <w:rsid w:val="009831A2"/>
    <w:rsid w:val="009831DE"/>
    <w:rsid w:val="009831FA"/>
    <w:rsid w:val="00983216"/>
    <w:rsid w:val="009835C8"/>
    <w:rsid w:val="0098378F"/>
    <w:rsid w:val="00983847"/>
    <w:rsid w:val="00983A23"/>
    <w:rsid w:val="00983AED"/>
    <w:rsid w:val="00983BA6"/>
    <w:rsid w:val="00983BAF"/>
    <w:rsid w:val="00983C6D"/>
    <w:rsid w:val="00983CF7"/>
    <w:rsid w:val="00983E94"/>
    <w:rsid w:val="00983E9C"/>
    <w:rsid w:val="0098418F"/>
    <w:rsid w:val="00984204"/>
    <w:rsid w:val="0098422B"/>
    <w:rsid w:val="00984269"/>
    <w:rsid w:val="009842DD"/>
    <w:rsid w:val="0098466C"/>
    <w:rsid w:val="009846C3"/>
    <w:rsid w:val="009847D9"/>
    <w:rsid w:val="00984932"/>
    <w:rsid w:val="009850BA"/>
    <w:rsid w:val="00985499"/>
    <w:rsid w:val="009859E5"/>
    <w:rsid w:val="00985A84"/>
    <w:rsid w:val="00985B26"/>
    <w:rsid w:val="00985B35"/>
    <w:rsid w:val="00985BF8"/>
    <w:rsid w:val="00985E6C"/>
    <w:rsid w:val="00986265"/>
    <w:rsid w:val="0098629A"/>
    <w:rsid w:val="00986503"/>
    <w:rsid w:val="009865EB"/>
    <w:rsid w:val="0098672E"/>
    <w:rsid w:val="00986866"/>
    <w:rsid w:val="00986AFE"/>
    <w:rsid w:val="00986B0C"/>
    <w:rsid w:val="00986B11"/>
    <w:rsid w:val="00986C5A"/>
    <w:rsid w:val="00986D98"/>
    <w:rsid w:val="00986E47"/>
    <w:rsid w:val="00986EA8"/>
    <w:rsid w:val="00986F0A"/>
    <w:rsid w:val="00986F14"/>
    <w:rsid w:val="00986F57"/>
    <w:rsid w:val="00986F5B"/>
    <w:rsid w:val="0098711D"/>
    <w:rsid w:val="009871FA"/>
    <w:rsid w:val="0098725E"/>
    <w:rsid w:val="009872ED"/>
    <w:rsid w:val="009873FF"/>
    <w:rsid w:val="009874FD"/>
    <w:rsid w:val="00987972"/>
    <w:rsid w:val="009879E5"/>
    <w:rsid w:val="00987AFE"/>
    <w:rsid w:val="00987D69"/>
    <w:rsid w:val="00990623"/>
    <w:rsid w:val="00990671"/>
    <w:rsid w:val="0099074B"/>
    <w:rsid w:val="0099097A"/>
    <w:rsid w:val="00990A30"/>
    <w:rsid w:val="00990C05"/>
    <w:rsid w:val="00990C98"/>
    <w:rsid w:val="00990DB6"/>
    <w:rsid w:val="00990DD6"/>
    <w:rsid w:val="00991075"/>
    <w:rsid w:val="0099121A"/>
    <w:rsid w:val="00991257"/>
    <w:rsid w:val="009913C7"/>
    <w:rsid w:val="0099153B"/>
    <w:rsid w:val="00991CC4"/>
    <w:rsid w:val="0099280C"/>
    <w:rsid w:val="00992B41"/>
    <w:rsid w:val="00992E77"/>
    <w:rsid w:val="00993177"/>
    <w:rsid w:val="00993182"/>
    <w:rsid w:val="0099330D"/>
    <w:rsid w:val="009934DB"/>
    <w:rsid w:val="009935A2"/>
    <w:rsid w:val="009935B4"/>
    <w:rsid w:val="009937A1"/>
    <w:rsid w:val="009937C7"/>
    <w:rsid w:val="00993B20"/>
    <w:rsid w:val="00993C24"/>
    <w:rsid w:val="00993C6C"/>
    <w:rsid w:val="00993D8C"/>
    <w:rsid w:val="00993F0A"/>
    <w:rsid w:val="009941FC"/>
    <w:rsid w:val="00994292"/>
    <w:rsid w:val="009942A6"/>
    <w:rsid w:val="009947B6"/>
    <w:rsid w:val="00994AF7"/>
    <w:rsid w:val="00994E67"/>
    <w:rsid w:val="00994EBE"/>
    <w:rsid w:val="009950F7"/>
    <w:rsid w:val="009952DA"/>
    <w:rsid w:val="0099549D"/>
    <w:rsid w:val="009959E1"/>
    <w:rsid w:val="00995A5B"/>
    <w:rsid w:val="00995C07"/>
    <w:rsid w:val="00996120"/>
    <w:rsid w:val="0099614F"/>
    <w:rsid w:val="009962D5"/>
    <w:rsid w:val="00996487"/>
    <w:rsid w:val="0099656F"/>
    <w:rsid w:val="0099684C"/>
    <w:rsid w:val="0099684E"/>
    <w:rsid w:val="00996D64"/>
    <w:rsid w:val="009971EE"/>
    <w:rsid w:val="00997225"/>
    <w:rsid w:val="00997591"/>
    <w:rsid w:val="0099760F"/>
    <w:rsid w:val="009976CD"/>
    <w:rsid w:val="00997A71"/>
    <w:rsid w:val="00997C3D"/>
    <w:rsid w:val="00997D14"/>
    <w:rsid w:val="00997EA2"/>
    <w:rsid w:val="00997EC4"/>
    <w:rsid w:val="009A0182"/>
    <w:rsid w:val="009A02E3"/>
    <w:rsid w:val="009A0394"/>
    <w:rsid w:val="009A053D"/>
    <w:rsid w:val="009A0687"/>
    <w:rsid w:val="009A0A5A"/>
    <w:rsid w:val="009A0E6D"/>
    <w:rsid w:val="009A0F9B"/>
    <w:rsid w:val="009A0FE4"/>
    <w:rsid w:val="009A1134"/>
    <w:rsid w:val="009A1220"/>
    <w:rsid w:val="009A1407"/>
    <w:rsid w:val="009A17BE"/>
    <w:rsid w:val="009A18A8"/>
    <w:rsid w:val="009A18B4"/>
    <w:rsid w:val="009A1E0D"/>
    <w:rsid w:val="009A1ED6"/>
    <w:rsid w:val="009A2120"/>
    <w:rsid w:val="009A2AED"/>
    <w:rsid w:val="009A2B2B"/>
    <w:rsid w:val="009A2D97"/>
    <w:rsid w:val="009A2F27"/>
    <w:rsid w:val="009A307E"/>
    <w:rsid w:val="009A30A7"/>
    <w:rsid w:val="009A32A5"/>
    <w:rsid w:val="009A33E6"/>
    <w:rsid w:val="009A38C2"/>
    <w:rsid w:val="009A3B35"/>
    <w:rsid w:val="009A3CB0"/>
    <w:rsid w:val="009A3D05"/>
    <w:rsid w:val="009A3D12"/>
    <w:rsid w:val="009A40E3"/>
    <w:rsid w:val="009A4275"/>
    <w:rsid w:val="009A455F"/>
    <w:rsid w:val="009A470B"/>
    <w:rsid w:val="009A472F"/>
    <w:rsid w:val="009A4854"/>
    <w:rsid w:val="009A490A"/>
    <w:rsid w:val="009A49D5"/>
    <w:rsid w:val="009A4D1E"/>
    <w:rsid w:val="009A4D51"/>
    <w:rsid w:val="009A4DB4"/>
    <w:rsid w:val="009A4F57"/>
    <w:rsid w:val="009A4FE3"/>
    <w:rsid w:val="009A5027"/>
    <w:rsid w:val="009A504D"/>
    <w:rsid w:val="009A5220"/>
    <w:rsid w:val="009A532B"/>
    <w:rsid w:val="009A58F3"/>
    <w:rsid w:val="009A5A33"/>
    <w:rsid w:val="009A5E6F"/>
    <w:rsid w:val="009A6750"/>
    <w:rsid w:val="009A6959"/>
    <w:rsid w:val="009A6C04"/>
    <w:rsid w:val="009A6CA8"/>
    <w:rsid w:val="009A6E51"/>
    <w:rsid w:val="009A70BC"/>
    <w:rsid w:val="009A727B"/>
    <w:rsid w:val="009A727E"/>
    <w:rsid w:val="009A734C"/>
    <w:rsid w:val="009A76AE"/>
    <w:rsid w:val="009A7B6F"/>
    <w:rsid w:val="009A7CF8"/>
    <w:rsid w:val="009A7E0A"/>
    <w:rsid w:val="009B021E"/>
    <w:rsid w:val="009B0513"/>
    <w:rsid w:val="009B0634"/>
    <w:rsid w:val="009B07E1"/>
    <w:rsid w:val="009B0E4A"/>
    <w:rsid w:val="009B0E66"/>
    <w:rsid w:val="009B0EA9"/>
    <w:rsid w:val="009B0F26"/>
    <w:rsid w:val="009B0F3A"/>
    <w:rsid w:val="009B0FD6"/>
    <w:rsid w:val="009B11ED"/>
    <w:rsid w:val="009B1215"/>
    <w:rsid w:val="009B134D"/>
    <w:rsid w:val="009B142D"/>
    <w:rsid w:val="009B14AF"/>
    <w:rsid w:val="009B1649"/>
    <w:rsid w:val="009B184A"/>
    <w:rsid w:val="009B198C"/>
    <w:rsid w:val="009B1B42"/>
    <w:rsid w:val="009B1EFC"/>
    <w:rsid w:val="009B24AF"/>
    <w:rsid w:val="009B25FD"/>
    <w:rsid w:val="009B265F"/>
    <w:rsid w:val="009B2846"/>
    <w:rsid w:val="009B294F"/>
    <w:rsid w:val="009B3067"/>
    <w:rsid w:val="009B3139"/>
    <w:rsid w:val="009B3216"/>
    <w:rsid w:val="009B39C3"/>
    <w:rsid w:val="009B3B43"/>
    <w:rsid w:val="009B3C78"/>
    <w:rsid w:val="009B3CAC"/>
    <w:rsid w:val="009B3F7D"/>
    <w:rsid w:val="009B42DE"/>
    <w:rsid w:val="009B443A"/>
    <w:rsid w:val="009B454B"/>
    <w:rsid w:val="009B463C"/>
    <w:rsid w:val="009B4A7D"/>
    <w:rsid w:val="009B4B57"/>
    <w:rsid w:val="009B4DB3"/>
    <w:rsid w:val="009B4EE7"/>
    <w:rsid w:val="009B504C"/>
    <w:rsid w:val="009B5455"/>
    <w:rsid w:val="009B565D"/>
    <w:rsid w:val="009B5660"/>
    <w:rsid w:val="009B5795"/>
    <w:rsid w:val="009B5874"/>
    <w:rsid w:val="009B58EC"/>
    <w:rsid w:val="009B59CA"/>
    <w:rsid w:val="009B5A79"/>
    <w:rsid w:val="009B5C00"/>
    <w:rsid w:val="009B5DCA"/>
    <w:rsid w:val="009B6140"/>
    <w:rsid w:val="009B6623"/>
    <w:rsid w:val="009B66A5"/>
    <w:rsid w:val="009B6789"/>
    <w:rsid w:val="009B6864"/>
    <w:rsid w:val="009B6C29"/>
    <w:rsid w:val="009B6C69"/>
    <w:rsid w:val="009B6D68"/>
    <w:rsid w:val="009B6F20"/>
    <w:rsid w:val="009B7290"/>
    <w:rsid w:val="009B729D"/>
    <w:rsid w:val="009B736B"/>
    <w:rsid w:val="009B73F1"/>
    <w:rsid w:val="009B7697"/>
    <w:rsid w:val="009B783C"/>
    <w:rsid w:val="009B797D"/>
    <w:rsid w:val="009B7BD7"/>
    <w:rsid w:val="009B7F55"/>
    <w:rsid w:val="009C026E"/>
    <w:rsid w:val="009C03E7"/>
    <w:rsid w:val="009C050F"/>
    <w:rsid w:val="009C09A0"/>
    <w:rsid w:val="009C0C70"/>
    <w:rsid w:val="009C0D26"/>
    <w:rsid w:val="009C0E93"/>
    <w:rsid w:val="009C0FF8"/>
    <w:rsid w:val="009C10E5"/>
    <w:rsid w:val="009C11E1"/>
    <w:rsid w:val="009C147F"/>
    <w:rsid w:val="009C17C2"/>
    <w:rsid w:val="009C18FF"/>
    <w:rsid w:val="009C1961"/>
    <w:rsid w:val="009C1B71"/>
    <w:rsid w:val="009C1D8E"/>
    <w:rsid w:val="009C2068"/>
    <w:rsid w:val="009C20A7"/>
    <w:rsid w:val="009C22DE"/>
    <w:rsid w:val="009C236D"/>
    <w:rsid w:val="009C23CC"/>
    <w:rsid w:val="009C2447"/>
    <w:rsid w:val="009C25C3"/>
    <w:rsid w:val="009C276B"/>
    <w:rsid w:val="009C27BC"/>
    <w:rsid w:val="009C2AA8"/>
    <w:rsid w:val="009C2E04"/>
    <w:rsid w:val="009C2F77"/>
    <w:rsid w:val="009C3179"/>
    <w:rsid w:val="009C33EE"/>
    <w:rsid w:val="009C364E"/>
    <w:rsid w:val="009C3692"/>
    <w:rsid w:val="009C37AA"/>
    <w:rsid w:val="009C37EE"/>
    <w:rsid w:val="009C3929"/>
    <w:rsid w:val="009C3A2B"/>
    <w:rsid w:val="009C3B2A"/>
    <w:rsid w:val="009C3B7C"/>
    <w:rsid w:val="009C3BC9"/>
    <w:rsid w:val="009C3BE6"/>
    <w:rsid w:val="009C3CF2"/>
    <w:rsid w:val="009C3CF8"/>
    <w:rsid w:val="009C3DE2"/>
    <w:rsid w:val="009C3E57"/>
    <w:rsid w:val="009C3EA8"/>
    <w:rsid w:val="009C3FA3"/>
    <w:rsid w:val="009C41DF"/>
    <w:rsid w:val="009C43D1"/>
    <w:rsid w:val="009C459F"/>
    <w:rsid w:val="009C4A8D"/>
    <w:rsid w:val="009C4F29"/>
    <w:rsid w:val="009C4FFF"/>
    <w:rsid w:val="009C5063"/>
    <w:rsid w:val="009C5103"/>
    <w:rsid w:val="009C51F8"/>
    <w:rsid w:val="009C551C"/>
    <w:rsid w:val="009C59DA"/>
    <w:rsid w:val="009C5B65"/>
    <w:rsid w:val="009C5D4B"/>
    <w:rsid w:val="009C5D6E"/>
    <w:rsid w:val="009C62A1"/>
    <w:rsid w:val="009C6398"/>
    <w:rsid w:val="009C64C0"/>
    <w:rsid w:val="009C689E"/>
    <w:rsid w:val="009C699C"/>
    <w:rsid w:val="009C6A38"/>
    <w:rsid w:val="009C6B26"/>
    <w:rsid w:val="009C6BFC"/>
    <w:rsid w:val="009C6E60"/>
    <w:rsid w:val="009C7036"/>
    <w:rsid w:val="009C7222"/>
    <w:rsid w:val="009C723B"/>
    <w:rsid w:val="009C72F0"/>
    <w:rsid w:val="009C7334"/>
    <w:rsid w:val="009C73BE"/>
    <w:rsid w:val="009C75A1"/>
    <w:rsid w:val="009C7681"/>
    <w:rsid w:val="009C785E"/>
    <w:rsid w:val="009C7903"/>
    <w:rsid w:val="009C7976"/>
    <w:rsid w:val="009C7FB3"/>
    <w:rsid w:val="009D0077"/>
    <w:rsid w:val="009D020B"/>
    <w:rsid w:val="009D05F1"/>
    <w:rsid w:val="009D08EF"/>
    <w:rsid w:val="009D0905"/>
    <w:rsid w:val="009D0D04"/>
    <w:rsid w:val="009D124D"/>
    <w:rsid w:val="009D15B1"/>
    <w:rsid w:val="009D1929"/>
    <w:rsid w:val="009D19A0"/>
    <w:rsid w:val="009D22C4"/>
    <w:rsid w:val="009D22EE"/>
    <w:rsid w:val="009D2457"/>
    <w:rsid w:val="009D26A0"/>
    <w:rsid w:val="009D2727"/>
    <w:rsid w:val="009D2CC8"/>
    <w:rsid w:val="009D2E6D"/>
    <w:rsid w:val="009D2E81"/>
    <w:rsid w:val="009D302E"/>
    <w:rsid w:val="009D3153"/>
    <w:rsid w:val="009D328A"/>
    <w:rsid w:val="009D3371"/>
    <w:rsid w:val="009D3516"/>
    <w:rsid w:val="009D3536"/>
    <w:rsid w:val="009D36AD"/>
    <w:rsid w:val="009D36FD"/>
    <w:rsid w:val="009D374E"/>
    <w:rsid w:val="009D37F1"/>
    <w:rsid w:val="009D3A63"/>
    <w:rsid w:val="009D3A79"/>
    <w:rsid w:val="009D3BA8"/>
    <w:rsid w:val="009D3BC3"/>
    <w:rsid w:val="009D3E5B"/>
    <w:rsid w:val="009D4292"/>
    <w:rsid w:val="009D42D2"/>
    <w:rsid w:val="009D445B"/>
    <w:rsid w:val="009D4474"/>
    <w:rsid w:val="009D47B7"/>
    <w:rsid w:val="009D4ABE"/>
    <w:rsid w:val="009D4AF7"/>
    <w:rsid w:val="009D4D8D"/>
    <w:rsid w:val="009D512D"/>
    <w:rsid w:val="009D5469"/>
    <w:rsid w:val="009D55F2"/>
    <w:rsid w:val="009D563D"/>
    <w:rsid w:val="009D565F"/>
    <w:rsid w:val="009D5663"/>
    <w:rsid w:val="009D56BF"/>
    <w:rsid w:val="009D59F8"/>
    <w:rsid w:val="009D5C09"/>
    <w:rsid w:val="009D5C8D"/>
    <w:rsid w:val="009D5E3B"/>
    <w:rsid w:val="009D614E"/>
    <w:rsid w:val="009D61EC"/>
    <w:rsid w:val="009D620E"/>
    <w:rsid w:val="009D6270"/>
    <w:rsid w:val="009D634A"/>
    <w:rsid w:val="009D64A4"/>
    <w:rsid w:val="009D64AF"/>
    <w:rsid w:val="009D6527"/>
    <w:rsid w:val="009D6C20"/>
    <w:rsid w:val="009D6CF7"/>
    <w:rsid w:val="009D6CFF"/>
    <w:rsid w:val="009D6E23"/>
    <w:rsid w:val="009D7297"/>
    <w:rsid w:val="009D73A1"/>
    <w:rsid w:val="009D740D"/>
    <w:rsid w:val="009D7558"/>
    <w:rsid w:val="009D7615"/>
    <w:rsid w:val="009D7694"/>
    <w:rsid w:val="009D788C"/>
    <w:rsid w:val="009D7A18"/>
    <w:rsid w:val="009D7A31"/>
    <w:rsid w:val="009D7B0D"/>
    <w:rsid w:val="009D7F9C"/>
    <w:rsid w:val="009D7F9E"/>
    <w:rsid w:val="009D7FAF"/>
    <w:rsid w:val="009E0475"/>
    <w:rsid w:val="009E05CA"/>
    <w:rsid w:val="009E0820"/>
    <w:rsid w:val="009E089F"/>
    <w:rsid w:val="009E0ACC"/>
    <w:rsid w:val="009E0D45"/>
    <w:rsid w:val="009E0DA1"/>
    <w:rsid w:val="009E0F7A"/>
    <w:rsid w:val="009E0F96"/>
    <w:rsid w:val="009E130F"/>
    <w:rsid w:val="009E13E5"/>
    <w:rsid w:val="009E1503"/>
    <w:rsid w:val="009E1583"/>
    <w:rsid w:val="009E1A48"/>
    <w:rsid w:val="009E1AF4"/>
    <w:rsid w:val="009E1D1A"/>
    <w:rsid w:val="009E1DED"/>
    <w:rsid w:val="009E1F0F"/>
    <w:rsid w:val="009E2086"/>
    <w:rsid w:val="009E20A2"/>
    <w:rsid w:val="009E20B3"/>
    <w:rsid w:val="009E21F2"/>
    <w:rsid w:val="009E295A"/>
    <w:rsid w:val="009E2C06"/>
    <w:rsid w:val="009E2C73"/>
    <w:rsid w:val="009E2E01"/>
    <w:rsid w:val="009E2F45"/>
    <w:rsid w:val="009E2FBB"/>
    <w:rsid w:val="009E312A"/>
    <w:rsid w:val="009E3821"/>
    <w:rsid w:val="009E3AA5"/>
    <w:rsid w:val="009E3D49"/>
    <w:rsid w:val="009E3D8D"/>
    <w:rsid w:val="009E3E5B"/>
    <w:rsid w:val="009E3F74"/>
    <w:rsid w:val="009E3F86"/>
    <w:rsid w:val="009E4258"/>
    <w:rsid w:val="009E43CC"/>
    <w:rsid w:val="009E46BA"/>
    <w:rsid w:val="009E4723"/>
    <w:rsid w:val="009E486F"/>
    <w:rsid w:val="009E49BE"/>
    <w:rsid w:val="009E50B9"/>
    <w:rsid w:val="009E513E"/>
    <w:rsid w:val="009E5386"/>
    <w:rsid w:val="009E546C"/>
    <w:rsid w:val="009E5717"/>
    <w:rsid w:val="009E5ABB"/>
    <w:rsid w:val="009E5ADB"/>
    <w:rsid w:val="009E5B16"/>
    <w:rsid w:val="009E5B58"/>
    <w:rsid w:val="009E5CCF"/>
    <w:rsid w:val="009E5D84"/>
    <w:rsid w:val="009E5E57"/>
    <w:rsid w:val="009E6014"/>
    <w:rsid w:val="009E6025"/>
    <w:rsid w:val="009E639A"/>
    <w:rsid w:val="009E64B4"/>
    <w:rsid w:val="009E6691"/>
    <w:rsid w:val="009E6859"/>
    <w:rsid w:val="009E6E46"/>
    <w:rsid w:val="009E6E69"/>
    <w:rsid w:val="009E6F6C"/>
    <w:rsid w:val="009E70A9"/>
    <w:rsid w:val="009E71DF"/>
    <w:rsid w:val="009E748C"/>
    <w:rsid w:val="009E74A3"/>
    <w:rsid w:val="009E7827"/>
    <w:rsid w:val="009E789C"/>
    <w:rsid w:val="009E7D7F"/>
    <w:rsid w:val="009E7F00"/>
    <w:rsid w:val="009EE314"/>
    <w:rsid w:val="009F00F8"/>
    <w:rsid w:val="009F0145"/>
    <w:rsid w:val="009F01BC"/>
    <w:rsid w:val="009F07ED"/>
    <w:rsid w:val="009F0A59"/>
    <w:rsid w:val="009F0EE9"/>
    <w:rsid w:val="009F1390"/>
    <w:rsid w:val="009F1577"/>
    <w:rsid w:val="009F18D1"/>
    <w:rsid w:val="009F1A5C"/>
    <w:rsid w:val="009F1A61"/>
    <w:rsid w:val="009F1B93"/>
    <w:rsid w:val="009F1EA7"/>
    <w:rsid w:val="009F1F61"/>
    <w:rsid w:val="009F1FA4"/>
    <w:rsid w:val="009F2172"/>
    <w:rsid w:val="009F219C"/>
    <w:rsid w:val="009F21C1"/>
    <w:rsid w:val="009F2258"/>
    <w:rsid w:val="009F22C0"/>
    <w:rsid w:val="009F237F"/>
    <w:rsid w:val="009F2642"/>
    <w:rsid w:val="009F2A4D"/>
    <w:rsid w:val="009F2A61"/>
    <w:rsid w:val="009F2CDD"/>
    <w:rsid w:val="009F2F9C"/>
    <w:rsid w:val="009F3085"/>
    <w:rsid w:val="009F336E"/>
    <w:rsid w:val="009F34B2"/>
    <w:rsid w:val="009F36B4"/>
    <w:rsid w:val="009F38B4"/>
    <w:rsid w:val="009F39C3"/>
    <w:rsid w:val="009F3A3C"/>
    <w:rsid w:val="009F3C25"/>
    <w:rsid w:val="009F3D43"/>
    <w:rsid w:val="009F3E2E"/>
    <w:rsid w:val="009F3F0D"/>
    <w:rsid w:val="009F3F69"/>
    <w:rsid w:val="009F3F79"/>
    <w:rsid w:val="009F40AA"/>
    <w:rsid w:val="009F44A5"/>
    <w:rsid w:val="009F475A"/>
    <w:rsid w:val="009F4D80"/>
    <w:rsid w:val="009F4E9E"/>
    <w:rsid w:val="009F4EE4"/>
    <w:rsid w:val="009F4FDD"/>
    <w:rsid w:val="009F537B"/>
    <w:rsid w:val="009F53F9"/>
    <w:rsid w:val="009F554C"/>
    <w:rsid w:val="009F58FE"/>
    <w:rsid w:val="009F5982"/>
    <w:rsid w:val="009F5B3B"/>
    <w:rsid w:val="009F5BFE"/>
    <w:rsid w:val="009F5CF7"/>
    <w:rsid w:val="009F5E64"/>
    <w:rsid w:val="009F5EB1"/>
    <w:rsid w:val="009F60A7"/>
    <w:rsid w:val="009F617A"/>
    <w:rsid w:val="009F65B0"/>
    <w:rsid w:val="009F67E6"/>
    <w:rsid w:val="009F6980"/>
    <w:rsid w:val="009F69C5"/>
    <w:rsid w:val="009F6AF3"/>
    <w:rsid w:val="009F7419"/>
    <w:rsid w:val="009F7876"/>
    <w:rsid w:val="009F78C0"/>
    <w:rsid w:val="009F7992"/>
    <w:rsid w:val="009F7E85"/>
    <w:rsid w:val="00A000D5"/>
    <w:rsid w:val="00A00253"/>
    <w:rsid w:val="00A002E4"/>
    <w:rsid w:val="00A00340"/>
    <w:rsid w:val="00A005E4"/>
    <w:rsid w:val="00A006FA"/>
    <w:rsid w:val="00A00709"/>
    <w:rsid w:val="00A0072C"/>
    <w:rsid w:val="00A00739"/>
    <w:rsid w:val="00A00B6E"/>
    <w:rsid w:val="00A00ED6"/>
    <w:rsid w:val="00A011ED"/>
    <w:rsid w:val="00A01784"/>
    <w:rsid w:val="00A017EC"/>
    <w:rsid w:val="00A01A01"/>
    <w:rsid w:val="00A01BD1"/>
    <w:rsid w:val="00A01C65"/>
    <w:rsid w:val="00A01CB8"/>
    <w:rsid w:val="00A01CB9"/>
    <w:rsid w:val="00A01D3B"/>
    <w:rsid w:val="00A01D6C"/>
    <w:rsid w:val="00A01F0E"/>
    <w:rsid w:val="00A023C4"/>
    <w:rsid w:val="00A024B7"/>
    <w:rsid w:val="00A026EE"/>
    <w:rsid w:val="00A028A7"/>
    <w:rsid w:val="00A02B52"/>
    <w:rsid w:val="00A03082"/>
    <w:rsid w:val="00A03113"/>
    <w:rsid w:val="00A0316E"/>
    <w:rsid w:val="00A033E6"/>
    <w:rsid w:val="00A0340F"/>
    <w:rsid w:val="00A0341D"/>
    <w:rsid w:val="00A03431"/>
    <w:rsid w:val="00A0343E"/>
    <w:rsid w:val="00A03471"/>
    <w:rsid w:val="00A0384D"/>
    <w:rsid w:val="00A0397F"/>
    <w:rsid w:val="00A03A8A"/>
    <w:rsid w:val="00A03C31"/>
    <w:rsid w:val="00A03CC6"/>
    <w:rsid w:val="00A03EB1"/>
    <w:rsid w:val="00A0405F"/>
    <w:rsid w:val="00A04132"/>
    <w:rsid w:val="00A04640"/>
    <w:rsid w:val="00A04939"/>
    <w:rsid w:val="00A04B59"/>
    <w:rsid w:val="00A04D33"/>
    <w:rsid w:val="00A04E6E"/>
    <w:rsid w:val="00A05040"/>
    <w:rsid w:val="00A050BD"/>
    <w:rsid w:val="00A0542D"/>
    <w:rsid w:val="00A0599F"/>
    <w:rsid w:val="00A05B8E"/>
    <w:rsid w:val="00A05C15"/>
    <w:rsid w:val="00A05C73"/>
    <w:rsid w:val="00A05CCD"/>
    <w:rsid w:val="00A05DEF"/>
    <w:rsid w:val="00A05ECF"/>
    <w:rsid w:val="00A06416"/>
    <w:rsid w:val="00A06565"/>
    <w:rsid w:val="00A065DB"/>
    <w:rsid w:val="00A065E4"/>
    <w:rsid w:val="00A06777"/>
    <w:rsid w:val="00A06A3D"/>
    <w:rsid w:val="00A06CFF"/>
    <w:rsid w:val="00A06E2B"/>
    <w:rsid w:val="00A06E74"/>
    <w:rsid w:val="00A06EFA"/>
    <w:rsid w:val="00A06F7D"/>
    <w:rsid w:val="00A0723A"/>
    <w:rsid w:val="00A07620"/>
    <w:rsid w:val="00A07627"/>
    <w:rsid w:val="00A0768A"/>
    <w:rsid w:val="00A07DDF"/>
    <w:rsid w:val="00A10183"/>
    <w:rsid w:val="00A102DB"/>
    <w:rsid w:val="00A1060E"/>
    <w:rsid w:val="00A10A0B"/>
    <w:rsid w:val="00A10A8F"/>
    <w:rsid w:val="00A10ADC"/>
    <w:rsid w:val="00A1113B"/>
    <w:rsid w:val="00A11C43"/>
    <w:rsid w:val="00A11C4E"/>
    <w:rsid w:val="00A11E1B"/>
    <w:rsid w:val="00A12056"/>
    <w:rsid w:val="00A12090"/>
    <w:rsid w:val="00A129D4"/>
    <w:rsid w:val="00A12D66"/>
    <w:rsid w:val="00A12D74"/>
    <w:rsid w:val="00A13202"/>
    <w:rsid w:val="00A1331A"/>
    <w:rsid w:val="00A13385"/>
    <w:rsid w:val="00A13431"/>
    <w:rsid w:val="00A13801"/>
    <w:rsid w:val="00A13A53"/>
    <w:rsid w:val="00A13AD4"/>
    <w:rsid w:val="00A13B75"/>
    <w:rsid w:val="00A13C1C"/>
    <w:rsid w:val="00A13E27"/>
    <w:rsid w:val="00A140F9"/>
    <w:rsid w:val="00A142D2"/>
    <w:rsid w:val="00A142DA"/>
    <w:rsid w:val="00A145A2"/>
    <w:rsid w:val="00A146E8"/>
    <w:rsid w:val="00A1494D"/>
    <w:rsid w:val="00A14E21"/>
    <w:rsid w:val="00A14E72"/>
    <w:rsid w:val="00A14FD2"/>
    <w:rsid w:val="00A1504C"/>
    <w:rsid w:val="00A1521F"/>
    <w:rsid w:val="00A152F1"/>
    <w:rsid w:val="00A157F2"/>
    <w:rsid w:val="00A1581B"/>
    <w:rsid w:val="00A158A8"/>
    <w:rsid w:val="00A15D79"/>
    <w:rsid w:val="00A15DB5"/>
    <w:rsid w:val="00A161B7"/>
    <w:rsid w:val="00A16496"/>
    <w:rsid w:val="00A164C7"/>
    <w:rsid w:val="00A1692E"/>
    <w:rsid w:val="00A169E5"/>
    <w:rsid w:val="00A16ADF"/>
    <w:rsid w:val="00A16EDC"/>
    <w:rsid w:val="00A16FB2"/>
    <w:rsid w:val="00A170CA"/>
    <w:rsid w:val="00A170DA"/>
    <w:rsid w:val="00A17215"/>
    <w:rsid w:val="00A1722B"/>
    <w:rsid w:val="00A17300"/>
    <w:rsid w:val="00A17338"/>
    <w:rsid w:val="00A17348"/>
    <w:rsid w:val="00A1739B"/>
    <w:rsid w:val="00A1754C"/>
    <w:rsid w:val="00A177A3"/>
    <w:rsid w:val="00A17818"/>
    <w:rsid w:val="00A178A3"/>
    <w:rsid w:val="00A17A2D"/>
    <w:rsid w:val="00A17C9B"/>
    <w:rsid w:val="00A17DA6"/>
    <w:rsid w:val="00A17DBB"/>
    <w:rsid w:val="00A20628"/>
    <w:rsid w:val="00A2068E"/>
    <w:rsid w:val="00A206E9"/>
    <w:rsid w:val="00A20777"/>
    <w:rsid w:val="00A20AFC"/>
    <w:rsid w:val="00A20DFB"/>
    <w:rsid w:val="00A20E19"/>
    <w:rsid w:val="00A21270"/>
    <w:rsid w:val="00A215D6"/>
    <w:rsid w:val="00A2162B"/>
    <w:rsid w:val="00A216F2"/>
    <w:rsid w:val="00A217E4"/>
    <w:rsid w:val="00A21892"/>
    <w:rsid w:val="00A21B29"/>
    <w:rsid w:val="00A21FB7"/>
    <w:rsid w:val="00A22048"/>
    <w:rsid w:val="00A2207A"/>
    <w:rsid w:val="00A22200"/>
    <w:rsid w:val="00A22327"/>
    <w:rsid w:val="00A22721"/>
    <w:rsid w:val="00A228B5"/>
    <w:rsid w:val="00A22ACD"/>
    <w:rsid w:val="00A22B05"/>
    <w:rsid w:val="00A230B1"/>
    <w:rsid w:val="00A23156"/>
    <w:rsid w:val="00A232A0"/>
    <w:rsid w:val="00A2342D"/>
    <w:rsid w:val="00A234C8"/>
    <w:rsid w:val="00A23580"/>
    <w:rsid w:val="00A2360D"/>
    <w:rsid w:val="00A23A01"/>
    <w:rsid w:val="00A23B22"/>
    <w:rsid w:val="00A23D11"/>
    <w:rsid w:val="00A23F35"/>
    <w:rsid w:val="00A241F9"/>
    <w:rsid w:val="00A24518"/>
    <w:rsid w:val="00A24579"/>
    <w:rsid w:val="00A2475C"/>
    <w:rsid w:val="00A24839"/>
    <w:rsid w:val="00A24870"/>
    <w:rsid w:val="00A24993"/>
    <w:rsid w:val="00A24B65"/>
    <w:rsid w:val="00A24C93"/>
    <w:rsid w:val="00A24CE1"/>
    <w:rsid w:val="00A24D36"/>
    <w:rsid w:val="00A24D51"/>
    <w:rsid w:val="00A24FA5"/>
    <w:rsid w:val="00A251FA"/>
    <w:rsid w:val="00A25225"/>
    <w:rsid w:val="00A25AF7"/>
    <w:rsid w:val="00A25C55"/>
    <w:rsid w:val="00A2628F"/>
    <w:rsid w:val="00A2658D"/>
    <w:rsid w:val="00A26806"/>
    <w:rsid w:val="00A268F0"/>
    <w:rsid w:val="00A26C26"/>
    <w:rsid w:val="00A26E8B"/>
    <w:rsid w:val="00A26F82"/>
    <w:rsid w:val="00A2704D"/>
    <w:rsid w:val="00A27102"/>
    <w:rsid w:val="00A27561"/>
    <w:rsid w:val="00A275FF"/>
    <w:rsid w:val="00A2783E"/>
    <w:rsid w:val="00A27867"/>
    <w:rsid w:val="00A27B79"/>
    <w:rsid w:val="00A27E83"/>
    <w:rsid w:val="00A27FC0"/>
    <w:rsid w:val="00A27FF0"/>
    <w:rsid w:val="00A302D1"/>
    <w:rsid w:val="00A302E2"/>
    <w:rsid w:val="00A30499"/>
    <w:rsid w:val="00A30692"/>
    <w:rsid w:val="00A3073B"/>
    <w:rsid w:val="00A307D1"/>
    <w:rsid w:val="00A30F5D"/>
    <w:rsid w:val="00A31039"/>
    <w:rsid w:val="00A31133"/>
    <w:rsid w:val="00A31292"/>
    <w:rsid w:val="00A31577"/>
    <w:rsid w:val="00A3164A"/>
    <w:rsid w:val="00A31740"/>
    <w:rsid w:val="00A31AE4"/>
    <w:rsid w:val="00A31D7C"/>
    <w:rsid w:val="00A3219B"/>
    <w:rsid w:val="00A322C8"/>
    <w:rsid w:val="00A32713"/>
    <w:rsid w:val="00A32733"/>
    <w:rsid w:val="00A3277A"/>
    <w:rsid w:val="00A3278C"/>
    <w:rsid w:val="00A32AE0"/>
    <w:rsid w:val="00A32E45"/>
    <w:rsid w:val="00A33100"/>
    <w:rsid w:val="00A3312B"/>
    <w:rsid w:val="00A33616"/>
    <w:rsid w:val="00A33774"/>
    <w:rsid w:val="00A339B0"/>
    <w:rsid w:val="00A33A6B"/>
    <w:rsid w:val="00A33CA2"/>
    <w:rsid w:val="00A33D88"/>
    <w:rsid w:val="00A33EDC"/>
    <w:rsid w:val="00A33FF0"/>
    <w:rsid w:val="00A34052"/>
    <w:rsid w:val="00A34084"/>
    <w:rsid w:val="00A341A7"/>
    <w:rsid w:val="00A3423E"/>
    <w:rsid w:val="00A343C5"/>
    <w:rsid w:val="00A344C6"/>
    <w:rsid w:val="00A345D2"/>
    <w:rsid w:val="00A34604"/>
    <w:rsid w:val="00A346B7"/>
    <w:rsid w:val="00A348FA"/>
    <w:rsid w:val="00A34C63"/>
    <w:rsid w:val="00A34F0C"/>
    <w:rsid w:val="00A34FDF"/>
    <w:rsid w:val="00A3501F"/>
    <w:rsid w:val="00A3514F"/>
    <w:rsid w:val="00A35165"/>
    <w:rsid w:val="00A351B7"/>
    <w:rsid w:val="00A353BE"/>
    <w:rsid w:val="00A356FE"/>
    <w:rsid w:val="00A3570A"/>
    <w:rsid w:val="00A35AE0"/>
    <w:rsid w:val="00A35B4C"/>
    <w:rsid w:val="00A35BED"/>
    <w:rsid w:val="00A35EA9"/>
    <w:rsid w:val="00A35EB6"/>
    <w:rsid w:val="00A35FE8"/>
    <w:rsid w:val="00A3612F"/>
    <w:rsid w:val="00A361DC"/>
    <w:rsid w:val="00A3620E"/>
    <w:rsid w:val="00A36AC7"/>
    <w:rsid w:val="00A36C9E"/>
    <w:rsid w:val="00A36D3C"/>
    <w:rsid w:val="00A36FC1"/>
    <w:rsid w:val="00A37159"/>
    <w:rsid w:val="00A371D4"/>
    <w:rsid w:val="00A37200"/>
    <w:rsid w:val="00A373D2"/>
    <w:rsid w:val="00A373F0"/>
    <w:rsid w:val="00A374C0"/>
    <w:rsid w:val="00A37962"/>
    <w:rsid w:val="00A37B0E"/>
    <w:rsid w:val="00A37C25"/>
    <w:rsid w:val="00A4006E"/>
    <w:rsid w:val="00A4016C"/>
    <w:rsid w:val="00A40275"/>
    <w:rsid w:val="00A403F2"/>
    <w:rsid w:val="00A404B4"/>
    <w:rsid w:val="00A404EE"/>
    <w:rsid w:val="00A40807"/>
    <w:rsid w:val="00A408E1"/>
    <w:rsid w:val="00A409AF"/>
    <w:rsid w:val="00A409B7"/>
    <w:rsid w:val="00A40CB8"/>
    <w:rsid w:val="00A40CC2"/>
    <w:rsid w:val="00A40EA6"/>
    <w:rsid w:val="00A4103A"/>
    <w:rsid w:val="00A41072"/>
    <w:rsid w:val="00A41154"/>
    <w:rsid w:val="00A413E1"/>
    <w:rsid w:val="00A414FA"/>
    <w:rsid w:val="00A415B7"/>
    <w:rsid w:val="00A416BA"/>
    <w:rsid w:val="00A417C9"/>
    <w:rsid w:val="00A4184C"/>
    <w:rsid w:val="00A41D34"/>
    <w:rsid w:val="00A41EAB"/>
    <w:rsid w:val="00A4217D"/>
    <w:rsid w:val="00A42696"/>
    <w:rsid w:val="00A428DD"/>
    <w:rsid w:val="00A42E8C"/>
    <w:rsid w:val="00A42F0D"/>
    <w:rsid w:val="00A431A5"/>
    <w:rsid w:val="00A431F2"/>
    <w:rsid w:val="00A432C5"/>
    <w:rsid w:val="00A4346D"/>
    <w:rsid w:val="00A43573"/>
    <w:rsid w:val="00A43662"/>
    <w:rsid w:val="00A43688"/>
    <w:rsid w:val="00A436AA"/>
    <w:rsid w:val="00A43ABB"/>
    <w:rsid w:val="00A43D02"/>
    <w:rsid w:val="00A43D66"/>
    <w:rsid w:val="00A4443D"/>
    <w:rsid w:val="00A444E9"/>
    <w:rsid w:val="00A4453A"/>
    <w:rsid w:val="00A4456C"/>
    <w:rsid w:val="00A44659"/>
    <w:rsid w:val="00A446D7"/>
    <w:rsid w:val="00A44742"/>
    <w:rsid w:val="00A44A22"/>
    <w:rsid w:val="00A44D04"/>
    <w:rsid w:val="00A44E74"/>
    <w:rsid w:val="00A45157"/>
    <w:rsid w:val="00A451D8"/>
    <w:rsid w:val="00A45380"/>
    <w:rsid w:val="00A45670"/>
    <w:rsid w:val="00A456DF"/>
    <w:rsid w:val="00A45836"/>
    <w:rsid w:val="00A45A94"/>
    <w:rsid w:val="00A45B41"/>
    <w:rsid w:val="00A45E36"/>
    <w:rsid w:val="00A45E84"/>
    <w:rsid w:val="00A461C2"/>
    <w:rsid w:val="00A46469"/>
    <w:rsid w:val="00A465C3"/>
    <w:rsid w:val="00A466C4"/>
    <w:rsid w:val="00A468FD"/>
    <w:rsid w:val="00A46A2B"/>
    <w:rsid w:val="00A46A6F"/>
    <w:rsid w:val="00A46B27"/>
    <w:rsid w:val="00A46D29"/>
    <w:rsid w:val="00A46DD3"/>
    <w:rsid w:val="00A46FB6"/>
    <w:rsid w:val="00A47159"/>
    <w:rsid w:val="00A47293"/>
    <w:rsid w:val="00A472B1"/>
    <w:rsid w:val="00A473CE"/>
    <w:rsid w:val="00A47AA1"/>
    <w:rsid w:val="00A47E40"/>
    <w:rsid w:val="00A50206"/>
    <w:rsid w:val="00A50265"/>
    <w:rsid w:val="00A50397"/>
    <w:rsid w:val="00A503AF"/>
    <w:rsid w:val="00A506BC"/>
    <w:rsid w:val="00A50789"/>
    <w:rsid w:val="00A507E5"/>
    <w:rsid w:val="00A5081B"/>
    <w:rsid w:val="00A509AA"/>
    <w:rsid w:val="00A509AB"/>
    <w:rsid w:val="00A509FD"/>
    <w:rsid w:val="00A50D17"/>
    <w:rsid w:val="00A50DBE"/>
    <w:rsid w:val="00A50E63"/>
    <w:rsid w:val="00A5120E"/>
    <w:rsid w:val="00A515C4"/>
    <w:rsid w:val="00A51729"/>
    <w:rsid w:val="00A51AAC"/>
    <w:rsid w:val="00A51B02"/>
    <w:rsid w:val="00A51F74"/>
    <w:rsid w:val="00A51F89"/>
    <w:rsid w:val="00A5211B"/>
    <w:rsid w:val="00A5218B"/>
    <w:rsid w:val="00A521AE"/>
    <w:rsid w:val="00A522EB"/>
    <w:rsid w:val="00A52379"/>
    <w:rsid w:val="00A52406"/>
    <w:rsid w:val="00A528E0"/>
    <w:rsid w:val="00A52A4E"/>
    <w:rsid w:val="00A52A79"/>
    <w:rsid w:val="00A52A81"/>
    <w:rsid w:val="00A52D91"/>
    <w:rsid w:val="00A52DDB"/>
    <w:rsid w:val="00A53002"/>
    <w:rsid w:val="00A53021"/>
    <w:rsid w:val="00A530DC"/>
    <w:rsid w:val="00A531A2"/>
    <w:rsid w:val="00A53291"/>
    <w:rsid w:val="00A535C9"/>
    <w:rsid w:val="00A5391F"/>
    <w:rsid w:val="00A539A8"/>
    <w:rsid w:val="00A539F0"/>
    <w:rsid w:val="00A53A33"/>
    <w:rsid w:val="00A545A7"/>
    <w:rsid w:val="00A546D2"/>
    <w:rsid w:val="00A5518B"/>
    <w:rsid w:val="00A55246"/>
    <w:rsid w:val="00A55283"/>
    <w:rsid w:val="00A553E9"/>
    <w:rsid w:val="00A555B2"/>
    <w:rsid w:val="00A5583A"/>
    <w:rsid w:val="00A55A9A"/>
    <w:rsid w:val="00A55B40"/>
    <w:rsid w:val="00A55F03"/>
    <w:rsid w:val="00A55FAC"/>
    <w:rsid w:val="00A564C7"/>
    <w:rsid w:val="00A56B7D"/>
    <w:rsid w:val="00A56C9E"/>
    <w:rsid w:val="00A56D9A"/>
    <w:rsid w:val="00A56E2F"/>
    <w:rsid w:val="00A56F25"/>
    <w:rsid w:val="00A57014"/>
    <w:rsid w:val="00A570C5"/>
    <w:rsid w:val="00A57161"/>
    <w:rsid w:val="00A57359"/>
    <w:rsid w:val="00A574CB"/>
    <w:rsid w:val="00A57636"/>
    <w:rsid w:val="00A57D92"/>
    <w:rsid w:val="00A601AF"/>
    <w:rsid w:val="00A602F5"/>
    <w:rsid w:val="00A60372"/>
    <w:rsid w:val="00A6041C"/>
    <w:rsid w:val="00A6060B"/>
    <w:rsid w:val="00A6066C"/>
    <w:rsid w:val="00A6069F"/>
    <w:rsid w:val="00A60BDB"/>
    <w:rsid w:val="00A60D10"/>
    <w:rsid w:val="00A61307"/>
    <w:rsid w:val="00A616E3"/>
    <w:rsid w:val="00A61AA1"/>
    <w:rsid w:val="00A61CD9"/>
    <w:rsid w:val="00A61D6E"/>
    <w:rsid w:val="00A61E41"/>
    <w:rsid w:val="00A61EAE"/>
    <w:rsid w:val="00A61F8D"/>
    <w:rsid w:val="00A61FD1"/>
    <w:rsid w:val="00A6201E"/>
    <w:rsid w:val="00A6224F"/>
    <w:rsid w:val="00A62BE2"/>
    <w:rsid w:val="00A62CB3"/>
    <w:rsid w:val="00A62D3C"/>
    <w:rsid w:val="00A62EA3"/>
    <w:rsid w:val="00A63502"/>
    <w:rsid w:val="00A636FA"/>
    <w:rsid w:val="00A63729"/>
    <w:rsid w:val="00A637DC"/>
    <w:rsid w:val="00A63BFA"/>
    <w:rsid w:val="00A63D9F"/>
    <w:rsid w:val="00A63EFB"/>
    <w:rsid w:val="00A63FE4"/>
    <w:rsid w:val="00A6426C"/>
    <w:rsid w:val="00A642D4"/>
    <w:rsid w:val="00A6430D"/>
    <w:rsid w:val="00A6444E"/>
    <w:rsid w:val="00A644CA"/>
    <w:rsid w:val="00A6469A"/>
    <w:rsid w:val="00A6479E"/>
    <w:rsid w:val="00A64AEE"/>
    <w:rsid w:val="00A650B1"/>
    <w:rsid w:val="00A650FD"/>
    <w:rsid w:val="00A651CA"/>
    <w:rsid w:val="00A65226"/>
    <w:rsid w:val="00A657A8"/>
    <w:rsid w:val="00A6595E"/>
    <w:rsid w:val="00A65A54"/>
    <w:rsid w:val="00A65A6D"/>
    <w:rsid w:val="00A65CF5"/>
    <w:rsid w:val="00A65DE0"/>
    <w:rsid w:val="00A65EFB"/>
    <w:rsid w:val="00A66356"/>
    <w:rsid w:val="00A66460"/>
    <w:rsid w:val="00A665C2"/>
    <w:rsid w:val="00A66868"/>
    <w:rsid w:val="00A668AC"/>
    <w:rsid w:val="00A66A27"/>
    <w:rsid w:val="00A66E5E"/>
    <w:rsid w:val="00A67025"/>
    <w:rsid w:val="00A67053"/>
    <w:rsid w:val="00A67060"/>
    <w:rsid w:val="00A670D6"/>
    <w:rsid w:val="00A670F4"/>
    <w:rsid w:val="00A6723D"/>
    <w:rsid w:val="00A67316"/>
    <w:rsid w:val="00A67455"/>
    <w:rsid w:val="00A674E2"/>
    <w:rsid w:val="00A678C8"/>
    <w:rsid w:val="00A678DA"/>
    <w:rsid w:val="00A67AFF"/>
    <w:rsid w:val="00A67B13"/>
    <w:rsid w:val="00A67C7E"/>
    <w:rsid w:val="00A67D0C"/>
    <w:rsid w:val="00A67DD4"/>
    <w:rsid w:val="00A70005"/>
    <w:rsid w:val="00A70026"/>
    <w:rsid w:val="00A703E0"/>
    <w:rsid w:val="00A70BED"/>
    <w:rsid w:val="00A7109A"/>
    <w:rsid w:val="00A710B1"/>
    <w:rsid w:val="00A714D3"/>
    <w:rsid w:val="00A71559"/>
    <w:rsid w:val="00A7155C"/>
    <w:rsid w:val="00A71790"/>
    <w:rsid w:val="00A7179C"/>
    <w:rsid w:val="00A717B7"/>
    <w:rsid w:val="00A71CA2"/>
    <w:rsid w:val="00A71D6A"/>
    <w:rsid w:val="00A71E34"/>
    <w:rsid w:val="00A72019"/>
    <w:rsid w:val="00A722D2"/>
    <w:rsid w:val="00A72921"/>
    <w:rsid w:val="00A729D7"/>
    <w:rsid w:val="00A72C6E"/>
    <w:rsid w:val="00A72CFB"/>
    <w:rsid w:val="00A72D09"/>
    <w:rsid w:val="00A72D50"/>
    <w:rsid w:val="00A72E7B"/>
    <w:rsid w:val="00A734AD"/>
    <w:rsid w:val="00A734AE"/>
    <w:rsid w:val="00A73618"/>
    <w:rsid w:val="00A736BC"/>
    <w:rsid w:val="00A738CE"/>
    <w:rsid w:val="00A73912"/>
    <w:rsid w:val="00A73AE2"/>
    <w:rsid w:val="00A73B30"/>
    <w:rsid w:val="00A73B83"/>
    <w:rsid w:val="00A740FC"/>
    <w:rsid w:val="00A74375"/>
    <w:rsid w:val="00A74394"/>
    <w:rsid w:val="00A7488D"/>
    <w:rsid w:val="00A74AA0"/>
    <w:rsid w:val="00A74B57"/>
    <w:rsid w:val="00A74E4A"/>
    <w:rsid w:val="00A74EC1"/>
    <w:rsid w:val="00A75094"/>
    <w:rsid w:val="00A75471"/>
    <w:rsid w:val="00A75A9E"/>
    <w:rsid w:val="00A75AF2"/>
    <w:rsid w:val="00A75C0D"/>
    <w:rsid w:val="00A75EDE"/>
    <w:rsid w:val="00A75EF6"/>
    <w:rsid w:val="00A75F76"/>
    <w:rsid w:val="00A7600F"/>
    <w:rsid w:val="00A76068"/>
    <w:rsid w:val="00A760BB"/>
    <w:rsid w:val="00A761D8"/>
    <w:rsid w:val="00A763C4"/>
    <w:rsid w:val="00A76584"/>
    <w:rsid w:val="00A7662D"/>
    <w:rsid w:val="00A76666"/>
    <w:rsid w:val="00A766A8"/>
    <w:rsid w:val="00A76821"/>
    <w:rsid w:val="00A76AAE"/>
    <w:rsid w:val="00A76B5F"/>
    <w:rsid w:val="00A76C4B"/>
    <w:rsid w:val="00A76E76"/>
    <w:rsid w:val="00A76EA5"/>
    <w:rsid w:val="00A7702C"/>
    <w:rsid w:val="00A77077"/>
    <w:rsid w:val="00A770C3"/>
    <w:rsid w:val="00A770F2"/>
    <w:rsid w:val="00A77159"/>
    <w:rsid w:val="00A77356"/>
    <w:rsid w:val="00A7738E"/>
    <w:rsid w:val="00A7748F"/>
    <w:rsid w:val="00A774AE"/>
    <w:rsid w:val="00A77561"/>
    <w:rsid w:val="00A776CF"/>
    <w:rsid w:val="00A7772D"/>
    <w:rsid w:val="00A779F7"/>
    <w:rsid w:val="00A77B21"/>
    <w:rsid w:val="00A77DFF"/>
    <w:rsid w:val="00A77E52"/>
    <w:rsid w:val="00A80146"/>
    <w:rsid w:val="00A803CD"/>
    <w:rsid w:val="00A80476"/>
    <w:rsid w:val="00A804DF"/>
    <w:rsid w:val="00A80799"/>
    <w:rsid w:val="00A80887"/>
    <w:rsid w:val="00A80911"/>
    <w:rsid w:val="00A809EE"/>
    <w:rsid w:val="00A80B54"/>
    <w:rsid w:val="00A8137A"/>
    <w:rsid w:val="00A814B6"/>
    <w:rsid w:val="00A816F9"/>
    <w:rsid w:val="00A81832"/>
    <w:rsid w:val="00A818DC"/>
    <w:rsid w:val="00A81B2E"/>
    <w:rsid w:val="00A81C07"/>
    <w:rsid w:val="00A81E75"/>
    <w:rsid w:val="00A81EFF"/>
    <w:rsid w:val="00A821EA"/>
    <w:rsid w:val="00A82292"/>
    <w:rsid w:val="00A823D8"/>
    <w:rsid w:val="00A82951"/>
    <w:rsid w:val="00A82A0D"/>
    <w:rsid w:val="00A82B5E"/>
    <w:rsid w:val="00A82C4B"/>
    <w:rsid w:val="00A82D17"/>
    <w:rsid w:val="00A82F11"/>
    <w:rsid w:val="00A83093"/>
    <w:rsid w:val="00A831DE"/>
    <w:rsid w:val="00A8324D"/>
    <w:rsid w:val="00A832E0"/>
    <w:rsid w:val="00A832EB"/>
    <w:rsid w:val="00A83344"/>
    <w:rsid w:val="00A83381"/>
    <w:rsid w:val="00A83425"/>
    <w:rsid w:val="00A83EBC"/>
    <w:rsid w:val="00A8412F"/>
    <w:rsid w:val="00A8437F"/>
    <w:rsid w:val="00A844FD"/>
    <w:rsid w:val="00A848C4"/>
    <w:rsid w:val="00A848EB"/>
    <w:rsid w:val="00A84A0D"/>
    <w:rsid w:val="00A84A24"/>
    <w:rsid w:val="00A84A69"/>
    <w:rsid w:val="00A84BC2"/>
    <w:rsid w:val="00A84DD5"/>
    <w:rsid w:val="00A84F40"/>
    <w:rsid w:val="00A8518A"/>
    <w:rsid w:val="00A851BA"/>
    <w:rsid w:val="00A851E3"/>
    <w:rsid w:val="00A8523D"/>
    <w:rsid w:val="00A8539D"/>
    <w:rsid w:val="00A856F9"/>
    <w:rsid w:val="00A85722"/>
    <w:rsid w:val="00A8577E"/>
    <w:rsid w:val="00A85D38"/>
    <w:rsid w:val="00A85F2C"/>
    <w:rsid w:val="00A85F73"/>
    <w:rsid w:val="00A86006"/>
    <w:rsid w:val="00A8639A"/>
    <w:rsid w:val="00A86907"/>
    <w:rsid w:val="00A86B86"/>
    <w:rsid w:val="00A86C86"/>
    <w:rsid w:val="00A86DCD"/>
    <w:rsid w:val="00A86EC9"/>
    <w:rsid w:val="00A8746E"/>
    <w:rsid w:val="00A875AF"/>
    <w:rsid w:val="00A878F7"/>
    <w:rsid w:val="00A87E4A"/>
    <w:rsid w:val="00A87F67"/>
    <w:rsid w:val="00A900F1"/>
    <w:rsid w:val="00A90216"/>
    <w:rsid w:val="00A903A4"/>
    <w:rsid w:val="00A905BB"/>
    <w:rsid w:val="00A90745"/>
    <w:rsid w:val="00A9079A"/>
    <w:rsid w:val="00A907BF"/>
    <w:rsid w:val="00A9094A"/>
    <w:rsid w:val="00A90999"/>
    <w:rsid w:val="00A90B94"/>
    <w:rsid w:val="00A91102"/>
    <w:rsid w:val="00A9115F"/>
    <w:rsid w:val="00A91531"/>
    <w:rsid w:val="00A9196D"/>
    <w:rsid w:val="00A91F8B"/>
    <w:rsid w:val="00A9214E"/>
    <w:rsid w:val="00A923C1"/>
    <w:rsid w:val="00A92495"/>
    <w:rsid w:val="00A92900"/>
    <w:rsid w:val="00A92A60"/>
    <w:rsid w:val="00A92A8B"/>
    <w:rsid w:val="00A92B1F"/>
    <w:rsid w:val="00A92BF0"/>
    <w:rsid w:val="00A92E00"/>
    <w:rsid w:val="00A92F3B"/>
    <w:rsid w:val="00A930F9"/>
    <w:rsid w:val="00A931A4"/>
    <w:rsid w:val="00A93347"/>
    <w:rsid w:val="00A93388"/>
    <w:rsid w:val="00A933CC"/>
    <w:rsid w:val="00A935E9"/>
    <w:rsid w:val="00A93605"/>
    <w:rsid w:val="00A93B3A"/>
    <w:rsid w:val="00A93B4F"/>
    <w:rsid w:val="00A93C67"/>
    <w:rsid w:val="00A93CB3"/>
    <w:rsid w:val="00A93EA5"/>
    <w:rsid w:val="00A93EE6"/>
    <w:rsid w:val="00A93F1D"/>
    <w:rsid w:val="00A9409F"/>
    <w:rsid w:val="00A940C3"/>
    <w:rsid w:val="00A94154"/>
    <w:rsid w:val="00A94455"/>
    <w:rsid w:val="00A945C9"/>
    <w:rsid w:val="00A9463A"/>
    <w:rsid w:val="00A94928"/>
    <w:rsid w:val="00A94ACF"/>
    <w:rsid w:val="00A94B9D"/>
    <w:rsid w:val="00A94F14"/>
    <w:rsid w:val="00A9508A"/>
    <w:rsid w:val="00A9537A"/>
    <w:rsid w:val="00A95387"/>
    <w:rsid w:val="00A95527"/>
    <w:rsid w:val="00A95650"/>
    <w:rsid w:val="00A95E58"/>
    <w:rsid w:val="00A95F6F"/>
    <w:rsid w:val="00A960A7"/>
    <w:rsid w:val="00A961A2"/>
    <w:rsid w:val="00A96819"/>
    <w:rsid w:val="00A9682E"/>
    <w:rsid w:val="00A969E8"/>
    <w:rsid w:val="00A96A46"/>
    <w:rsid w:val="00A96AA4"/>
    <w:rsid w:val="00A96B26"/>
    <w:rsid w:val="00A96BCC"/>
    <w:rsid w:val="00A96BE2"/>
    <w:rsid w:val="00A96C4B"/>
    <w:rsid w:val="00A96C75"/>
    <w:rsid w:val="00A96CC5"/>
    <w:rsid w:val="00A96E74"/>
    <w:rsid w:val="00A970F7"/>
    <w:rsid w:val="00A9717D"/>
    <w:rsid w:val="00A9740B"/>
    <w:rsid w:val="00A974CF"/>
    <w:rsid w:val="00A97882"/>
    <w:rsid w:val="00A97AA4"/>
    <w:rsid w:val="00AA0062"/>
    <w:rsid w:val="00AA012D"/>
    <w:rsid w:val="00AA027A"/>
    <w:rsid w:val="00AA02B8"/>
    <w:rsid w:val="00AA0381"/>
    <w:rsid w:val="00AA0469"/>
    <w:rsid w:val="00AA04F4"/>
    <w:rsid w:val="00AA0632"/>
    <w:rsid w:val="00AA0818"/>
    <w:rsid w:val="00AA094D"/>
    <w:rsid w:val="00AA0C7B"/>
    <w:rsid w:val="00AA0CED"/>
    <w:rsid w:val="00AA0F31"/>
    <w:rsid w:val="00AA10B3"/>
    <w:rsid w:val="00AA1116"/>
    <w:rsid w:val="00AA11C8"/>
    <w:rsid w:val="00AA12D5"/>
    <w:rsid w:val="00AA130D"/>
    <w:rsid w:val="00AA17D6"/>
    <w:rsid w:val="00AA1874"/>
    <w:rsid w:val="00AA196E"/>
    <w:rsid w:val="00AA1B3B"/>
    <w:rsid w:val="00AA1BE6"/>
    <w:rsid w:val="00AA1F05"/>
    <w:rsid w:val="00AA2028"/>
    <w:rsid w:val="00AA219F"/>
    <w:rsid w:val="00AA2615"/>
    <w:rsid w:val="00AA2672"/>
    <w:rsid w:val="00AA2B19"/>
    <w:rsid w:val="00AA2F92"/>
    <w:rsid w:val="00AA30B4"/>
    <w:rsid w:val="00AA32B6"/>
    <w:rsid w:val="00AA335F"/>
    <w:rsid w:val="00AA3500"/>
    <w:rsid w:val="00AA3571"/>
    <w:rsid w:val="00AA359E"/>
    <w:rsid w:val="00AA361B"/>
    <w:rsid w:val="00AA364B"/>
    <w:rsid w:val="00AA37C3"/>
    <w:rsid w:val="00AA3A71"/>
    <w:rsid w:val="00AA3B18"/>
    <w:rsid w:val="00AA3E23"/>
    <w:rsid w:val="00AA41AF"/>
    <w:rsid w:val="00AA42E0"/>
    <w:rsid w:val="00AA44EC"/>
    <w:rsid w:val="00AA4641"/>
    <w:rsid w:val="00AA477E"/>
    <w:rsid w:val="00AA4867"/>
    <w:rsid w:val="00AA4CD1"/>
    <w:rsid w:val="00AA4FFA"/>
    <w:rsid w:val="00AA561B"/>
    <w:rsid w:val="00AA57FC"/>
    <w:rsid w:val="00AA58AF"/>
    <w:rsid w:val="00AA5928"/>
    <w:rsid w:val="00AA59C9"/>
    <w:rsid w:val="00AA59E4"/>
    <w:rsid w:val="00AA5B9F"/>
    <w:rsid w:val="00AA5BCB"/>
    <w:rsid w:val="00AA5D36"/>
    <w:rsid w:val="00AA6231"/>
    <w:rsid w:val="00AA6274"/>
    <w:rsid w:val="00AA628B"/>
    <w:rsid w:val="00AA63F3"/>
    <w:rsid w:val="00AA6466"/>
    <w:rsid w:val="00AA655D"/>
    <w:rsid w:val="00AA663B"/>
    <w:rsid w:val="00AA6773"/>
    <w:rsid w:val="00AA68C7"/>
    <w:rsid w:val="00AA6926"/>
    <w:rsid w:val="00AA6BFB"/>
    <w:rsid w:val="00AA711B"/>
    <w:rsid w:val="00AA715B"/>
    <w:rsid w:val="00AA71A8"/>
    <w:rsid w:val="00AA71ED"/>
    <w:rsid w:val="00AA747E"/>
    <w:rsid w:val="00AA7481"/>
    <w:rsid w:val="00AA75DA"/>
    <w:rsid w:val="00AA76FD"/>
    <w:rsid w:val="00AA7AFA"/>
    <w:rsid w:val="00AA7B30"/>
    <w:rsid w:val="00AA7EDD"/>
    <w:rsid w:val="00AB0206"/>
    <w:rsid w:val="00AB075A"/>
    <w:rsid w:val="00AB0811"/>
    <w:rsid w:val="00AB0A99"/>
    <w:rsid w:val="00AB0C37"/>
    <w:rsid w:val="00AB0D85"/>
    <w:rsid w:val="00AB1084"/>
    <w:rsid w:val="00AB11F1"/>
    <w:rsid w:val="00AB1435"/>
    <w:rsid w:val="00AB15EF"/>
    <w:rsid w:val="00AB16CC"/>
    <w:rsid w:val="00AB1923"/>
    <w:rsid w:val="00AB1936"/>
    <w:rsid w:val="00AB1A39"/>
    <w:rsid w:val="00AB1D5E"/>
    <w:rsid w:val="00AB1E47"/>
    <w:rsid w:val="00AB1E58"/>
    <w:rsid w:val="00AB2135"/>
    <w:rsid w:val="00AB21DC"/>
    <w:rsid w:val="00AB21FB"/>
    <w:rsid w:val="00AB222E"/>
    <w:rsid w:val="00AB22C9"/>
    <w:rsid w:val="00AB234D"/>
    <w:rsid w:val="00AB2392"/>
    <w:rsid w:val="00AB2501"/>
    <w:rsid w:val="00AB2510"/>
    <w:rsid w:val="00AB2799"/>
    <w:rsid w:val="00AB284F"/>
    <w:rsid w:val="00AB2952"/>
    <w:rsid w:val="00AB2A90"/>
    <w:rsid w:val="00AB32D6"/>
    <w:rsid w:val="00AB337F"/>
    <w:rsid w:val="00AB3591"/>
    <w:rsid w:val="00AB3685"/>
    <w:rsid w:val="00AB3967"/>
    <w:rsid w:val="00AB39FA"/>
    <w:rsid w:val="00AB3A1C"/>
    <w:rsid w:val="00AB3A62"/>
    <w:rsid w:val="00AB3ACA"/>
    <w:rsid w:val="00AB3BC5"/>
    <w:rsid w:val="00AB3E10"/>
    <w:rsid w:val="00AB4033"/>
    <w:rsid w:val="00AB40EC"/>
    <w:rsid w:val="00AB4451"/>
    <w:rsid w:val="00AB450D"/>
    <w:rsid w:val="00AB45AE"/>
    <w:rsid w:val="00AB468D"/>
    <w:rsid w:val="00AB47EB"/>
    <w:rsid w:val="00AB4A17"/>
    <w:rsid w:val="00AB51D6"/>
    <w:rsid w:val="00AB51E5"/>
    <w:rsid w:val="00AB53AE"/>
    <w:rsid w:val="00AB54E0"/>
    <w:rsid w:val="00AB57D5"/>
    <w:rsid w:val="00AB5974"/>
    <w:rsid w:val="00AB5B0A"/>
    <w:rsid w:val="00AB5CB9"/>
    <w:rsid w:val="00AB60C4"/>
    <w:rsid w:val="00AB612B"/>
    <w:rsid w:val="00AB612C"/>
    <w:rsid w:val="00AB643B"/>
    <w:rsid w:val="00AB67AC"/>
    <w:rsid w:val="00AB6AB0"/>
    <w:rsid w:val="00AB6B4E"/>
    <w:rsid w:val="00AB6C0F"/>
    <w:rsid w:val="00AB6CCC"/>
    <w:rsid w:val="00AB6D70"/>
    <w:rsid w:val="00AB7084"/>
    <w:rsid w:val="00AB7277"/>
    <w:rsid w:val="00AB731F"/>
    <w:rsid w:val="00AB754E"/>
    <w:rsid w:val="00AB773E"/>
    <w:rsid w:val="00AB7778"/>
    <w:rsid w:val="00AB798D"/>
    <w:rsid w:val="00AB7A73"/>
    <w:rsid w:val="00AB7BAE"/>
    <w:rsid w:val="00AB7CD9"/>
    <w:rsid w:val="00AB7D19"/>
    <w:rsid w:val="00AB7DF0"/>
    <w:rsid w:val="00AB7FFA"/>
    <w:rsid w:val="00AC015B"/>
    <w:rsid w:val="00AC0178"/>
    <w:rsid w:val="00AC020A"/>
    <w:rsid w:val="00AC097B"/>
    <w:rsid w:val="00AC0AB8"/>
    <w:rsid w:val="00AC0CA3"/>
    <w:rsid w:val="00AC0E69"/>
    <w:rsid w:val="00AC104E"/>
    <w:rsid w:val="00AC1164"/>
    <w:rsid w:val="00AC12DF"/>
    <w:rsid w:val="00AC1325"/>
    <w:rsid w:val="00AC141C"/>
    <w:rsid w:val="00AC15DF"/>
    <w:rsid w:val="00AC179C"/>
    <w:rsid w:val="00AC1C33"/>
    <w:rsid w:val="00AC1D81"/>
    <w:rsid w:val="00AC1F00"/>
    <w:rsid w:val="00AC20E2"/>
    <w:rsid w:val="00AC2206"/>
    <w:rsid w:val="00AC23B1"/>
    <w:rsid w:val="00AC2732"/>
    <w:rsid w:val="00AC289D"/>
    <w:rsid w:val="00AC30E1"/>
    <w:rsid w:val="00AC3987"/>
    <w:rsid w:val="00AC39F2"/>
    <w:rsid w:val="00AC3B09"/>
    <w:rsid w:val="00AC3C86"/>
    <w:rsid w:val="00AC3DC5"/>
    <w:rsid w:val="00AC3DFD"/>
    <w:rsid w:val="00AC4069"/>
    <w:rsid w:val="00AC4137"/>
    <w:rsid w:val="00AC41E8"/>
    <w:rsid w:val="00AC422D"/>
    <w:rsid w:val="00AC4501"/>
    <w:rsid w:val="00AC471C"/>
    <w:rsid w:val="00AC47F4"/>
    <w:rsid w:val="00AC4ACC"/>
    <w:rsid w:val="00AC4F56"/>
    <w:rsid w:val="00AC5217"/>
    <w:rsid w:val="00AC5255"/>
    <w:rsid w:val="00AC5447"/>
    <w:rsid w:val="00AC5561"/>
    <w:rsid w:val="00AC5689"/>
    <w:rsid w:val="00AC58CF"/>
    <w:rsid w:val="00AC5B53"/>
    <w:rsid w:val="00AC5E07"/>
    <w:rsid w:val="00AC5E3E"/>
    <w:rsid w:val="00AC5F74"/>
    <w:rsid w:val="00AC627C"/>
    <w:rsid w:val="00AC640A"/>
    <w:rsid w:val="00AC64CC"/>
    <w:rsid w:val="00AC64D7"/>
    <w:rsid w:val="00AC65CA"/>
    <w:rsid w:val="00AC6805"/>
    <w:rsid w:val="00AC6EA7"/>
    <w:rsid w:val="00AC7108"/>
    <w:rsid w:val="00AC7128"/>
    <w:rsid w:val="00AC7316"/>
    <w:rsid w:val="00AC73FA"/>
    <w:rsid w:val="00AC77B5"/>
    <w:rsid w:val="00AC78EC"/>
    <w:rsid w:val="00AC7A9B"/>
    <w:rsid w:val="00AC7AC7"/>
    <w:rsid w:val="00AC7BC2"/>
    <w:rsid w:val="00AC7F0F"/>
    <w:rsid w:val="00ACEB29"/>
    <w:rsid w:val="00AD00C9"/>
    <w:rsid w:val="00AD0140"/>
    <w:rsid w:val="00AD0193"/>
    <w:rsid w:val="00AD0285"/>
    <w:rsid w:val="00AD0290"/>
    <w:rsid w:val="00AD0291"/>
    <w:rsid w:val="00AD02D8"/>
    <w:rsid w:val="00AD0358"/>
    <w:rsid w:val="00AD0392"/>
    <w:rsid w:val="00AD06D3"/>
    <w:rsid w:val="00AD06F1"/>
    <w:rsid w:val="00AD0A96"/>
    <w:rsid w:val="00AD0DE6"/>
    <w:rsid w:val="00AD0EA2"/>
    <w:rsid w:val="00AD1049"/>
    <w:rsid w:val="00AD13ED"/>
    <w:rsid w:val="00AD1422"/>
    <w:rsid w:val="00AD146C"/>
    <w:rsid w:val="00AD1CF4"/>
    <w:rsid w:val="00AD2088"/>
    <w:rsid w:val="00AD22B0"/>
    <w:rsid w:val="00AD255A"/>
    <w:rsid w:val="00AD269B"/>
    <w:rsid w:val="00AD284B"/>
    <w:rsid w:val="00AD297A"/>
    <w:rsid w:val="00AD29A1"/>
    <w:rsid w:val="00AD2A77"/>
    <w:rsid w:val="00AD2B11"/>
    <w:rsid w:val="00AD2B92"/>
    <w:rsid w:val="00AD2BA3"/>
    <w:rsid w:val="00AD2BD7"/>
    <w:rsid w:val="00AD2EBF"/>
    <w:rsid w:val="00AD3181"/>
    <w:rsid w:val="00AD31A2"/>
    <w:rsid w:val="00AD33A8"/>
    <w:rsid w:val="00AD34D2"/>
    <w:rsid w:val="00AD355F"/>
    <w:rsid w:val="00AD3574"/>
    <w:rsid w:val="00AD3631"/>
    <w:rsid w:val="00AD3C72"/>
    <w:rsid w:val="00AD3E95"/>
    <w:rsid w:val="00AD3F91"/>
    <w:rsid w:val="00AD41B5"/>
    <w:rsid w:val="00AD42A5"/>
    <w:rsid w:val="00AD4367"/>
    <w:rsid w:val="00AD45A7"/>
    <w:rsid w:val="00AD4915"/>
    <w:rsid w:val="00AD4B70"/>
    <w:rsid w:val="00AD4D1B"/>
    <w:rsid w:val="00AD4F80"/>
    <w:rsid w:val="00AD5038"/>
    <w:rsid w:val="00AD511A"/>
    <w:rsid w:val="00AD535C"/>
    <w:rsid w:val="00AD53DF"/>
    <w:rsid w:val="00AD55E9"/>
    <w:rsid w:val="00AD56F0"/>
    <w:rsid w:val="00AD57A4"/>
    <w:rsid w:val="00AD57DD"/>
    <w:rsid w:val="00AD5A6B"/>
    <w:rsid w:val="00AD5CEB"/>
    <w:rsid w:val="00AD6026"/>
    <w:rsid w:val="00AD6067"/>
    <w:rsid w:val="00AD623D"/>
    <w:rsid w:val="00AD627F"/>
    <w:rsid w:val="00AD64F1"/>
    <w:rsid w:val="00AD65A6"/>
    <w:rsid w:val="00AD66F2"/>
    <w:rsid w:val="00AD6720"/>
    <w:rsid w:val="00AD685B"/>
    <w:rsid w:val="00AD687A"/>
    <w:rsid w:val="00AD692B"/>
    <w:rsid w:val="00AD6948"/>
    <w:rsid w:val="00AD6BD3"/>
    <w:rsid w:val="00AD6DA4"/>
    <w:rsid w:val="00AD71DD"/>
    <w:rsid w:val="00AD7356"/>
    <w:rsid w:val="00AD7372"/>
    <w:rsid w:val="00AD7480"/>
    <w:rsid w:val="00AD7551"/>
    <w:rsid w:val="00AD7682"/>
    <w:rsid w:val="00AD7761"/>
    <w:rsid w:val="00AD7A22"/>
    <w:rsid w:val="00AD7A42"/>
    <w:rsid w:val="00AD7CDD"/>
    <w:rsid w:val="00AE0012"/>
    <w:rsid w:val="00AE0225"/>
    <w:rsid w:val="00AE0239"/>
    <w:rsid w:val="00AE0545"/>
    <w:rsid w:val="00AE0561"/>
    <w:rsid w:val="00AE06D0"/>
    <w:rsid w:val="00AE0A3D"/>
    <w:rsid w:val="00AE0DB8"/>
    <w:rsid w:val="00AE0E3C"/>
    <w:rsid w:val="00AE0EB3"/>
    <w:rsid w:val="00AE1482"/>
    <w:rsid w:val="00AE1728"/>
    <w:rsid w:val="00AE1818"/>
    <w:rsid w:val="00AE1994"/>
    <w:rsid w:val="00AE1A9A"/>
    <w:rsid w:val="00AE1C58"/>
    <w:rsid w:val="00AE1E9C"/>
    <w:rsid w:val="00AE209A"/>
    <w:rsid w:val="00AE228F"/>
    <w:rsid w:val="00AE26EE"/>
    <w:rsid w:val="00AE27D9"/>
    <w:rsid w:val="00AE2BB9"/>
    <w:rsid w:val="00AE2D1C"/>
    <w:rsid w:val="00AE2D95"/>
    <w:rsid w:val="00AE2F9A"/>
    <w:rsid w:val="00AE31C7"/>
    <w:rsid w:val="00AE31EA"/>
    <w:rsid w:val="00AE32E4"/>
    <w:rsid w:val="00AE3465"/>
    <w:rsid w:val="00AE3511"/>
    <w:rsid w:val="00AE35B9"/>
    <w:rsid w:val="00AE35C1"/>
    <w:rsid w:val="00AE3658"/>
    <w:rsid w:val="00AE3835"/>
    <w:rsid w:val="00AE3882"/>
    <w:rsid w:val="00AE3A53"/>
    <w:rsid w:val="00AE3CA8"/>
    <w:rsid w:val="00AE3CE8"/>
    <w:rsid w:val="00AE3E69"/>
    <w:rsid w:val="00AE3EB9"/>
    <w:rsid w:val="00AE41FD"/>
    <w:rsid w:val="00AE4204"/>
    <w:rsid w:val="00AE4207"/>
    <w:rsid w:val="00AE428E"/>
    <w:rsid w:val="00AE4524"/>
    <w:rsid w:val="00AE4715"/>
    <w:rsid w:val="00AE4872"/>
    <w:rsid w:val="00AE49CD"/>
    <w:rsid w:val="00AE49D1"/>
    <w:rsid w:val="00AE4A09"/>
    <w:rsid w:val="00AE5128"/>
    <w:rsid w:val="00AE51A0"/>
    <w:rsid w:val="00AE52F9"/>
    <w:rsid w:val="00AE535F"/>
    <w:rsid w:val="00AE54CB"/>
    <w:rsid w:val="00AE5506"/>
    <w:rsid w:val="00AE5714"/>
    <w:rsid w:val="00AE5795"/>
    <w:rsid w:val="00AE57A5"/>
    <w:rsid w:val="00AE5956"/>
    <w:rsid w:val="00AE5977"/>
    <w:rsid w:val="00AE61E7"/>
    <w:rsid w:val="00AE6424"/>
    <w:rsid w:val="00AE6524"/>
    <w:rsid w:val="00AE668C"/>
    <w:rsid w:val="00AE66EC"/>
    <w:rsid w:val="00AE67EC"/>
    <w:rsid w:val="00AE6BB4"/>
    <w:rsid w:val="00AE6CB3"/>
    <w:rsid w:val="00AE6DAB"/>
    <w:rsid w:val="00AE6F32"/>
    <w:rsid w:val="00AE70A0"/>
    <w:rsid w:val="00AE767E"/>
    <w:rsid w:val="00AE772E"/>
    <w:rsid w:val="00AE77F6"/>
    <w:rsid w:val="00AE785D"/>
    <w:rsid w:val="00AE79A7"/>
    <w:rsid w:val="00AE79A9"/>
    <w:rsid w:val="00AE79DC"/>
    <w:rsid w:val="00AE7BAB"/>
    <w:rsid w:val="00AE7EB8"/>
    <w:rsid w:val="00AE7F60"/>
    <w:rsid w:val="00AF0010"/>
    <w:rsid w:val="00AF03CA"/>
    <w:rsid w:val="00AF042D"/>
    <w:rsid w:val="00AF0834"/>
    <w:rsid w:val="00AF08B5"/>
    <w:rsid w:val="00AF0ADB"/>
    <w:rsid w:val="00AF0BB2"/>
    <w:rsid w:val="00AF0E43"/>
    <w:rsid w:val="00AF0F75"/>
    <w:rsid w:val="00AF104C"/>
    <w:rsid w:val="00AF1716"/>
    <w:rsid w:val="00AF17B7"/>
    <w:rsid w:val="00AF19BF"/>
    <w:rsid w:val="00AF1A46"/>
    <w:rsid w:val="00AF1B2B"/>
    <w:rsid w:val="00AF1CD0"/>
    <w:rsid w:val="00AF2023"/>
    <w:rsid w:val="00AF20A9"/>
    <w:rsid w:val="00AF219E"/>
    <w:rsid w:val="00AF2566"/>
    <w:rsid w:val="00AF284B"/>
    <w:rsid w:val="00AF28E0"/>
    <w:rsid w:val="00AF2AB2"/>
    <w:rsid w:val="00AF2DD1"/>
    <w:rsid w:val="00AF3076"/>
    <w:rsid w:val="00AF349C"/>
    <w:rsid w:val="00AF3745"/>
    <w:rsid w:val="00AF3753"/>
    <w:rsid w:val="00AF3804"/>
    <w:rsid w:val="00AF382C"/>
    <w:rsid w:val="00AF38E7"/>
    <w:rsid w:val="00AF399A"/>
    <w:rsid w:val="00AF3A9C"/>
    <w:rsid w:val="00AF3D60"/>
    <w:rsid w:val="00AF3F76"/>
    <w:rsid w:val="00AF4035"/>
    <w:rsid w:val="00AF40CE"/>
    <w:rsid w:val="00AF456A"/>
    <w:rsid w:val="00AF4A6D"/>
    <w:rsid w:val="00AF4AC0"/>
    <w:rsid w:val="00AF4BDA"/>
    <w:rsid w:val="00AF4C37"/>
    <w:rsid w:val="00AF4DBF"/>
    <w:rsid w:val="00AF4F02"/>
    <w:rsid w:val="00AF4F3F"/>
    <w:rsid w:val="00AF501A"/>
    <w:rsid w:val="00AF52C4"/>
    <w:rsid w:val="00AF5740"/>
    <w:rsid w:val="00AF5A0E"/>
    <w:rsid w:val="00AF5B6F"/>
    <w:rsid w:val="00AF5BFD"/>
    <w:rsid w:val="00AF5C13"/>
    <w:rsid w:val="00AF5C56"/>
    <w:rsid w:val="00AF5CD6"/>
    <w:rsid w:val="00AF5DDF"/>
    <w:rsid w:val="00AF6628"/>
    <w:rsid w:val="00AF66B3"/>
    <w:rsid w:val="00AF6771"/>
    <w:rsid w:val="00AF6829"/>
    <w:rsid w:val="00AF6940"/>
    <w:rsid w:val="00AF6ACD"/>
    <w:rsid w:val="00AF6B8C"/>
    <w:rsid w:val="00AF6BC4"/>
    <w:rsid w:val="00AF6BF9"/>
    <w:rsid w:val="00AF6D2B"/>
    <w:rsid w:val="00AF6D8E"/>
    <w:rsid w:val="00AF6E41"/>
    <w:rsid w:val="00AF718D"/>
    <w:rsid w:val="00AF7211"/>
    <w:rsid w:val="00AF724F"/>
    <w:rsid w:val="00AF73DC"/>
    <w:rsid w:val="00AF74F0"/>
    <w:rsid w:val="00AF76E4"/>
    <w:rsid w:val="00AF7906"/>
    <w:rsid w:val="00AF7AD4"/>
    <w:rsid w:val="00B00137"/>
    <w:rsid w:val="00B00216"/>
    <w:rsid w:val="00B002BF"/>
    <w:rsid w:val="00B00373"/>
    <w:rsid w:val="00B003CC"/>
    <w:rsid w:val="00B0056B"/>
    <w:rsid w:val="00B006F1"/>
    <w:rsid w:val="00B00825"/>
    <w:rsid w:val="00B008BC"/>
    <w:rsid w:val="00B009B1"/>
    <w:rsid w:val="00B00A3B"/>
    <w:rsid w:val="00B00A99"/>
    <w:rsid w:val="00B00BA1"/>
    <w:rsid w:val="00B01283"/>
    <w:rsid w:val="00B01355"/>
    <w:rsid w:val="00B0135A"/>
    <w:rsid w:val="00B01399"/>
    <w:rsid w:val="00B0192C"/>
    <w:rsid w:val="00B01B33"/>
    <w:rsid w:val="00B01CF5"/>
    <w:rsid w:val="00B01DD0"/>
    <w:rsid w:val="00B01E6C"/>
    <w:rsid w:val="00B020FB"/>
    <w:rsid w:val="00B0223F"/>
    <w:rsid w:val="00B0232A"/>
    <w:rsid w:val="00B0234E"/>
    <w:rsid w:val="00B0237E"/>
    <w:rsid w:val="00B02595"/>
    <w:rsid w:val="00B02707"/>
    <w:rsid w:val="00B0272D"/>
    <w:rsid w:val="00B027D4"/>
    <w:rsid w:val="00B0292E"/>
    <w:rsid w:val="00B02BD2"/>
    <w:rsid w:val="00B02D15"/>
    <w:rsid w:val="00B02D7F"/>
    <w:rsid w:val="00B0306C"/>
    <w:rsid w:val="00B030EB"/>
    <w:rsid w:val="00B0312B"/>
    <w:rsid w:val="00B031A5"/>
    <w:rsid w:val="00B031EE"/>
    <w:rsid w:val="00B03452"/>
    <w:rsid w:val="00B03537"/>
    <w:rsid w:val="00B03852"/>
    <w:rsid w:val="00B03B2B"/>
    <w:rsid w:val="00B03D98"/>
    <w:rsid w:val="00B03E29"/>
    <w:rsid w:val="00B03E6A"/>
    <w:rsid w:val="00B03F96"/>
    <w:rsid w:val="00B03FB0"/>
    <w:rsid w:val="00B04268"/>
    <w:rsid w:val="00B042DE"/>
    <w:rsid w:val="00B045A4"/>
    <w:rsid w:val="00B047A6"/>
    <w:rsid w:val="00B04971"/>
    <w:rsid w:val="00B049C6"/>
    <w:rsid w:val="00B049EA"/>
    <w:rsid w:val="00B04C46"/>
    <w:rsid w:val="00B04D50"/>
    <w:rsid w:val="00B04F3C"/>
    <w:rsid w:val="00B054BA"/>
    <w:rsid w:val="00B055F6"/>
    <w:rsid w:val="00B05602"/>
    <w:rsid w:val="00B056CF"/>
    <w:rsid w:val="00B05805"/>
    <w:rsid w:val="00B0598D"/>
    <w:rsid w:val="00B059A1"/>
    <w:rsid w:val="00B05BEF"/>
    <w:rsid w:val="00B05BFE"/>
    <w:rsid w:val="00B05D7D"/>
    <w:rsid w:val="00B063AA"/>
    <w:rsid w:val="00B0658A"/>
    <w:rsid w:val="00B067A4"/>
    <w:rsid w:val="00B068DA"/>
    <w:rsid w:val="00B06995"/>
    <w:rsid w:val="00B069FF"/>
    <w:rsid w:val="00B06A10"/>
    <w:rsid w:val="00B06A45"/>
    <w:rsid w:val="00B06B0A"/>
    <w:rsid w:val="00B06F50"/>
    <w:rsid w:val="00B07072"/>
    <w:rsid w:val="00B0770E"/>
    <w:rsid w:val="00B0772C"/>
    <w:rsid w:val="00B077E8"/>
    <w:rsid w:val="00B07989"/>
    <w:rsid w:val="00B07AAE"/>
    <w:rsid w:val="00B07DBA"/>
    <w:rsid w:val="00B07E23"/>
    <w:rsid w:val="00B07F01"/>
    <w:rsid w:val="00B100B9"/>
    <w:rsid w:val="00B10112"/>
    <w:rsid w:val="00B10157"/>
    <w:rsid w:val="00B103AB"/>
    <w:rsid w:val="00B10489"/>
    <w:rsid w:val="00B10531"/>
    <w:rsid w:val="00B1074A"/>
    <w:rsid w:val="00B1084A"/>
    <w:rsid w:val="00B10886"/>
    <w:rsid w:val="00B10936"/>
    <w:rsid w:val="00B10A1A"/>
    <w:rsid w:val="00B10BAE"/>
    <w:rsid w:val="00B10DBF"/>
    <w:rsid w:val="00B10E27"/>
    <w:rsid w:val="00B10FDE"/>
    <w:rsid w:val="00B1127B"/>
    <w:rsid w:val="00B1135E"/>
    <w:rsid w:val="00B114ED"/>
    <w:rsid w:val="00B11981"/>
    <w:rsid w:val="00B119D9"/>
    <w:rsid w:val="00B11AB1"/>
    <w:rsid w:val="00B11C31"/>
    <w:rsid w:val="00B11D6C"/>
    <w:rsid w:val="00B11E9A"/>
    <w:rsid w:val="00B1244A"/>
    <w:rsid w:val="00B124F8"/>
    <w:rsid w:val="00B125F2"/>
    <w:rsid w:val="00B12742"/>
    <w:rsid w:val="00B12F07"/>
    <w:rsid w:val="00B1308E"/>
    <w:rsid w:val="00B13357"/>
    <w:rsid w:val="00B137D4"/>
    <w:rsid w:val="00B13806"/>
    <w:rsid w:val="00B13F29"/>
    <w:rsid w:val="00B1400B"/>
    <w:rsid w:val="00B142FB"/>
    <w:rsid w:val="00B143F1"/>
    <w:rsid w:val="00B145B0"/>
    <w:rsid w:val="00B1465C"/>
    <w:rsid w:val="00B148FF"/>
    <w:rsid w:val="00B14987"/>
    <w:rsid w:val="00B14F44"/>
    <w:rsid w:val="00B14FF5"/>
    <w:rsid w:val="00B15039"/>
    <w:rsid w:val="00B15084"/>
    <w:rsid w:val="00B150EF"/>
    <w:rsid w:val="00B153DE"/>
    <w:rsid w:val="00B1541D"/>
    <w:rsid w:val="00B155EC"/>
    <w:rsid w:val="00B156BA"/>
    <w:rsid w:val="00B157D5"/>
    <w:rsid w:val="00B15B6A"/>
    <w:rsid w:val="00B16232"/>
    <w:rsid w:val="00B1632F"/>
    <w:rsid w:val="00B164AA"/>
    <w:rsid w:val="00B16768"/>
    <w:rsid w:val="00B1676C"/>
    <w:rsid w:val="00B168F1"/>
    <w:rsid w:val="00B16A38"/>
    <w:rsid w:val="00B16A52"/>
    <w:rsid w:val="00B16D42"/>
    <w:rsid w:val="00B16D47"/>
    <w:rsid w:val="00B16D7E"/>
    <w:rsid w:val="00B17089"/>
    <w:rsid w:val="00B17143"/>
    <w:rsid w:val="00B17461"/>
    <w:rsid w:val="00B174DB"/>
    <w:rsid w:val="00B177F2"/>
    <w:rsid w:val="00B1792C"/>
    <w:rsid w:val="00B1793A"/>
    <w:rsid w:val="00B17DD8"/>
    <w:rsid w:val="00B17DDC"/>
    <w:rsid w:val="00B17E5F"/>
    <w:rsid w:val="00B200EF"/>
    <w:rsid w:val="00B2023C"/>
    <w:rsid w:val="00B20470"/>
    <w:rsid w:val="00B20505"/>
    <w:rsid w:val="00B2062E"/>
    <w:rsid w:val="00B20AFC"/>
    <w:rsid w:val="00B210A6"/>
    <w:rsid w:val="00B21367"/>
    <w:rsid w:val="00B213B8"/>
    <w:rsid w:val="00B214B6"/>
    <w:rsid w:val="00B216AB"/>
    <w:rsid w:val="00B2199E"/>
    <w:rsid w:val="00B219A3"/>
    <w:rsid w:val="00B219B0"/>
    <w:rsid w:val="00B21BEC"/>
    <w:rsid w:val="00B21EC8"/>
    <w:rsid w:val="00B221EE"/>
    <w:rsid w:val="00B22209"/>
    <w:rsid w:val="00B222D7"/>
    <w:rsid w:val="00B222E9"/>
    <w:rsid w:val="00B222EE"/>
    <w:rsid w:val="00B222FB"/>
    <w:rsid w:val="00B22326"/>
    <w:rsid w:val="00B22739"/>
    <w:rsid w:val="00B228BA"/>
    <w:rsid w:val="00B22AA9"/>
    <w:rsid w:val="00B22C2F"/>
    <w:rsid w:val="00B22DDB"/>
    <w:rsid w:val="00B23050"/>
    <w:rsid w:val="00B238E1"/>
    <w:rsid w:val="00B23BDF"/>
    <w:rsid w:val="00B23D95"/>
    <w:rsid w:val="00B240FF"/>
    <w:rsid w:val="00B24145"/>
    <w:rsid w:val="00B24239"/>
    <w:rsid w:val="00B24396"/>
    <w:rsid w:val="00B2466C"/>
    <w:rsid w:val="00B24ADD"/>
    <w:rsid w:val="00B24D8A"/>
    <w:rsid w:val="00B24DA8"/>
    <w:rsid w:val="00B24E4D"/>
    <w:rsid w:val="00B24F1D"/>
    <w:rsid w:val="00B24FAF"/>
    <w:rsid w:val="00B25148"/>
    <w:rsid w:val="00B25326"/>
    <w:rsid w:val="00B255D9"/>
    <w:rsid w:val="00B25664"/>
    <w:rsid w:val="00B25AD6"/>
    <w:rsid w:val="00B25BAE"/>
    <w:rsid w:val="00B25EAD"/>
    <w:rsid w:val="00B26487"/>
    <w:rsid w:val="00B267B3"/>
    <w:rsid w:val="00B26A47"/>
    <w:rsid w:val="00B26A68"/>
    <w:rsid w:val="00B26B94"/>
    <w:rsid w:val="00B26BDA"/>
    <w:rsid w:val="00B26C5B"/>
    <w:rsid w:val="00B26C86"/>
    <w:rsid w:val="00B26DAB"/>
    <w:rsid w:val="00B26DC1"/>
    <w:rsid w:val="00B26EEC"/>
    <w:rsid w:val="00B2705A"/>
    <w:rsid w:val="00B27246"/>
    <w:rsid w:val="00B274B1"/>
    <w:rsid w:val="00B27819"/>
    <w:rsid w:val="00B27923"/>
    <w:rsid w:val="00B27B2E"/>
    <w:rsid w:val="00B27CED"/>
    <w:rsid w:val="00B27FC6"/>
    <w:rsid w:val="00B3029E"/>
    <w:rsid w:val="00B30400"/>
    <w:rsid w:val="00B30589"/>
    <w:rsid w:val="00B3082E"/>
    <w:rsid w:val="00B30993"/>
    <w:rsid w:val="00B309C7"/>
    <w:rsid w:val="00B30D29"/>
    <w:rsid w:val="00B30D94"/>
    <w:rsid w:val="00B30E8F"/>
    <w:rsid w:val="00B3112A"/>
    <w:rsid w:val="00B31181"/>
    <w:rsid w:val="00B31280"/>
    <w:rsid w:val="00B31486"/>
    <w:rsid w:val="00B31525"/>
    <w:rsid w:val="00B31669"/>
    <w:rsid w:val="00B31860"/>
    <w:rsid w:val="00B31988"/>
    <w:rsid w:val="00B31DFE"/>
    <w:rsid w:val="00B31EBC"/>
    <w:rsid w:val="00B32318"/>
    <w:rsid w:val="00B3234C"/>
    <w:rsid w:val="00B323F6"/>
    <w:rsid w:val="00B326DF"/>
    <w:rsid w:val="00B32A5E"/>
    <w:rsid w:val="00B33083"/>
    <w:rsid w:val="00B33172"/>
    <w:rsid w:val="00B331BA"/>
    <w:rsid w:val="00B332E8"/>
    <w:rsid w:val="00B333C8"/>
    <w:rsid w:val="00B33482"/>
    <w:rsid w:val="00B33493"/>
    <w:rsid w:val="00B33944"/>
    <w:rsid w:val="00B33C25"/>
    <w:rsid w:val="00B33CBC"/>
    <w:rsid w:val="00B33D02"/>
    <w:rsid w:val="00B33F0A"/>
    <w:rsid w:val="00B340C1"/>
    <w:rsid w:val="00B34349"/>
    <w:rsid w:val="00B3443E"/>
    <w:rsid w:val="00B34571"/>
    <w:rsid w:val="00B3465A"/>
    <w:rsid w:val="00B347A5"/>
    <w:rsid w:val="00B3490F"/>
    <w:rsid w:val="00B34CAB"/>
    <w:rsid w:val="00B35041"/>
    <w:rsid w:val="00B351FA"/>
    <w:rsid w:val="00B3577F"/>
    <w:rsid w:val="00B357C6"/>
    <w:rsid w:val="00B35BFB"/>
    <w:rsid w:val="00B35DB9"/>
    <w:rsid w:val="00B35F29"/>
    <w:rsid w:val="00B36048"/>
    <w:rsid w:val="00B361FB"/>
    <w:rsid w:val="00B3666D"/>
    <w:rsid w:val="00B366D9"/>
    <w:rsid w:val="00B366DC"/>
    <w:rsid w:val="00B36714"/>
    <w:rsid w:val="00B367BC"/>
    <w:rsid w:val="00B36804"/>
    <w:rsid w:val="00B3687B"/>
    <w:rsid w:val="00B369BE"/>
    <w:rsid w:val="00B369E1"/>
    <w:rsid w:val="00B36A18"/>
    <w:rsid w:val="00B36A1D"/>
    <w:rsid w:val="00B36A35"/>
    <w:rsid w:val="00B36EC6"/>
    <w:rsid w:val="00B370EE"/>
    <w:rsid w:val="00B37199"/>
    <w:rsid w:val="00B376A2"/>
    <w:rsid w:val="00B376FB"/>
    <w:rsid w:val="00B37841"/>
    <w:rsid w:val="00B37CB3"/>
    <w:rsid w:val="00B37F27"/>
    <w:rsid w:val="00B4018C"/>
    <w:rsid w:val="00B4030A"/>
    <w:rsid w:val="00B40646"/>
    <w:rsid w:val="00B406BB"/>
    <w:rsid w:val="00B408C0"/>
    <w:rsid w:val="00B40DBB"/>
    <w:rsid w:val="00B40DEC"/>
    <w:rsid w:val="00B40F80"/>
    <w:rsid w:val="00B413D0"/>
    <w:rsid w:val="00B413F2"/>
    <w:rsid w:val="00B41438"/>
    <w:rsid w:val="00B414BD"/>
    <w:rsid w:val="00B41686"/>
    <w:rsid w:val="00B419AA"/>
    <w:rsid w:val="00B41AF1"/>
    <w:rsid w:val="00B421B2"/>
    <w:rsid w:val="00B42337"/>
    <w:rsid w:val="00B4242E"/>
    <w:rsid w:val="00B42473"/>
    <w:rsid w:val="00B42584"/>
    <w:rsid w:val="00B42607"/>
    <w:rsid w:val="00B42AD9"/>
    <w:rsid w:val="00B42C66"/>
    <w:rsid w:val="00B42C87"/>
    <w:rsid w:val="00B42F3F"/>
    <w:rsid w:val="00B4313B"/>
    <w:rsid w:val="00B43191"/>
    <w:rsid w:val="00B432E0"/>
    <w:rsid w:val="00B432F6"/>
    <w:rsid w:val="00B4337F"/>
    <w:rsid w:val="00B434B9"/>
    <w:rsid w:val="00B43826"/>
    <w:rsid w:val="00B43861"/>
    <w:rsid w:val="00B43894"/>
    <w:rsid w:val="00B43BF5"/>
    <w:rsid w:val="00B43D4D"/>
    <w:rsid w:val="00B43E38"/>
    <w:rsid w:val="00B44029"/>
    <w:rsid w:val="00B4405B"/>
    <w:rsid w:val="00B44229"/>
    <w:rsid w:val="00B446B6"/>
    <w:rsid w:val="00B44717"/>
    <w:rsid w:val="00B447CD"/>
    <w:rsid w:val="00B4481E"/>
    <w:rsid w:val="00B44B19"/>
    <w:rsid w:val="00B44B81"/>
    <w:rsid w:val="00B44C16"/>
    <w:rsid w:val="00B44CA1"/>
    <w:rsid w:val="00B44E6A"/>
    <w:rsid w:val="00B4539C"/>
    <w:rsid w:val="00B454B2"/>
    <w:rsid w:val="00B4569C"/>
    <w:rsid w:val="00B457BE"/>
    <w:rsid w:val="00B45D5A"/>
    <w:rsid w:val="00B46032"/>
    <w:rsid w:val="00B4606C"/>
    <w:rsid w:val="00B469CB"/>
    <w:rsid w:val="00B46D0F"/>
    <w:rsid w:val="00B46D96"/>
    <w:rsid w:val="00B46FF8"/>
    <w:rsid w:val="00B47002"/>
    <w:rsid w:val="00B470B0"/>
    <w:rsid w:val="00B4713F"/>
    <w:rsid w:val="00B4745E"/>
    <w:rsid w:val="00B47640"/>
    <w:rsid w:val="00B47B36"/>
    <w:rsid w:val="00B50077"/>
    <w:rsid w:val="00B50129"/>
    <w:rsid w:val="00B50305"/>
    <w:rsid w:val="00B503E9"/>
    <w:rsid w:val="00B50435"/>
    <w:rsid w:val="00B507D9"/>
    <w:rsid w:val="00B508BF"/>
    <w:rsid w:val="00B50A2F"/>
    <w:rsid w:val="00B50A54"/>
    <w:rsid w:val="00B50DD0"/>
    <w:rsid w:val="00B5106A"/>
    <w:rsid w:val="00B510C3"/>
    <w:rsid w:val="00B51342"/>
    <w:rsid w:val="00B515EC"/>
    <w:rsid w:val="00B5161C"/>
    <w:rsid w:val="00B519C1"/>
    <w:rsid w:val="00B51C5E"/>
    <w:rsid w:val="00B51D72"/>
    <w:rsid w:val="00B51E20"/>
    <w:rsid w:val="00B51E52"/>
    <w:rsid w:val="00B520C9"/>
    <w:rsid w:val="00B52104"/>
    <w:rsid w:val="00B523CC"/>
    <w:rsid w:val="00B523CE"/>
    <w:rsid w:val="00B523F5"/>
    <w:rsid w:val="00B524AB"/>
    <w:rsid w:val="00B526E6"/>
    <w:rsid w:val="00B52872"/>
    <w:rsid w:val="00B52D4F"/>
    <w:rsid w:val="00B52D9D"/>
    <w:rsid w:val="00B53108"/>
    <w:rsid w:val="00B5310C"/>
    <w:rsid w:val="00B53347"/>
    <w:rsid w:val="00B533F4"/>
    <w:rsid w:val="00B533FD"/>
    <w:rsid w:val="00B5362E"/>
    <w:rsid w:val="00B536F4"/>
    <w:rsid w:val="00B538B1"/>
    <w:rsid w:val="00B5397E"/>
    <w:rsid w:val="00B53AAE"/>
    <w:rsid w:val="00B53AC0"/>
    <w:rsid w:val="00B53BDC"/>
    <w:rsid w:val="00B53D4B"/>
    <w:rsid w:val="00B53EB6"/>
    <w:rsid w:val="00B544DB"/>
    <w:rsid w:val="00B545E4"/>
    <w:rsid w:val="00B54BF8"/>
    <w:rsid w:val="00B54D8C"/>
    <w:rsid w:val="00B54E31"/>
    <w:rsid w:val="00B54E52"/>
    <w:rsid w:val="00B55059"/>
    <w:rsid w:val="00B5543B"/>
    <w:rsid w:val="00B554B5"/>
    <w:rsid w:val="00B556FB"/>
    <w:rsid w:val="00B557C6"/>
    <w:rsid w:val="00B5585E"/>
    <w:rsid w:val="00B558AA"/>
    <w:rsid w:val="00B55A49"/>
    <w:rsid w:val="00B55B82"/>
    <w:rsid w:val="00B55BD8"/>
    <w:rsid w:val="00B55CB7"/>
    <w:rsid w:val="00B55DFB"/>
    <w:rsid w:val="00B55E2A"/>
    <w:rsid w:val="00B55FCA"/>
    <w:rsid w:val="00B55FF6"/>
    <w:rsid w:val="00B5646C"/>
    <w:rsid w:val="00B56583"/>
    <w:rsid w:val="00B5680D"/>
    <w:rsid w:val="00B56958"/>
    <w:rsid w:val="00B56D33"/>
    <w:rsid w:val="00B56D8A"/>
    <w:rsid w:val="00B57176"/>
    <w:rsid w:val="00B5742B"/>
    <w:rsid w:val="00B57443"/>
    <w:rsid w:val="00B577D5"/>
    <w:rsid w:val="00B57B8C"/>
    <w:rsid w:val="00B57F0B"/>
    <w:rsid w:val="00B60133"/>
    <w:rsid w:val="00B60762"/>
    <w:rsid w:val="00B609F6"/>
    <w:rsid w:val="00B60A08"/>
    <w:rsid w:val="00B60B24"/>
    <w:rsid w:val="00B60B4E"/>
    <w:rsid w:val="00B60BAA"/>
    <w:rsid w:val="00B60E8B"/>
    <w:rsid w:val="00B61097"/>
    <w:rsid w:val="00B610B9"/>
    <w:rsid w:val="00B61122"/>
    <w:rsid w:val="00B61321"/>
    <w:rsid w:val="00B614F1"/>
    <w:rsid w:val="00B61680"/>
    <w:rsid w:val="00B61694"/>
    <w:rsid w:val="00B617FF"/>
    <w:rsid w:val="00B61D6C"/>
    <w:rsid w:val="00B62294"/>
    <w:rsid w:val="00B62399"/>
    <w:rsid w:val="00B6247F"/>
    <w:rsid w:val="00B62528"/>
    <w:rsid w:val="00B62755"/>
    <w:rsid w:val="00B62A1F"/>
    <w:rsid w:val="00B62A64"/>
    <w:rsid w:val="00B62AEB"/>
    <w:rsid w:val="00B62E80"/>
    <w:rsid w:val="00B62F1D"/>
    <w:rsid w:val="00B630D6"/>
    <w:rsid w:val="00B63291"/>
    <w:rsid w:val="00B632E7"/>
    <w:rsid w:val="00B636ED"/>
    <w:rsid w:val="00B6377A"/>
    <w:rsid w:val="00B6382C"/>
    <w:rsid w:val="00B6397D"/>
    <w:rsid w:val="00B63AC0"/>
    <w:rsid w:val="00B63AD7"/>
    <w:rsid w:val="00B63CED"/>
    <w:rsid w:val="00B63DD4"/>
    <w:rsid w:val="00B63F7B"/>
    <w:rsid w:val="00B64178"/>
    <w:rsid w:val="00B641AE"/>
    <w:rsid w:val="00B64238"/>
    <w:rsid w:val="00B642EC"/>
    <w:rsid w:val="00B6451B"/>
    <w:rsid w:val="00B649CC"/>
    <w:rsid w:val="00B64F11"/>
    <w:rsid w:val="00B6526D"/>
    <w:rsid w:val="00B65350"/>
    <w:rsid w:val="00B6547F"/>
    <w:rsid w:val="00B654E9"/>
    <w:rsid w:val="00B655FC"/>
    <w:rsid w:val="00B65887"/>
    <w:rsid w:val="00B65B38"/>
    <w:rsid w:val="00B65CBA"/>
    <w:rsid w:val="00B66012"/>
    <w:rsid w:val="00B660E5"/>
    <w:rsid w:val="00B661B5"/>
    <w:rsid w:val="00B661DD"/>
    <w:rsid w:val="00B664B9"/>
    <w:rsid w:val="00B66675"/>
    <w:rsid w:val="00B666B0"/>
    <w:rsid w:val="00B66850"/>
    <w:rsid w:val="00B66F14"/>
    <w:rsid w:val="00B674A3"/>
    <w:rsid w:val="00B67683"/>
    <w:rsid w:val="00B677AF"/>
    <w:rsid w:val="00B67802"/>
    <w:rsid w:val="00B67B06"/>
    <w:rsid w:val="00B67C3E"/>
    <w:rsid w:val="00B67C52"/>
    <w:rsid w:val="00B67C96"/>
    <w:rsid w:val="00B67CC9"/>
    <w:rsid w:val="00B67DD5"/>
    <w:rsid w:val="00B67DF5"/>
    <w:rsid w:val="00B67EBC"/>
    <w:rsid w:val="00B70008"/>
    <w:rsid w:val="00B701DA"/>
    <w:rsid w:val="00B702B4"/>
    <w:rsid w:val="00B70484"/>
    <w:rsid w:val="00B70664"/>
    <w:rsid w:val="00B7070A"/>
    <w:rsid w:val="00B7072F"/>
    <w:rsid w:val="00B70773"/>
    <w:rsid w:val="00B708C4"/>
    <w:rsid w:val="00B708D4"/>
    <w:rsid w:val="00B7094A"/>
    <w:rsid w:val="00B70C0F"/>
    <w:rsid w:val="00B711B1"/>
    <w:rsid w:val="00B711EB"/>
    <w:rsid w:val="00B7156A"/>
    <w:rsid w:val="00B71801"/>
    <w:rsid w:val="00B719A2"/>
    <w:rsid w:val="00B71C21"/>
    <w:rsid w:val="00B71D49"/>
    <w:rsid w:val="00B71EDF"/>
    <w:rsid w:val="00B7241C"/>
    <w:rsid w:val="00B724B9"/>
    <w:rsid w:val="00B724DA"/>
    <w:rsid w:val="00B72845"/>
    <w:rsid w:val="00B72881"/>
    <w:rsid w:val="00B72951"/>
    <w:rsid w:val="00B72A91"/>
    <w:rsid w:val="00B72BEC"/>
    <w:rsid w:val="00B72C36"/>
    <w:rsid w:val="00B72D03"/>
    <w:rsid w:val="00B72E68"/>
    <w:rsid w:val="00B731C1"/>
    <w:rsid w:val="00B733EC"/>
    <w:rsid w:val="00B7365E"/>
    <w:rsid w:val="00B73C76"/>
    <w:rsid w:val="00B73CD7"/>
    <w:rsid w:val="00B73F21"/>
    <w:rsid w:val="00B73F29"/>
    <w:rsid w:val="00B741EC"/>
    <w:rsid w:val="00B74307"/>
    <w:rsid w:val="00B7431C"/>
    <w:rsid w:val="00B7432E"/>
    <w:rsid w:val="00B7441D"/>
    <w:rsid w:val="00B746B9"/>
    <w:rsid w:val="00B7479A"/>
    <w:rsid w:val="00B74C49"/>
    <w:rsid w:val="00B74D09"/>
    <w:rsid w:val="00B74D32"/>
    <w:rsid w:val="00B74FCC"/>
    <w:rsid w:val="00B75487"/>
    <w:rsid w:val="00B754DA"/>
    <w:rsid w:val="00B7598E"/>
    <w:rsid w:val="00B75996"/>
    <w:rsid w:val="00B75A1A"/>
    <w:rsid w:val="00B75B3B"/>
    <w:rsid w:val="00B75D09"/>
    <w:rsid w:val="00B75E2A"/>
    <w:rsid w:val="00B7616A"/>
    <w:rsid w:val="00B76188"/>
    <w:rsid w:val="00B76388"/>
    <w:rsid w:val="00B7652B"/>
    <w:rsid w:val="00B7654A"/>
    <w:rsid w:val="00B765A8"/>
    <w:rsid w:val="00B76731"/>
    <w:rsid w:val="00B7676B"/>
    <w:rsid w:val="00B76984"/>
    <w:rsid w:val="00B76F55"/>
    <w:rsid w:val="00B7702D"/>
    <w:rsid w:val="00B77117"/>
    <w:rsid w:val="00B7759C"/>
    <w:rsid w:val="00B776E1"/>
    <w:rsid w:val="00B7771C"/>
    <w:rsid w:val="00B778E7"/>
    <w:rsid w:val="00B77904"/>
    <w:rsid w:val="00B77ED7"/>
    <w:rsid w:val="00B77EE8"/>
    <w:rsid w:val="00B77EF8"/>
    <w:rsid w:val="00B77F69"/>
    <w:rsid w:val="00B77FB5"/>
    <w:rsid w:val="00B8000D"/>
    <w:rsid w:val="00B80069"/>
    <w:rsid w:val="00B804F2"/>
    <w:rsid w:val="00B807E2"/>
    <w:rsid w:val="00B808FE"/>
    <w:rsid w:val="00B80A14"/>
    <w:rsid w:val="00B80EAC"/>
    <w:rsid w:val="00B813BA"/>
    <w:rsid w:val="00B8148C"/>
    <w:rsid w:val="00B815F7"/>
    <w:rsid w:val="00B816FF"/>
    <w:rsid w:val="00B819BB"/>
    <w:rsid w:val="00B81A73"/>
    <w:rsid w:val="00B81AF1"/>
    <w:rsid w:val="00B81B71"/>
    <w:rsid w:val="00B81D75"/>
    <w:rsid w:val="00B81E6B"/>
    <w:rsid w:val="00B82001"/>
    <w:rsid w:val="00B82213"/>
    <w:rsid w:val="00B822E3"/>
    <w:rsid w:val="00B82382"/>
    <w:rsid w:val="00B8250E"/>
    <w:rsid w:val="00B82711"/>
    <w:rsid w:val="00B82995"/>
    <w:rsid w:val="00B82A50"/>
    <w:rsid w:val="00B82B38"/>
    <w:rsid w:val="00B82BF7"/>
    <w:rsid w:val="00B82E7B"/>
    <w:rsid w:val="00B82FC7"/>
    <w:rsid w:val="00B83214"/>
    <w:rsid w:val="00B8327C"/>
    <w:rsid w:val="00B8336D"/>
    <w:rsid w:val="00B834A9"/>
    <w:rsid w:val="00B835AB"/>
    <w:rsid w:val="00B835AD"/>
    <w:rsid w:val="00B835D4"/>
    <w:rsid w:val="00B83673"/>
    <w:rsid w:val="00B838FC"/>
    <w:rsid w:val="00B83A3B"/>
    <w:rsid w:val="00B83A44"/>
    <w:rsid w:val="00B83A80"/>
    <w:rsid w:val="00B83C5B"/>
    <w:rsid w:val="00B84513"/>
    <w:rsid w:val="00B8492E"/>
    <w:rsid w:val="00B84ACC"/>
    <w:rsid w:val="00B84EF5"/>
    <w:rsid w:val="00B8513B"/>
    <w:rsid w:val="00B85498"/>
    <w:rsid w:val="00B854AA"/>
    <w:rsid w:val="00B85553"/>
    <w:rsid w:val="00B855CE"/>
    <w:rsid w:val="00B857AB"/>
    <w:rsid w:val="00B857E6"/>
    <w:rsid w:val="00B85961"/>
    <w:rsid w:val="00B85AC6"/>
    <w:rsid w:val="00B85BB5"/>
    <w:rsid w:val="00B85FB9"/>
    <w:rsid w:val="00B86333"/>
    <w:rsid w:val="00B863A4"/>
    <w:rsid w:val="00B863F8"/>
    <w:rsid w:val="00B8654C"/>
    <w:rsid w:val="00B8667E"/>
    <w:rsid w:val="00B866A9"/>
    <w:rsid w:val="00B867BC"/>
    <w:rsid w:val="00B86AB4"/>
    <w:rsid w:val="00B86AE3"/>
    <w:rsid w:val="00B86B00"/>
    <w:rsid w:val="00B86BCF"/>
    <w:rsid w:val="00B8700E"/>
    <w:rsid w:val="00B87364"/>
    <w:rsid w:val="00B87903"/>
    <w:rsid w:val="00B87945"/>
    <w:rsid w:val="00B87A62"/>
    <w:rsid w:val="00B87B33"/>
    <w:rsid w:val="00B87BB3"/>
    <w:rsid w:val="00B87E4F"/>
    <w:rsid w:val="00B900CE"/>
    <w:rsid w:val="00B90176"/>
    <w:rsid w:val="00B9047F"/>
    <w:rsid w:val="00B906F9"/>
    <w:rsid w:val="00B90730"/>
    <w:rsid w:val="00B907DD"/>
    <w:rsid w:val="00B908DE"/>
    <w:rsid w:val="00B90A5D"/>
    <w:rsid w:val="00B90B3F"/>
    <w:rsid w:val="00B90C30"/>
    <w:rsid w:val="00B90C62"/>
    <w:rsid w:val="00B90FB5"/>
    <w:rsid w:val="00B910BE"/>
    <w:rsid w:val="00B9111C"/>
    <w:rsid w:val="00B9141F"/>
    <w:rsid w:val="00B9144C"/>
    <w:rsid w:val="00B914AD"/>
    <w:rsid w:val="00B9155C"/>
    <w:rsid w:val="00B91869"/>
    <w:rsid w:val="00B918F4"/>
    <w:rsid w:val="00B91944"/>
    <w:rsid w:val="00B91B16"/>
    <w:rsid w:val="00B91C2D"/>
    <w:rsid w:val="00B91CDC"/>
    <w:rsid w:val="00B91F0B"/>
    <w:rsid w:val="00B9217D"/>
    <w:rsid w:val="00B9219A"/>
    <w:rsid w:val="00B9241C"/>
    <w:rsid w:val="00B925D1"/>
    <w:rsid w:val="00B9267F"/>
    <w:rsid w:val="00B92718"/>
    <w:rsid w:val="00B92941"/>
    <w:rsid w:val="00B92B5E"/>
    <w:rsid w:val="00B92BD0"/>
    <w:rsid w:val="00B92D27"/>
    <w:rsid w:val="00B92D69"/>
    <w:rsid w:val="00B92D73"/>
    <w:rsid w:val="00B92DAD"/>
    <w:rsid w:val="00B92FC4"/>
    <w:rsid w:val="00B933A1"/>
    <w:rsid w:val="00B933C1"/>
    <w:rsid w:val="00B935BB"/>
    <w:rsid w:val="00B937AB"/>
    <w:rsid w:val="00B93912"/>
    <w:rsid w:val="00B93CF4"/>
    <w:rsid w:val="00B94460"/>
    <w:rsid w:val="00B94472"/>
    <w:rsid w:val="00B94611"/>
    <w:rsid w:val="00B948E2"/>
    <w:rsid w:val="00B949EA"/>
    <w:rsid w:val="00B94DDB"/>
    <w:rsid w:val="00B94F76"/>
    <w:rsid w:val="00B9500E"/>
    <w:rsid w:val="00B95050"/>
    <w:rsid w:val="00B952DC"/>
    <w:rsid w:val="00B95838"/>
    <w:rsid w:val="00B95874"/>
    <w:rsid w:val="00B958EE"/>
    <w:rsid w:val="00B95AE5"/>
    <w:rsid w:val="00B95B54"/>
    <w:rsid w:val="00B9601C"/>
    <w:rsid w:val="00B96317"/>
    <w:rsid w:val="00B96327"/>
    <w:rsid w:val="00B96386"/>
    <w:rsid w:val="00B9643F"/>
    <w:rsid w:val="00B966AF"/>
    <w:rsid w:val="00B966D4"/>
    <w:rsid w:val="00B9694B"/>
    <w:rsid w:val="00B96974"/>
    <w:rsid w:val="00B96C3F"/>
    <w:rsid w:val="00B96CDC"/>
    <w:rsid w:val="00B96DB2"/>
    <w:rsid w:val="00B97210"/>
    <w:rsid w:val="00B972DE"/>
    <w:rsid w:val="00B97369"/>
    <w:rsid w:val="00B97414"/>
    <w:rsid w:val="00B97656"/>
    <w:rsid w:val="00B97703"/>
    <w:rsid w:val="00B977CE"/>
    <w:rsid w:val="00B979D8"/>
    <w:rsid w:val="00B97B72"/>
    <w:rsid w:val="00B97C34"/>
    <w:rsid w:val="00B97DCF"/>
    <w:rsid w:val="00B97F58"/>
    <w:rsid w:val="00BA0389"/>
    <w:rsid w:val="00BA0438"/>
    <w:rsid w:val="00BA0460"/>
    <w:rsid w:val="00BA05A0"/>
    <w:rsid w:val="00BA09BB"/>
    <w:rsid w:val="00BA09F3"/>
    <w:rsid w:val="00BA0BDE"/>
    <w:rsid w:val="00BA0D70"/>
    <w:rsid w:val="00BA0F43"/>
    <w:rsid w:val="00BA10FD"/>
    <w:rsid w:val="00BA1414"/>
    <w:rsid w:val="00BA143C"/>
    <w:rsid w:val="00BA1ACA"/>
    <w:rsid w:val="00BA1CE9"/>
    <w:rsid w:val="00BA1D04"/>
    <w:rsid w:val="00BA1FD1"/>
    <w:rsid w:val="00BA2037"/>
    <w:rsid w:val="00BA257C"/>
    <w:rsid w:val="00BA286D"/>
    <w:rsid w:val="00BA2A83"/>
    <w:rsid w:val="00BA2DA7"/>
    <w:rsid w:val="00BA2E97"/>
    <w:rsid w:val="00BA2F02"/>
    <w:rsid w:val="00BA314B"/>
    <w:rsid w:val="00BA31DE"/>
    <w:rsid w:val="00BA3280"/>
    <w:rsid w:val="00BA379D"/>
    <w:rsid w:val="00BA3873"/>
    <w:rsid w:val="00BA3895"/>
    <w:rsid w:val="00BA3C63"/>
    <w:rsid w:val="00BA404A"/>
    <w:rsid w:val="00BA4130"/>
    <w:rsid w:val="00BA4521"/>
    <w:rsid w:val="00BA4566"/>
    <w:rsid w:val="00BA47FE"/>
    <w:rsid w:val="00BA4A1A"/>
    <w:rsid w:val="00BA4A37"/>
    <w:rsid w:val="00BA501F"/>
    <w:rsid w:val="00BA50E9"/>
    <w:rsid w:val="00BA5426"/>
    <w:rsid w:val="00BA547F"/>
    <w:rsid w:val="00BA54DF"/>
    <w:rsid w:val="00BA56EE"/>
    <w:rsid w:val="00BA5882"/>
    <w:rsid w:val="00BA58C9"/>
    <w:rsid w:val="00BA5D3F"/>
    <w:rsid w:val="00BA5D85"/>
    <w:rsid w:val="00BA5E88"/>
    <w:rsid w:val="00BA5F03"/>
    <w:rsid w:val="00BA603E"/>
    <w:rsid w:val="00BA65E1"/>
    <w:rsid w:val="00BA66FA"/>
    <w:rsid w:val="00BA67BC"/>
    <w:rsid w:val="00BA67F0"/>
    <w:rsid w:val="00BA68A6"/>
    <w:rsid w:val="00BA68CE"/>
    <w:rsid w:val="00BA6D94"/>
    <w:rsid w:val="00BA7291"/>
    <w:rsid w:val="00BA732C"/>
    <w:rsid w:val="00BA74DA"/>
    <w:rsid w:val="00BA7693"/>
    <w:rsid w:val="00BA76E7"/>
    <w:rsid w:val="00BA7A39"/>
    <w:rsid w:val="00BA7CDE"/>
    <w:rsid w:val="00BA7D67"/>
    <w:rsid w:val="00BA7F58"/>
    <w:rsid w:val="00BB0041"/>
    <w:rsid w:val="00BB008E"/>
    <w:rsid w:val="00BB0163"/>
    <w:rsid w:val="00BB045F"/>
    <w:rsid w:val="00BB053B"/>
    <w:rsid w:val="00BB0611"/>
    <w:rsid w:val="00BB064E"/>
    <w:rsid w:val="00BB073F"/>
    <w:rsid w:val="00BB0792"/>
    <w:rsid w:val="00BB0965"/>
    <w:rsid w:val="00BB09B4"/>
    <w:rsid w:val="00BB0B9A"/>
    <w:rsid w:val="00BB0CC0"/>
    <w:rsid w:val="00BB0DE8"/>
    <w:rsid w:val="00BB0E57"/>
    <w:rsid w:val="00BB0F10"/>
    <w:rsid w:val="00BB1161"/>
    <w:rsid w:val="00BB1306"/>
    <w:rsid w:val="00BB15A5"/>
    <w:rsid w:val="00BB17C1"/>
    <w:rsid w:val="00BB18AA"/>
    <w:rsid w:val="00BB1BB0"/>
    <w:rsid w:val="00BB1DB8"/>
    <w:rsid w:val="00BB201D"/>
    <w:rsid w:val="00BB2049"/>
    <w:rsid w:val="00BB20C2"/>
    <w:rsid w:val="00BB2A0A"/>
    <w:rsid w:val="00BB2BA7"/>
    <w:rsid w:val="00BB2BCB"/>
    <w:rsid w:val="00BB2DD6"/>
    <w:rsid w:val="00BB2E00"/>
    <w:rsid w:val="00BB2F30"/>
    <w:rsid w:val="00BB2F87"/>
    <w:rsid w:val="00BB2FDA"/>
    <w:rsid w:val="00BB307D"/>
    <w:rsid w:val="00BB307F"/>
    <w:rsid w:val="00BB32AA"/>
    <w:rsid w:val="00BB32E4"/>
    <w:rsid w:val="00BB3C0F"/>
    <w:rsid w:val="00BB3C9E"/>
    <w:rsid w:val="00BB3CDC"/>
    <w:rsid w:val="00BB3E2B"/>
    <w:rsid w:val="00BB3E54"/>
    <w:rsid w:val="00BB3F8C"/>
    <w:rsid w:val="00BB41B5"/>
    <w:rsid w:val="00BB41D8"/>
    <w:rsid w:val="00BB442E"/>
    <w:rsid w:val="00BB4B21"/>
    <w:rsid w:val="00BB4C79"/>
    <w:rsid w:val="00BB4D0E"/>
    <w:rsid w:val="00BB4DE1"/>
    <w:rsid w:val="00BB4DFE"/>
    <w:rsid w:val="00BB4E26"/>
    <w:rsid w:val="00BB4EA0"/>
    <w:rsid w:val="00BB50EE"/>
    <w:rsid w:val="00BB5489"/>
    <w:rsid w:val="00BB5495"/>
    <w:rsid w:val="00BB54C4"/>
    <w:rsid w:val="00BB563D"/>
    <w:rsid w:val="00BB58C5"/>
    <w:rsid w:val="00BB59B9"/>
    <w:rsid w:val="00BB5B61"/>
    <w:rsid w:val="00BB5C76"/>
    <w:rsid w:val="00BB5EC3"/>
    <w:rsid w:val="00BB605F"/>
    <w:rsid w:val="00BB61DB"/>
    <w:rsid w:val="00BB61E0"/>
    <w:rsid w:val="00BB64A4"/>
    <w:rsid w:val="00BB664C"/>
    <w:rsid w:val="00BB66A4"/>
    <w:rsid w:val="00BB6801"/>
    <w:rsid w:val="00BB68D0"/>
    <w:rsid w:val="00BB68E3"/>
    <w:rsid w:val="00BB6A2C"/>
    <w:rsid w:val="00BB6A63"/>
    <w:rsid w:val="00BB6A99"/>
    <w:rsid w:val="00BB6A9A"/>
    <w:rsid w:val="00BB6B40"/>
    <w:rsid w:val="00BB6C62"/>
    <w:rsid w:val="00BB6C9A"/>
    <w:rsid w:val="00BB6E52"/>
    <w:rsid w:val="00BB745D"/>
    <w:rsid w:val="00BB74C0"/>
    <w:rsid w:val="00BB7615"/>
    <w:rsid w:val="00BB7763"/>
    <w:rsid w:val="00BB7785"/>
    <w:rsid w:val="00BB7AB7"/>
    <w:rsid w:val="00BB7B77"/>
    <w:rsid w:val="00BB7C24"/>
    <w:rsid w:val="00BB7D19"/>
    <w:rsid w:val="00BB7D44"/>
    <w:rsid w:val="00BB7E67"/>
    <w:rsid w:val="00BB7F8E"/>
    <w:rsid w:val="00BC00AE"/>
    <w:rsid w:val="00BC0153"/>
    <w:rsid w:val="00BC04E6"/>
    <w:rsid w:val="00BC0760"/>
    <w:rsid w:val="00BC07B5"/>
    <w:rsid w:val="00BC0898"/>
    <w:rsid w:val="00BC091B"/>
    <w:rsid w:val="00BC093F"/>
    <w:rsid w:val="00BC098A"/>
    <w:rsid w:val="00BC0F48"/>
    <w:rsid w:val="00BC0FEE"/>
    <w:rsid w:val="00BC1126"/>
    <w:rsid w:val="00BC11DC"/>
    <w:rsid w:val="00BC11FA"/>
    <w:rsid w:val="00BC13DD"/>
    <w:rsid w:val="00BC14DB"/>
    <w:rsid w:val="00BC15B0"/>
    <w:rsid w:val="00BC1BC6"/>
    <w:rsid w:val="00BC1C28"/>
    <w:rsid w:val="00BC1D78"/>
    <w:rsid w:val="00BC1EE6"/>
    <w:rsid w:val="00BC1FBC"/>
    <w:rsid w:val="00BC2045"/>
    <w:rsid w:val="00BC24C9"/>
    <w:rsid w:val="00BC26D5"/>
    <w:rsid w:val="00BC2833"/>
    <w:rsid w:val="00BC2A3E"/>
    <w:rsid w:val="00BC2C73"/>
    <w:rsid w:val="00BC303E"/>
    <w:rsid w:val="00BC314B"/>
    <w:rsid w:val="00BC3768"/>
    <w:rsid w:val="00BC3BD5"/>
    <w:rsid w:val="00BC40CF"/>
    <w:rsid w:val="00BC4312"/>
    <w:rsid w:val="00BC43A0"/>
    <w:rsid w:val="00BC4482"/>
    <w:rsid w:val="00BC44B7"/>
    <w:rsid w:val="00BC45AB"/>
    <w:rsid w:val="00BC4641"/>
    <w:rsid w:val="00BC46CE"/>
    <w:rsid w:val="00BC478A"/>
    <w:rsid w:val="00BC4838"/>
    <w:rsid w:val="00BC48AE"/>
    <w:rsid w:val="00BC49EE"/>
    <w:rsid w:val="00BC4B7B"/>
    <w:rsid w:val="00BC4C5C"/>
    <w:rsid w:val="00BC4DCB"/>
    <w:rsid w:val="00BC508C"/>
    <w:rsid w:val="00BC555A"/>
    <w:rsid w:val="00BC56BE"/>
    <w:rsid w:val="00BC57E1"/>
    <w:rsid w:val="00BC59ED"/>
    <w:rsid w:val="00BC5EFF"/>
    <w:rsid w:val="00BC6159"/>
    <w:rsid w:val="00BC6377"/>
    <w:rsid w:val="00BC63E1"/>
    <w:rsid w:val="00BC64C9"/>
    <w:rsid w:val="00BC655B"/>
    <w:rsid w:val="00BC66D3"/>
    <w:rsid w:val="00BC6942"/>
    <w:rsid w:val="00BC6AF9"/>
    <w:rsid w:val="00BC6CA6"/>
    <w:rsid w:val="00BC6CCA"/>
    <w:rsid w:val="00BC6DDA"/>
    <w:rsid w:val="00BC70E3"/>
    <w:rsid w:val="00BC71CC"/>
    <w:rsid w:val="00BC77A5"/>
    <w:rsid w:val="00BC7BD6"/>
    <w:rsid w:val="00BC7C38"/>
    <w:rsid w:val="00BC7E7A"/>
    <w:rsid w:val="00BD018A"/>
    <w:rsid w:val="00BD02CB"/>
    <w:rsid w:val="00BD0319"/>
    <w:rsid w:val="00BD0690"/>
    <w:rsid w:val="00BD06A7"/>
    <w:rsid w:val="00BD06E5"/>
    <w:rsid w:val="00BD0784"/>
    <w:rsid w:val="00BD08D2"/>
    <w:rsid w:val="00BD0A26"/>
    <w:rsid w:val="00BD0E15"/>
    <w:rsid w:val="00BD0E3C"/>
    <w:rsid w:val="00BD0E7F"/>
    <w:rsid w:val="00BD11A5"/>
    <w:rsid w:val="00BD154E"/>
    <w:rsid w:val="00BD1568"/>
    <w:rsid w:val="00BD157A"/>
    <w:rsid w:val="00BD15C0"/>
    <w:rsid w:val="00BD1650"/>
    <w:rsid w:val="00BD1796"/>
    <w:rsid w:val="00BD1926"/>
    <w:rsid w:val="00BD1936"/>
    <w:rsid w:val="00BD1B70"/>
    <w:rsid w:val="00BD20B5"/>
    <w:rsid w:val="00BD215F"/>
    <w:rsid w:val="00BD24AE"/>
    <w:rsid w:val="00BD25C1"/>
    <w:rsid w:val="00BD260A"/>
    <w:rsid w:val="00BD277A"/>
    <w:rsid w:val="00BD27E2"/>
    <w:rsid w:val="00BD27F7"/>
    <w:rsid w:val="00BD2928"/>
    <w:rsid w:val="00BD295A"/>
    <w:rsid w:val="00BD2CC0"/>
    <w:rsid w:val="00BD2D05"/>
    <w:rsid w:val="00BD3003"/>
    <w:rsid w:val="00BD3014"/>
    <w:rsid w:val="00BD3089"/>
    <w:rsid w:val="00BD30BB"/>
    <w:rsid w:val="00BD32DB"/>
    <w:rsid w:val="00BD34A1"/>
    <w:rsid w:val="00BD376A"/>
    <w:rsid w:val="00BD3771"/>
    <w:rsid w:val="00BD39DA"/>
    <w:rsid w:val="00BD3DFA"/>
    <w:rsid w:val="00BD414D"/>
    <w:rsid w:val="00BD460C"/>
    <w:rsid w:val="00BD49C0"/>
    <w:rsid w:val="00BD4C05"/>
    <w:rsid w:val="00BD4D80"/>
    <w:rsid w:val="00BD4DF0"/>
    <w:rsid w:val="00BD4E2F"/>
    <w:rsid w:val="00BD4FD1"/>
    <w:rsid w:val="00BD529B"/>
    <w:rsid w:val="00BD5525"/>
    <w:rsid w:val="00BD5598"/>
    <w:rsid w:val="00BD5942"/>
    <w:rsid w:val="00BD5AAB"/>
    <w:rsid w:val="00BD5B0C"/>
    <w:rsid w:val="00BD5B59"/>
    <w:rsid w:val="00BD5C5C"/>
    <w:rsid w:val="00BD5F26"/>
    <w:rsid w:val="00BD6004"/>
    <w:rsid w:val="00BD6323"/>
    <w:rsid w:val="00BD65BC"/>
    <w:rsid w:val="00BD673F"/>
    <w:rsid w:val="00BD674B"/>
    <w:rsid w:val="00BD6866"/>
    <w:rsid w:val="00BD6892"/>
    <w:rsid w:val="00BD68B1"/>
    <w:rsid w:val="00BD6A64"/>
    <w:rsid w:val="00BD6D00"/>
    <w:rsid w:val="00BD6DF9"/>
    <w:rsid w:val="00BD6E13"/>
    <w:rsid w:val="00BD6F32"/>
    <w:rsid w:val="00BD7058"/>
    <w:rsid w:val="00BD72CB"/>
    <w:rsid w:val="00BD763B"/>
    <w:rsid w:val="00BD7848"/>
    <w:rsid w:val="00BD79A0"/>
    <w:rsid w:val="00BD7A92"/>
    <w:rsid w:val="00BD7B0A"/>
    <w:rsid w:val="00BD7B7D"/>
    <w:rsid w:val="00BD7D04"/>
    <w:rsid w:val="00BD7EA8"/>
    <w:rsid w:val="00BE018F"/>
    <w:rsid w:val="00BE0420"/>
    <w:rsid w:val="00BE08A0"/>
    <w:rsid w:val="00BE0AD9"/>
    <w:rsid w:val="00BE0B1C"/>
    <w:rsid w:val="00BE0C87"/>
    <w:rsid w:val="00BE0DC3"/>
    <w:rsid w:val="00BE0DC9"/>
    <w:rsid w:val="00BE0F17"/>
    <w:rsid w:val="00BE11AC"/>
    <w:rsid w:val="00BE1236"/>
    <w:rsid w:val="00BE1379"/>
    <w:rsid w:val="00BE14C1"/>
    <w:rsid w:val="00BE1702"/>
    <w:rsid w:val="00BE1772"/>
    <w:rsid w:val="00BE17AD"/>
    <w:rsid w:val="00BE199C"/>
    <w:rsid w:val="00BE1B07"/>
    <w:rsid w:val="00BE1C52"/>
    <w:rsid w:val="00BE1C89"/>
    <w:rsid w:val="00BE1C94"/>
    <w:rsid w:val="00BE1D58"/>
    <w:rsid w:val="00BE1F2A"/>
    <w:rsid w:val="00BE21F9"/>
    <w:rsid w:val="00BE2213"/>
    <w:rsid w:val="00BE2455"/>
    <w:rsid w:val="00BE286A"/>
    <w:rsid w:val="00BE2973"/>
    <w:rsid w:val="00BE2D0C"/>
    <w:rsid w:val="00BE2D3B"/>
    <w:rsid w:val="00BE2D6F"/>
    <w:rsid w:val="00BE2DF5"/>
    <w:rsid w:val="00BE2E04"/>
    <w:rsid w:val="00BE2EE0"/>
    <w:rsid w:val="00BE30E2"/>
    <w:rsid w:val="00BE329C"/>
    <w:rsid w:val="00BE3524"/>
    <w:rsid w:val="00BE35CA"/>
    <w:rsid w:val="00BE36CB"/>
    <w:rsid w:val="00BE3AEB"/>
    <w:rsid w:val="00BE40AD"/>
    <w:rsid w:val="00BE41AD"/>
    <w:rsid w:val="00BE45D3"/>
    <w:rsid w:val="00BE4625"/>
    <w:rsid w:val="00BE470A"/>
    <w:rsid w:val="00BE4756"/>
    <w:rsid w:val="00BE49CC"/>
    <w:rsid w:val="00BE4AEA"/>
    <w:rsid w:val="00BE4B07"/>
    <w:rsid w:val="00BE4DDD"/>
    <w:rsid w:val="00BE4DFB"/>
    <w:rsid w:val="00BE4EC1"/>
    <w:rsid w:val="00BE5067"/>
    <w:rsid w:val="00BE515F"/>
    <w:rsid w:val="00BE55BF"/>
    <w:rsid w:val="00BE56AB"/>
    <w:rsid w:val="00BE5889"/>
    <w:rsid w:val="00BE5A3C"/>
    <w:rsid w:val="00BE5ABD"/>
    <w:rsid w:val="00BE5BAE"/>
    <w:rsid w:val="00BE66C8"/>
    <w:rsid w:val="00BE685A"/>
    <w:rsid w:val="00BE69E3"/>
    <w:rsid w:val="00BE6A1C"/>
    <w:rsid w:val="00BE6AFD"/>
    <w:rsid w:val="00BE72BE"/>
    <w:rsid w:val="00BE73CC"/>
    <w:rsid w:val="00BE7421"/>
    <w:rsid w:val="00BE76FE"/>
    <w:rsid w:val="00BE7922"/>
    <w:rsid w:val="00BE7A6C"/>
    <w:rsid w:val="00BE7EC2"/>
    <w:rsid w:val="00BF036D"/>
    <w:rsid w:val="00BF0715"/>
    <w:rsid w:val="00BF0A72"/>
    <w:rsid w:val="00BF0A7B"/>
    <w:rsid w:val="00BF0B8A"/>
    <w:rsid w:val="00BF0CB6"/>
    <w:rsid w:val="00BF116D"/>
    <w:rsid w:val="00BF119E"/>
    <w:rsid w:val="00BF12A4"/>
    <w:rsid w:val="00BF12BB"/>
    <w:rsid w:val="00BF12E2"/>
    <w:rsid w:val="00BF1394"/>
    <w:rsid w:val="00BF17C0"/>
    <w:rsid w:val="00BF19C5"/>
    <w:rsid w:val="00BF1A6E"/>
    <w:rsid w:val="00BF1A97"/>
    <w:rsid w:val="00BF1B72"/>
    <w:rsid w:val="00BF1CF2"/>
    <w:rsid w:val="00BF22AC"/>
    <w:rsid w:val="00BF2361"/>
    <w:rsid w:val="00BF2804"/>
    <w:rsid w:val="00BF29C2"/>
    <w:rsid w:val="00BF2B5C"/>
    <w:rsid w:val="00BF2ECC"/>
    <w:rsid w:val="00BF31CE"/>
    <w:rsid w:val="00BF32DF"/>
    <w:rsid w:val="00BF332F"/>
    <w:rsid w:val="00BF379A"/>
    <w:rsid w:val="00BF38B1"/>
    <w:rsid w:val="00BF3994"/>
    <w:rsid w:val="00BF3B40"/>
    <w:rsid w:val="00BF3FA0"/>
    <w:rsid w:val="00BF41B9"/>
    <w:rsid w:val="00BF4467"/>
    <w:rsid w:val="00BF478B"/>
    <w:rsid w:val="00BF485A"/>
    <w:rsid w:val="00BF4A73"/>
    <w:rsid w:val="00BF4A95"/>
    <w:rsid w:val="00BF4AB6"/>
    <w:rsid w:val="00BF4C63"/>
    <w:rsid w:val="00BF4ED6"/>
    <w:rsid w:val="00BF4F3F"/>
    <w:rsid w:val="00BF4F90"/>
    <w:rsid w:val="00BF5185"/>
    <w:rsid w:val="00BF5188"/>
    <w:rsid w:val="00BF51D6"/>
    <w:rsid w:val="00BF5351"/>
    <w:rsid w:val="00BF5478"/>
    <w:rsid w:val="00BF5556"/>
    <w:rsid w:val="00BF578F"/>
    <w:rsid w:val="00BF585E"/>
    <w:rsid w:val="00BF59C0"/>
    <w:rsid w:val="00BF5D55"/>
    <w:rsid w:val="00BF5E97"/>
    <w:rsid w:val="00BF6157"/>
    <w:rsid w:val="00BF61D4"/>
    <w:rsid w:val="00BF61E8"/>
    <w:rsid w:val="00BF62CE"/>
    <w:rsid w:val="00BF663F"/>
    <w:rsid w:val="00BF6701"/>
    <w:rsid w:val="00BF6739"/>
    <w:rsid w:val="00BF679E"/>
    <w:rsid w:val="00BF67B6"/>
    <w:rsid w:val="00BF68AE"/>
    <w:rsid w:val="00BF6B57"/>
    <w:rsid w:val="00BF6C80"/>
    <w:rsid w:val="00BF6C91"/>
    <w:rsid w:val="00BF6D3C"/>
    <w:rsid w:val="00BF6FB4"/>
    <w:rsid w:val="00BF6FDD"/>
    <w:rsid w:val="00BF71D7"/>
    <w:rsid w:val="00BF7B39"/>
    <w:rsid w:val="00C0007A"/>
    <w:rsid w:val="00C00207"/>
    <w:rsid w:val="00C0027F"/>
    <w:rsid w:val="00C00704"/>
    <w:rsid w:val="00C00808"/>
    <w:rsid w:val="00C0085E"/>
    <w:rsid w:val="00C00A68"/>
    <w:rsid w:val="00C00B78"/>
    <w:rsid w:val="00C00DBB"/>
    <w:rsid w:val="00C01082"/>
    <w:rsid w:val="00C010CF"/>
    <w:rsid w:val="00C01247"/>
    <w:rsid w:val="00C01309"/>
    <w:rsid w:val="00C01401"/>
    <w:rsid w:val="00C01736"/>
    <w:rsid w:val="00C0179A"/>
    <w:rsid w:val="00C01897"/>
    <w:rsid w:val="00C019DA"/>
    <w:rsid w:val="00C019E5"/>
    <w:rsid w:val="00C01DFD"/>
    <w:rsid w:val="00C01E25"/>
    <w:rsid w:val="00C02109"/>
    <w:rsid w:val="00C025BF"/>
    <w:rsid w:val="00C025F1"/>
    <w:rsid w:val="00C02864"/>
    <w:rsid w:val="00C02A77"/>
    <w:rsid w:val="00C02D1B"/>
    <w:rsid w:val="00C02D85"/>
    <w:rsid w:val="00C02DA3"/>
    <w:rsid w:val="00C02F2E"/>
    <w:rsid w:val="00C02F4C"/>
    <w:rsid w:val="00C0319F"/>
    <w:rsid w:val="00C03441"/>
    <w:rsid w:val="00C03505"/>
    <w:rsid w:val="00C036D5"/>
    <w:rsid w:val="00C03746"/>
    <w:rsid w:val="00C0376A"/>
    <w:rsid w:val="00C037C2"/>
    <w:rsid w:val="00C037E7"/>
    <w:rsid w:val="00C03CA4"/>
    <w:rsid w:val="00C03FD4"/>
    <w:rsid w:val="00C04391"/>
    <w:rsid w:val="00C0442D"/>
    <w:rsid w:val="00C04443"/>
    <w:rsid w:val="00C045C9"/>
    <w:rsid w:val="00C0486A"/>
    <w:rsid w:val="00C04917"/>
    <w:rsid w:val="00C049E1"/>
    <w:rsid w:val="00C04CF6"/>
    <w:rsid w:val="00C0505E"/>
    <w:rsid w:val="00C050A5"/>
    <w:rsid w:val="00C0512D"/>
    <w:rsid w:val="00C0516F"/>
    <w:rsid w:val="00C054FC"/>
    <w:rsid w:val="00C05561"/>
    <w:rsid w:val="00C056A0"/>
    <w:rsid w:val="00C0575D"/>
    <w:rsid w:val="00C05821"/>
    <w:rsid w:val="00C058A1"/>
    <w:rsid w:val="00C058C9"/>
    <w:rsid w:val="00C0593C"/>
    <w:rsid w:val="00C05B46"/>
    <w:rsid w:val="00C05E39"/>
    <w:rsid w:val="00C06011"/>
    <w:rsid w:val="00C06397"/>
    <w:rsid w:val="00C06582"/>
    <w:rsid w:val="00C068EE"/>
    <w:rsid w:val="00C06903"/>
    <w:rsid w:val="00C07940"/>
    <w:rsid w:val="00C07B0C"/>
    <w:rsid w:val="00C07C87"/>
    <w:rsid w:val="00C10093"/>
    <w:rsid w:val="00C10326"/>
    <w:rsid w:val="00C104E3"/>
    <w:rsid w:val="00C10674"/>
    <w:rsid w:val="00C106C2"/>
    <w:rsid w:val="00C10840"/>
    <w:rsid w:val="00C10936"/>
    <w:rsid w:val="00C10A7B"/>
    <w:rsid w:val="00C10D86"/>
    <w:rsid w:val="00C10DDA"/>
    <w:rsid w:val="00C10E21"/>
    <w:rsid w:val="00C10FE0"/>
    <w:rsid w:val="00C1103A"/>
    <w:rsid w:val="00C1123D"/>
    <w:rsid w:val="00C112E9"/>
    <w:rsid w:val="00C1159E"/>
    <w:rsid w:val="00C12143"/>
    <w:rsid w:val="00C12325"/>
    <w:rsid w:val="00C12340"/>
    <w:rsid w:val="00C1248D"/>
    <w:rsid w:val="00C126AA"/>
    <w:rsid w:val="00C126CF"/>
    <w:rsid w:val="00C12AAC"/>
    <w:rsid w:val="00C12C1B"/>
    <w:rsid w:val="00C12D12"/>
    <w:rsid w:val="00C13172"/>
    <w:rsid w:val="00C13196"/>
    <w:rsid w:val="00C133A3"/>
    <w:rsid w:val="00C13406"/>
    <w:rsid w:val="00C13434"/>
    <w:rsid w:val="00C1354E"/>
    <w:rsid w:val="00C13861"/>
    <w:rsid w:val="00C13B86"/>
    <w:rsid w:val="00C14485"/>
    <w:rsid w:val="00C146D7"/>
    <w:rsid w:val="00C14740"/>
    <w:rsid w:val="00C148EC"/>
    <w:rsid w:val="00C15112"/>
    <w:rsid w:val="00C152FA"/>
    <w:rsid w:val="00C15463"/>
    <w:rsid w:val="00C1547C"/>
    <w:rsid w:val="00C15485"/>
    <w:rsid w:val="00C157C6"/>
    <w:rsid w:val="00C15A95"/>
    <w:rsid w:val="00C15B84"/>
    <w:rsid w:val="00C15D3C"/>
    <w:rsid w:val="00C15D5D"/>
    <w:rsid w:val="00C16048"/>
    <w:rsid w:val="00C1614C"/>
    <w:rsid w:val="00C16282"/>
    <w:rsid w:val="00C16704"/>
    <w:rsid w:val="00C1679F"/>
    <w:rsid w:val="00C16926"/>
    <w:rsid w:val="00C16FC1"/>
    <w:rsid w:val="00C170F9"/>
    <w:rsid w:val="00C172B5"/>
    <w:rsid w:val="00C17457"/>
    <w:rsid w:val="00C1751B"/>
    <w:rsid w:val="00C1752B"/>
    <w:rsid w:val="00C17670"/>
    <w:rsid w:val="00C17B79"/>
    <w:rsid w:val="00C17E61"/>
    <w:rsid w:val="00C17EF1"/>
    <w:rsid w:val="00C17F89"/>
    <w:rsid w:val="00C20059"/>
    <w:rsid w:val="00C202D3"/>
    <w:rsid w:val="00C20481"/>
    <w:rsid w:val="00C20620"/>
    <w:rsid w:val="00C206D4"/>
    <w:rsid w:val="00C20702"/>
    <w:rsid w:val="00C20B41"/>
    <w:rsid w:val="00C20B57"/>
    <w:rsid w:val="00C20B96"/>
    <w:rsid w:val="00C20D87"/>
    <w:rsid w:val="00C2116C"/>
    <w:rsid w:val="00C21251"/>
    <w:rsid w:val="00C2166F"/>
    <w:rsid w:val="00C21865"/>
    <w:rsid w:val="00C21A65"/>
    <w:rsid w:val="00C21B68"/>
    <w:rsid w:val="00C21CD0"/>
    <w:rsid w:val="00C220F6"/>
    <w:rsid w:val="00C22174"/>
    <w:rsid w:val="00C2222D"/>
    <w:rsid w:val="00C2225A"/>
    <w:rsid w:val="00C223E2"/>
    <w:rsid w:val="00C22656"/>
    <w:rsid w:val="00C22983"/>
    <w:rsid w:val="00C22A67"/>
    <w:rsid w:val="00C22F66"/>
    <w:rsid w:val="00C23000"/>
    <w:rsid w:val="00C2335B"/>
    <w:rsid w:val="00C23482"/>
    <w:rsid w:val="00C234D0"/>
    <w:rsid w:val="00C238D1"/>
    <w:rsid w:val="00C2393D"/>
    <w:rsid w:val="00C23C48"/>
    <w:rsid w:val="00C23C8D"/>
    <w:rsid w:val="00C23CE5"/>
    <w:rsid w:val="00C23E4C"/>
    <w:rsid w:val="00C24014"/>
    <w:rsid w:val="00C240FF"/>
    <w:rsid w:val="00C24185"/>
    <w:rsid w:val="00C2428E"/>
    <w:rsid w:val="00C246C5"/>
    <w:rsid w:val="00C247F9"/>
    <w:rsid w:val="00C248D4"/>
    <w:rsid w:val="00C248E5"/>
    <w:rsid w:val="00C24B4D"/>
    <w:rsid w:val="00C24C1B"/>
    <w:rsid w:val="00C24E33"/>
    <w:rsid w:val="00C25042"/>
    <w:rsid w:val="00C250A3"/>
    <w:rsid w:val="00C2567F"/>
    <w:rsid w:val="00C2590C"/>
    <w:rsid w:val="00C25A92"/>
    <w:rsid w:val="00C25CCE"/>
    <w:rsid w:val="00C25EE2"/>
    <w:rsid w:val="00C25F56"/>
    <w:rsid w:val="00C2604A"/>
    <w:rsid w:val="00C26093"/>
    <w:rsid w:val="00C260BE"/>
    <w:rsid w:val="00C261B4"/>
    <w:rsid w:val="00C2635E"/>
    <w:rsid w:val="00C26922"/>
    <w:rsid w:val="00C26B5F"/>
    <w:rsid w:val="00C26D61"/>
    <w:rsid w:val="00C26E40"/>
    <w:rsid w:val="00C26F97"/>
    <w:rsid w:val="00C27330"/>
    <w:rsid w:val="00C27475"/>
    <w:rsid w:val="00C27512"/>
    <w:rsid w:val="00C275D7"/>
    <w:rsid w:val="00C27678"/>
    <w:rsid w:val="00C27892"/>
    <w:rsid w:val="00C27B9E"/>
    <w:rsid w:val="00C27C35"/>
    <w:rsid w:val="00C27D0F"/>
    <w:rsid w:val="00C27E75"/>
    <w:rsid w:val="00C27E8A"/>
    <w:rsid w:val="00C3024F"/>
    <w:rsid w:val="00C306AE"/>
    <w:rsid w:val="00C30769"/>
    <w:rsid w:val="00C3077A"/>
    <w:rsid w:val="00C30809"/>
    <w:rsid w:val="00C308B1"/>
    <w:rsid w:val="00C30A44"/>
    <w:rsid w:val="00C30AF9"/>
    <w:rsid w:val="00C30BF1"/>
    <w:rsid w:val="00C30D17"/>
    <w:rsid w:val="00C30D22"/>
    <w:rsid w:val="00C30F4A"/>
    <w:rsid w:val="00C310EA"/>
    <w:rsid w:val="00C3139A"/>
    <w:rsid w:val="00C31481"/>
    <w:rsid w:val="00C316B9"/>
    <w:rsid w:val="00C317FC"/>
    <w:rsid w:val="00C31885"/>
    <w:rsid w:val="00C318BB"/>
    <w:rsid w:val="00C31A08"/>
    <w:rsid w:val="00C31D10"/>
    <w:rsid w:val="00C31FF9"/>
    <w:rsid w:val="00C321E0"/>
    <w:rsid w:val="00C324D5"/>
    <w:rsid w:val="00C324DB"/>
    <w:rsid w:val="00C3264F"/>
    <w:rsid w:val="00C32652"/>
    <w:rsid w:val="00C3270A"/>
    <w:rsid w:val="00C3275F"/>
    <w:rsid w:val="00C327A7"/>
    <w:rsid w:val="00C3288E"/>
    <w:rsid w:val="00C32A8A"/>
    <w:rsid w:val="00C32AA7"/>
    <w:rsid w:val="00C32B7B"/>
    <w:rsid w:val="00C32B89"/>
    <w:rsid w:val="00C32CE4"/>
    <w:rsid w:val="00C32EA2"/>
    <w:rsid w:val="00C331D1"/>
    <w:rsid w:val="00C332BA"/>
    <w:rsid w:val="00C33380"/>
    <w:rsid w:val="00C33582"/>
    <w:rsid w:val="00C33633"/>
    <w:rsid w:val="00C33857"/>
    <w:rsid w:val="00C3388E"/>
    <w:rsid w:val="00C3390F"/>
    <w:rsid w:val="00C3399D"/>
    <w:rsid w:val="00C33AD1"/>
    <w:rsid w:val="00C33FF9"/>
    <w:rsid w:val="00C3416C"/>
    <w:rsid w:val="00C341FA"/>
    <w:rsid w:val="00C3435B"/>
    <w:rsid w:val="00C3441B"/>
    <w:rsid w:val="00C345DD"/>
    <w:rsid w:val="00C3470C"/>
    <w:rsid w:val="00C3498F"/>
    <w:rsid w:val="00C349BF"/>
    <w:rsid w:val="00C34A29"/>
    <w:rsid w:val="00C34A8E"/>
    <w:rsid w:val="00C34BDF"/>
    <w:rsid w:val="00C34DC6"/>
    <w:rsid w:val="00C35165"/>
    <w:rsid w:val="00C3545A"/>
    <w:rsid w:val="00C356D5"/>
    <w:rsid w:val="00C3584D"/>
    <w:rsid w:val="00C35911"/>
    <w:rsid w:val="00C359D1"/>
    <w:rsid w:val="00C35A1F"/>
    <w:rsid w:val="00C35A6E"/>
    <w:rsid w:val="00C35B3C"/>
    <w:rsid w:val="00C35C8B"/>
    <w:rsid w:val="00C36269"/>
    <w:rsid w:val="00C36325"/>
    <w:rsid w:val="00C36378"/>
    <w:rsid w:val="00C36531"/>
    <w:rsid w:val="00C36CA2"/>
    <w:rsid w:val="00C36CEA"/>
    <w:rsid w:val="00C36DA4"/>
    <w:rsid w:val="00C36E75"/>
    <w:rsid w:val="00C36F4B"/>
    <w:rsid w:val="00C36F74"/>
    <w:rsid w:val="00C36F7B"/>
    <w:rsid w:val="00C37062"/>
    <w:rsid w:val="00C3732C"/>
    <w:rsid w:val="00C3743A"/>
    <w:rsid w:val="00C374DF"/>
    <w:rsid w:val="00C375DD"/>
    <w:rsid w:val="00C3764B"/>
    <w:rsid w:val="00C376CD"/>
    <w:rsid w:val="00C3777C"/>
    <w:rsid w:val="00C379EA"/>
    <w:rsid w:val="00C37ABC"/>
    <w:rsid w:val="00C37DF6"/>
    <w:rsid w:val="00C37F8F"/>
    <w:rsid w:val="00C40043"/>
    <w:rsid w:val="00C402B8"/>
    <w:rsid w:val="00C40328"/>
    <w:rsid w:val="00C40482"/>
    <w:rsid w:val="00C40713"/>
    <w:rsid w:val="00C407DD"/>
    <w:rsid w:val="00C40A6F"/>
    <w:rsid w:val="00C40A75"/>
    <w:rsid w:val="00C40BBF"/>
    <w:rsid w:val="00C415E3"/>
    <w:rsid w:val="00C416E9"/>
    <w:rsid w:val="00C41B58"/>
    <w:rsid w:val="00C41EAC"/>
    <w:rsid w:val="00C41FA0"/>
    <w:rsid w:val="00C41FBB"/>
    <w:rsid w:val="00C4235D"/>
    <w:rsid w:val="00C4245E"/>
    <w:rsid w:val="00C42580"/>
    <w:rsid w:val="00C4285E"/>
    <w:rsid w:val="00C42951"/>
    <w:rsid w:val="00C42B0F"/>
    <w:rsid w:val="00C43479"/>
    <w:rsid w:val="00C4354F"/>
    <w:rsid w:val="00C43703"/>
    <w:rsid w:val="00C4379D"/>
    <w:rsid w:val="00C439A2"/>
    <w:rsid w:val="00C43D50"/>
    <w:rsid w:val="00C43F80"/>
    <w:rsid w:val="00C43F81"/>
    <w:rsid w:val="00C4401B"/>
    <w:rsid w:val="00C44077"/>
    <w:rsid w:val="00C4438F"/>
    <w:rsid w:val="00C446AA"/>
    <w:rsid w:val="00C447FE"/>
    <w:rsid w:val="00C44B1A"/>
    <w:rsid w:val="00C44CEB"/>
    <w:rsid w:val="00C44D56"/>
    <w:rsid w:val="00C45091"/>
    <w:rsid w:val="00C45475"/>
    <w:rsid w:val="00C4557E"/>
    <w:rsid w:val="00C4574D"/>
    <w:rsid w:val="00C45B7C"/>
    <w:rsid w:val="00C45C6B"/>
    <w:rsid w:val="00C45CE2"/>
    <w:rsid w:val="00C46117"/>
    <w:rsid w:val="00C465D9"/>
    <w:rsid w:val="00C46711"/>
    <w:rsid w:val="00C467BF"/>
    <w:rsid w:val="00C4688F"/>
    <w:rsid w:val="00C46940"/>
    <w:rsid w:val="00C46D6E"/>
    <w:rsid w:val="00C46DDD"/>
    <w:rsid w:val="00C471FC"/>
    <w:rsid w:val="00C4744C"/>
    <w:rsid w:val="00C474B0"/>
    <w:rsid w:val="00C47504"/>
    <w:rsid w:val="00C477E3"/>
    <w:rsid w:val="00C47E48"/>
    <w:rsid w:val="00C47E54"/>
    <w:rsid w:val="00C47FF3"/>
    <w:rsid w:val="00C5000E"/>
    <w:rsid w:val="00C50062"/>
    <w:rsid w:val="00C500D2"/>
    <w:rsid w:val="00C502BF"/>
    <w:rsid w:val="00C50344"/>
    <w:rsid w:val="00C50379"/>
    <w:rsid w:val="00C504CA"/>
    <w:rsid w:val="00C5061A"/>
    <w:rsid w:val="00C50987"/>
    <w:rsid w:val="00C5099B"/>
    <w:rsid w:val="00C50A4A"/>
    <w:rsid w:val="00C50B14"/>
    <w:rsid w:val="00C50C28"/>
    <w:rsid w:val="00C50DA8"/>
    <w:rsid w:val="00C51032"/>
    <w:rsid w:val="00C511A5"/>
    <w:rsid w:val="00C512DE"/>
    <w:rsid w:val="00C513D6"/>
    <w:rsid w:val="00C5154E"/>
    <w:rsid w:val="00C516D7"/>
    <w:rsid w:val="00C516F1"/>
    <w:rsid w:val="00C51727"/>
    <w:rsid w:val="00C5173F"/>
    <w:rsid w:val="00C51890"/>
    <w:rsid w:val="00C51928"/>
    <w:rsid w:val="00C51934"/>
    <w:rsid w:val="00C519AF"/>
    <w:rsid w:val="00C519C3"/>
    <w:rsid w:val="00C51AE1"/>
    <w:rsid w:val="00C51D6F"/>
    <w:rsid w:val="00C51E41"/>
    <w:rsid w:val="00C5223E"/>
    <w:rsid w:val="00C52375"/>
    <w:rsid w:val="00C52546"/>
    <w:rsid w:val="00C52599"/>
    <w:rsid w:val="00C526B5"/>
    <w:rsid w:val="00C527AF"/>
    <w:rsid w:val="00C5289D"/>
    <w:rsid w:val="00C528A1"/>
    <w:rsid w:val="00C52A9B"/>
    <w:rsid w:val="00C52CC3"/>
    <w:rsid w:val="00C52CD8"/>
    <w:rsid w:val="00C532A1"/>
    <w:rsid w:val="00C53304"/>
    <w:rsid w:val="00C53484"/>
    <w:rsid w:val="00C53568"/>
    <w:rsid w:val="00C535A1"/>
    <w:rsid w:val="00C53A8A"/>
    <w:rsid w:val="00C53C41"/>
    <w:rsid w:val="00C53EE1"/>
    <w:rsid w:val="00C541F7"/>
    <w:rsid w:val="00C54206"/>
    <w:rsid w:val="00C5457B"/>
    <w:rsid w:val="00C54855"/>
    <w:rsid w:val="00C54BA4"/>
    <w:rsid w:val="00C54F4C"/>
    <w:rsid w:val="00C55097"/>
    <w:rsid w:val="00C5523D"/>
    <w:rsid w:val="00C55291"/>
    <w:rsid w:val="00C552EE"/>
    <w:rsid w:val="00C5532D"/>
    <w:rsid w:val="00C55431"/>
    <w:rsid w:val="00C5543F"/>
    <w:rsid w:val="00C55480"/>
    <w:rsid w:val="00C555FA"/>
    <w:rsid w:val="00C559BA"/>
    <w:rsid w:val="00C559FE"/>
    <w:rsid w:val="00C55B05"/>
    <w:rsid w:val="00C55B66"/>
    <w:rsid w:val="00C55BB1"/>
    <w:rsid w:val="00C56092"/>
    <w:rsid w:val="00C561B4"/>
    <w:rsid w:val="00C56217"/>
    <w:rsid w:val="00C56341"/>
    <w:rsid w:val="00C5656B"/>
    <w:rsid w:val="00C56828"/>
    <w:rsid w:val="00C568E1"/>
    <w:rsid w:val="00C56B5E"/>
    <w:rsid w:val="00C56C39"/>
    <w:rsid w:val="00C56E36"/>
    <w:rsid w:val="00C57362"/>
    <w:rsid w:val="00C575E9"/>
    <w:rsid w:val="00C575F2"/>
    <w:rsid w:val="00C57640"/>
    <w:rsid w:val="00C57903"/>
    <w:rsid w:val="00C5790B"/>
    <w:rsid w:val="00C57D8A"/>
    <w:rsid w:val="00C601C2"/>
    <w:rsid w:val="00C601E0"/>
    <w:rsid w:val="00C6032C"/>
    <w:rsid w:val="00C60620"/>
    <w:rsid w:val="00C607E2"/>
    <w:rsid w:val="00C607F8"/>
    <w:rsid w:val="00C60E46"/>
    <w:rsid w:val="00C60E5A"/>
    <w:rsid w:val="00C60E7A"/>
    <w:rsid w:val="00C6105A"/>
    <w:rsid w:val="00C61225"/>
    <w:rsid w:val="00C61341"/>
    <w:rsid w:val="00C613A4"/>
    <w:rsid w:val="00C614BF"/>
    <w:rsid w:val="00C615CA"/>
    <w:rsid w:val="00C61645"/>
    <w:rsid w:val="00C616DA"/>
    <w:rsid w:val="00C61703"/>
    <w:rsid w:val="00C617F2"/>
    <w:rsid w:val="00C619A7"/>
    <w:rsid w:val="00C619F0"/>
    <w:rsid w:val="00C61B3A"/>
    <w:rsid w:val="00C61C7D"/>
    <w:rsid w:val="00C61CD4"/>
    <w:rsid w:val="00C61F7F"/>
    <w:rsid w:val="00C62B41"/>
    <w:rsid w:val="00C62B85"/>
    <w:rsid w:val="00C62CE2"/>
    <w:rsid w:val="00C62D61"/>
    <w:rsid w:val="00C62EEF"/>
    <w:rsid w:val="00C63140"/>
    <w:rsid w:val="00C631BE"/>
    <w:rsid w:val="00C63265"/>
    <w:rsid w:val="00C63459"/>
    <w:rsid w:val="00C6346F"/>
    <w:rsid w:val="00C635EB"/>
    <w:rsid w:val="00C636C3"/>
    <w:rsid w:val="00C636F8"/>
    <w:rsid w:val="00C63891"/>
    <w:rsid w:val="00C638E1"/>
    <w:rsid w:val="00C63A88"/>
    <w:rsid w:val="00C63C11"/>
    <w:rsid w:val="00C63D41"/>
    <w:rsid w:val="00C63D78"/>
    <w:rsid w:val="00C63D97"/>
    <w:rsid w:val="00C63E5E"/>
    <w:rsid w:val="00C63FE7"/>
    <w:rsid w:val="00C63FEC"/>
    <w:rsid w:val="00C64019"/>
    <w:rsid w:val="00C641B6"/>
    <w:rsid w:val="00C6476E"/>
    <w:rsid w:val="00C64776"/>
    <w:rsid w:val="00C64845"/>
    <w:rsid w:val="00C648BC"/>
    <w:rsid w:val="00C648E3"/>
    <w:rsid w:val="00C649AB"/>
    <w:rsid w:val="00C64B7C"/>
    <w:rsid w:val="00C651F6"/>
    <w:rsid w:val="00C65221"/>
    <w:rsid w:val="00C652E8"/>
    <w:rsid w:val="00C652FC"/>
    <w:rsid w:val="00C6574D"/>
    <w:rsid w:val="00C657E9"/>
    <w:rsid w:val="00C65B72"/>
    <w:rsid w:val="00C65D2B"/>
    <w:rsid w:val="00C65E18"/>
    <w:rsid w:val="00C65EBF"/>
    <w:rsid w:val="00C65F45"/>
    <w:rsid w:val="00C65FCC"/>
    <w:rsid w:val="00C661B5"/>
    <w:rsid w:val="00C66283"/>
    <w:rsid w:val="00C66320"/>
    <w:rsid w:val="00C663AA"/>
    <w:rsid w:val="00C664B0"/>
    <w:rsid w:val="00C665ED"/>
    <w:rsid w:val="00C668E0"/>
    <w:rsid w:val="00C6690D"/>
    <w:rsid w:val="00C66AD5"/>
    <w:rsid w:val="00C66B31"/>
    <w:rsid w:val="00C66B44"/>
    <w:rsid w:val="00C670FD"/>
    <w:rsid w:val="00C672A3"/>
    <w:rsid w:val="00C6744D"/>
    <w:rsid w:val="00C6754B"/>
    <w:rsid w:val="00C6768B"/>
    <w:rsid w:val="00C678BC"/>
    <w:rsid w:val="00C67907"/>
    <w:rsid w:val="00C679C9"/>
    <w:rsid w:val="00C67C6E"/>
    <w:rsid w:val="00C67EDF"/>
    <w:rsid w:val="00C70167"/>
    <w:rsid w:val="00C70312"/>
    <w:rsid w:val="00C70381"/>
    <w:rsid w:val="00C705E5"/>
    <w:rsid w:val="00C70644"/>
    <w:rsid w:val="00C70AC2"/>
    <w:rsid w:val="00C70B5F"/>
    <w:rsid w:val="00C70C06"/>
    <w:rsid w:val="00C71406"/>
    <w:rsid w:val="00C7143D"/>
    <w:rsid w:val="00C714B9"/>
    <w:rsid w:val="00C7157A"/>
    <w:rsid w:val="00C71D6C"/>
    <w:rsid w:val="00C71E5C"/>
    <w:rsid w:val="00C71EB9"/>
    <w:rsid w:val="00C71F30"/>
    <w:rsid w:val="00C7211B"/>
    <w:rsid w:val="00C722CE"/>
    <w:rsid w:val="00C722FB"/>
    <w:rsid w:val="00C722FF"/>
    <w:rsid w:val="00C723FC"/>
    <w:rsid w:val="00C726A6"/>
    <w:rsid w:val="00C7297C"/>
    <w:rsid w:val="00C72D0A"/>
    <w:rsid w:val="00C72D0B"/>
    <w:rsid w:val="00C72E1A"/>
    <w:rsid w:val="00C72FFD"/>
    <w:rsid w:val="00C73524"/>
    <w:rsid w:val="00C735D8"/>
    <w:rsid w:val="00C73696"/>
    <w:rsid w:val="00C7373F"/>
    <w:rsid w:val="00C73938"/>
    <w:rsid w:val="00C73B4F"/>
    <w:rsid w:val="00C73F29"/>
    <w:rsid w:val="00C74237"/>
    <w:rsid w:val="00C74285"/>
    <w:rsid w:val="00C74296"/>
    <w:rsid w:val="00C74310"/>
    <w:rsid w:val="00C74548"/>
    <w:rsid w:val="00C745A0"/>
    <w:rsid w:val="00C7464E"/>
    <w:rsid w:val="00C746FB"/>
    <w:rsid w:val="00C74764"/>
    <w:rsid w:val="00C74843"/>
    <w:rsid w:val="00C748A0"/>
    <w:rsid w:val="00C74A01"/>
    <w:rsid w:val="00C74D07"/>
    <w:rsid w:val="00C74DCE"/>
    <w:rsid w:val="00C751F0"/>
    <w:rsid w:val="00C751FB"/>
    <w:rsid w:val="00C751FC"/>
    <w:rsid w:val="00C75332"/>
    <w:rsid w:val="00C7550B"/>
    <w:rsid w:val="00C7591B"/>
    <w:rsid w:val="00C75C52"/>
    <w:rsid w:val="00C75E8C"/>
    <w:rsid w:val="00C7618A"/>
    <w:rsid w:val="00C76434"/>
    <w:rsid w:val="00C7644C"/>
    <w:rsid w:val="00C764D1"/>
    <w:rsid w:val="00C765A2"/>
    <w:rsid w:val="00C768F1"/>
    <w:rsid w:val="00C76A5A"/>
    <w:rsid w:val="00C76B09"/>
    <w:rsid w:val="00C76C2E"/>
    <w:rsid w:val="00C77097"/>
    <w:rsid w:val="00C775D2"/>
    <w:rsid w:val="00C778DE"/>
    <w:rsid w:val="00C77B18"/>
    <w:rsid w:val="00C77C90"/>
    <w:rsid w:val="00C77CEE"/>
    <w:rsid w:val="00C8006E"/>
    <w:rsid w:val="00C80175"/>
    <w:rsid w:val="00C80504"/>
    <w:rsid w:val="00C80B8A"/>
    <w:rsid w:val="00C80C32"/>
    <w:rsid w:val="00C80E7E"/>
    <w:rsid w:val="00C80F00"/>
    <w:rsid w:val="00C8126F"/>
    <w:rsid w:val="00C81387"/>
    <w:rsid w:val="00C813D1"/>
    <w:rsid w:val="00C813F6"/>
    <w:rsid w:val="00C817BA"/>
    <w:rsid w:val="00C81C5E"/>
    <w:rsid w:val="00C81D3A"/>
    <w:rsid w:val="00C81DDB"/>
    <w:rsid w:val="00C81F36"/>
    <w:rsid w:val="00C82042"/>
    <w:rsid w:val="00C820B4"/>
    <w:rsid w:val="00C82355"/>
    <w:rsid w:val="00C824D1"/>
    <w:rsid w:val="00C82726"/>
    <w:rsid w:val="00C82AB1"/>
    <w:rsid w:val="00C82C71"/>
    <w:rsid w:val="00C8303E"/>
    <w:rsid w:val="00C832B0"/>
    <w:rsid w:val="00C834A8"/>
    <w:rsid w:val="00C8356E"/>
    <w:rsid w:val="00C837BC"/>
    <w:rsid w:val="00C83BF3"/>
    <w:rsid w:val="00C83D8C"/>
    <w:rsid w:val="00C83FAD"/>
    <w:rsid w:val="00C83FD2"/>
    <w:rsid w:val="00C842CA"/>
    <w:rsid w:val="00C84348"/>
    <w:rsid w:val="00C843FE"/>
    <w:rsid w:val="00C846AA"/>
    <w:rsid w:val="00C847D0"/>
    <w:rsid w:val="00C849D4"/>
    <w:rsid w:val="00C84B53"/>
    <w:rsid w:val="00C84B86"/>
    <w:rsid w:val="00C84BD4"/>
    <w:rsid w:val="00C84D71"/>
    <w:rsid w:val="00C84EC8"/>
    <w:rsid w:val="00C84EF7"/>
    <w:rsid w:val="00C852E4"/>
    <w:rsid w:val="00C853A6"/>
    <w:rsid w:val="00C8552A"/>
    <w:rsid w:val="00C855C8"/>
    <w:rsid w:val="00C8564D"/>
    <w:rsid w:val="00C856C0"/>
    <w:rsid w:val="00C857DE"/>
    <w:rsid w:val="00C85CED"/>
    <w:rsid w:val="00C85EF7"/>
    <w:rsid w:val="00C86064"/>
    <w:rsid w:val="00C861C7"/>
    <w:rsid w:val="00C86349"/>
    <w:rsid w:val="00C8681D"/>
    <w:rsid w:val="00C86832"/>
    <w:rsid w:val="00C868B1"/>
    <w:rsid w:val="00C86995"/>
    <w:rsid w:val="00C86A5A"/>
    <w:rsid w:val="00C86CD1"/>
    <w:rsid w:val="00C86FAC"/>
    <w:rsid w:val="00C8707C"/>
    <w:rsid w:val="00C87209"/>
    <w:rsid w:val="00C8734E"/>
    <w:rsid w:val="00C87378"/>
    <w:rsid w:val="00C876CB"/>
    <w:rsid w:val="00C878D3"/>
    <w:rsid w:val="00C87931"/>
    <w:rsid w:val="00C87A27"/>
    <w:rsid w:val="00C87A65"/>
    <w:rsid w:val="00C87CC5"/>
    <w:rsid w:val="00C87EBC"/>
    <w:rsid w:val="00C900FB"/>
    <w:rsid w:val="00C90107"/>
    <w:rsid w:val="00C901FF"/>
    <w:rsid w:val="00C9064F"/>
    <w:rsid w:val="00C90686"/>
    <w:rsid w:val="00C906BB"/>
    <w:rsid w:val="00C90F1B"/>
    <w:rsid w:val="00C9142B"/>
    <w:rsid w:val="00C9172B"/>
    <w:rsid w:val="00C91A3F"/>
    <w:rsid w:val="00C91A4F"/>
    <w:rsid w:val="00C91C0A"/>
    <w:rsid w:val="00C91DD9"/>
    <w:rsid w:val="00C91E6B"/>
    <w:rsid w:val="00C91FAB"/>
    <w:rsid w:val="00C921CC"/>
    <w:rsid w:val="00C923EC"/>
    <w:rsid w:val="00C926E1"/>
    <w:rsid w:val="00C92986"/>
    <w:rsid w:val="00C92B05"/>
    <w:rsid w:val="00C92CC3"/>
    <w:rsid w:val="00C92D5B"/>
    <w:rsid w:val="00C92DF8"/>
    <w:rsid w:val="00C9302A"/>
    <w:rsid w:val="00C930CC"/>
    <w:rsid w:val="00C93201"/>
    <w:rsid w:val="00C9331C"/>
    <w:rsid w:val="00C93BE0"/>
    <w:rsid w:val="00C93C05"/>
    <w:rsid w:val="00C93C20"/>
    <w:rsid w:val="00C93C80"/>
    <w:rsid w:val="00C93D39"/>
    <w:rsid w:val="00C93DFF"/>
    <w:rsid w:val="00C93E55"/>
    <w:rsid w:val="00C9407E"/>
    <w:rsid w:val="00C94177"/>
    <w:rsid w:val="00C9446A"/>
    <w:rsid w:val="00C9448C"/>
    <w:rsid w:val="00C945C8"/>
    <w:rsid w:val="00C94623"/>
    <w:rsid w:val="00C9469D"/>
    <w:rsid w:val="00C94751"/>
    <w:rsid w:val="00C94843"/>
    <w:rsid w:val="00C9492B"/>
    <w:rsid w:val="00C94A3A"/>
    <w:rsid w:val="00C94B2A"/>
    <w:rsid w:val="00C94CBD"/>
    <w:rsid w:val="00C94D56"/>
    <w:rsid w:val="00C95023"/>
    <w:rsid w:val="00C95035"/>
    <w:rsid w:val="00C95037"/>
    <w:rsid w:val="00C9513B"/>
    <w:rsid w:val="00C954AC"/>
    <w:rsid w:val="00C956BB"/>
    <w:rsid w:val="00C957A0"/>
    <w:rsid w:val="00C957BD"/>
    <w:rsid w:val="00C958EF"/>
    <w:rsid w:val="00C959FF"/>
    <w:rsid w:val="00C95E83"/>
    <w:rsid w:val="00C95F4D"/>
    <w:rsid w:val="00C96062"/>
    <w:rsid w:val="00C96279"/>
    <w:rsid w:val="00C964AE"/>
    <w:rsid w:val="00C9650E"/>
    <w:rsid w:val="00C96A53"/>
    <w:rsid w:val="00C96ABB"/>
    <w:rsid w:val="00C96ACA"/>
    <w:rsid w:val="00C972DE"/>
    <w:rsid w:val="00C976D4"/>
    <w:rsid w:val="00C97791"/>
    <w:rsid w:val="00C977D8"/>
    <w:rsid w:val="00C97868"/>
    <w:rsid w:val="00C97ABF"/>
    <w:rsid w:val="00C97BB2"/>
    <w:rsid w:val="00C97C0A"/>
    <w:rsid w:val="00C97CA6"/>
    <w:rsid w:val="00C97D06"/>
    <w:rsid w:val="00C97D4F"/>
    <w:rsid w:val="00C97DBE"/>
    <w:rsid w:val="00C97FBD"/>
    <w:rsid w:val="00CA0026"/>
    <w:rsid w:val="00CA08B3"/>
    <w:rsid w:val="00CA0A27"/>
    <w:rsid w:val="00CA0D48"/>
    <w:rsid w:val="00CA0F20"/>
    <w:rsid w:val="00CA0F46"/>
    <w:rsid w:val="00CA0FE2"/>
    <w:rsid w:val="00CA1119"/>
    <w:rsid w:val="00CA1344"/>
    <w:rsid w:val="00CA1357"/>
    <w:rsid w:val="00CA156D"/>
    <w:rsid w:val="00CA15CC"/>
    <w:rsid w:val="00CA1BFA"/>
    <w:rsid w:val="00CA1DC2"/>
    <w:rsid w:val="00CA227B"/>
    <w:rsid w:val="00CA2339"/>
    <w:rsid w:val="00CA2C5C"/>
    <w:rsid w:val="00CA2CFB"/>
    <w:rsid w:val="00CA2EA4"/>
    <w:rsid w:val="00CA2FC3"/>
    <w:rsid w:val="00CA3250"/>
    <w:rsid w:val="00CA3278"/>
    <w:rsid w:val="00CA35A3"/>
    <w:rsid w:val="00CA38DD"/>
    <w:rsid w:val="00CA3A3E"/>
    <w:rsid w:val="00CA3AA9"/>
    <w:rsid w:val="00CA3F8C"/>
    <w:rsid w:val="00CA4204"/>
    <w:rsid w:val="00CA45CC"/>
    <w:rsid w:val="00CA4715"/>
    <w:rsid w:val="00CA4732"/>
    <w:rsid w:val="00CA47B7"/>
    <w:rsid w:val="00CA49D7"/>
    <w:rsid w:val="00CA4AD1"/>
    <w:rsid w:val="00CA4FA9"/>
    <w:rsid w:val="00CA4FB7"/>
    <w:rsid w:val="00CA5096"/>
    <w:rsid w:val="00CA514D"/>
    <w:rsid w:val="00CA5212"/>
    <w:rsid w:val="00CA5231"/>
    <w:rsid w:val="00CA525E"/>
    <w:rsid w:val="00CA526E"/>
    <w:rsid w:val="00CA53F1"/>
    <w:rsid w:val="00CA548F"/>
    <w:rsid w:val="00CA5516"/>
    <w:rsid w:val="00CA552D"/>
    <w:rsid w:val="00CA5782"/>
    <w:rsid w:val="00CA58E8"/>
    <w:rsid w:val="00CA5917"/>
    <w:rsid w:val="00CA59CE"/>
    <w:rsid w:val="00CA5B42"/>
    <w:rsid w:val="00CA5CCD"/>
    <w:rsid w:val="00CA5F6A"/>
    <w:rsid w:val="00CA6045"/>
    <w:rsid w:val="00CA6124"/>
    <w:rsid w:val="00CA6300"/>
    <w:rsid w:val="00CA6752"/>
    <w:rsid w:val="00CA691A"/>
    <w:rsid w:val="00CA69BF"/>
    <w:rsid w:val="00CA70BF"/>
    <w:rsid w:val="00CA73FA"/>
    <w:rsid w:val="00CA74C7"/>
    <w:rsid w:val="00CA77A0"/>
    <w:rsid w:val="00CA7D35"/>
    <w:rsid w:val="00CA7D50"/>
    <w:rsid w:val="00CA7E02"/>
    <w:rsid w:val="00CA7EB4"/>
    <w:rsid w:val="00CB00AE"/>
    <w:rsid w:val="00CB00FE"/>
    <w:rsid w:val="00CB041E"/>
    <w:rsid w:val="00CB04FD"/>
    <w:rsid w:val="00CB0708"/>
    <w:rsid w:val="00CB077B"/>
    <w:rsid w:val="00CB0D8E"/>
    <w:rsid w:val="00CB0EFB"/>
    <w:rsid w:val="00CB0F9A"/>
    <w:rsid w:val="00CB1027"/>
    <w:rsid w:val="00CB121D"/>
    <w:rsid w:val="00CB1333"/>
    <w:rsid w:val="00CB1694"/>
    <w:rsid w:val="00CB16FE"/>
    <w:rsid w:val="00CB174B"/>
    <w:rsid w:val="00CB1A9A"/>
    <w:rsid w:val="00CB1BAD"/>
    <w:rsid w:val="00CB1F30"/>
    <w:rsid w:val="00CB2000"/>
    <w:rsid w:val="00CB201A"/>
    <w:rsid w:val="00CB21D8"/>
    <w:rsid w:val="00CB2540"/>
    <w:rsid w:val="00CB2886"/>
    <w:rsid w:val="00CB2A9B"/>
    <w:rsid w:val="00CB2F6D"/>
    <w:rsid w:val="00CB2F76"/>
    <w:rsid w:val="00CB2FF9"/>
    <w:rsid w:val="00CB347E"/>
    <w:rsid w:val="00CB35C2"/>
    <w:rsid w:val="00CB3639"/>
    <w:rsid w:val="00CB3678"/>
    <w:rsid w:val="00CB39A2"/>
    <w:rsid w:val="00CB3A63"/>
    <w:rsid w:val="00CB4907"/>
    <w:rsid w:val="00CB4CA9"/>
    <w:rsid w:val="00CB4CD1"/>
    <w:rsid w:val="00CB4D16"/>
    <w:rsid w:val="00CB4EA1"/>
    <w:rsid w:val="00CB52CC"/>
    <w:rsid w:val="00CB5350"/>
    <w:rsid w:val="00CB5521"/>
    <w:rsid w:val="00CB553F"/>
    <w:rsid w:val="00CB5692"/>
    <w:rsid w:val="00CB5782"/>
    <w:rsid w:val="00CB57C4"/>
    <w:rsid w:val="00CB588E"/>
    <w:rsid w:val="00CB596C"/>
    <w:rsid w:val="00CB5AE8"/>
    <w:rsid w:val="00CB5E82"/>
    <w:rsid w:val="00CB603E"/>
    <w:rsid w:val="00CB6251"/>
    <w:rsid w:val="00CB679E"/>
    <w:rsid w:val="00CB68B6"/>
    <w:rsid w:val="00CB68BE"/>
    <w:rsid w:val="00CB68D4"/>
    <w:rsid w:val="00CB6A98"/>
    <w:rsid w:val="00CB6D19"/>
    <w:rsid w:val="00CB6FF9"/>
    <w:rsid w:val="00CB715B"/>
    <w:rsid w:val="00CB7372"/>
    <w:rsid w:val="00CB741B"/>
    <w:rsid w:val="00CB75E8"/>
    <w:rsid w:val="00CB764A"/>
    <w:rsid w:val="00CB7668"/>
    <w:rsid w:val="00CB7915"/>
    <w:rsid w:val="00CB79B1"/>
    <w:rsid w:val="00CB7A51"/>
    <w:rsid w:val="00CC0053"/>
    <w:rsid w:val="00CC021F"/>
    <w:rsid w:val="00CC0330"/>
    <w:rsid w:val="00CC0349"/>
    <w:rsid w:val="00CC044E"/>
    <w:rsid w:val="00CC06A2"/>
    <w:rsid w:val="00CC06EB"/>
    <w:rsid w:val="00CC0AF6"/>
    <w:rsid w:val="00CC0BA1"/>
    <w:rsid w:val="00CC0BE0"/>
    <w:rsid w:val="00CC0C4D"/>
    <w:rsid w:val="00CC0ECD"/>
    <w:rsid w:val="00CC1069"/>
    <w:rsid w:val="00CC13CB"/>
    <w:rsid w:val="00CC1877"/>
    <w:rsid w:val="00CC19CE"/>
    <w:rsid w:val="00CC1A94"/>
    <w:rsid w:val="00CC1B55"/>
    <w:rsid w:val="00CC1D16"/>
    <w:rsid w:val="00CC1DB3"/>
    <w:rsid w:val="00CC22F6"/>
    <w:rsid w:val="00CC2353"/>
    <w:rsid w:val="00CC23CE"/>
    <w:rsid w:val="00CC24CF"/>
    <w:rsid w:val="00CC281F"/>
    <w:rsid w:val="00CC30C0"/>
    <w:rsid w:val="00CC30DA"/>
    <w:rsid w:val="00CC320D"/>
    <w:rsid w:val="00CC3243"/>
    <w:rsid w:val="00CC324D"/>
    <w:rsid w:val="00CC3621"/>
    <w:rsid w:val="00CC3736"/>
    <w:rsid w:val="00CC37B7"/>
    <w:rsid w:val="00CC397B"/>
    <w:rsid w:val="00CC40D1"/>
    <w:rsid w:val="00CC430A"/>
    <w:rsid w:val="00CC4400"/>
    <w:rsid w:val="00CC440D"/>
    <w:rsid w:val="00CC4A52"/>
    <w:rsid w:val="00CC4C44"/>
    <w:rsid w:val="00CC4C9D"/>
    <w:rsid w:val="00CC4FE3"/>
    <w:rsid w:val="00CC53B4"/>
    <w:rsid w:val="00CC5586"/>
    <w:rsid w:val="00CC55B8"/>
    <w:rsid w:val="00CC5B27"/>
    <w:rsid w:val="00CC5B87"/>
    <w:rsid w:val="00CC5F84"/>
    <w:rsid w:val="00CC60B7"/>
    <w:rsid w:val="00CC62F2"/>
    <w:rsid w:val="00CC6374"/>
    <w:rsid w:val="00CC63A0"/>
    <w:rsid w:val="00CC6445"/>
    <w:rsid w:val="00CC695B"/>
    <w:rsid w:val="00CC6999"/>
    <w:rsid w:val="00CC6C45"/>
    <w:rsid w:val="00CC6F50"/>
    <w:rsid w:val="00CC70C1"/>
    <w:rsid w:val="00CC7275"/>
    <w:rsid w:val="00CC7752"/>
    <w:rsid w:val="00CC7837"/>
    <w:rsid w:val="00CC78C4"/>
    <w:rsid w:val="00CC7942"/>
    <w:rsid w:val="00CC7A42"/>
    <w:rsid w:val="00CC7A8F"/>
    <w:rsid w:val="00CC7C08"/>
    <w:rsid w:val="00CC7E40"/>
    <w:rsid w:val="00CC7F7B"/>
    <w:rsid w:val="00CC7FAD"/>
    <w:rsid w:val="00CD00C6"/>
    <w:rsid w:val="00CD0197"/>
    <w:rsid w:val="00CD025F"/>
    <w:rsid w:val="00CD03A2"/>
    <w:rsid w:val="00CD03D4"/>
    <w:rsid w:val="00CD06B8"/>
    <w:rsid w:val="00CD0D94"/>
    <w:rsid w:val="00CD0DD5"/>
    <w:rsid w:val="00CD0DE5"/>
    <w:rsid w:val="00CD0E00"/>
    <w:rsid w:val="00CD1136"/>
    <w:rsid w:val="00CD1140"/>
    <w:rsid w:val="00CD1246"/>
    <w:rsid w:val="00CD1247"/>
    <w:rsid w:val="00CD1784"/>
    <w:rsid w:val="00CD1A0A"/>
    <w:rsid w:val="00CD1E01"/>
    <w:rsid w:val="00CD1E16"/>
    <w:rsid w:val="00CD1E68"/>
    <w:rsid w:val="00CD1E92"/>
    <w:rsid w:val="00CD2232"/>
    <w:rsid w:val="00CD2411"/>
    <w:rsid w:val="00CD241C"/>
    <w:rsid w:val="00CD2501"/>
    <w:rsid w:val="00CD2664"/>
    <w:rsid w:val="00CD2D3C"/>
    <w:rsid w:val="00CD2F3C"/>
    <w:rsid w:val="00CD2FBD"/>
    <w:rsid w:val="00CD30A3"/>
    <w:rsid w:val="00CD3121"/>
    <w:rsid w:val="00CD340C"/>
    <w:rsid w:val="00CD360A"/>
    <w:rsid w:val="00CD36AE"/>
    <w:rsid w:val="00CD36B6"/>
    <w:rsid w:val="00CD3D1F"/>
    <w:rsid w:val="00CD3F99"/>
    <w:rsid w:val="00CD4658"/>
    <w:rsid w:val="00CD47E3"/>
    <w:rsid w:val="00CD489F"/>
    <w:rsid w:val="00CD49C6"/>
    <w:rsid w:val="00CD4A7B"/>
    <w:rsid w:val="00CD4C18"/>
    <w:rsid w:val="00CD4E96"/>
    <w:rsid w:val="00CD4F97"/>
    <w:rsid w:val="00CD50E1"/>
    <w:rsid w:val="00CD5146"/>
    <w:rsid w:val="00CD5281"/>
    <w:rsid w:val="00CD529F"/>
    <w:rsid w:val="00CD532F"/>
    <w:rsid w:val="00CD55CC"/>
    <w:rsid w:val="00CD56F5"/>
    <w:rsid w:val="00CD591A"/>
    <w:rsid w:val="00CD5A6D"/>
    <w:rsid w:val="00CD5B7E"/>
    <w:rsid w:val="00CD5ECB"/>
    <w:rsid w:val="00CD5FD8"/>
    <w:rsid w:val="00CD61A5"/>
    <w:rsid w:val="00CD6239"/>
    <w:rsid w:val="00CD647E"/>
    <w:rsid w:val="00CD6501"/>
    <w:rsid w:val="00CD66AE"/>
    <w:rsid w:val="00CD66C0"/>
    <w:rsid w:val="00CD7227"/>
    <w:rsid w:val="00CD722D"/>
    <w:rsid w:val="00CD724D"/>
    <w:rsid w:val="00CD72AC"/>
    <w:rsid w:val="00CD7336"/>
    <w:rsid w:val="00CD7422"/>
    <w:rsid w:val="00CD743A"/>
    <w:rsid w:val="00CD7828"/>
    <w:rsid w:val="00CD789A"/>
    <w:rsid w:val="00CD79F2"/>
    <w:rsid w:val="00CD7A7A"/>
    <w:rsid w:val="00CD7C85"/>
    <w:rsid w:val="00CD7E36"/>
    <w:rsid w:val="00CD7FD4"/>
    <w:rsid w:val="00CE0038"/>
    <w:rsid w:val="00CE0050"/>
    <w:rsid w:val="00CE02C6"/>
    <w:rsid w:val="00CE0450"/>
    <w:rsid w:val="00CE06CC"/>
    <w:rsid w:val="00CE0975"/>
    <w:rsid w:val="00CE09B3"/>
    <w:rsid w:val="00CE0AAF"/>
    <w:rsid w:val="00CE0C03"/>
    <w:rsid w:val="00CE0F18"/>
    <w:rsid w:val="00CE0F76"/>
    <w:rsid w:val="00CE1191"/>
    <w:rsid w:val="00CE1A24"/>
    <w:rsid w:val="00CE1AA2"/>
    <w:rsid w:val="00CE1AD3"/>
    <w:rsid w:val="00CE1BA9"/>
    <w:rsid w:val="00CE1CF9"/>
    <w:rsid w:val="00CE1D62"/>
    <w:rsid w:val="00CE1F22"/>
    <w:rsid w:val="00CE1F2F"/>
    <w:rsid w:val="00CE2089"/>
    <w:rsid w:val="00CE2349"/>
    <w:rsid w:val="00CE23B9"/>
    <w:rsid w:val="00CE23E2"/>
    <w:rsid w:val="00CE2455"/>
    <w:rsid w:val="00CE25AE"/>
    <w:rsid w:val="00CE28F8"/>
    <w:rsid w:val="00CE2B51"/>
    <w:rsid w:val="00CE2E00"/>
    <w:rsid w:val="00CE2F05"/>
    <w:rsid w:val="00CE2FA1"/>
    <w:rsid w:val="00CE3032"/>
    <w:rsid w:val="00CE36CA"/>
    <w:rsid w:val="00CE3856"/>
    <w:rsid w:val="00CE3889"/>
    <w:rsid w:val="00CE389B"/>
    <w:rsid w:val="00CE39A9"/>
    <w:rsid w:val="00CE39CD"/>
    <w:rsid w:val="00CE419A"/>
    <w:rsid w:val="00CE41EF"/>
    <w:rsid w:val="00CE43AD"/>
    <w:rsid w:val="00CE44AB"/>
    <w:rsid w:val="00CE484A"/>
    <w:rsid w:val="00CE4959"/>
    <w:rsid w:val="00CE4F1E"/>
    <w:rsid w:val="00CE4F53"/>
    <w:rsid w:val="00CE51FC"/>
    <w:rsid w:val="00CE5488"/>
    <w:rsid w:val="00CE5499"/>
    <w:rsid w:val="00CE58D7"/>
    <w:rsid w:val="00CE5C1B"/>
    <w:rsid w:val="00CE5D61"/>
    <w:rsid w:val="00CE61EE"/>
    <w:rsid w:val="00CE6275"/>
    <w:rsid w:val="00CE648A"/>
    <w:rsid w:val="00CE6529"/>
    <w:rsid w:val="00CE65DF"/>
    <w:rsid w:val="00CE6832"/>
    <w:rsid w:val="00CE6C7A"/>
    <w:rsid w:val="00CE6EDA"/>
    <w:rsid w:val="00CE708F"/>
    <w:rsid w:val="00CE7294"/>
    <w:rsid w:val="00CE73B0"/>
    <w:rsid w:val="00CE73DF"/>
    <w:rsid w:val="00CE7522"/>
    <w:rsid w:val="00CE7770"/>
    <w:rsid w:val="00CE7917"/>
    <w:rsid w:val="00CE7B3A"/>
    <w:rsid w:val="00CE7B6E"/>
    <w:rsid w:val="00CE7C2A"/>
    <w:rsid w:val="00CE7CB0"/>
    <w:rsid w:val="00CE7E57"/>
    <w:rsid w:val="00CE7F63"/>
    <w:rsid w:val="00CF0057"/>
    <w:rsid w:val="00CF010F"/>
    <w:rsid w:val="00CF018F"/>
    <w:rsid w:val="00CF01EF"/>
    <w:rsid w:val="00CF03D3"/>
    <w:rsid w:val="00CF0D2E"/>
    <w:rsid w:val="00CF0DD9"/>
    <w:rsid w:val="00CF0ECC"/>
    <w:rsid w:val="00CF12B0"/>
    <w:rsid w:val="00CF12DE"/>
    <w:rsid w:val="00CF14E5"/>
    <w:rsid w:val="00CF1585"/>
    <w:rsid w:val="00CF17C7"/>
    <w:rsid w:val="00CF184D"/>
    <w:rsid w:val="00CF19E6"/>
    <w:rsid w:val="00CF19E8"/>
    <w:rsid w:val="00CF1BCF"/>
    <w:rsid w:val="00CF1CA3"/>
    <w:rsid w:val="00CF1EAA"/>
    <w:rsid w:val="00CF1F37"/>
    <w:rsid w:val="00CF1FE5"/>
    <w:rsid w:val="00CF22DD"/>
    <w:rsid w:val="00CF2573"/>
    <w:rsid w:val="00CF2B36"/>
    <w:rsid w:val="00CF2C4C"/>
    <w:rsid w:val="00CF33D3"/>
    <w:rsid w:val="00CF34BE"/>
    <w:rsid w:val="00CF36B4"/>
    <w:rsid w:val="00CF3AE9"/>
    <w:rsid w:val="00CF3DBC"/>
    <w:rsid w:val="00CF3FA6"/>
    <w:rsid w:val="00CF4270"/>
    <w:rsid w:val="00CF4379"/>
    <w:rsid w:val="00CF4684"/>
    <w:rsid w:val="00CF48B3"/>
    <w:rsid w:val="00CF4983"/>
    <w:rsid w:val="00CF49FC"/>
    <w:rsid w:val="00CF4AC2"/>
    <w:rsid w:val="00CF4F54"/>
    <w:rsid w:val="00CF5636"/>
    <w:rsid w:val="00CF56E3"/>
    <w:rsid w:val="00CF5726"/>
    <w:rsid w:val="00CF57BA"/>
    <w:rsid w:val="00CF57BF"/>
    <w:rsid w:val="00CF59D8"/>
    <w:rsid w:val="00CF5B02"/>
    <w:rsid w:val="00CF64F9"/>
    <w:rsid w:val="00CF65B6"/>
    <w:rsid w:val="00CF6C03"/>
    <w:rsid w:val="00CF6E4D"/>
    <w:rsid w:val="00CF6E60"/>
    <w:rsid w:val="00CF7131"/>
    <w:rsid w:val="00CF7207"/>
    <w:rsid w:val="00CF7233"/>
    <w:rsid w:val="00CF7565"/>
    <w:rsid w:val="00CF7584"/>
    <w:rsid w:val="00CF79FF"/>
    <w:rsid w:val="00CF7B7A"/>
    <w:rsid w:val="00CF7D54"/>
    <w:rsid w:val="00CF7DFE"/>
    <w:rsid w:val="00D0029E"/>
    <w:rsid w:val="00D0047F"/>
    <w:rsid w:val="00D00483"/>
    <w:rsid w:val="00D005CA"/>
    <w:rsid w:val="00D0064B"/>
    <w:rsid w:val="00D00A41"/>
    <w:rsid w:val="00D00C88"/>
    <w:rsid w:val="00D00F50"/>
    <w:rsid w:val="00D00FD5"/>
    <w:rsid w:val="00D00FEB"/>
    <w:rsid w:val="00D010E1"/>
    <w:rsid w:val="00D017AA"/>
    <w:rsid w:val="00D01C56"/>
    <w:rsid w:val="00D01D13"/>
    <w:rsid w:val="00D01D76"/>
    <w:rsid w:val="00D01E17"/>
    <w:rsid w:val="00D01E6C"/>
    <w:rsid w:val="00D01E6E"/>
    <w:rsid w:val="00D0230D"/>
    <w:rsid w:val="00D02374"/>
    <w:rsid w:val="00D026D5"/>
    <w:rsid w:val="00D0270B"/>
    <w:rsid w:val="00D028BC"/>
    <w:rsid w:val="00D028EB"/>
    <w:rsid w:val="00D029C0"/>
    <w:rsid w:val="00D02C12"/>
    <w:rsid w:val="00D02C28"/>
    <w:rsid w:val="00D02C2D"/>
    <w:rsid w:val="00D02CBD"/>
    <w:rsid w:val="00D02D0F"/>
    <w:rsid w:val="00D02E93"/>
    <w:rsid w:val="00D0373F"/>
    <w:rsid w:val="00D041EF"/>
    <w:rsid w:val="00D043DA"/>
    <w:rsid w:val="00D0463E"/>
    <w:rsid w:val="00D0485B"/>
    <w:rsid w:val="00D04986"/>
    <w:rsid w:val="00D04A67"/>
    <w:rsid w:val="00D04BDB"/>
    <w:rsid w:val="00D04C12"/>
    <w:rsid w:val="00D04DF0"/>
    <w:rsid w:val="00D04F5C"/>
    <w:rsid w:val="00D04F6E"/>
    <w:rsid w:val="00D0578A"/>
    <w:rsid w:val="00D05E02"/>
    <w:rsid w:val="00D05F7B"/>
    <w:rsid w:val="00D06593"/>
    <w:rsid w:val="00D066F0"/>
    <w:rsid w:val="00D069CC"/>
    <w:rsid w:val="00D06A83"/>
    <w:rsid w:val="00D06BFE"/>
    <w:rsid w:val="00D06DDD"/>
    <w:rsid w:val="00D07222"/>
    <w:rsid w:val="00D0768C"/>
    <w:rsid w:val="00D07693"/>
    <w:rsid w:val="00D0769B"/>
    <w:rsid w:val="00D077D7"/>
    <w:rsid w:val="00D07B51"/>
    <w:rsid w:val="00D07B61"/>
    <w:rsid w:val="00D07BC4"/>
    <w:rsid w:val="00D07E03"/>
    <w:rsid w:val="00D07E22"/>
    <w:rsid w:val="00D100D0"/>
    <w:rsid w:val="00D104BA"/>
    <w:rsid w:val="00D10910"/>
    <w:rsid w:val="00D1098E"/>
    <w:rsid w:val="00D10A3F"/>
    <w:rsid w:val="00D10C39"/>
    <w:rsid w:val="00D10C57"/>
    <w:rsid w:val="00D10DCD"/>
    <w:rsid w:val="00D10DFC"/>
    <w:rsid w:val="00D1112E"/>
    <w:rsid w:val="00D112D0"/>
    <w:rsid w:val="00D112ED"/>
    <w:rsid w:val="00D113B6"/>
    <w:rsid w:val="00D11702"/>
    <w:rsid w:val="00D117AF"/>
    <w:rsid w:val="00D11A11"/>
    <w:rsid w:val="00D11DFD"/>
    <w:rsid w:val="00D11E1A"/>
    <w:rsid w:val="00D11F29"/>
    <w:rsid w:val="00D11F6F"/>
    <w:rsid w:val="00D1200E"/>
    <w:rsid w:val="00D121B0"/>
    <w:rsid w:val="00D1250D"/>
    <w:rsid w:val="00D12A5B"/>
    <w:rsid w:val="00D12BD6"/>
    <w:rsid w:val="00D12E2F"/>
    <w:rsid w:val="00D12E35"/>
    <w:rsid w:val="00D12E3A"/>
    <w:rsid w:val="00D12E9C"/>
    <w:rsid w:val="00D12EB8"/>
    <w:rsid w:val="00D1303A"/>
    <w:rsid w:val="00D13171"/>
    <w:rsid w:val="00D132C4"/>
    <w:rsid w:val="00D13318"/>
    <w:rsid w:val="00D133A7"/>
    <w:rsid w:val="00D13541"/>
    <w:rsid w:val="00D13564"/>
    <w:rsid w:val="00D13754"/>
    <w:rsid w:val="00D13942"/>
    <w:rsid w:val="00D13997"/>
    <w:rsid w:val="00D13AFB"/>
    <w:rsid w:val="00D13AFE"/>
    <w:rsid w:val="00D13C07"/>
    <w:rsid w:val="00D13C41"/>
    <w:rsid w:val="00D13DB5"/>
    <w:rsid w:val="00D13DE7"/>
    <w:rsid w:val="00D13EBB"/>
    <w:rsid w:val="00D13FD8"/>
    <w:rsid w:val="00D14057"/>
    <w:rsid w:val="00D14278"/>
    <w:rsid w:val="00D14451"/>
    <w:rsid w:val="00D14537"/>
    <w:rsid w:val="00D146F4"/>
    <w:rsid w:val="00D14AA4"/>
    <w:rsid w:val="00D14EB7"/>
    <w:rsid w:val="00D14F70"/>
    <w:rsid w:val="00D15240"/>
    <w:rsid w:val="00D1543F"/>
    <w:rsid w:val="00D15525"/>
    <w:rsid w:val="00D15658"/>
    <w:rsid w:val="00D15782"/>
    <w:rsid w:val="00D15A47"/>
    <w:rsid w:val="00D16036"/>
    <w:rsid w:val="00D1644F"/>
    <w:rsid w:val="00D16497"/>
    <w:rsid w:val="00D1656E"/>
    <w:rsid w:val="00D166C9"/>
    <w:rsid w:val="00D16901"/>
    <w:rsid w:val="00D16EAF"/>
    <w:rsid w:val="00D16EF2"/>
    <w:rsid w:val="00D17159"/>
    <w:rsid w:val="00D17363"/>
    <w:rsid w:val="00D17390"/>
    <w:rsid w:val="00D17441"/>
    <w:rsid w:val="00D1759D"/>
    <w:rsid w:val="00D17752"/>
    <w:rsid w:val="00D17852"/>
    <w:rsid w:val="00D17A08"/>
    <w:rsid w:val="00D17A73"/>
    <w:rsid w:val="00D17B0C"/>
    <w:rsid w:val="00D17BAB"/>
    <w:rsid w:val="00D17D06"/>
    <w:rsid w:val="00D17D28"/>
    <w:rsid w:val="00D202C0"/>
    <w:rsid w:val="00D206AE"/>
    <w:rsid w:val="00D20794"/>
    <w:rsid w:val="00D21044"/>
    <w:rsid w:val="00D211CF"/>
    <w:rsid w:val="00D21204"/>
    <w:rsid w:val="00D21298"/>
    <w:rsid w:val="00D2168B"/>
    <w:rsid w:val="00D2174C"/>
    <w:rsid w:val="00D217D0"/>
    <w:rsid w:val="00D218F6"/>
    <w:rsid w:val="00D219C1"/>
    <w:rsid w:val="00D21DEC"/>
    <w:rsid w:val="00D21EBD"/>
    <w:rsid w:val="00D21EF7"/>
    <w:rsid w:val="00D21FC8"/>
    <w:rsid w:val="00D2206E"/>
    <w:rsid w:val="00D220C7"/>
    <w:rsid w:val="00D2214A"/>
    <w:rsid w:val="00D223A2"/>
    <w:rsid w:val="00D22782"/>
    <w:rsid w:val="00D22AC3"/>
    <w:rsid w:val="00D22C5B"/>
    <w:rsid w:val="00D22CF3"/>
    <w:rsid w:val="00D23213"/>
    <w:rsid w:val="00D237BF"/>
    <w:rsid w:val="00D23BBC"/>
    <w:rsid w:val="00D23CC0"/>
    <w:rsid w:val="00D240BB"/>
    <w:rsid w:val="00D2438C"/>
    <w:rsid w:val="00D244CD"/>
    <w:rsid w:val="00D2456C"/>
    <w:rsid w:val="00D24601"/>
    <w:rsid w:val="00D24960"/>
    <w:rsid w:val="00D24A50"/>
    <w:rsid w:val="00D24AB1"/>
    <w:rsid w:val="00D24B86"/>
    <w:rsid w:val="00D24C78"/>
    <w:rsid w:val="00D250B8"/>
    <w:rsid w:val="00D2511D"/>
    <w:rsid w:val="00D25138"/>
    <w:rsid w:val="00D25361"/>
    <w:rsid w:val="00D255AE"/>
    <w:rsid w:val="00D256D7"/>
    <w:rsid w:val="00D25798"/>
    <w:rsid w:val="00D25AA3"/>
    <w:rsid w:val="00D25B0E"/>
    <w:rsid w:val="00D25B22"/>
    <w:rsid w:val="00D25FE6"/>
    <w:rsid w:val="00D261F2"/>
    <w:rsid w:val="00D2634E"/>
    <w:rsid w:val="00D2652D"/>
    <w:rsid w:val="00D26718"/>
    <w:rsid w:val="00D267BD"/>
    <w:rsid w:val="00D267DE"/>
    <w:rsid w:val="00D26801"/>
    <w:rsid w:val="00D26864"/>
    <w:rsid w:val="00D2693D"/>
    <w:rsid w:val="00D26996"/>
    <w:rsid w:val="00D26A85"/>
    <w:rsid w:val="00D26D86"/>
    <w:rsid w:val="00D26E3A"/>
    <w:rsid w:val="00D26F61"/>
    <w:rsid w:val="00D2733D"/>
    <w:rsid w:val="00D27420"/>
    <w:rsid w:val="00D2744B"/>
    <w:rsid w:val="00D2757B"/>
    <w:rsid w:val="00D27613"/>
    <w:rsid w:val="00D27685"/>
    <w:rsid w:val="00D277C7"/>
    <w:rsid w:val="00D27870"/>
    <w:rsid w:val="00D27AE9"/>
    <w:rsid w:val="00D27B3D"/>
    <w:rsid w:val="00D27CA0"/>
    <w:rsid w:val="00D3063F"/>
    <w:rsid w:val="00D307C6"/>
    <w:rsid w:val="00D30970"/>
    <w:rsid w:val="00D30A41"/>
    <w:rsid w:val="00D30CA6"/>
    <w:rsid w:val="00D31014"/>
    <w:rsid w:val="00D31102"/>
    <w:rsid w:val="00D31442"/>
    <w:rsid w:val="00D3148D"/>
    <w:rsid w:val="00D31E06"/>
    <w:rsid w:val="00D31FCB"/>
    <w:rsid w:val="00D320BA"/>
    <w:rsid w:val="00D32375"/>
    <w:rsid w:val="00D323AF"/>
    <w:rsid w:val="00D324A9"/>
    <w:rsid w:val="00D326BF"/>
    <w:rsid w:val="00D32731"/>
    <w:rsid w:val="00D328AD"/>
    <w:rsid w:val="00D32A57"/>
    <w:rsid w:val="00D32BDD"/>
    <w:rsid w:val="00D3301C"/>
    <w:rsid w:val="00D33069"/>
    <w:rsid w:val="00D331B9"/>
    <w:rsid w:val="00D332C6"/>
    <w:rsid w:val="00D333D4"/>
    <w:rsid w:val="00D33455"/>
    <w:rsid w:val="00D3349A"/>
    <w:rsid w:val="00D334F7"/>
    <w:rsid w:val="00D3367D"/>
    <w:rsid w:val="00D33C26"/>
    <w:rsid w:val="00D33CFB"/>
    <w:rsid w:val="00D33D15"/>
    <w:rsid w:val="00D33E13"/>
    <w:rsid w:val="00D33ED8"/>
    <w:rsid w:val="00D342A8"/>
    <w:rsid w:val="00D342BF"/>
    <w:rsid w:val="00D342DA"/>
    <w:rsid w:val="00D34B13"/>
    <w:rsid w:val="00D34E6C"/>
    <w:rsid w:val="00D34F69"/>
    <w:rsid w:val="00D35743"/>
    <w:rsid w:val="00D35908"/>
    <w:rsid w:val="00D35983"/>
    <w:rsid w:val="00D359CD"/>
    <w:rsid w:val="00D35E7D"/>
    <w:rsid w:val="00D36561"/>
    <w:rsid w:val="00D36840"/>
    <w:rsid w:val="00D36C30"/>
    <w:rsid w:val="00D36EFD"/>
    <w:rsid w:val="00D370C7"/>
    <w:rsid w:val="00D371FD"/>
    <w:rsid w:val="00D372F6"/>
    <w:rsid w:val="00D3754D"/>
    <w:rsid w:val="00D37812"/>
    <w:rsid w:val="00D3787E"/>
    <w:rsid w:val="00D379D0"/>
    <w:rsid w:val="00D37E21"/>
    <w:rsid w:val="00D37F8F"/>
    <w:rsid w:val="00D400A2"/>
    <w:rsid w:val="00D40482"/>
    <w:rsid w:val="00D40494"/>
    <w:rsid w:val="00D4049D"/>
    <w:rsid w:val="00D404B3"/>
    <w:rsid w:val="00D407E1"/>
    <w:rsid w:val="00D40A11"/>
    <w:rsid w:val="00D40C71"/>
    <w:rsid w:val="00D40D05"/>
    <w:rsid w:val="00D41026"/>
    <w:rsid w:val="00D41276"/>
    <w:rsid w:val="00D412B0"/>
    <w:rsid w:val="00D41692"/>
    <w:rsid w:val="00D41AC4"/>
    <w:rsid w:val="00D41B90"/>
    <w:rsid w:val="00D41D03"/>
    <w:rsid w:val="00D41DED"/>
    <w:rsid w:val="00D41EF0"/>
    <w:rsid w:val="00D41F0F"/>
    <w:rsid w:val="00D4205D"/>
    <w:rsid w:val="00D420DD"/>
    <w:rsid w:val="00D42211"/>
    <w:rsid w:val="00D42293"/>
    <w:rsid w:val="00D42580"/>
    <w:rsid w:val="00D42687"/>
    <w:rsid w:val="00D42838"/>
    <w:rsid w:val="00D42CEF"/>
    <w:rsid w:val="00D42DFF"/>
    <w:rsid w:val="00D4311F"/>
    <w:rsid w:val="00D431B8"/>
    <w:rsid w:val="00D43307"/>
    <w:rsid w:val="00D438EC"/>
    <w:rsid w:val="00D43AFB"/>
    <w:rsid w:val="00D43B84"/>
    <w:rsid w:val="00D43E39"/>
    <w:rsid w:val="00D43E49"/>
    <w:rsid w:val="00D43FD3"/>
    <w:rsid w:val="00D44080"/>
    <w:rsid w:val="00D44278"/>
    <w:rsid w:val="00D444C3"/>
    <w:rsid w:val="00D445F3"/>
    <w:rsid w:val="00D446E7"/>
    <w:rsid w:val="00D448D9"/>
    <w:rsid w:val="00D44A49"/>
    <w:rsid w:val="00D44D74"/>
    <w:rsid w:val="00D45081"/>
    <w:rsid w:val="00D452EC"/>
    <w:rsid w:val="00D4555C"/>
    <w:rsid w:val="00D459CC"/>
    <w:rsid w:val="00D45C85"/>
    <w:rsid w:val="00D45C96"/>
    <w:rsid w:val="00D45E7A"/>
    <w:rsid w:val="00D46EEB"/>
    <w:rsid w:val="00D471B9"/>
    <w:rsid w:val="00D476B0"/>
    <w:rsid w:val="00D47798"/>
    <w:rsid w:val="00D47EFE"/>
    <w:rsid w:val="00D50073"/>
    <w:rsid w:val="00D503C3"/>
    <w:rsid w:val="00D50620"/>
    <w:rsid w:val="00D508A2"/>
    <w:rsid w:val="00D508BE"/>
    <w:rsid w:val="00D509C1"/>
    <w:rsid w:val="00D50A12"/>
    <w:rsid w:val="00D50A7B"/>
    <w:rsid w:val="00D50BEE"/>
    <w:rsid w:val="00D50C15"/>
    <w:rsid w:val="00D50C54"/>
    <w:rsid w:val="00D50D22"/>
    <w:rsid w:val="00D50D74"/>
    <w:rsid w:val="00D50DCB"/>
    <w:rsid w:val="00D50F24"/>
    <w:rsid w:val="00D50F54"/>
    <w:rsid w:val="00D50FC8"/>
    <w:rsid w:val="00D5133F"/>
    <w:rsid w:val="00D51564"/>
    <w:rsid w:val="00D51686"/>
    <w:rsid w:val="00D516B0"/>
    <w:rsid w:val="00D51A5E"/>
    <w:rsid w:val="00D51B12"/>
    <w:rsid w:val="00D51B68"/>
    <w:rsid w:val="00D51C02"/>
    <w:rsid w:val="00D51C99"/>
    <w:rsid w:val="00D51D2A"/>
    <w:rsid w:val="00D51E40"/>
    <w:rsid w:val="00D51EB6"/>
    <w:rsid w:val="00D520D2"/>
    <w:rsid w:val="00D52421"/>
    <w:rsid w:val="00D5267A"/>
    <w:rsid w:val="00D52687"/>
    <w:rsid w:val="00D52787"/>
    <w:rsid w:val="00D52A42"/>
    <w:rsid w:val="00D52BDE"/>
    <w:rsid w:val="00D52E18"/>
    <w:rsid w:val="00D52FDE"/>
    <w:rsid w:val="00D53042"/>
    <w:rsid w:val="00D53364"/>
    <w:rsid w:val="00D53424"/>
    <w:rsid w:val="00D535E3"/>
    <w:rsid w:val="00D5379F"/>
    <w:rsid w:val="00D537D8"/>
    <w:rsid w:val="00D53A3C"/>
    <w:rsid w:val="00D53A58"/>
    <w:rsid w:val="00D53B18"/>
    <w:rsid w:val="00D53BDD"/>
    <w:rsid w:val="00D53F4E"/>
    <w:rsid w:val="00D54448"/>
    <w:rsid w:val="00D54492"/>
    <w:rsid w:val="00D54581"/>
    <w:rsid w:val="00D54C54"/>
    <w:rsid w:val="00D5575E"/>
    <w:rsid w:val="00D55809"/>
    <w:rsid w:val="00D55ABA"/>
    <w:rsid w:val="00D55B46"/>
    <w:rsid w:val="00D55E24"/>
    <w:rsid w:val="00D56451"/>
    <w:rsid w:val="00D565EA"/>
    <w:rsid w:val="00D5678F"/>
    <w:rsid w:val="00D5679F"/>
    <w:rsid w:val="00D56982"/>
    <w:rsid w:val="00D56CDD"/>
    <w:rsid w:val="00D56FDB"/>
    <w:rsid w:val="00D57386"/>
    <w:rsid w:val="00D574CC"/>
    <w:rsid w:val="00D57516"/>
    <w:rsid w:val="00D5757B"/>
    <w:rsid w:val="00D577D3"/>
    <w:rsid w:val="00D5784C"/>
    <w:rsid w:val="00D578BE"/>
    <w:rsid w:val="00D578CD"/>
    <w:rsid w:val="00D57931"/>
    <w:rsid w:val="00D57C05"/>
    <w:rsid w:val="00D57C60"/>
    <w:rsid w:val="00D57D73"/>
    <w:rsid w:val="00D57E2B"/>
    <w:rsid w:val="00D601D5"/>
    <w:rsid w:val="00D602D5"/>
    <w:rsid w:val="00D605EC"/>
    <w:rsid w:val="00D608A0"/>
    <w:rsid w:val="00D60943"/>
    <w:rsid w:val="00D60B23"/>
    <w:rsid w:val="00D60B33"/>
    <w:rsid w:val="00D60BF3"/>
    <w:rsid w:val="00D60C62"/>
    <w:rsid w:val="00D60F3D"/>
    <w:rsid w:val="00D610A8"/>
    <w:rsid w:val="00D61440"/>
    <w:rsid w:val="00D61617"/>
    <w:rsid w:val="00D616B3"/>
    <w:rsid w:val="00D61978"/>
    <w:rsid w:val="00D61A17"/>
    <w:rsid w:val="00D61A98"/>
    <w:rsid w:val="00D61A9F"/>
    <w:rsid w:val="00D61B36"/>
    <w:rsid w:val="00D61F0F"/>
    <w:rsid w:val="00D61F76"/>
    <w:rsid w:val="00D620A2"/>
    <w:rsid w:val="00D62603"/>
    <w:rsid w:val="00D62660"/>
    <w:rsid w:val="00D62A97"/>
    <w:rsid w:val="00D62BD7"/>
    <w:rsid w:val="00D62DAC"/>
    <w:rsid w:val="00D63134"/>
    <w:rsid w:val="00D631F4"/>
    <w:rsid w:val="00D63255"/>
    <w:rsid w:val="00D63341"/>
    <w:rsid w:val="00D635F5"/>
    <w:rsid w:val="00D6386F"/>
    <w:rsid w:val="00D6407F"/>
    <w:rsid w:val="00D6408E"/>
    <w:rsid w:val="00D6422B"/>
    <w:rsid w:val="00D6437D"/>
    <w:rsid w:val="00D644C6"/>
    <w:rsid w:val="00D645EF"/>
    <w:rsid w:val="00D6460D"/>
    <w:rsid w:val="00D6482D"/>
    <w:rsid w:val="00D648B7"/>
    <w:rsid w:val="00D64911"/>
    <w:rsid w:val="00D64E4C"/>
    <w:rsid w:val="00D64F5C"/>
    <w:rsid w:val="00D65109"/>
    <w:rsid w:val="00D65191"/>
    <w:rsid w:val="00D651C6"/>
    <w:rsid w:val="00D65256"/>
    <w:rsid w:val="00D6541E"/>
    <w:rsid w:val="00D6545D"/>
    <w:rsid w:val="00D655FF"/>
    <w:rsid w:val="00D6565A"/>
    <w:rsid w:val="00D65AE8"/>
    <w:rsid w:val="00D65BA7"/>
    <w:rsid w:val="00D65C92"/>
    <w:rsid w:val="00D65D49"/>
    <w:rsid w:val="00D65E64"/>
    <w:rsid w:val="00D66262"/>
    <w:rsid w:val="00D6633A"/>
    <w:rsid w:val="00D66358"/>
    <w:rsid w:val="00D6656F"/>
    <w:rsid w:val="00D666C3"/>
    <w:rsid w:val="00D667EB"/>
    <w:rsid w:val="00D66810"/>
    <w:rsid w:val="00D669AB"/>
    <w:rsid w:val="00D669D0"/>
    <w:rsid w:val="00D669F6"/>
    <w:rsid w:val="00D66CB2"/>
    <w:rsid w:val="00D671C2"/>
    <w:rsid w:val="00D673F7"/>
    <w:rsid w:val="00D6746B"/>
    <w:rsid w:val="00D676A3"/>
    <w:rsid w:val="00D6784F"/>
    <w:rsid w:val="00D67A06"/>
    <w:rsid w:val="00D67B43"/>
    <w:rsid w:val="00D67BD4"/>
    <w:rsid w:val="00D67D26"/>
    <w:rsid w:val="00D67E93"/>
    <w:rsid w:val="00D70094"/>
    <w:rsid w:val="00D705B7"/>
    <w:rsid w:val="00D706C1"/>
    <w:rsid w:val="00D707BB"/>
    <w:rsid w:val="00D707C8"/>
    <w:rsid w:val="00D707E5"/>
    <w:rsid w:val="00D70A29"/>
    <w:rsid w:val="00D70B25"/>
    <w:rsid w:val="00D70B74"/>
    <w:rsid w:val="00D70CC7"/>
    <w:rsid w:val="00D70CDA"/>
    <w:rsid w:val="00D70E23"/>
    <w:rsid w:val="00D71011"/>
    <w:rsid w:val="00D7105D"/>
    <w:rsid w:val="00D71290"/>
    <w:rsid w:val="00D713FD"/>
    <w:rsid w:val="00D717E7"/>
    <w:rsid w:val="00D719C7"/>
    <w:rsid w:val="00D71B37"/>
    <w:rsid w:val="00D71C7E"/>
    <w:rsid w:val="00D72485"/>
    <w:rsid w:val="00D72ADF"/>
    <w:rsid w:val="00D72BC6"/>
    <w:rsid w:val="00D72DD7"/>
    <w:rsid w:val="00D7315D"/>
    <w:rsid w:val="00D7339B"/>
    <w:rsid w:val="00D733E0"/>
    <w:rsid w:val="00D7352B"/>
    <w:rsid w:val="00D735F8"/>
    <w:rsid w:val="00D73AFD"/>
    <w:rsid w:val="00D73C3B"/>
    <w:rsid w:val="00D73C9A"/>
    <w:rsid w:val="00D73D21"/>
    <w:rsid w:val="00D73DC8"/>
    <w:rsid w:val="00D73DCA"/>
    <w:rsid w:val="00D740AD"/>
    <w:rsid w:val="00D741E8"/>
    <w:rsid w:val="00D7431D"/>
    <w:rsid w:val="00D7458D"/>
    <w:rsid w:val="00D74708"/>
    <w:rsid w:val="00D74CAB"/>
    <w:rsid w:val="00D74CD2"/>
    <w:rsid w:val="00D74FEF"/>
    <w:rsid w:val="00D7538B"/>
    <w:rsid w:val="00D7540E"/>
    <w:rsid w:val="00D754B5"/>
    <w:rsid w:val="00D754C2"/>
    <w:rsid w:val="00D754EE"/>
    <w:rsid w:val="00D75566"/>
    <w:rsid w:val="00D7560F"/>
    <w:rsid w:val="00D7570F"/>
    <w:rsid w:val="00D759D1"/>
    <w:rsid w:val="00D75E40"/>
    <w:rsid w:val="00D75FAC"/>
    <w:rsid w:val="00D760BB"/>
    <w:rsid w:val="00D761E2"/>
    <w:rsid w:val="00D76505"/>
    <w:rsid w:val="00D7660E"/>
    <w:rsid w:val="00D767A2"/>
    <w:rsid w:val="00D7688D"/>
    <w:rsid w:val="00D76E01"/>
    <w:rsid w:val="00D76E1F"/>
    <w:rsid w:val="00D772A3"/>
    <w:rsid w:val="00D772AD"/>
    <w:rsid w:val="00D774AA"/>
    <w:rsid w:val="00D775FA"/>
    <w:rsid w:val="00D77BCE"/>
    <w:rsid w:val="00D77F74"/>
    <w:rsid w:val="00D8027A"/>
    <w:rsid w:val="00D8037C"/>
    <w:rsid w:val="00D806BD"/>
    <w:rsid w:val="00D806FB"/>
    <w:rsid w:val="00D8075B"/>
    <w:rsid w:val="00D807A5"/>
    <w:rsid w:val="00D80961"/>
    <w:rsid w:val="00D80963"/>
    <w:rsid w:val="00D80A9B"/>
    <w:rsid w:val="00D80B05"/>
    <w:rsid w:val="00D80BFE"/>
    <w:rsid w:val="00D80C6E"/>
    <w:rsid w:val="00D80CC2"/>
    <w:rsid w:val="00D80D2F"/>
    <w:rsid w:val="00D80F16"/>
    <w:rsid w:val="00D8101F"/>
    <w:rsid w:val="00D8111F"/>
    <w:rsid w:val="00D81121"/>
    <w:rsid w:val="00D8120A"/>
    <w:rsid w:val="00D815A3"/>
    <w:rsid w:val="00D815F4"/>
    <w:rsid w:val="00D817F7"/>
    <w:rsid w:val="00D81843"/>
    <w:rsid w:val="00D81893"/>
    <w:rsid w:val="00D81B8A"/>
    <w:rsid w:val="00D81CB1"/>
    <w:rsid w:val="00D81CF9"/>
    <w:rsid w:val="00D81DD6"/>
    <w:rsid w:val="00D81EEE"/>
    <w:rsid w:val="00D81F1E"/>
    <w:rsid w:val="00D81F68"/>
    <w:rsid w:val="00D82022"/>
    <w:rsid w:val="00D82066"/>
    <w:rsid w:val="00D8207B"/>
    <w:rsid w:val="00D820A4"/>
    <w:rsid w:val="00D8224C"/>
    <w:rsid w:val="00D822A1"/>
    <w:rsid w:val="00D8234A"/>
    <w:rsid w:val="00D823D6"/>
    <w:rsid w:val="00D82840"/>
    <w:rsid w:val="00D8285A"/>
    <w:rsid w:val="00D8295A"/>
    <w:rsid w:val="00D82974"/>
    <w:rsid w:val="00D82AAA"/>
    <w:rsid w:val="00D82FAB"/>
    <w:rsid w:val="00D8319D"/>
    <w:rsid w:val="00D83407"/>
    <w:rsid w:val="00D83427"/>
    <w:rsid w:val="00D834C4"/>
    <w:rsid w:val="00D83962"/>
    <w:rsid w:val="00D839DC"/>
    <w:rsid w:val="00D83AA7"/>
    <w:rsid w:val="00D83B77"/>
    <w:rsid w:val="00D83D97"/>
    <w:rsid w:val="00D83DA8"/>
    <w:rsid w:val="00D84205"/>
    <w:rsid w:val="00D842CF"/>
    <w:rsid w:val="00D843FE"/>
    <w:rsid w:val="00D84468"/>
    <w:rsid w:val="00D84652"/>
    <w:rsid w:val="00D84A9F"/>
    <w:rsid w:val="00D84AE4"/>
    <w:rsid w:val="00D84B52"/>
    <w:rsid w:val="00D8504C"/>
    <w:rsid w:val="00D850E2"/>
    <w:rsid w:val="00D85200"/>
    <w:rsid w:val="00D85287"/>
    <w:rsid w:val="00D85395"/>
    <w:rsid w:val="00D85604"/>
    <w:rsid w:val="00D85643"/>
    <w:rsid w:val="00D856AE"/>
    <w:rsid w:val="00D856ED"/>
    <w:rsid w:val="00D85F7F"/>
    <w:rsid w:val="00D86242"/>
    <w:rsid w:val="00D862F5"/>
    <w:rsid w:val="00D863E1"/>
    <w:rsid w:val="00D87125"/>
    <w:rsid w:val="00D8733E"/>
    <w:rsid w:val="00D87370"/>
    <w:rsid w:val="00D873CA"/>
    <w:rsid w:val="00D87482"/>
    <w:rsid w:val="00D8763A"/>
    <w:rsid w:val="00D87757"/>
    <w:rsid w:val="00D87788"/>
    <w:rsid w:val="00D8785C"/>
    <w:rsid w:val="00D878E8"/>
    <w:rsid w:val="00D87A0B"/>
    <w:rsid w:val="00D87D43"/>
    <w:rsid w:val="00D87D8D"/>
    <w:rsid w:val="00D90099"/>
    <w:rsid w:val="00D9010F"/>
    <w:rsid w:val="00D901BF"/>
    <w:rsid w:val="00D902C5"/>
    <w:rsid w:val="00D90712"/>
    <w:rsid w:val="00D908E7"/>
    <w:rsid w:val="00D90992"/>
    <w:rsid w:val="00D90BE6"/>
    <w:rsid w:val="00D90E06"/>
    <w:rsid w:val="00D90FC3"/>
    <w:rsid w:val="00D911C6"/>
    <w:rsid w:val="00D914DE"/>
    <w:rsid w:val="00D9171F"/>
    <w:rsid w:val="00D917A0"/>
    <w:rsid w:val="00D918EC"/>
    <w:rsid w:val="00D91985"/>
    <w:rsid w:val="00D91A06"/>
    <w:rsid w:val="00D91C49"/>
    <w:rsid w:val="00D9217B"/>
    <w:rsid w:val="00D921AC"/>
    <w:rsid w:val="00D921CE"/>
    <w:rsid w:val="00D92410"/>
    <w:rsid w:val="00D9285C"/>
    <w:rsid w:val="00D928D2"/>
    <w:rsid w:val="00D92A1B"/>
    <w:rsid w:val="00D92B8C"/>
    <w:rsid w:val="00D92D76"/>
    <w:rsid w:val="00D933F5"/>
    <w:rsid w:val="00D933F6"/>
    <w:rsid w:val="00D938DC"/>
    <w:rsid w:val="00D93901"/>
    <w:rsid w:val="00D9394D"/>
    <w:rsid w:val="00D93B38"/>
    <w:rsid w:val="00D93C73"/>
    <w:rsid w:val="00D93DE7"/>
    <w:rsid w:val="00D940B3"/>
    <w:rsid w:val="00D94345"/>
    <w:rsid w:val="00D9444A"/>
    <w:rsid w:val="00D9448A"/>
    <w:rsid w:val="00D9467B"/>
    <w:rsid w:val="00D94B73"/>
    <w:rsid w:val="00D94C69"/>
    <w:rsid w:val="00D94EB3"/>
    <w:rsid w:val="00D9520B"/>
    <w:rsid w:val="00D952CA"/>
    <w:rsid w:val="00D95589"/>
    <w:rsid w:val="00D955A1"/>
    <w:rsid w:val="00D95692"/>
    <w:rsid w:val="00D9575A"/>
    <w:rsid w:val="00D95B34"/>
    <w:rsid w:val="00D95E86"/>
    <w:rsid w:val="00D95FA5"/>
    <w:rsid w:val="00D961D0"/>
    <w:rsid w:val="00D96649"/>
    <w:rsid w:val="00D96AAF"/>
    <w:rsid w:val="00D96C30"/>
    <w:rsid w:val="00D97094"/>
    <w:rsid w:val="00D970F7"/>
    <w:rsid w:val="00D97250"/>
    <w:rsid w:val="00D97563"/>
    <w:rsid w:val="00D97692"/>
    <w:rsid w:val="00D978EF"/>
    <w:rsid w:val="00D97E1A"/>
    <w:rsid w:val="00D97EA5"/>
    <w:rsid w:val="00D97F2A"/>
    <w:rsid w:val="00DA0003"/>
    <w:rsid w:val="00DA00F1"/>
    <w:rsid w:val="00DA0262"/>
    <w:rsid w:val="00DA02F3"/>
    <w:rsid w:val="00DA0382"/>
    <w:rsid w:val="00DA043F"/>
    <w:rsid w:val="00DA0505"/>
    <w:rsid w:val="00DA08F5"/>
    <w:rsid w:val="00DA0971"/>
    <w:rsid w:val="00DA0A74"/>
    <w:rsid w:val="00DA0A8F"/>
    <w:rsid w:val="00DA0AA8"/>
    <w:rsid w:val="00DA0BDB"/>
    <w:rsid w:val="00DA0CB7"/>
    <w:rsid w:val="00DA0E22"/>
    <w:rsid w:val="00DA0FE6"/>
    <w:rsid w:val="00DA1291"/>
    <w:rsid w:val="00DA13CE"/>
    <w:rsid w:val="00DA1506"/>
    <w:rsid w:val="00DA17E6"/>
    <w:rsid w:val="00DA17EE"/>
    <w:rsid w:val="00DA18B8"/>
    <w:rsid w:val="00DA191E"/>
    <w:rsid w:val="00DA19E6"/>
    <w:rsid w:val="00DA1AA3"/>
    <w:rsid w:val="00DA1E02"/>
    <w:rsid w:val="00DA1E8F"/>
    <w:rsid w:val="00DA20E6"/>
    <w:rsid w:val="00DA2417"/>
    <w:rsid w:val="00DA245A"/>
    <w:rsid w:val="00DA24CE"/>
    <w:rsid w:val="00DA2521"/>
    <w:rsid w:val="00DA25F4"/>
    <w:rsid w:val="00DA2778"/>
    <w:rsid w:val="00DA2803"/>
    <w:rsid w:val="00DA282C"/>
    <w:rsid w:val="00DA291C"/>
    <w:rsid w:val="00DA2D40"/>
    <w:rsid w:val="00DA2E08"/>
    <w:rsid w:val="00DA348D"/>
    <w:rsid w:val="00DA35B2"/>
    <w:rsid w:val="00DA362C"/>
    <w:rsid w:val="00DA38F8"/>
    <w:rsid w:val="00DA3C84"/>
    <w:rsid w:val="00DA3E07"/>
    <w:rsid w:val="00DA3E78"/>
    <w:rsid w:val="00DA3F29"/>
    <w:rsid w:val="00DA3FD3"/>
    <w:rsid w:val="00DA401F"/>
    <w:rsid w:val="00DA40A5"/>
    <w:rsid w:val="00DA4194"/>
    <w:rsid w:val="00DA433C"/>
    <w:rsid w:val="00DA43AB"/>
    <w:rsid w:val="00DA450F"/>
    <w:rsid w:val="00DA45DD"/>
    <w:rsid w:val="00DA45F7"/>
    <w:rsid w:val="00DA4616"/>
    <w:rsid w:val="00DA4997"/>
    <w:rsid w:val="00DA49BA"/>
    <w:rsid w:val="00DA4A28"/>
    <w:rsid w:val="00DA4B09"/>
    <w:rsid w:val="00DA4B58"/>
    <w:rsid w:val="00DA4BDB"/>
    <w:rsid w:val="00DA4C57"/>
    <w:rsid w:val="00DA4CDB"/>
    <w:rsid w:val="00DA4EFB"/>
    <w:rsid w:val="00DA50CD"/>
    <w:rsid w:val="00DA52FA"/>
    <w:rsid w:val="00DA53C2"/>
    <w:rsid w:val="00DA5559"/>
    <w:rsid w:val="00DA55E1"/>
    <w:rsid w:val="00DA5726"/>
    <w:rsid w:val="00DA577A"/>
    <w:rsid w:val="00DA5AA3"/>
    <w:rsid w:val="00DA5B95"/>
    <w:rsid w:val="00DA5C0E"/>
    <w:rsid w:val="00DA601F"/>
    <w:rsid w:val="00DA64D7"/>
    <w:rsid w:val="00DA657C"/>
    <w:rsid w:val="00DA6AAE"/>
    <w:rsid w:val="00DA6CEC"/>
    <w:rsid w:val="00DA6D68"/>
    <w:rsid w:val="00DA6DFE"/>
    <w:rsid w:val="00DA7491"/>
    <w:rsid w:val="00DA78A6"/>
    <w:rsid w:val="00DAC676"/>
    <w:rsid w:val="00DB00A7"/>
    <w:rsid w:val="00DB00C6"/>
    <w:rsid w:val="00DB081A"/>
    <w:rsid w:val="00DB0847"/>
    <w:rsid w:val="00DB089E"/>
    <w:rsid w:val="00DB0E9A"/>
    <w:rsid w:val="00DB0EB4"/>
    <w:rsid w:val="00DB104B"/>
    <w:rsid w:val="00DB1063"/>
    <w:rsid w:val="00DB1216"/>
    <w:rsid w:val="00DB1317"/>
    <w:rsid w:val="00DB1636"/>
    <w:rsid w:val="00DB16DE"/>
    <w:rsid w:val="00DB1D44"/>
    <w:rsid w:val="00DB1FD4"/>
    <w:rsid w:val="00DB20CE"/>
    <w:rsid w:val="00DB22CB"/>
    <w:rsid w:val="00DB2767"/>
    <w:rsid w:val="00DB291D"/>
    <w:rsid w:val="00DB2AD7"/>
    <w:rsid w:val="00DB2F43"/>
    <w:rsid w:val="00DB2F81"/>
    <w:rsid w:val="00DB2FE4"/>
    <w:rsid w:val="00DB3004"/>
    <w:rsid w:val="00DB317D"/>
    <w:rsid w:val="00DB32FB"/>
    <w:rsid w:val="00DB3559"/>
    <w:rsid w:val="00DB3612"/>
    <w:rsid w:val="00DB3A48"/>
    <w:rsid w:val="00DB3CD0"/>
    <w:rsid w:val="00DB3D02"/>
    <w:rsid w:val="00DB3E7D"/>
    <w:rsid w:val="00DB3F25"/>
    <w:rsid w:val="00DB3F38"/>
    <w:rsid w:val="00DB3F84"/>
    <w:rsid w:val="00DB4225"/>
    <w:rsid w:val="00DB446C"/>
    <w:rsid w:val="00DB4584"/>
    <w:rsid w:val="00DB4AA0"/>
    <w:rsid w:val="00DB4ACB"/>
    <w:rsid w:val="00DB4C63"/>
    <w:rsid w:val="00DB4DB1"/>
    <w:rsid w:val="00DB4DC4"/>
    <w:rsid w:val="00DB4DF8"/>
    <w:rsid w:val="00DB53BF"/>
    <w:rsid w:val="00DB54C4"/>
    <w:rsid w:val="00DB5599"/>
    <w:rsid w:val="00DB55C1"/>
    <w:rsid w:val="00DB57DA"/>
    <w:rsid w:val="00DB582E"/>
    <w:rsid w:val="00DB5F3C"/>
    <w:rsid w:val="00DB5FB9"/>
    <w:rsid w:val="00DB615F"/>
    <w:rsid w:val="00DB6426"/>
    <w:rsid w:val="00DB6547"/>
    <w:rsid w:val="00DB658C"/>
    <w:rsid w:val="00DB69B2"/>
    <w:rsid w:val="00DB6BE4"/>
    <w:rsid w:val="00DB6C67"/>
    <w:rsid w:val="00DB6C90"/>
    <w:rsid w:val="00DB705A"/>
    <w:rsid w:val="00DB70F3"/>
    <w:rsid w:val="00DB715E"/>
    <w:rsid w:val="00DB7176"/>
    <w:rsid w:val="00DB726D"/>
    <w:rsid w:val="00DB72B9"/>
    <w:rsid w:val="00DB7360"/>
    <w:rsid w:val="00DB79BD"/>
    <w:rsid w:val="00DB7A27"/>
    <w:rsid w:val="00DB7AA2"/>
    <w:rsid w:val="00DB7AD3"/>
    <w:rsid w:val="00DB7F45"/>
    <w:rsid w:val="00DB7F94"/>
    <w:rsid w:val="00DC0032"/>
    <w:rsid w:val="00DC067B"/>
    <w:rsid w:val="00DC07CF"/>
    <w:rsid w:val="00DC08D7"/>
    <w:rsid w:val="00DC095F"/>
    <w:rsid w:val="00DC0998"/>
    <w:rsid w:val="00DC0AC8"/>
    <w:rsid w:val="00DC0B4A"/>
    <w:rsid w:val="00DC0D23"/>
    <w:rsid w:val="00DC0EC8"/>
    <w:rsid w:val="00DC0FE7"/>
    <w:rsid w:val="00DC11C8"/>
    <w:rsid w:val="00DC1464"/>
    <w:rsid w:val="00DC15D2"/>
    <w:rsid w:val="00DC16ED"/>
    <w:rsid w:val="00DC188E"/>
    <w:rsid w:val="00DC19BE"/>
    <w:rsid w:val="00DC1A3E"/>
    <w:rsid w:val="00DC1B61"/>
    <w:rsid w:val="00DC1BE4"/>
    <w:rsid w:val="00DC1C5D"/>
    <w:rsid w:val="00DC1D3E"/>
    <w:rsid w:val="00DC216F"/>
    <w:rsid w:val="00DC230E"/>
    <w:rsid w:val="00DC2324"/>
    <w:rsid w:val="00DC2389"/>
    <w:rsid w:val="00DC23D2"/>
    <w:rsid w:val="00DC2411"/>
    <w:rsid w:val="00DC2444"/>
    <w:rsid w:val="00DC247F"/>
    <w:rsid w:val="00DC2526"/>
    <w:rsid w:val="00DC254B"/>
    <w:rsid w:val="00DC27D2"/>
    <w:rsid w:val="00DC2894"/>
    <w:rsid w:val="00DC2C55"/>
    <w:rsid w:val="00DC2CE8"/>
    <w:rsid w:val="00DC2E53"/>
    <w:rsid w:val="00DC3018"/>
    <w:rsid w:val="00DC3332"/>
    <w:rsid w:val="00DC33AD"/>
    <w:rsid w:val="00DC34CD"/>
    <w:rsid w:val="00DC38C2"/>
    <w:rsid w:val="00DC38C4"/>
    <w:rsid w:val="00DC3A84"/>
    <w:rsid w:val="00DC3B36"/>
    <w:rsid w:val="00DC3B4C"/>
    <w:rsid w:val="00DC3B57"/>
    <w:rsid w:val="00DC3C08"/>
    <w:rsid w:val="00DC3D50"/>
    <w:rsid w:val="00DC3F0F"/>
    <w:rsid w:val="00DC3FB2"/>
    <w:rsid w:val="00DC41D7"/>
    <w:rsid w:val="00DC4212"/>
    <w:rsid w:val="00DC4244"/>
    <w:rsid w:val="00DC432E"/>
    <w:rsid w:val="00DC439A"/>
    <w:rsid w:val="00DC4450"/>
    <w:rsid w:val="00DC4549"/>
    <w:rsid w:val="00DC497D"/>
    <w:rsid w:val="00DC4AC5"/>
    <w:rsid w:val="00DC4D65"/>
    <w:rsid w:val="00DC4F00"/>
    <w:rsid w:val="00DC4F64"/>
    <w:rsid w:val="00DC4FBE"/>
    <w:rsid w:val="00DC52BD"/>
    <w:rsid w:val="00DC52FD"/>
    <w:rsid w:val="00DC59CD"/>
    <w:rsid w:val="00DC5AEE"/>
    <w:rsid w:val="00DC5CFC"/>
    <w:rsid w:val="00DC6088"/>
    <w:rsid w:val="00DC613C"/>
    <w:rsid w:val="00DC616E"/>
    <w:rsid w:val="00DC63A7"/>
    <w:rsid w:val="00DC63C9"/>
    <w:rsid w:val="00DC69D4"/>
    <w:rsid w:val="00DC6A00"/>
    <w:rsid w:val="00DC6B23"/>
    <w:rsid w:val="00DC6C95"/>
    <w:rsid w:val="00DC6CE4"/>
    <w:rsid w:val="00DC6DE3"/>
    <w:rsid w:val="00DC70EC"/>
    <w:rsid w:val="00DC722A"/>
    <w:rsid w:val="00DC7274"/>
    <w:rsid w:val="00DC72AF"/>
    <w:rsid w:val="00DC74FB"/>
    <w:rsid w:val="00DC7704"/>
    <w:rsid w:val="00DC77B4"/>
    <w:rsid w:val="00DC78FC"/>
    <w:rsid w:val="00DC7BB4"/>
    <w:rsid w:val="00DC7CF7"/>
    <w:rsid w:val="00DC7F89"/>
    <w:rsid w:val="00DC7FD9"/>
    <w:rsid w:val="00DD0048"/>
    <w:rsid w:val="00DD00D5"/>
    <w:rsid w:val="00DD04EA"/>
    <w:rsid w:val="00DD050C"/>
    <w:rsid w:val="00DD0516"/>
    <w:rsid w:val="00DD05B0"/>
    <w:rsid w:val="00DD08C0"/>
    <w:rsid w:val="00DD0C72"/>
    <w:rsid w:val="00DD0C95"/>
    <w:rsid w:val="00DD0EF2"/>
    <w:rsid w:val="00DD10C2"/>
    <w:rsid w:val="00DD1330"/>
    <w:rsid w:val="00DD138F"/>
    <w:rsid w:val="00DD13BD"/>
    <w:rsid w:val="00DD1407"/>
    <w:rsid w:val="00DD166F"/>
    <w:rsid w:val="00DD1701"/>
    <w:rsid w:val="00DD18C8"/>
    <w:rsid w:val="00DD1935"/>
    <w:rsid w:val="00DD1AB1"/>
    <w:rsid w:val="00DD1ADD"/>
    <w:rsid w:val="00DD1CF5"/>
    <w:rsid w:val="00DD1D3B"/>
    <w:rsid w:val="00DD1DF0"/>
    <w:rsid w:val="00DD1E62"/>
    <w:rsid w:val="00DD21EA"/>
    <w:rsid w:val="00DD232A"/>
    <w:rsid w:val="00DD2450"/>
    <w:rsid w:val="00DD258D"/>
    <w:rsid w:val="00DD25A2"/>
    <w:rsid w:val="00DD2698"/>
    <w:rsid w:val="00DD26C6"/>
    <w:rsid w:val="00DD271A"/>
    <w:rsid w:val="00DD284F"/>
    <w:rsid w:val="00DD2AC3"/>
    <w:rsid w:val="00DD2AFC"/>
    <w:rsid w:val="00DD2B77"/>
    <w:rsid w:val="00DD2B91"/>
    <w:rsid w:val="00DD2C87"/>
    <w:rsid w:val="00DD3400"/>
    <w:rsid w:val="00DD3686"/>
    <w:rsid w:val="00DD370B"/>
    <w:rsid w:val="00DD378E"/>
    <w:rsid w:val="00DD3A59"/>
    <w:rsid w:val="00DD3BF4"/>
    <w:rsid w:val="00DD3D2A"/>
    <w:rsid w:val="00DD3E6A"/>
    <w:rsid w:val="00DD403F"/>
    <w:rsid w:val="00DD422A"/>
    <w:rsid w:val="00DD42D4"/>
    <w:rsid w:val="00DD4479"/>
    <w:rsid w:val="00DD453B"/>
    <w:rsid w:val="00DD466B"/>
    <w:rsid w:val="00DD4780"/>
    <w:rsid w:val="00DD48D1"/>
    <w:rsid w:val="00DD496C"/>
    <w:rsid w:val="00DD4BF7"/>
    <w:rsid w:val="00DD4CC2"/>
    <w:rsid w:val="00DD5274"/>
    <w:rsid w:val="00DD53DE"/>
    <w:rsid w:val="00DD53FF"/>
    <w:rsid w:val="00DD563F"/>
    <w:rsid w:val="00DD5650"/>
    <w:rsid w:val="00DD5946"/>
    <w:rsid w:val="00DD5985"/>
    <w:rsid w:val="00DD5D9D"/>
    <w:rsid w:val="00DD637B"/>
    <w:rsid w:val="00DD638E"/>
    <w:rsid w:val="00DD6840"/>
    <w:rsid w:val="00DD6904"/>
    <w:rsid w:val="00DD6988"/>
    <w:rsid w:val="00DD6C43"/>
    <w:rsid w:val="00DD6DFD"/>
    <w:rsid w:val="00DD6E3F"/>
    <w:rsid w:val="00DD6F59"/>
    <w:rsid w:val="00DD6F90"/>
    <w:rsid w:val="00DD6FBF"/>
    <w:rsid w:val="00DD72A6"/>
    <w:rsid w:val="00DD7332"/>
    <w:rsid w:val="00DD7491"/>
    <w:rsid w:val="00DD7699"/>
    <w:rsid w:val="00DD7858"/>
    <w:rsid w:val="00DD79A7"/>
    <w:rsid w:val="00DD7AA9"/>
    <w:rsid w:val="00DD7CE7"/>
    <w:rsid w:val="00DD7FCF"/>
    <w:rsid w:val="00DE0057"/>
    <w:rsid w:val="00DE00AD"/>
    <w:rsid w:val="00DE028D"/>
    <w:rsid w:val="00DE02A7"/>
    <w:rsid w:val="00DE02C1"/>
    <w:rsid w:val="00DE02CF"/>
    <w:rsid w:val="00DE046A"/>
    <w:rsid w:val="00DE05DB"/>
    <w:rsid w:val="00DE0688"/>
    <w:rsid w:val="00DE0784"/>
    <w:rsid w:val="00DE0A25"/>
    <w:rsid w:val="00DE0A7A"/>
    <w:rsid w:val="00DE0CE4"/>
    <w:rsid w:val="00DE0DBD"/>
    <w:rsid w:val="00DE0F37"/>
    <w:rsid w:val="00DE0F6D"/>
    <w:rsid w:val="00DE0FC7"/>
    <w:rsid w:val="00DE101D"/>
    <w:rsid w:val="00DE1331"/>
    <w:rsid w:val="00DE1345"/>
    <w:rsid w:val="00DE1472"/>
    <w:rsid w:val="00DE1716"/>
    <w:rsid w:val="00DE1904"/>
    <w:rsid w:val="00DE1ABC"/>
    <w:rsid w:val="00DE1C46"/>
    <w:rsid w:val="00DE1E07"/>
    <w:rsid w:val="00DE1E9A"/>
    <w:rsid w:val="00DE1FC9"/>
    <w:rsid w:val="00DE20C3"/>
    <w:rsid w:val="00DE2163"/>
    <w:rsid w:val="00DE23D0"/>
    <w:rsid w:val="00DE2E2F"/>
    <w:rsid w:val="00DE30C4"/>
    <w:rsid w:val="00DE343E"/>
    <w:rsid w:val="00DE3810"/>
    <w:rsid w:val="00DE3893"/>
    <w:rsid w:val="00DE38D5"/>
    <w:rsid w:val="00DE3B5E"/>
    <w:rsid w:val="00DE3C7C"/>
    <w:rsid w:val="00DE3D76"/>
    <w:rsid w:val="00DE3DB2"/>
    <w:rsid w:val="00DE3F39"/>
    <w:rsid w:val="00DE3FCA"/>
    <w:rsid w:val="00DE40C6"/>
    <w:rsid w:val="00DE42CA"/>
    <w:rsid w:val="00DE4399"/>
    <w:rsid w:val="00DE4719"/>
    <w:rsid w:val="00DE48BC"/>
    <w:rsid w:val="00DE4988"/>
    <w:rsid w:val="00DE49F6"/>
    <w:rsid w:val="00DE4BE5"/>
    <w:rsid w:val="00DE4C11"/>
    <w:rsid w:val="00DE4D88"/>
    <w:rsid w:val="00DE55E0"/>
    <w:rsid w:val="00DE5B5B"/>
    <w:rsid w:val="00DE5C12"/>
    <w:rsid w:val="00DE5C42"/>
    <w:rsid w:val="00DE64AA"/>
    <w:rsid w:val="00DE653B"/>
    <w:rsid w:val="00DE6879"/>
    <w:rsid w:val="00DE68B0"/>
    <w:rsid w:val="00DE6CCD"/>
    <w:rsid w:val="00DE6CF4"/>
    <w:rsid w:val="00DE6EAD"/>
    <w:rsid w:val="00DE78E0"/>
    <w:rsid w:val="00DE7A5E"/>
    <w:rsid w:val="00DE7E86"/>
    <w:rsid w:val="00DE7EFC"/>
    <w:rsid w:val="00DF00D3"/>
    <w:rsid w:val="00DF02D8"/>
    <w:rsid w:val="00DF03A8"/>
    <w:rsid w:val="00DF03F4"/>
    <w:rsid w:val="00DF0467"/>
    <w:rsid w:val="00DF0A45"/>
    <w:rsid w:val="00DF0A57"/>
    <w:rsid w:val="00DF0B8E"/>
    <w:rsid w:val="00DF0CAA"/>
    <w:rsid w:val="00DF0D48"/>
    <w:rsid w:val="00DF0EA6"/>
    <w:rsid w:val="00DF12F2"/>
    <w:rsid w:val="00DF13CB"/>
    <w:rsid w:val="00DF1602"/>
    <w:rsid w:val="00DF1996"/>
    <w:rsid w:val="00DF1B9B"/>
    <w:rsid w:val="00DF1F13"/>
    <w:rsid w:val="00DF1F3E"/>
    <w:rsid w:val="00DF24EA"/>
    <w:rsid w:val="00DF26DD"/>
    <w:rsid w:val="00DF2928"/>
    <w:rsid w:val="00DF29F6"/>
    <w:rsid w:val="00DF2A84"/>
    <w:rsid w:val="00DF2AB9"/>
    <w:rsid w:val="00DF2B46"/>
    <w:rsid w:val="00DF2E00"/>
    <w:rsid w:val="00DF2F47"/>
    <w:rsid w:val="00DF2FFF"/>
    <w:rsid w:val="00DF3036"/>
    <w:rsid w:val="00DF3E40"/>
    <w:rsid w:val="00DF44B7"/>
    <w:rsid w:val="00DF4523"/>
    <w:rsid w:val="00DF452D"/>
    <w:rsid w:val="00DF475B"/>
    <w:rsid w:val="00DF4916"/>
    <w:rsid w:val="00DF4A68"/>
    <w:rsid w:val="00DF4D6D"/>
    <w:rsid w:val="00DF4FB0"/>
    <w:rsid w:val="00DF5079"/>
    <w:rsid w:val="00DF597E"/>
    <w:rsid w:val="00DF5BC4"/>
    <w:rsid w:val="00DF5F64"/>
    <w:rsid w:val="00DF612E"/>
    <w:rsid w:val="00DF61E2"/>
    <w:rsid w:val="00DF6258"/>
    <w:rsid w:val="00DF6470"/>
    <w:rsid w:val="00DF6CAE"/>
    <w:rsid w:val="00DF6ED9"/>
    <w:rsid w:val="00DF70B7"/>
    <w:rsid w:val="00DF7510"/>
    <w:rsid w:val="00DF752E"/>
    <w:rsid w:val="00DF75D3"/>
    <w:rsid w:val="00DF7D06"/>
    <w:rsid w:val="00DF7FD1"/>
    <w:rsid w:val="00E00092"/>
    <w:rsid w:val="00E000B2"/>
    <w:rsid w:val="00E00149"/>
    <w:rsid w:val="00E004C8"/>
    <w:rsid w:val="00E0066F"/>
    <w:rsid w:val="00E00A54"/>
    <w:rsid w:val="00E00C79"/>
    <w:rsid w:val="00E00E2F"/>
    <w:rsid w:val="00E00EE2"/>
    <w:rsid w:val="00E010A7"/>
    <w:rsid w:val="00E0141D"/>
    <w:rsid w:val="00E01688"/>
    <w:rsid w:val="00E016E6"/>
    <w:rsid w:val="00E017CF"/>
    <w:rsid w:val="00E01928"/>
    <w:rsid w:val="00E01A1E"/>
    <w:rsid w:val="00E01B5A"/>
    <w:rsid w:val="00E01C75"/>
    <w:rsid w:val="00E01CE0"/>
    <w:rsid w:val="00E01D34"/>
    <w:rsid w:val="00E01FB7"/>
    <w:rsid w:val="00E022B3"/>
    <w:rsid w:val="00E022D2"/>
    <w:rsid w:val="00E0239B"/>
    <w:rsid w:val="00E023E0"/>
    <w:rsid w:val="00E0257A"/>
    <w:rsid w:val="00E025F4"/>
    <w:rsid w:val="00E0284F"/>
    <w:rsid w:val="00E029DD"/>
    <w:rsid w:val="00E02CF7"/>
    <w:rsid w:val="00E030B5"/>
    <w:rsid w:val="00E03249"/>
    <w:rsid w:val="00E03392"/>
    <w:rsid w:val="00E035AF"/>
    <w:rsid w:val="00E039C9"/>
    <w:rsid w:val="00E03D5F"/>
    <w:rsid w:val="00E03E1F"/>
    <w:rsid w:val="00E03E4C"/>
    <w:rsid w:val="00E0400B"/>
    <w:rsid w:val="00E0400D"/>
    <w:rsid w:val="00E04175"/>
    <w:rsid w:val="00E04453"/>
    <w:rsid w:val="00E0445E"/>
    <w:rsid w:val="00E044E9"/>
    <w:rsid w:val="00E0457A"/>
    <w:rsid w:val="00E04584"/>
    <w:rsid w:val="00E0458A"/>
    <w:rsid w:val="00E04856"/>
    <w:rsid w:val="00E04980"/>
    <w:rsid w:val="00E049E2"/>
    <w:rsid w:val="00E04A05"/>
    <w:rsid w:val="00E04A91"/>
    <w:rsid w:val="00E04E00"/>
    <w:rsid w:val="00E04E1D"/>
    <w:rsid w:val="00E04EB3"/>
    <w:rsid w:val="00E05012"/>
    <w:rsid w:val="00E05600"/>
    <w:rsid w:val="00E058F5"/>
    <w:rsid w:val="00E05B51"/>
    <w:rsid w:val="00E05B87"/>
    <w:rsid w:val="00E0607F"/>
    <w:rsid w:val="00E0617A"/>
    <w:rsid w:val="00E062AD"/>
    <w:rsid w:val="00E06459"/>
    <w:rsid w:val="00E0651F"/>
    <w:rsid w:val="00E06568"/>
    <w:rsid w:val="00E065E2"/>
    <w:rsid w:val="00E067D6"/>
    <w:rsid w:val="00E06BB9"/>
    <w:rsid w:val="00E06BCD"/>
    <w:rsid w:val="00E06C60"/>
    <w:rsid w:val="00E06EB5"/>
    <w:rsid w:val="00E070F1"/>
    <w:rsid w:val="00E070FC"/>
    <w:rsid w:val="00E07156"/>
    <w:rsid w:val="00E072F9"/>
    <w:rsid w:val="00E073AD"/>
    <w:rsid w:val="00E076A6"/>
    <w:rsid w:val="00E079A5"/>
    <w:rsid w:val="00E07D5E"/>
    <w:rsid w:val="00E07EC5"/>
    <w:rsid w:val="00E07EDD"/>
    <w:rsid w:val="00E104F1"/>
    <w:rsid w:val="00E1066F"/>
    <w:rsid w:val="00E10671"/>
    <w:rsid w:val="00E106C0"/>
    <w:rsid w:val="00E108E9"/>
    <w:rsid w:val="00E10989"/>
    <w:rsid w:val="00E109B1"/>
    <w:rsid w:val="00E10C1C"/>
    <w:rsid w:val="00E10C9B"/>
    <w:rsid w:val="00E10D55"/>
    <w:rsid w:val="00E11267"/>
    <w:rsid w:val="00E112D9"/>
    <w:rsid w:val="00E114CE"/>
    <w:rsid w:val="00E1162D"/>
    <w:rsid w:val="00E11A56"/>
    <w:rsid w:val="00E11A82"/>
    <w:rsid w:val="00E11DB4"/>
    <w:rsid w:val="00E11DE1"/>
    <w:rsid w:val="00E11F89"/>
    <w:rsid w:val="00E11FA8"/>
    <w:rsid w:val="00E12049"/>
    <w:rsid w:val="00E120AC"/>
    <w:rsid w:val="00E1211A"/>
    <w:rsid w:val="00E12399"/>
    <w:rsid w:val="00E12497"/>
    <w:rsid w:val="00E124E9"/>
    <w:rsid w:val="00E12520"/>
    <w:rsid w:val="00E12534"/>
    <w:rsid w:val="00E12812"/>
    <w:rsid w:val="00E12854"/>
    <w:rsid w:val="00E13307"/>
    <w:rsid w:val="00E133A6"/>
    <w:rsid w:val="00E133FA"/>
    <w:rsid w:val="00E1355F"/>
    <w:rsid w:val="00E1366B"/>
    <w:rsid w:val="00E13700"/>
    <w:rsid w:val="00E1376D"/>
    <w:rsid w:val="00E13BC7"/>
    <w:rsid w:val="00E13BE9"/>
    <w:rsid w:val="00E13C29"/>
    <w:rsid w:val="00E13C5B"/>
    <w:rsid w:val="00E13DB5"/>
    <w:rsid w:val="00E13EAE"/>
    <w:rsid w:val="00E14179"/>
    <w:rsid w:val="00E1432B"/>
    <w:rsid w:val="00E14662"/>
    <w:rsid w:val="00E14943"/>
    <w:rsid w:val="00E14C5B"/>
    <w:rsid w:val="00E1522F"/>
    <w:rsid w:val="00E152A8"/>
    <w:rsid w:val="00E153D8"/>
    <w:rsid w:val="00E1545E"/>
    <w:rsid w:val="00E154FE"/>
    <w:rsid w:val="00E15734"/>
    <w:rsid w:val="00E15848"/>
    <w:rsid w:val="00E158F7"/>
    <w:rsid w:val="00E15A47"/>
    <w:rsid w:val="00E15B55"/>
    <w:rsid w:val="00E15DD6"/>
    <w:rsid w:val="00E15FE2"/>
    <w:rsid w:val="00E16289"/>
    <w:rsid w:val="00E1628C"/>
    <w:rsid w:val="00E16472"/>
    <w:rsid w:val="00E16AEB"/>
    <w:rsid w:val="00E17424"/>
    <w:rsid w:val="00E1763E"/>
    <w:rsid w:val="00E178D0"/>
    <w:rsid w:val="00E17B9E"/>
    <w:rsid w:val="00E17BFB"/>
    <w:rsid w:val="00E20283"/>
    <w:rsid w:val="00E204B6"/>
    <w:rsid w:val="00E20899"/>
    <w:rsid w:val="00E20908"/>
    <w:rsid w:val="00E209AC"/>
    <w:rsid w:val="00E20BD7"/>
    <w:rsid w:val="00E21050"/>
    <w:rsid w:val="00E21067"/>
    <w:rsid w:val="00E21076"/>
    <w:rsid w:val="00E21122"/>
    <w:rsid w:val="00E21270"/>
    <w:rsid w:val="00E213BB"/>
    <w:rsid w:val="00E213FD"/>
    <w:rsid w:val="00E2140C"/>
    <w:rsid w:val="00E21422"/>
    <w:rsid w:val="00E2185A"/>
    <w:rsid w:val="00E21943"/>
    <w:rsid w:val="00E219A1"/>
    <w:rsid w:val="00E21A1E"/>
    <w:rsid w:val="00E21A93"/>
    <w:rsid w:val="00E21B28"/>
    <w:rsid w:val="00E21F42"/>
    <w:rsid w:val="00E2214B"/>
    <w:rsid w:val="00E22190"/>
    <w:rsid w:val="00E2254D"/>
    <w:rsid w:val="00E2289B"/>
    <w:rsid w:val="00E22998"/>
    <w:rsid w:val="00E22A5F"/>
    <w:rsid w:val="00E22AB9"/>
    <w:rsid w:val="00E22B47"/>
    <w:rsid w:val="00E22BBE"/>
    <w:rsid w:val="00E22CEE"/>
    <w:rsid w:val="00E22E7E"/>
    <w:rsid w:val="00E22FC9"/>
    <w:rsid w:val="00E23312"/>
    <w:rsid w:val="00E235DB"/>
    <w:rsid w:val="00E23664"/>
    <w:rsid w:val="00E23773"/>
    <w:rsid w:val="00E2380E"/>
    <w:rsid w:val="00E23989"/>
    <w:rsid w:val="00E23B9F"/>
    <w:rsid w:val="00E23D12"/>
    <w:rsid w:val="00E23D5F"/>
    <w:rsid w:val="00E23DEA"/>
    <w:rsid w:val="00E241B8"/>
    <w:rsid w:val="00E24270"/>
    <w:rsid w:val="00E24497"/>
    <w:rsid w:val="00E245C8"/>
    <w:rsid w:val="00E2487E"/>
    <w:rsid w:val="00E248B9"/>
    <w:rsid w:val="00E24B55"/>
    <w:rsid w:val="00E24FF5"/>
    <w:rsid w:val="00E25DBE"/>
    <w:rsid w:val="00E26121"/>
    <w:rsid w:val="00E2625C"/>
    <w:rsid w:val="00E263ED"/>
    <w:rsid w:val="00E2640B"/>
    <w:rsid w:val="00E264C2"/>
    <w:rsid w:val="00E266C6"/>
    <w:rsid w:val="00E26735"/>
    <w:rsid w:val="00E267A1"/>
    <w:rsid w:val="00E26BB8"/>
    <w:rsid w:val="00E26EAD"/>
    <w:rsid w:val="00E26FF0"/>
    <w:rsid w:val="00E27222"/>
    <w:rsid w:val="00E2725B"/>
    <w:rsid w:val="00E27303"/>
    <w:rsid w:val="00E275D6"/>
    <w:rsid w:val="00E276FC"/>
    <w:rsid w:val="00E2796F"/>
    <w:rsid w:val="00E27A0B"/>
    <w:rsid w:val="00E27A3A"/>
    <w:rsid w:val="00E27B11"/>
    <w:rsid w:val="00E27BA8"/>
    <w:rsid w:val="00E27BF9"/>
    <w:rsid w:val="00E27C9A"/>
    <w:rsid w:val="00E27EF4"/>
    <w:rsid w:val="00E27F13"/>
    <w:rsid w:val="00E30182"/>
    <w:rsid w:val="00E3047E"/>
    <w:rsid w:val="00E30631"/>
    <w:rsid w:val="00E30866"/>
    <w:rsid w:val="00E30997"/>
    <w:rsid w:val="00E30A5D"/>
    <w:rsid w:val="00E30BBA"/>
    <w:rsid w:val="00E30C5D"/>
    <w:rsid w:val="00E30D7D"/>
    <w:rsid w:val="00E30ECF"/>
    <w:rsid w:val="00E30FAC"/>
    <w:rsid w:val="00E31004"/>
    <w:rsid w:val="00E31112"/>
    <w:rsid w:val="00E31255"/>
    <w:rsid w:val="00E312AE"/>
    <w:rsid w:val="00E314A7"/>
    <w:rsid w:val="00E3168B"/>
    <w:rsid w:val="00E31836"/>
    <w:rsid w:val="00E3187E"/>
    <w:rsid w:val="00E31DFB"/>
    <w:rsid w:val="00E31E81"/>
    <w:rsid w:val="00E31F6E"/>
    <w:rsid w:val="00E32085"/>
    <w:rsid w:val="00E3216C"/>
    <w:rsid w:val="00E3231D"/>
    <w:rsid w:val="00E3240F"/>
    <w:rsid w:val="00E324F9"/>
    <w:rsid w:val="00E3253B"/>
    <w:rsid w:val="00E3287A"/>
    <w:rsid w:val="00E32910"/>
    <w:rsid w:val="00E32A44"/>
    <w:rsid w:val="00E32B08"/>
    <w:rsid w:val="00E32B35"/>
    <w:rsid w:val="00E32F80"/>
    <w:rsid w:val="00E33152"/>
    <w:rsid w:val="00E3320C"/>
    <w:rsid w:val="00E33254"/>
    <w:rsid w:val="00E3362B"/>
    <w:rsid w:val="00E3367F"/>
    <w:rsid w:val="00E337A0"/>
    <w:rsid w:val="00E33D1E"/>
    <w:rsid w:val="00E34079"/>
    <w:rsid w:val="00E340DD"/>
    <w:rsid w:val="00E34107"/>
    <w:rsid w:val="00E341FA"/>
    <w:rsid w:val="00E344BD"/>
    <w:rsid w:val="00E348AB"/>
    <w:rsid w:val="00E34958"/>
    <w:rsid w:val="00E34AA3"/>
    <w:rsid w:val="00E34BC5"/>
    <w:rsid w:val="00E34D3A"/>
    <w:rsid w:val="00E34FAE"/>
    <w:rsid w:val="00E3521A"/>
    <w:rsid w:val="00E35287"/>
    <w:rsid w:val="00E35546"/>
    <w:rsid w:val="00E3595A"/>
    <w:rsid w:val="00E359C9"/>
    <w:rsid w:val="00E35D72"/>
    <w:rsid w:val="00E35E8F"/>
    <w:rsid w:val="00E35EA8"/>
    <w:rsid w:val="00E36156"/>
    <w:rsid w:val="00E362E3"/>
    <w:rsid w:val="00E3636C"/>
    <w:rsid w:val="00E3639D"/>
    <w:rsid w:val="00E364B4"/>
    <w:rsid w:val="00E3674F"/>
    <w:rsid w:val="00E367D7"/>
    <w:rsid w:val="00E36987"/>
    <w:rsid w:val="00E36F6B"/>
    <w:rsid w:val="00E37100"/>
    <w:rsid w:val="00E37177"/>
    <w:rsid w:val="00E373AB"/>
    <w:rsid w:val="00E373EC"/>
    <w:rsid w:val="00E375BE"/>
    <w:rsid w:val="00E375DD"/>
    <w:rsid w:val="00E37770"/>
    <w:rsid w:val="00E37797"/>
    <w:rsid w:val="00E378A8"/>
    <w:rsid w:val="00E37906"/>
    <w:rsid w:val="00E37976"/>
    <w:rsid w:val="00E37E9F"/>
    <w:rsid w:val="00E40402"/>
    <w:rsid w:val="00E40586"/>
    <w:rsid w:val="00E405B1"/>
    <w:rsid w:val="00E405D6"/>
    <w:rsid w:val="00E4072C"/>
    <w:rsid w:val="00E4073D"/>
    <w:rsid w:val="00E40B27"/>
    <w:rsid w:val="00E40CD6"/>
    <w:rsid w:val="00E4117F"/>
    <w:rsid w:val="00E411B4"/>
    <w:rsid w:val="00E41505"/>
    <w:rsid w:val="00E41629"/>
    <w:rsid w:val="00E4171F"/>
    <w:rsid w:val="00E41B06"/>
    <w:rsid w:val="00E4200E"/>
    <w:rsid w:val="00E420EA"/>
    <w:rsid w:val="00E42232"/>
    <w:rsid w:val="00E42716"/>
    <w:rsid w:val="00E4277A"/>
    <w:rsid w:val="00E4280E"/>
    <w:rsid w:val="00E42890"/>
    <w:rsid w:val="00E428C7"/>
    <w:rsid w:val="00E42AF7"/>
    <w:rsid w:val="00E42E54"/>
    <w:rsid w:val="00E43055"/>
    <w:rsid w:val="00E430DA"/>
    <w:rsid w:val="00E4326A"/>
    <w:rsid w:val="00E432E8"/>
    <w:rsid w:val="00E4369D"/>
    <w:rsid w:val="00E4379E"/>
    <w:rsid w:val="00E438AD"/>
    <w:rsid w:val="00E43A15"/>
    <w:rsid w:val="00E43B78"/>
    <w:rsid w:val="00E43DC8"/>
    <w:rsid w:val="00E43EE7"/>
    <w:rsid w:val="00E43FFC"/>
    <w:rsid w:val="00E445BB"/>
    <w:rsid w:val="00E446CE"/>
    <w:rsid w:val="00E44781"/>
    <w:rsid w:val="00E4485A"/>
    <w:rsid w:val="00E449BE"/>
    <w:rsid w:val="00E449DF"/>
    <w:rsid w:val="00E44AC0"/>
    <w:rsid w:val="00E44BB4"/>
    <w:rsid w:val="00E44C64"/>
    <w:rsid w:val="00E44CF3"/>
    <w:rsid w:val="00E44DA3"/>
    <w:rsid w:val="00E452BB"/>
    <w:rsid w:val="00E454F3"/>
    <w:rsid w:val="00E455D4"/>
    <w:rsid w:val="00E457F0"/>
    <w:rsid w:val="00E45971"/>
    <w:rsid w:val="00E45A21"/>
    <w:rsid w:val="00E45A53"/>
    <w:rsid w:val="00E45D3B"/>
    <w:rsid w:val="00E45DB1"/>
    <w:rsid w:val="00E46070"/>
    <w:rsid w:val="00E46132"/>
    <w:rsid w:val="00E46223"/>
    <w:rsid w:val="00E46403"/>
    <w:rsid w:val="00E464FC"/>
    <w:rsid w:val="00E46BDE"/>
    <w:rsid w:val="00E46C3E"/>
    <w:rsid w:val="00E46C6D"/>
    <w:rsid w:val="00E46F1D"/>
    <w:rsid w:val="00E4703F"/>
    <w:rsid w:val="00E47336"/>
    <w:rsid w:val="00E47694"/>
    <w:rsid w:val="00E478D7"/>
    <w:rsid w:val="00E47980"/>
    <w:rsid w:val="00E47D9B"/>
    <w:rsid w:val="00E47DDE"/>
    <w:rsid w:val="00E5003F"/>
    <w:rsid w:val="00E503B4"/>
    <w:rsid w:val="00E50636"/>
    <w:rsid w:val="00E50711"/>
    <w:rsid w:val="00E5079A"/>
    <w:rsid w:val="00E50E14"/>
    <w:rsid w:val="00E50ECD"/>
    <w:rsid w:val="00E51008"/>
    <w:rsid w:val="00E5112A"/>
    <w:rsid w:val="00E511F2"/>
    <w:rsid w:val="00E5136D"/>
    <w:rsid w:val="00E51A29"/>
    <w:rsid w:val="00E51B68"/>
    <w:rsid w:val="00E51BEF"/>
    <w:rsid w:val="00E51C78"/>
    <w:rsid w:val="00E51F61"/>
    <w:rsid w:val="00E5203C"/>
    <w:rsid w:val="00E52075"/>
    <w:rsid w:val="00E5220F"/>
    <w:rsid w:val="00E52983"/>
    <w:rsid w:val="00E52A04"/>
    <w:rsid w:val="00E52A37"/>
    <w:rsid w:val="00E52ADE"/>
    <w:rsid w:val="00E52CE2"/>
    <w:rsid w:val="00E52D08"/>
    <w:rsid w:val="00E530C1"/>
    <w:rsid w:val="00E53395"/>
    <w:rsid w:val="00E533CB"/>
    <w:rsid w:val="00E53698"/>
    <w:rsid w:val="00E5374C"/>
    <w:rsid w:val="00E5376D"/>
    <w:rsid w:val="00E53946"/>
    <w:rsid w:val="00E53BDB"/>
    <w:rsid w:val="00E53D05"/>
    <w:rsid w:val="00E53F16"/>
    <w:rsid w:val="00E54176"/>
    <w:rsid w:val="00E541E7"/>
    <w:rsid w:val="00E54413"/>
    <w:rsid w:val="00E547E5"/>
    <w:rsid w:val="00E54820"/>
    <w:rsid w:val="00E54A29"/>
    <w:rsid w:val="00E54B39"/>
    <w:rsid w:val="00E54C35"/>
    <w:rsid w:val="00E54EE1"/>
    <w:rsid w:val="00E553BB"/>
    <w:rsid w:val="00E553D3"/>
    <w:rsid w:val="00E5546E"/>
    <w:rsid w:val="00E5551B"/>
    <w:rsid w:val="00E556D0"/>
    <w:rsid w:val="00E5579C"/>
    <w:rsid w:val="00E55821"/>
    <w:rsid w:val="00E55858"/>
    <w:rsid w:val="00E55A79"/>
    <w:rsid w:val="00E56039"/>
    <w:rsid w:val="00E560A4"/>
    <w:rsid w:val="00E5627A"/>
    <w:rsid w:val="00E5629C"/>
    <w:rsid w:val="00E568A8"/>
    <w:rsid w:val="00E5694F"/>
    <w:rsid w:val="00E56A88"/>
    <w:rsid w:val="00E56E1C"/>
    <w:rsid w:val="00E56E33"/>
    <w:rsid w:val="00E56E3F"/>
    <w:rsid w:val="00E57085"/>
    <w:rsid w:val="00E5748C"/>
    <w:rsid w:val="00E57571"/>
    <w:rsid w:val="00E57796"/>
    <w:rsid w:val="00E57914"/>
    <w:rsid w:val="00E57969"/>
    <w:rsid w:val="00E57A70"/>
    <w:rsid w:val="00E57AD1"/>
    <w:rsid w:val="00E57DAC"/>
    <w:rsid w:val="00E57DC6"/>
    <w:rsid w:val="00E57FEE"/>
    <w:rsid w:val="00E60295"/>
    <w:rsid w:val="00E604F7"/>
    <w:rsid w:val="00E6050F"/>
    <w:rsid w:val="00E606F1"/>
    <w:rsid w:val="00E60880"/>
    <w:rsid w:val="00E60C17"/>
    <w:rsid w:val="00E60EB8"/>
    <w:rsid w:val="00E60F38"/>
    <w:rsid w:val="00E61048"/>
    <w:rsid w:val="00E6113E"/>
    <w:rsid w:val="00E611EC"/>
    <w:rsid w:val="00E61273"/>
    <w:rsid w:val="00E61410"/>
    <w:rsid w:val="00E61557"/>
    <w:rsid w:val="00E617DC"/>
    <w:rsid w:val="00E617F4"/>
    <w:rsid w:val="00E61A77"/>
    <w:rsid w:val="00E61F35"/>
    <w:rsid w:val="00E620D9"/>
    <w:rsid w:val="00E62392"/>
    <w:rsid w:val="00E6256C"/>
    <w:rsid w:val="00E6297B"/>
    <w:rsid w:val="00E629FA"/>
    <w:rsid w:val="00E62D3B"/>
    <w:rsid w:val="00E6320D"/>
    <w:rsid w:val="00E633AC"/>
    <w:rsid w:val="00E637EC"/>
    <w:rsid w:val="00E63AF9"/>
    <w:rsid w:val="00E63D29"/>
    <w:rsid w:val="00E63D5F"/>
    <w:rsid w:val="00E63D7B"/>
    <w:rsid w:val="00E63F14"/>
    <w:rsid w:val="00E6416A"/>
    <w:rsid w:val="00E64C7E"/>
    <w:rsid w:val="00E64CB3"/>
    <w:rsid w:val="00E64CBE"/>
    <w:rsid w:val="00E64D5B"/>
    <w:rsid w:val="00E64DBE"/>
    <w:rsid w:val="00E64E48"/>
    <w:rsid w:val="00E6506D"/>
    <w:rsid w:val="00E65180"/>
    <w:rsid w:val="00E652CB"/>
    <w:rsid w:val="00E65807"/>
    <w:rsid w:val="00E659E1"/>
    <w:rsid w:val="00E65B11"/>
    <w:rsid w:val="00E65C13"/>
    <w:rsid w:val="00E65F0A"/>
    <w:rsid w:val="00E65FF3"/>
    <w:rsid w:val="00E66235"/>
    <w:rsid w:val="00E6643C"/>
    <w:rsid w:val="00E66455"/>
    <w:rsid w:val="00E6663E"/>
    <w:rsid w:val="00E66B4A"/>
    <w:rsid w:val="00E66C01"/>
    <w:rsid w:val="00E66E41"/>
    <w:rsid w:val="00E66F28"/>
    <w:rsid w:val="00E66FE8"/>
    <w:rsid w:val="00E6709F"/>
    <w:rsid w:val="00E67224"/>
    <w:rsid w:val="00E673DA"/>
    <w:rsid w:val="00E6743E"/>
    <w:rsid w:val="00E67471"/>
    <w:rsid w:val="00E674B6"/>
    <w:rsid w:val="00E67783"/>
    <w:rsid w:val="00E6786B"/>
    <w:rsid w:val="00E700B4"/>
    <w:rsid w:val="00E70315"/>
    <w:rsid w:val="00E703A9"/>
    <w:rsid w:val="00E70670"/>
    <w:rsid w:val="00E70780"/>
    <w:rsid w:val="00E70BEC"/>
    <w:rsid w:val="00E70CE6"/>
    <w:rsid w:val="00E70F96"/>
    <w:rsid w:val="00E70FDA"/>
    <w:rsid w:val="00E710D6"/>
    <w:rsid w:val="00E712E6"/>
    <w:rsid w:val="00E716A8"/>
    <w:rsid w:val="00E717C3"/>
    <w:rsid w:val="00E718FF"/>
    <w:rsid w:val="00E71A4F"/>
    <w:rsid w:val="00E71BF4"/>
    <w:rsid w:val="00E71CC5"/>
    <w:rsid w:val="00E71DC1"/>
    <w:rsid w:val="00E71E1C"/>
    <w:rsid w:val="00E7213B"/>
    <w:rsid w:val="00E723CF"/>
    <w:rsid w:val="00E727FE"/>
    <w:rsid w:val="00E72942"/>
    <w:rsid w:val="00E72CB1"/>
    <w:rsid w:val="00E72CB9"/>
    <w:rsid w:val="00E731BD"/>
    <w:rsid w:val="00E73225"/>
    <w:rsid w:val="00E7360E"/>
    <w:rsid w:val="00E73619"/>
    <w:rsid w:val="00E73620"/>
    <w:rsid w:val="00E7378A"/>
    <w:rsid w:val="00E73826"/>
    <w:rsid w:val="00E73B46"/>
    <w:rsid w:val="00E73EF5"/>
    <w:rsid w:val="00E7428D"/>
    <w:rsid w:val="00E744A6"/>
    <w:rsid w:val="00E747C3"/>
    <w:rsid w:val="00E74AF9"/>
    <w:rsid w:val="00E74B7B"/>
    <w:rsid w:val="00E74E32"/>
    <w:rsid w:val="00E74F70"/>
    <w:rsid w:val="00E752C6"/>
    <w:rsid w:val="00E753D2"/>
    <w:rsid w:val="00E754AA"/>
    <w:rsid w:val="00E75582"/>
    <w:rsid w:val="00E755B5"/>
    <w:rsid w:val="00E75F8B"/>
    <w:rsid w:val="00E7615C"/>
    <w:rsid w:val="00E76545"/>
    <w:rsid w:val="00E76848"/>
    <w:rsid w:val="00E769A7"/>
    <w:rsid w:val="00E76A30"/>
    <w:rsid w:val="00E76E0E"/>
    <w:rsid w:val="00E76E83"/>
    <w:rsid w:val="00E76EC6"/>
    <w:rsid w:val="00E77024"/>
    <w:rsid w:val="00E776C7"/>
    <w:rsid w:val="00E77824"/>
    <w:rsid w:val="00E778F7"/>
    <w:rsid w:val="00E77909"/>
    <w:rsid w:val="00E779BC"/>
    <w:rsid w:val="00E779EF"/>
    <w:rsid w:val="00E77E82"/>
    <w:rsid w:val="00E801FC"/>
    <w:rsid w:val="00E802F5"/>
    <w:rsid w:val="00E803EC"/>
    <w:rsid w:val="00E804BE"/>
    <w:rsid w:val="00E80862"/>
    <w:rsid w:val="00E808BC"/>
    <w:rsid w:val="00E8095A"/>
    <w:rsid w:val="00E8099E"/>
    <w:rsid w:val="00E80D0D"/>
    <w:rsid w:val="00E80E5F"/>
    <w:rsid w:val="00E80FF1"/>
    <w:rsid w:val="00E811C5"/>
    <w:rsid w:val="00E81244"/>
    <w:rsid w:val="00E812A6"/>
    <w:rsid w:val="00E81331"/>
    <w:rsid w:val="00E814B3"/>
    <w:rsid w:val="00E816CC"/>
    <w:rsid w:val="00E81871"/>
    <w:rsid w:val="00E81941"/>
    <w:rsid w:val="00E81BE3"/>
    <w:rsid w:val="00E81F33"/>
    <w:rsid w:val="00E8213A"/>
    <w:rsid w:val="00E821BF"/>
    <w:rsid w:val="00E821DF"/>
    <w:rsid w:val="00E8265D"/>
    <w:rsid w:val="00E828B0"/>
    <w:rsid w:val="00E82B80"/>
    <w:rsid w:val="00E82BE4"/>
    <w:rsid w:val="00E82C4F"/>
    <w:rsid w:val="00E82EE5"/>
    <w:rsid w:val="00E8316E"/>
    <w:rsid w:val="00E831E1"/>
    <w:rsid w:val="00E8323C"/>
    <w:rsid w:val="00E8349A"/>
    <w:rsid w:val="00E837BE"/>
    <w:rsid w:val="00E83853"/>
    <w:rsid w:val="00E83A81"/>
    <w:rsid w:val="00E83BE6"/>
    <w:rsid w:val="00E83BFD"/>
    <w:rsid w:val="00E83FA6"/>
    <w:rsid w:val="00E840E6"/>
    <w:rsid w:val="00E841D8"/>
    <w:rsid w:val="00E8428C"/>
    <w:rsid w:val="00E842AF"/>
    <w:rsid w:val="00E84409"/>
    <w:rsid w:val="00E84D78"/>
    <w:rsid w:val="00E84E6B"/>
    <w:rsid w:val="00E856F7"/>
    <w:rsid w:val="00E85820"/>
    <w:rsid w:val="00E85DC4"/>
    <w:rsid w:val="00E85DDA"/>
    <w:rsid w:val="00E85E3C"/>
    <w:rsid w:val="00E862A5"/>
    <w:rsid w:val="00E86484"/>
    <w:rsid w:val="00E86726"/>
    <w:rsid w:val="00E867EC"/>
    <w:rsid w:val="00E86AB4"/>
    <w:rsid w:val="00E86D4F"/>
    <w:rsid w:val="00E86F14"/>
    <w:rsid w:val="00E87364"/>
    <w:rsid w:val="00E87798"/>
    <w:rsid w:val="00E877E7"/>
    <w:rsid w:val="00E87984"/>
    <w:rsid w:val="00E87C6E"/>
    <w:rsid w:val="00E87CCD"/>
    <w:rsid w:val="00E87CEE"/>
    <w:rsid w:val="00E87EDC"/>
    <w:rsid w:val="00E90438"/>
    <w:rsid w:val="00E90460"/>
    <w:rsid w:val="00E906FA"/>
    <w:rsid w:val="00E90854"/>
    <w:rsid w:val="00E90875"/>
    <w:rsid w:val="00E9095B"/>
    <w:rsid w:val="00E9096B"/>
    <w:rsid w:val="00E90A53"/>
    <w:rsid w:val="00E90B08"/>
    <w:rsid w:val="00E90C51"/>
    <w:rsid w:val="00E90D4C"/>
    <w:rsid w:val="00E90F5C"/>
    <w:rsid w:val="00E9107C"/>
    <w:rsid w:val="00E91096"/>
    <w:rsid w:val="00E91172"/>
    <w:rsid w:val="00E91286"/>
    <w:rsid w:val="00E91353"/>
    <w:rsid w:val="00E914A4"/>
    <w:rsid w:val="00E919AF"/>
    <w:rsid w:val="00E9219C"/>
    <w:rsid w:val="00E923F1"/>
    <w:rsid w:val="00E92565"/>
    <w:rsid w:val="00E92A2E"/>
    <w:rsid w:val="00E92A31"/>
    <w:rsid w:val="00E93095"/>
    <w:rsid w:val="00E93357"/>
    <w:rsid w:val="00E935CA"/>
    <w:rsid w:val="00E935D2"/>
    <w:rsid w:val="00E935F8"/>
    <w:rsid w:val="00E93879"/>
    <w:rsid w:val="00E93958"/>
    <w:rsid w:val="00E93C57"/>
    <w:rsid w:val="00E93CC4"/>
    <w:rsid w:val="00E93D62"/>
    <w:rsid w:val="00E93E5F"/>
    <w:rsid w:val="00E93F08"/>
    <w:rsid w:val="00E93FDF"/>
    <w:rsid w:val="00E93FF6"/>
    <w:rsid w:val="00E94220"/>
    <w:rsid w:val="00E942E3"/>
    <w:rsid w:val="00E94409"/>
    <w:rsid w:val="00E9448C"/>
    <w:rsid w:val="00E948C5"/>
    <w:rsid w:val="00E949AE"/>
    <w:rsid w:val="00E94EC9"/>
    <w:rsid w:val="00E94FBF"/>
    <w:rsid w:val="00E95074"/>
    <w:rsid w:val="00E9525E"/>
    <w:rsid w:val="00E95392"/>
    <w:rsid w:val="00E958CA"/>
    <w:rsid w:val="00E95C36"/>
    <w:rsid w:val="00E95C95"/>
    <w:rsid w:val="00E95C9F"/>
    <w:rsid w:val="00E96496"/>
    <w:rsid w:val="00E964A1"/>
    <w:rsid w:val="00E96595"/>
    <w:rsid w:val="00E965F8"/>
    <w:rsid w:val="00E966B7"/>
    <w:rsid w:val="00E968C0"/>
    <w:rsid w:val="00E9693C"/>
    <w:rsid w:val="00E96941"/>
    <w:rsid w:val="00E96AEC"/>
    <w:rsid w:val="00E9709C"/>
    <w:rsid w:val="00E9717A"/>
    <w:rsid w:val="00E97660"/>
    <w:rsid w:val="00E9778F"/>
    <w:rsid w:val="00E9790B"/>
    <w:rsid w:val="00E979AF"/>
    <w:rsid w:val="00E97B67"/>
    <w:rsid w:val="00E97D3E"/>
    <w:rsid w:val="00E97F1B"/>
    <w:rsid w:val="00E97F7E"/>
    <w:rsid w:val="00EA005B"/>
    <w:rsid w:val="00EA019B"/>
    <w:rsid w:val="00EA01E4"/>
    <w:rsid w:val="00EA0293"/>
    <w:rsid w:val="00EA0448"/>
    <w:rsid w:val="00EA0E92"/>
    <w:rsid w:val="00EA10DB"/>
    <w:rsid w:val="00EA1351"/>
    <w:rsid w:val="00EA1494"/>
    <w:rsid w:val="00EA161A"/>
    <w:rsid w:val="00EA1B7C"/>
    <w:rsid w:val="00EA1F7F"/>
    <w:rsid w:val="00EA210F"/>
    <w:rsid w:val="00EA216C"/>
    <w:rsid w:val="00EA2405"/>
    <w:rsid w:val="00EA25C7"/>
    <w:rsid w:val="00EA2889"/>
    <w:rsid w:val="00EA2955"/>
    <w:rsid w:val="00EA2C23"/>
    <w:rsid w:val="00EA2D91"/>
    <w:rsid w:val="00EA301E"/>
    <w:rsid w:val="00EA308C"/>
    <w:rsid w:val="00EA308F"/>
    <w:rsid w:val="00EA318B"/>
    <w:rsid w:val="00EA325F"/>
    <w:rsid w:val="00EA32EB"/>
    <w:rsid w:val="00EA340A"/>
    <w:rsid w:val="00EA34DD"/>
    <w:rsid w:val="00EA3842"/>
    <w:rsid w:val="00EA3CD1"/>
    <w:rsid w:val="00EA3D1F"/>
    <w:rsid w:val="00EA3E4A"/>
    <w:rsid w:val="00EA3E4C"/>
    <w:rsid w:val="00EA3E5D"/>
    <w:rsid w:val="00EA4232"/>
    <w:rsid w:val="00EA4247"/>
    <w:rsid w:val="00EA42C7"/>
    <w:rsid w:val="00EA4305"/>
    <w:rsid w:val="00EA46AF"/>
    <w:rsid w:val="00EA48AF"/>
    <w:rsid w:val="00EA49D7"/>
    <w:rsid w:val="00EA4B08"/>
    <w:rsid w:val="00EA4CB2"/>
    <w:rsid w:val="00EA4E17"/>
    <w:rsid w:val="00EA4EF5"/>
    <w:rsid w:val="00EA503E"/>
    <w:rsid w:val="00EA5040"/>
    <w:rsid w:val="00EA53C3"/>
    <w:rsid w:val="00EA5587"/>
    <w:rsid w:val="00EA55DA"/>
    <w:rsid w:val="00EA59B4"/>
    <w:rsid w:val="00EA5A9E"/>
    <w:rsid w:val="00EA5EE2"/>
    <w:rsid w:val="00EA62DC"/>
    <w:rsid w:val="00EA66D5"/>
    <w:rsid w:val="00EA6AAF"/>
    <w:rsid w:val="00EA6BDA"/>
    <w:rsid w:val="00EA6D1F"/>
    <w:rsid w:val="00EA6D77"/>
    <w:rsid w:val="00EA6DD5"/>
    <w:rsid w:val="00EA71D1"/>
    <w:rsid w:val="00EA7475"/>
    <w:rsid w:val="00EA76B3"/>
    <w:rsid w:val="00EA78DD"/>
    <w:rsid w:val="00EA79DC"/>
    <w:rsid w:val="00EA7A81"/>
    <w:rsid w:val="00EA7D9C"/>
    <w:rsid w:val="00EA7E13"/>
    <w:rsid w:val="00EA7FCD"/>
    <w:rsid w:val="00EB01BB"/>
    <w:rsid w:val="00EB0A30"/>
    <w:rsid w:val="00EB12AB"/>
    <w:rsid w:val="00EB146F"/>
    <w:rsid w:val="00EB170C"/>
    <w:rsid w:val="00EB1C12"/>
    <w:rsid w:val="00EB1E72"/>
    <w:rsid w:val="00EB229C"/>
    <w:rsid w:val="00EB23E6"/>
    <w:rsid w:val="00EB2455"/>
    <w:rsid w:val="00EB24AE"/>
    <w:rsid w:val="00EB24D9"/>
    <w:rsid w:val="00EB278E"/>
    <w:rsid w:val="00EB2797"/>
    <w:rsid w:val="00EB2D0E"/>
    <w:rsid w:val="00EB2D91"/>
    <w:rsid w:val="00EB2DFA"/>
    <w:rsid w:val="00EB2FCF"/>
    <w:rsid w:val="00EB2FD4"/>
    <w:rsid w:val="00EB2FE5"/>
    <w:rsid w:val="00EB3224"/>
    <w:rsid w:val="00EB3563"/>
    <w:rsid w:val="00EB35AE"/>
    <w:rsid w:val="00EB3859"/>
    <w:rsid w:val="00EB3D2C"/>
    <w:rsid w:val="00EB3E03"/>
    <w:rsid w:val="00EB3E40"/>
    <w:rsid w:val="00EB3FFA"/>
    <w:rsid w:val="00EB4072"/>
    <w:rsid w:val="00EB452E"/>
    <w:rsid w:val="00EB47F5"/>
    <w:rsid w:val="00EB47FF"/>
    <w:rsid w:val="00EB4A0F"/>
    <w:rsid w:val="00EB4B8D"/>
    <w:rsid w:val="00EB4C49"/>
    <w:rsid w:val="00EB4CA8"/>
    <w:rsid w:val="00EB4F1E"/>
    <w:rsid w:val="00EB4FD4"/>
    <w:rsid w:val="00EB5052"/>
    <w:rsid w:val="00EB53E0"/>
    <w:rsid w:val="00EB5505"/>
    <w:rsid w:val="00EB55BC"/>
    <w:rsid w:val="00EB5612"/>
    <w:rsid w:val="00EB59CB"/>
    <w:rsid w:val="00EB5A79"/>
    <w:rsid w:val="00EB5AD0"/>
    <w:rsid w:val="00EB5CB1"/>
    <w:rsid w:val="00EB5CE4"/>
    <w:rsid w:val="00EB5D26"/>
    <w:rsid w:val="00EB5DAE"/>
    <w:rsid w:val="00EB608A"/>
    <w:rsid w:val="00EB60E9"/>
    <w:rsid w:val="00EB62F3"/>
    <w:rsid w:val="00EB63CD"/>
    <w:rsid w:val="00EB6440"/>
    <w:rsid w:val="00EB6451"/>
    <w:rsid w:val="00EB6708"/>
    <w:rsid w:val="00EB6839"/>
    <w:rsid w:val="00EB68CD"/>
    <w:rsid w:val="00EB7034"/>
    <w:rsid w:val="00EB70B6"/>
    <w:rsid w:val="00EB739B"/>
    <w:rsid w:val="00EB749C"/>
    <w:rsid w:val="00EB74C1"/>
    <w:rsid w:val="00EB7535"/>
    <w:rsid w:val="00EB7583"/>
    <w:rsid w:val="00EB759D"/>
    <w:rsid w:val="00EB7619"/>
    <w:rsid w:val="00EB79BC"/>
    <w:rsid w:val="00EB7A0A"/>
    <w:rsid w:val="00EB7DCD"/>
    <w:rsid w:val="00EB7DEA"/>
    <w:rsid w:val="00EB7DF6"/>
    <w:rsid w:val="00EB7F5B"/>
    <w:rsid w:val="00EC01A3"/>
    <w:rsid w:val="00EC0237"/>
    <w:rsid w:val="00EC03CA"/>
    <w:rsid w:val="00EC0509"/>
    <w:rsid w:val="00EC07C0"/>
    <w:rsid w:val="00EC08C3"/>
    <w:rsid w:val="00EC08CE"/>
    <w:rsid w:val="00EC09DD"/>
    <w:rsid w:val="00EC0B76"/>
    <w:rsid w:val="00EC0BAE"/>
    <w:rsid w:val="00EC0C3B"/>
    <w:rsid w:val="00EC0C42"/>
    <w:rsid w:val="00EC10DF"/>
    <w:rsid w:val="00EC11DA"/>
    <w:rsid w:val="00EC11F2"/>
    <w:rsid w:val="00EC1259"/>
    <w:rsid w:val="00EC13F7"/>
    <w:rsid w:val="00EC1762"/>
    <w:rsid w:val="00EC17E8"/>
    <w:rsid w:val="00EC181D"/>
    <w:rsid w:val="00EC1C1D"/>
    <w:rsid w:val="00EC1DF0"/>
    <w:rsid w:val="00EC2030"/>
    <w:rsid w:val="00EC21FF"/>
    <w:rsid w:val="00EC222B"/>
    <w:rsid w:val="00EC2302"/>
    <w:rsid w:val="00EC24D9"/>
    <w:rsid w:val="00EC2A3F"/>
    <w:rsid w:val="00EC2F00"/>
    <w:rsid w:val="00EC323E"/>
    <w:rsid w:val="00EC33B7"/>
    <w:rsid w:val="00EC3440"/>
    <w:rsid w:val="00EC37CA"/>
    <w:rsid w:val="00EC3BFC"/>
    <w:rsid w:val="00EC3DC8"/>
    <w:rsid w:val="00EC42AD"/>
    <w:rsid w:val="00EC43D0"/>
    <w:rsid w:val="00EC45C4"/>
    <w:rsid w:val="00EC4E26"/>
    <w:rsid w:val="00EC4FC2"/>
    <w:rsid w:val="00EC4FC4"/>
    <w:rsid w:val="00EC51B2"/>
    <w:rsid w:val="00EC53B2"/>
    <w:rsid w:val="00EC53EA"/>
    <w:rsid w:val="00EC5521"/>
    <w:rsid w:val="00EC5CA9"/>
    <w:rsid w:val="00EC5FC4"/>
    <w:rsid w:val="00EC66F2"/>
    <w:rsid w:val="00EC6778"/>
    <w:rsid w:val="00EC67E4"/>
    <w:rsid w:val="00EC6ABA"/>
    <w:rsid w:val="00EC6C68"/>
    <w:rsid w:val="00EC6ED8"/>
    <w:rsid w:val="00EC73DC"/>
    <w:rsid w:val="00EC7560"/>
    <w:rsid w:val="00EC7A5A"/>
    <w:rsid w:val="00EC7B0C"/>
    <w:rsid w:val="00EC7D22"/>
    <w:rsid w:val="00EC7F9A"/>
    <w:rsid w:val="00ED0028"/>
    <w:rsid w:val="00ED00BC"/>
    <w:rsid w:val="00ED0207"/>
    <w:rsid w:val="00ED0A83"/>
    <w:rsid w:val="00ED0B9E"/>
    <w:rsid w:val="00ED0CFA"/>
    <w:rsid w:val="00ED0E39"/>
    <w:rsid w:val="00ED105E"/>
    <w:rsid w:val="00ED18E3"/>
    <w:rsid w:val="00ED1949"/>
    <w:rsid w:val="00ED1973"/>
    <w:rsid w:val="00ED1993"/>
    <w:rsid w:val="00ED1CBB"/>
    <w:rsid w:val="00ED1ECE"/>
    <w:rsid w:val="00ED20E0"/>
    <w:rsid w:val="00ED213F"/>
    <w:rsid w:val="00ED23F9"/>
    <w:rsid w:val="00ED2545"/>
    <w:rsid w:val="00ED2787"/>
    <w:rsid w:val="00ED2BDA"/>
    <w:rsid w:val="00ED2BE9"/>
    <w:rsid w:val="00ED2C1D"/>
    <w:rsid w:val="00ED2F71"/>
    <w:rsid w:val="00ED2FA7"/>
    <w:rsid w:val="00ED304E"/>
    <w:rsid w:val="00ED31E8"/>
    <w:rsid w:val="00ED345F"/>
    <w:rsid w:val="00ED349E"/>
    <w:rsid w:val="00ED35CE"/>
    <w:rsid w:val="00ED35DB"/>
    <w:rsid w:val="00ED35DC"/>
    <w:rsid w:val="00ED3672"/>
    <w:rsid w:val="00ED3924"/>
    <w:rsid w:val="00ED3A11"/>
    <w:rsid w:val="00ED3A74"/>
    <w:rsid w:val="00ED40B0"/>
    <w:rsid w:val="00ED4304"/>
    <w:rsid w:val="00ED437A"/>
    <w:rsid w:val="00ED43F8"/>
    <w:rsid w:val="00ED4768"/>
    <w:rsid w:val="00ED487A"/>
    <w:rsid w:val="00ED4A86"/>
    <w:rsid w:val="00ED4BDA"/>
    <w:rsid w:val="00ED4E69"/>
    <w:rsid w:val="00ED50FE"/>
    <w:rsid w:val="00ED5293"/>
    <w:rsid w:val="00ED5830"/>
    <w:rsid w:val="00ED5929"/>
    <w:rsid w:val="00ED5B8C"/>
    <w:rsid w:val="00ED5E21"/>
    <w:rsid w:val="00ED5E8A"/>
    <w:rsid w:val="00ED619E"/>
    <w:rsid w:val="00ED63D1"/>
    <w:rsid w:val="00ED66C7"/>
    <w:rsid w:val="00ED67A1"/>
    <w:rsid w:val="00ED6887"/>
    <w:rsid w:val="00ED6A40"/>
    <w:rsid w:val="00ED6C5F"/>
    <w:rsid w:val="00ED705D"/>
    <w:rsid w:val="00ED721A"/>
    <w:rsid w:val="00ED7576"/>
    <w:rsid w:val="00ED7642"/>
    <w:rsid w:val="00ED7BDD"/>
    <w:rsid w:val="00ED7D70"/>
    <w:rsid w:val="00ED7E9E"/>
    <w:rsid w:val="00EE0786"/>
    <w:rsid w:val="00EE0CA0"/>
    <w:rsid w:val="00EE0EDA"/>
    <w:rsid w:val="00EE0EE3"/>
    <w:rsid w:val="00EE10D2"/>
    <w:rsid w:val="00EE1317"/>
    <w:rsid w:val="00EE1447"/>
    <w:rsid w:val="00EE1637"/>
    <w:rsid w:val="00EE1735"/>
    <w:rsid w:val="00EE17E1"/>
    <w:rsid w:val="00EE17E7"/>
    <w:rsid w:val="00EE193D"/>
    <w:rsid w:val="00EE1E0B"/>
    <w:rsid w:val="00EE1EDD"/>
    <w:rsid w:val="00EE223A"/>
    <w:rsid w:val="00EE23C4"/>
    <w:rsid w:val="00EE2417"/>
    <w:rsid w:val="00EE2466"/>
    <w:rsid w:val="00EE249E"/>
    <w:rsid w:val="00EE2598"/>
    <w:rsid w:val="00EE25A6"/>
    <w:rsid w:val="00EE2AD4"/>
    <w:rsid w:val="00EE2B35"/>
    <w:rsid w:val="00EE2B93"/>
    <w:rsid w:val="00EE2CE8"/>
    <w:rsid w:val="00EE2EA7"/>
    <w:rsid w:val="00EE3160"/>
    <w:rsid w:val="00EE316F"/>
    <w:rsid w:val="00EE330F"/>
    <w:rsid w:val="00EE3611"/>
    <w:rsid w:val="00EE3840"/>
    <w:rsid w:val="00EE3881"/>
    <w:rsid w:val="00EE3944"/>
    <w:rsid w:val="00EE3A8D"/>
    <w:rsid w:val="00EE3CDF"/>
    <w:rsid w:val="00EE3F17"/>
    <w:rsid w:val="00EE415F"/>
    <w:rsid w:val="00EE41CB"/>
    <w:rsid w:val="00EE4540"/>
    <w:rsid w:val="00EE4545"/>
    <w:rsid w:val="00EE4575"/>
    <w:rsid w:val="00EE4A7B"/>
    <w:rsid w:val="00EE4AE9"/>
    <w:rsid w:val="00EE4AFF"/>
    <w:rsid w:val="00EE4B32"/>
    <w:rsid w:val="00EE4F4C"/>
    <w:rsid w:val="00EE5263"/>
    <w:rsid w:val="00EE5326"/>
    <w:rsid w:val="00EE5398"/>
    <w:rsid w:val="00EE5413"/>
    <w:rsid w:val="00EE548F"/>
    <w:rsid w:val="00EE5716"/>
    <w:rsid w:val="00EE59D0"/>
    <w:rsid w:val="00EE5A88"/>
    <w:rsid w:val="00EE5AFA"/>
    <w:rsid w:val="00EE5AFC"/>
    <w:rsid w:val="00EE5D26"/>
    <w:rsid w:val="00EE5E46"/>
    <w:rsid w:val="00EE5E5C"/>
    <w:rsid w:val="00EE5F56"/>
    <w:rsid w:val="00EE5FFE"/>
    <w:rsid w:val="00EE646C"/>
    <w:rsid w:val="00EE6837"/>
    <w:rsid w:val="00EE6A72"/>
    <w:rsid w:val="00EE6B0A"/>
    <w:rsid w:val="00EE6EB0"/>
    <w:rsid w:val="00EE6FCB"/>
    <w:rsid w:val="00EE71B3"/>
    <w:rsid w:val="00EE7508"/>
    <w:rsid w:val="00EE755A"/>
    <w:rsid w:val="00EE757B"/>
    <w:rsid w:val="00EE7634"/>
    <w:rsid w:val="00EE7697"/>
    <w:rsid w:val="00EE77B0"/>
    <w:rsid w:val="00EE78EB"/>
    <w:rsid w:val="00EE79FA"/>
    <w:rsid w:val="00EE7DEA"/>
    <w:rsid w:val="00EE7FB6"/>
    <w:rsid w:val="00EF016A"/>
    <w:rsid w:val="00EF01B1"/>
    <w:rsid w:val="00EF01CD"/>
    <w:rsid w:val="00EF02BF"/>
    <w:rsid w:val="00EF02D9"/>
    <w:rsid w:val="00EF04A4"/>
    <w:rsid w:val="00EF063B"/>
    <w:rsid w:val="00EF066E"/>
    <w:rsid w:val="00EF0781"/>
    <w:rsid w:val="00EF0948"/>
    <w:rsid w:val="00EF09C1"/>
    <w:rsid w:val="00EF0B7B"/>
    <w:rsid w:val="00EF0D1C"/>
    <w:rsid w:val="00EF0DB6"/>
    <w:rsid w:val="00EF12EC"/>
    <w:rsid w:val="00EF1420"/>
    <w:rsid w:val="00EF2157"/>
    <w:rsid w:val="00EF21E9"/>
    <w:rsid w:val="00EF25A3"/>
    <w:rsid w:val="00EF2703"/>
    <w:rsid w:val="00EF27D9"/>
    <w:rsid w:val="00EF2A6E"/>
    <w:rsid w:val="00EF2A6F"/>
    <w:rsid w:val="00EF2B22"/>
    <w:rsid w:val="00EF2C6F"/>
    <w:rsid w:val="00EF2D1F"/>
    <w:rsid w:val="00EF2D89"/>
    <w:rsid w:val="00EF2DD2"/>
    <w:rsid w:val="00EF32AE"/>
    <w:rsid w:val="00EF33F4"/>
    <w:rsid w:val="00EF35B4"/>
    <w:rsid w:val="00EF3956"/>
    <w:rsid w:val="00EF3D82"/>
    <w:rsid w:val="00EF3FA7"/>
    <w:rsid w:val="00EF4155"/>
    <w:rsid w:val="00EF427E"/>
    <w:rsid w:val="00EF44BE"/>
    <w:rsid w:val="00EF471A"/>
    <w:rsid w:val="00EF4869"/>
    <w:rsid w:val="00EF49E6"/>
    <w:rsid w:val="00EF4B72"/>
    <w:rsid w:val="00EF4F8A"/>
    <w:rsid w:val="00EF521B"/>
    <w:rsid w:val="00EF52C0"/>
    <w:rsid w:val="00EF533B"/>
    <w:rsid w:val="00EF5424"/>
    <w:rsid w:val="00EF54A7"/>
    <w:rsid w:val="00EF54EA"/>
    <w:rsid w:val="00EF54F5"/>
    <w:rsid w:val="00EF5514"/>
    <w:rsid w:val="00EF55A6"/>
    <w:rsid w:val="00EF55ED"/>
    <w:rsid w:val="00EF584D"/>
    <w:rsid w:val="00EF5D72"/>
    <w:rsid w:val="00EF619C"/>
    <w:rsid w:val="00EF6239"/>
    <w:rsid w:val="00EF6247"/>
    <w:rsid w:val="00EF62D1"/>
    <w:rsid w:val="00EF63B7"/>
    <w:rsid w:val="00EF6701"/>
    <w:rsid w:val="00EF6738"/>
    <w:rsid w:val="00EF6828"/>
    <w:rsid w:val="00EF6CEA"/>
    <w:rsid w:val="00EF6DBA"/>
    <w:rsid w:val="00EF6F2E"/>
    <w:rsid w:val="00EF708D"/>
    <w:rsid w:val="00EF70E6"/>
    <w:rsid w:val="00EF71A3"/>
    <w:rsid w:val="00EF72EF"/>
    <w:rsid w:val="00EF78A3"/>
    <w:rsid w:val="00EF79FE"/>
    <w:rsid w:val="00EF7AB0"/>
    <w:rsid w:val="00EF7B1C"/>
    <w:rsid w:val="00EF7D1D"/>
    <w:rsid w:val="00EF7D4D"/>
    <w:rsid w:val="00EF7F2B"/>
    <w:rsid w:val="00F00079"/>
    <w:rsid w:val="00F0010C"/>
    <w:rsid w:val="00F005B6"/>
    <w:rsid w:val="00F0080E"/>
    <w:rsid w:val="00F00832"/>
    <w:rsid w:val="00F00975"/>
    <w:rsid w:val="00F00C2D"/>
    <w:rsid w:val="00F0101C"/>
    <w:rsid w:val="00F011BF"/>
    <w:rsid w:val="00F01839"/>
    <w:rsid w:val="00F018CC"/>
    <w:rsid w:val="00F01A56"/>
    <w:rsid w:val="00F01EAE"/>
    <w:rsid w:val="00F0212E"/>
    <w:rsid w:val="00F02367"/>
    <w:rsid w:val="00F02383"/>
    <w:rsid w:val="00F028D9"/>
    <w:rsid w:val="00F028E2"/>
    <w:rsid w:val="00F02CFF"/>
    <w:rsid w:val="00F02DD3"/>
    <w:rsid w:val="00F03198"/>
    <w:rsid w:val="00F032F2"/>
    <w:rsid w:val="00F0344E"/>
    <w:rsid w:val="00F0347E"/>
    <w:rsid w:val="00F03641"/>
    <w:rsid w:val="00F038EF"/>
    <w:rsid w:val="00F0394A"/>
    <w:rsid w:val="00F03BA0"/>
    <w:rsid w:val="00F03BEB"/>
    <w:rsid w:val="00F03CAC"/>
    <w:rsid w:val="00F03DD6"/>
    <w:rsid w:val="00F03E45"/>
    <w:rsid w:val="00F041E6"/>
    <w:rsid w:val="00F0443B"/>
    <w:rsid w:val="00F047CB"/>
    <w:rsid w:val="00F04CC2"/>
    <w:rsid w:val="00F04DB4"/>
    <w:rsid w:val="00F04EB6"/>
    <w:rsid w:val="00F04F6C"/>
    <w:rsid w:val="00F04FC8"/>
    <w:rsid w:val="00F0501F"/>
    <w:rsid w:val="00F0516E"/>
    <w:rsid w:val="00F051DF"/>
    <w:rsid w:val="00F05549"/>
    <w:rsid w:val="00F0579B"/>
    <w:rsid w:val="00F05AB1"/>
    <w:rsid w:val="00F05D79"/>
    <w:rsid w:val="00F05DEF"/>
    <w:rsid w:val="00F05F17"/>
    <w:rsid w:val="00F064E0"/>
    <w:rsid w:val="00F065BE"/>
    <w:rsid w:val="00F06876"/>
    <w:rsid w:val="00F069E6"/>
    <w:rsid w:val="00F06E01"/>
    <w:rsid w:val="00F06FAA"/>
    <w:rsid w:val="00F070D5"/>
    <w:rsid w:val="00F07587"/>
    <w:rsid w:val="00F076F8"/>
    <w:rsid w:val="00F07909"/>
    <w:rsid w:val="00F07AA2"/>
    <w:rsid w:val="00F07BA1"/>
    <w:rsid w:val="00F07D85"/>
    <w:rsid w:val="00F07F2F"/>
    <w:rsid w:val="00F100BE"/>
    <w:rsid w:val="00F1021B"/>
    <w:rsid w:val="00F103BC"/>
    <w:rsid w:val="00F1042D"/>
    <w:rsid w:val="00F104A7"/>
    <w:rsid w:val="00F104E7"/>
    <w:rsid w:val="00F104EB"/>
    <w:rsid w:val="00F10543"/>
    <w:rsid w:val="00F10565"/>
    <w:rsid w:val="00F107EA"/>
    <w:rsid w:val="00F109D1"/>
    <w:rsid w:val="00F10A1A"/>
    <w:rsid w:val="00F10A23"/>
    <w:rsid w:val="00F10BB3"/>
    <w:rsid w:val="00F110D9"/>
    <w:rsid w:val="00F11120"/>
    <w:rsid w:val="00F1114E"/>
    <w:rsid w:val="00F1127B"/>
    <w:rsid w:val="00F1149B"/>
    <w:rsid w:val="00F11634"/>
    <w:rsid w:val="00F11E0F"/>
    <w:rsid w:val="00F120C6"/>
    <w:rsid w:val="00F1232A"/>
    <w:rsid w:val="00F1248A"/>
    <w:rsid w:val="00F1249B"/>
    <w:rsid w:val="00F12D93"/>
    <w:rsid w:val="00F12FE6"/>
    <w:rsid w:val="00F13228"/>
    <w:rsid w:val="00F135BF"/>
    <w:rsid w:val="00F1371A"/>
    <w:rsid w:val="00F137C8"/>
    <w:rsid w:val="00F1387A"/>
    <w:rsid w:val="00F1392F"/>
    <w:rsid w:val="00F13AA0"/>
    <w:rsid w:val="00F13C7E"/>
    <w:rsid w:val="00F13D46"/>
    <w:rsid w:val="00F13D81"/>
    <w:rsid w:val="00F13E0B"/>
    <w:rsid w:val="00F13E55"/>
    <w:rsid w:val="00F147CF"/>
    <w:rsid w:val="00F147D9"/>
    <w:rsid w:val="00F1480C"/>
    <w:rsid w:val="00F148B5"/>
    <w:rsid w:val="00F14A6D"/>
    <w:rsid w:val="00F14D29"/>
    <w:rsid w:val="00F1523E"/>
    <w:rsid w:val="00F153E5"/>
    <w:rsid w:val="00F15554"/>
    <w:rsid w:val="00F159A7"/>
    <w:rsid w:val="00F15A20"/>
    <w:rsid w:val="00F15CCE"/>
    <w:rsid w:val="00F15E99"/>
    <w:rsid w:val="00F16524"/>
    <w:rsid w:val="00F167DA"/>
    <w:rsid w:val="00F168D9"/>
    <w:rsid w:val="00F16B0C"/>
    <w:rsid w:val="00F17077"/>
    <w:rsid w:val="00F17324"/>
    <w:rsid w:val="00F173FC"/>
    <w:rsid w:val="00F176BD"/>
    <w:rsid w:val="00F177FA"/>
    <w:rsid w:val="00F1784B"/>
    <w:rsid w:val="00F179F5"/>
    <w:rsid w:val="00F17B9D"/>
    <w:rsid w:val="00F17BE2"/>
    <w:rsid w:val="00F17E68"/>
    <w:rsid w:val="00F17F53"/>
    <w:rsid w:val="00F20109"/>
    <w:rsid w:val="00F202C0"/>
    <w:rsid w:val="00F20341"/>
    <w:rsid w:val="00F20443"/>
    <w:rsid w:val="00F2060C"/>
    <w:rsid w:val="00F20A02"/>
    <w:rsid w:val="00F20A59"/>
    <w:rsid w:val="00F20A99"/>
    <w:rsid w:val="00F20CBB"/>
    <w:rsid w:val="00F20D8F"/>
    <w:rsid w:val="00F20DBB"/>
    <w:rsid w:val="00F20F60"/>
    <w:rsid w:val="00F210DA"/>
    <w:rsid w:val="00F216AF"/>
    <w:rsid w:val="00F217AE"/>
    <w:rsid w:val="00F21920"/>
    <w:rsid w:val="00F21A11"/>
    <w:rsid w:val="00F21AA0"/>
    <w:rsid w:val="00F22100"/>
    <w:rsid w:val="00F2262A"/>
    <w:rsid w:val="00F22AF0"/>
    <w:rsid w:val="00F22B52"/>
    <w:rsid w:val="00F23037"/>
    <w:rsid w:val="00F23148"/>
    <w:rsid w:val="00F2318F"/>
    <w:rsid w:val="00F231E9"/>
    <w:rsid w:val="00F23891"/>
    <w:rsid w:val="00F23ABA"/>
    <w:rsid w:val="00F23D28"/>
    <w:rsid w:val="00F23FD4"/>
    <w:rsid w:val="00F24036"/>
    <w:rsid w:val="00F242CB"/>
    <w:rsid w:val="00F24307"/>
    <w:rsid w:val="00F24426"/>
    <w:rsid w:val="00F24450"/>
    <w:rsid w:val="00F24569"/>
    <w:rsid w:val="00F24665"/>
    <w:rsid w:val="00F2471B"/>
    <w:rsid w:val="00F24791"/>
    <w:rsid w:val="00F2493E"/>
    <w:rsid w:val="00F249F0"/>
    <w:rsid w:val="00F24A1A"/>
    <w:rsid w:val="00F24BD0"/>
    <w:rsid w:val="00F24E0B"/>
    <w:rsid w:val="00F24E15"/>
    <w:rsid w:val="00F24F63"/>
    <w:rsid w:val="00F2516D"/>
    <w:rsid w:val="00F25344"/>
    <w:rsid w:val="00F25517"/>
    <w:rsid w:val="00F257AB"/>
    <w:rsid w:val="00F259A5"/>
    <w:rsid w:val="00F25E87"/>
    <w:rsid w:val="00F25F03"/>
    <w:rsid w:val="00F25F46"/>
    <w:rsid w:val="00F25FF8"/>
    <w:rsid w:val="00F26148"/>
    <w:rsid w:val="00F261B8"/>
    <w:rsid w:val="00F26201"/>
    <w:rsid w:val="00F26FCD"/>
    <w:rsid w:val="00F2703B"/>
    <w:rsid w:val="00F270F2"/>
    <w:rsid w:val="00F2732D"/>
    <w:rsid w:val="00F27342"/>
    <w:rsid w:val="00F27381"/>
    <w:rsid w:val="00F276AD"/>
    <w:rsid w:val="00F277A6"/>
    <w:rsid w:val="00F2787C"/>
    <w:rsid w:val="00F27B04"/>
    <w:rsid w:val="00F27C29"/>
    <w:rsid w:val="00F27CEE"/>
    <w:rsid w:val="00F27EFC"/>
    <w:rsid w:val="00F30328"/>
    <w:rsid w:val="00F304CB"/>
    <w:rsid w:val="00F306A1"/>
    <w:rsid w:val="00F306F1"/>
    <w:rsid w:val="00F30869"/>
    <w:rsid w:val="00F308B9"/>
    <w:rsid w:val="00F30A0D"/>
    <w:rsid w:val="00F30AEC"/>
    <w:rsid w:val="00F30CAE"/>
    <w:rsid w:val="00F30CE8"/>
    <w:rsid w:val="00F30FA4"/>
    <w:rsid w:val="00F3119B"/>
    <w:rsid w:val="00F31217"/>
    <w:rsid w:val="00F313CB"/>
    <w:rsid w:val="00F3168D"/>
    <w:rsid w:val="00F316F4"/>
    <w:rsid w:val="00F31731"/>
    <w:rsid w:val="00F31A5B"/>
    <w:rsid w:val="00F31B40"/>
    <w:rsid w:val="00F31B5D"/>
    <w:rsid w:val="00F31C2B"/>
    <w:rsid w:val="00F31E55"/>
    <w:rsid w:val="00F31F28"/>
    <w:rsid w:val="00F320C5"/>
    <w:rsid w:val="00F3225B"/>
    <w:rsid w:val="00F32376"/>
    <w:rsid w:val="00F324FE"/>
    <w:rsid w:val="00F32512"/>
    <w:rsid w:val="00F3266C"/>
    <w:rsid w:val="00F32683"/>
    <w:rsid w:val="00F32793"/>
    <w:rsid w:val="00F32812"/>
    <w:rsid w:val="00F32A80"/>
    <w:rsid w:val="00F32A9C"/>
    <w:rsid w:val="00F32B32"/>
    <w:rsid w:val="00F32C1A"/>
    <w:rsid w:val="00F33110"/>
    <w:rsid w:val="00F3370B"/>
    <w:rsid w:val="00F337A7"/>
    <w:rsid w:val="00F33966"/>
    <w:rsid w:val="00F33B3A"/>
    <w:rsid w:val="00F33C21"/>
    <w:rsid w:val="00F33D09"/>
    <w:rsid w:val="00F33F2C"/>
    <w:rsid w:val="00F341BA"/>
    <w:rsid w:val="00F34204"/>
    <w:rsid w:val="00F34240"/>
    <w:rsid w:val="00F343F7"/>
    <w:rsid w:val="00F34438"/>
    <w:rsid w:val="00F34693"/>
    <w:rsid w:val="00F34730"/>
    <w:rsid w:val="00F34821"/>
    <w:rsid w:val="00F34A8B"/>
    <w:rsid w:val="00F34B1C"/>
    <w:rsid w:val="00F34D15"/>
    <w:rsid w:val="00F34D36"/>
    <w:rsid w:val="00F34D91"/>
    <w:rsid w:val="00F34D98"/>
    <w:rsid w:val="00F34F93"/>
    <w:rsid w:val="00F35006"/>
    <w:rsid w:val="00F3554C"/>
    <w:rsid w:val="00F35563"/>
    <w:rsid w:val="00F35636"/>
    <w:rsid w:val="00F3567B"/>
    <w:rsid w:val="00F3595B"/>
    <w:rsid w:val="00F35976"/>
    <w:rsid w:val="00F35D43"/>
    <w:rsid w:val="00F35D61"/>
    <w:rsid w:val="00F35E77"/>
    <w:rsid w:val="00F3603C"/>
    <w:rsid w:val="00F364BD"/>
    <w:rsid w:val="00F3666F"/>
    <w:rsid w:val="00F36797"/>
    <w:rsid w:val="00F3679E"/>
    <w:rsid w:val="00F369A0"/>
    <w:rsid w:val="00F369FA"/>
    <w:rsid w:val="00F36A12"/>
    <w:rsid w:val="00F36A2D"/>
    <w:rsid w:val="00F36ED4"/>
    <w:rsid w:val="00F36FD5"/>
    <w:rsid w:val="00F3754A"/>
    <w:rsid w:val="00F37559"/>
    <w:rsid w:val="00F3768E"/>
    <w:rsid w:val="00F37903"/>
    <w:rsid w:val="00F37B89"/>
    <w:rsid w:val="00F37E39"/>
    <w:rsid w:val="00F37E5E"/>
    <w:rsid w:val="00F37FD9"/>
    <w:rsid w:val="00F40317"/>
    <w:rsid w:val="00F40423"/>
    <w:rsid w:val="00F40451"/>
    <w:rsid w:val="00F405CD"/>
    <w:rsid w:val="00F409AE"/>
    <w:rsid w:val="00F40A0F"/>
    <w:rsid w:val="00F40B19"/>
    <w:rsid w:val="00F40BE5"/>
    <w:rsid w:val="00F40DAC"/>
    <w:rsid w:val="00F40FDA"/>
    <w:rsid w:val="00F41107"/>
    <w:rsid w:val="00F41556"/>
    <w:rsid w:val="00F415CF"/>
    <w:rsid w:val="00F41646"/>
    <w:rsid w:val="00F417D0"/>
    <w:rsid w:val="00F41877"/>
    <w:rsid w:val="00F41CA2"/>
    <w:rsid w:val="00F41EA9"/>
    <w:rsid w:val="00F41FB2"/>
    <w:rsid w:val="00F4236D"/>
    <w:rsid w:val="00F426B1"/>
    <w:rsid w:val="00F42908"/>
    <w:rsid w:val="00F42CB7"/>
    <w:rsid w:val="00F43130"/>
    <w:rsid w:val="00F432C6"/>
    <w:rsid w:val="00F434A6"/>
    <w:rsid w:val="00F437BF"/>
    <w:rsid w:val="00F437FB"/>
    <w:rsid w:val="00F43BA1"/>
    <w:rsid w:val="00F43C49"/>
    <w:rsid w:val="00F43C9E"/>
    <w:rsid w:val="00F43D17"/>
    <w:rsid w:val="00F43DCB"/>
    <w:rsid w:val="00F4411E"/>
    <w:rsid w:val="00F44291"/>
    <w:rsid w:val="00F44490"/>
    <w:rsid w:val="00F44648"/>
    <w:rsid w:val="00F448A9"/>
    <w:rsid w:val="00F448C2"/>
    <w:rsid w:val="00F44C79"/>
    <w:rsid w:val="00F44CE3"/>
    <w:rsid w:val="00F44E05"/>
    <w:rsid w:val="00F44E3F"/>
    <w:rsid w:val="00F44F57"/>
    <w:rsid w:val="00F45299"/>
    <w:rsid w:val="00F452F4"/>
    <w:rsid w:val="00F45589"/>
    <w:rsid w:val="00F456CC"/>
    <w:rsid w:val="00F45739"/>
    <w:rsid w:val="00F457C7"/>
    <w:rsid w:val="00F45B15"/>
    <w:rsid w:val="00F45B44"/>
    <w:rsid w:val="00F45DF8"/>
    <w:rsid w:val="00F45ED8"/>
    <w:rsid w:val="00F45EF8"/>
    <w:rsid w:val="00F46398"/>
    <w:rsid w:val="00F46493"/>
    <w:rsid w:val="00F46556"/>
    <w:rsid w:val="00F467AF"/>
    <w:rsid w:val="00F46B52"/>
    <w:rsid w:val="00F46BE0"/>
    <w:rsid w:val="00F46D0A"/>
    <w:rsid w:val="00F472A7"/>
    <w:rsid w:val="00F4792D"/>
    <w:rsid w:val="00F47A76"/>
    <w:rsid w:val="00F47A92"/>
    <w:rsid w:val="00F47B0F"/>
    <w:rsid w:val="00F47B47"/>
    <w:rsid w:val="00F47C3E"/>
    <w:rsid w:val="00F50070"/>
    <w:rsid w:val="00F508EC"/>
    <w:rsid w:val="00F50B51"/>
    <w:rsid w:val="00F50B95"/>
    <w:rsid w:val="00F50C42"/>
    <w:rsid w:val="00F5106C"/>
    <w:rsid w:val="00F51567"/>
    <w:rsid w:val="00F5159E"/>
    <w:rsid w:val="00F516DE"/>
    <w:rsid w:val="00F51792"/>
    <w:rsid w:val="00F51C0C"/>
    <w:rsid w:val="00F51CF0"/>
    <w:rsid w:val="00F51D0A"/>
    <w:rsid w:val="00F51FA6"/>
    <w:rsid w:val="00F5206E"/>
    <w:rsid w:val="00F5259C"/>
    <w:rsid w:val="00F526DF"/>
    <w:rsid w:val="00F52703"/>
    <w:rsid w:val="00F52A10"/>
    <w:rsid w:val="00F53113"/>
    <w:rsid w:val="00F53198"/>
    <w:rsid w:val="00F531EA"/>
    <w:rsid w:val="00F535C6"/>
    <w:rsid w:val="00F53869"/>
    <w:rsid w:val="00F53A69"/>
    <w:rsid w:val="00F53C2E"/>
    <w:rsid w:val="00F53DB0"/>
    <w:rsid w:val="00F53E1D"/>
    <w:rsid w:val="00F53F1E"/>
    <w:rsid w:val="00F540AC"/>
    <w:rsid w:val="00F5418B"/>
    <w:rsid w:val="00F54273"/>
    <w:rsid w:val="00F54568"/>
    <w:rsid w:val="00F545B4"/>
    <w:rsid w:val="00F54A67"/>
    <w:rsid w:val="00F54C08"/>
    <w:rsid w:val="00F5505A"/>
    <w:rsid w:val="00F5505D"/>
    <w:rsid w:val="00F5524E"/>
    <w:rsid w:val="00F5531F"/>
    <w:rsid w:val="00F556CE"/>
    <w:rsid w:val="00F55ACC"/>
    <w:rsid w:val="00F55F47"/>
    <w:rsid w:val="00F56270"/>
    <w:rsid w:val="00F56357"/>
    <w:rsid w:val="00F5638A"/>
    <w:rsid w:val="00F56403"/>
    <w:rsid w:val="00F56750"/>
    <w:rsid w:val="00F56835"/>
    <w:rsid w:val="00F568DE"/>
    <w:rsid w:val="00F56A13"/>
    <w:rsid w:val="00F56A95"/>
    <w:rsid w:val="00F56C1C"/>
    <w:rsid w:val="00F56C47"/>
    <w:rsid w:val="00F56DC2"/>
    <w:rsid w:val="00F56F10"/>
    <w:rsid w:val="00F5705C"/>
    <w:rsid w:val="00F57247"/>
    <w:rsid w:val="00F57565"/>
    <w:rsid w:val="00F575A2"/>
    <w:rsid w:val="00F57628"/>
    <w:rsid w:val="00F5766F"/>
    <w:rsid w:val="00F57B6D"/>
    <w:rsid w:val="00F57FB6"/>
    <w:rsid w:val="00F604FB"/>
    <w:rsid w:val="00F606ED"/>
    <w:rsid w:val="00F60B9D"/>
    <w:rsid w:val="00F60DDC"/>
    <w:rsid w:val="00F60EB1"/>
    <w:rsid w:val="00F6104C"/>
    <w:rsid w:val="00F61165"/>
    <w:rsid w:val="00F6167B"/>
    <w:rsid w:val="00F61ADD"/>
    <w:rsid w:val="00F61B52"/>
    <w:rsid w:val="00F61BF2"/>
    <w:rsid w:val="00F61DC5"/>
    <w:rsid w:val="00F61F18"/>
    <w:rsid w:val="00F61F87"/>
    <w:rsid w:val="00F621EC"/>
    <w:rsid w:val="00F622A6"/>
    <w:rsid w:val="00F624E7"/>
    <w:rsid w:val="00F625DB"/>
    <w:rsid w:val="00F6263F"/>
    <w:rsid w:val="00F629C8"/>
    <w:rsid w:val="00F62A46"/>
    <w:rsid w:val="00F62BDF"/>
    <w:rsid w:val="00F62FF2"/>
    <w:rsid w:val="00F633EB"/>
    <w:rsid w:val="00F63502"/>
    <w:rsid w:val="00F63546"/>
    <w:rsid w:val="00F635B2"/>
    <w:rsid w:val="00F63633"/>
    <w:rsid w:val="00F6371E"/>
    <w:rsid w:val="00F63730"/>
    <w:rsid w:val="00F6375C"/>
    <w:rsid w:val="00F637CD"/>
    <w:rsid w:val="00F6396A"/>
    <w:rsid w:val="00F63C5C"/>
    <w:rsid w:val="00F63CD8"/>
    <w:rsid w:val="00F63CDD"/>
    <w:rsid w:val="00F63D38"/>
    <w:rsid w:val="00F63E3A"/>
    <w:rsid w:val="00F6401B"/>
    <w:rsid w:val="00F6405B"/>
    <w:rsid w:val="00F641D2"/>
    <w:rsid w:val="00F64590"/>
    <w:rsid w:val="00F64B72"/>
    <w:rsid w:val="00F64D3A"/>
    <w:rsid w:val="00F6506B"/>
    <w:rsid w:val="00F6509F"/>
    <w:rsid w:val="00F650DE"/>
    <w:rsid w:val="00F650F4"/>
    <w:rsid w:val="00F65486"/>
    <w:rsid w:val="00F655F0"/>
    <w:rsid w:val="00F656AD"/>
    <w:rsid w:val="00F65A54"/>
    <w:rsid w:val="00F65B73"/>
    <w:rsid w:val="00F65C19"/>
    <w:rsid w:val="00F65FDB"/>
    <w:rsid w:val="00F6638C"/>
    <w:rsid w:val="00F66391"/>
    <w:rsid w:val="00F66467"/>
    <w:rsid w:val="00F6664F"/>
    <w:rsid w:val="00F66965"/>
    <w:rsid w:val="00F66A40"/>
    <w:rsid w:val="00F66C95"/>
    <w:rsid w:val="00F66CDB"/>
    <w:rsid w:val="00F66D16"/>
    <w:rsid w:val="00F66D28"/>
    <w:rsid w:val="00F66E80"/>
    <w:rsid w:val="00F66E9B"/>
    <w:rsid w:val="00F66F0F"/>
    <w:rsid w:val="00F67136"/>
    <w:rsid w:val="00F67293"/>
    <w:rsid w:val="00F67704"/>
    <w:rsid w:val="00F67AC4"/>
    <w:rsid w:val="00F67B96"/>
    <w:rsid w:val="00F67F03"/>
    <w:rsid w:val="00F68600"/>
    <w:rsid w:val="00F7003A"/>
    <w:rsid w:val="00F70114"/>
    <w:rsid w:val="00F70581"/>
    <w:rsid w:val="00F70A66"/>
    <w:rsid w:val="00F70C51"/>
    <w:rsid w:val="00F70E13"/>
    <w:rsid w:val="00F70F8D"/>
    <w:rsid w:val="00F71571"/>
    <w:rsid w:val="00F7161E"/>
    <w:rsid w:val="00F71687"/>
    <w:rsid w:val="00F717EF"/>
    <w:rsid w:val="00F71AB0"/>
    <w:rsid w:val="00F71AF9"/>
    <w:rsid w:val="00F71B1D"/>
    <w:rsid w:val="00F71B7B"/>
    <w:rsid w:val="00F72138"/>
    <w:rsid w:val="00F7224A"/>
    <w:rsid w:val="00F72287"/>
    <w:rsid w:val="00F726B9"/>
    <w:rsid w:val="00F726D0"/>
    <w:rsid w:val="00F7286C"/>
    <w:rsid w:val="00F72BF4"/>
    <w:rsid w:val="00F72EBB"/>
    <w:rsid w:val="00F73249"/>
    <w:rsid w:val="00F73370"/>
    <w:rsid w:val="00F737A7"/>
    <w:rsid w:val="00F73A35"/>
    <w:rsid w:val="00F73C1D"/>
    <w:rsid w:val="00F73D10"/>
    <w:rsid w:val="00F73DBB"/>
    <w:rsid w:val="00F743C3"/>
    <w:rsid w:val="00F743E5"/>
    <w:rsid w:val="00F743E7"/>
    <w:rsid w:val="00F7483F"/>
    <w:rsid w:val="00F74C24"/>
    <w:rsid w:val="00F74E51"/>
    <w:rsid w:val="00F74EA5"/>
    <w:rsid w:val="00F7509E"/>
    <w:rsid w:val="00F75159"/>
    <w:rsid w:val="00F7535C"/>
    <w:rsid w:val="00F753C4"/>
    <w:rsid w:val="00F755F3"/>
    <w:rsid w:val="00F75659"/>
    <w:rsid w:val="00F7571F"/>
    <w:rsid w:val="00F75A48"/>
    <w:rsid w:val="00F75A5A"/>
    <w:rsid w:val="00F75E21"/>
    <w:rsid w:val="00F75F65"/>
    <w:rsid w:val="00F7614A"/>
    <w:rsid w:val="00F76188"/>
    <w:rsid w:val="00F763C7"/>
    <w:rsid w:val="00F763C9"/>
    <w:rsid w:val="00F763EA"/>
    <w:rsid w:val="00F76449"/>
    <w:rsid w:val="00F76493"/>
    <w:rsid w:val="00F764FF"/>
    <w:rsid w:val="00F76579"/>
    <w:rsid w:val="00F769B5"/>
    <w:rsid w:val="00F769C3"/>
    <w:rsid w:val="00F76D04"/>
    <w:rsid w:val="00F76FE0"/>
    <w:rsid w:val="00F77030"/>
    <w:rsid w:val="00F7730A"/>
    <w:rsid w:val="00F77352"/>
    <w:rsid w:val="00F7737D"/>
    <w:rsid w:val="00F775EA"/>
    <w:rsid w:val="00F77638"/>
    <w:rsid w:val="00F778C2"/>
    <w:rsid w:val="00F778C3"/>
    <w:rsid w:val="00F77975"/>
    <w:rsid w:val="00F77B98"/>
    <w:rsid w:val="00F77DDA"/>
    <w:rsid w:val="00F77E71"/>
    <w:rsid w:val="00F77E9B"/>
    <w:rsid w:val="00F77F12"/>
    <w:rsid w:val="00F77F7C"/>
    <w:rsid w:val="00F804F2"/>
    <w:rsid w:val="00F8071A"/>
    <w:rsid w:val="00F8078D"/>
    <w:rsid w:val="00F80913"/>
    <w:rsid w:val="00F80965"/>
    <w:rsid w:val="00F80C92"/>
    <w:rsid w:val="00F80E92"/>
    <w:rsid w:val="00F80FE6"/>
    <w:rsid w:val="00F811B6"/>
    <w:rsid w:val="00F812BE"/>
    <w:rsid w:val="00F81519"/>
    <w:rsid w:val="00F8177F"/>
    <w:rsid w:val="00F81845"/>
    <w:rsid w:val="00F8199D"/>
    <w:rsid w:val="00F81A05"/>
    <w:rsid w:val="00F81C4E"/>
    <w:rsid w:val="00F81D3B"/>
    <w:rsid w:val="00F8209A"/>
    <w:rsid w:val="00F8287A"/>
    <w:rsid w:val="00F8293F"/>
    <w:rsid w:val="00F8298D"/>
    <w:rsid w:val="00F82D44"/>
    <w:rsid w:val="00F82DBD"/>
    <w:rsid w:val="00F82E31"/>
    <w:rsid w:val="00F83064"/>
    <w:rsid w:val="00F83471"/>
    <w:rsid w:val="00F835D2"/>
    <w:rsid w:val="00F8363E"/>
    <w:rsid w:val="00F836B0"/>
    <w:rsid w:val="00F8382A"/>
    <w:rsid w:val="00F8389D"/>
    <w:rsid w:val="00F838EB"/>
    <w:rsid w:val="00F83BE9"/>
    <w:rsid w:val="00F83CE4"/>
    <w:rsid w:val="00F83EF2"/>
    <w:rsid w:val="00F8414C"/>
    <w:rsid w:val="00F84157"/>
    <w:rsid w:val="00F84ACD"/>
    <w:rsid w:val="00F84BCD"/>
    <w:rsid w:val="00F84FB1"/>
    <w:rsid w:val="00F85038"/>
    <w:rsid w:val="00F850E6"/>
    <w:rsid w:val="00F852BE"/>
    <w:rsid w:val="00F855F2"/>
    <w:rsid w:val="00F85719"/>
    <w:rsid w:val="00F857D7"/>
    <w:rsid w:val="00F85BDC"/>
    <w:rsid w:val="00F85C99"/>
    <w:rsid w:val="00F860CB"/>
    <w:rsid w:val="00F86318"/>
    <w:rsid w:val="00F86504"/>
    <w:rsid w:val="00F8679D"/>
    <w:rsid w:val="00F868BC"/>
    <w:rsid w:val="00F869C2"/>
    <w:rsid w:val="00F86A36"/>
    <w:rsid w:val="00F86B7F"/>
    <w:rsid w:val="00F86C98"/>
    <w:rsid w:val="00F86CA9"/>
    <w:rsid w:val="00F86D0B"/>
    <w:rsid w:val="00F86E5A"/>
    <w:rsid w:val="00F87303"/>
    <w:rsid w:val="00F873D2"/>
    <w:rsid w:val="00F878AC"/>
    <w:rsid w:val="00F87DC3"/>
    <w:rsid w:val="00F900BE"/>
    <w:rsid w:val="00F90321"/>
    <w:rsid w:val="00F90445"/>
    <w:rsid w:val="00F90505"/>
    <w:rsid w:val="00F90511"/>
    <w:rsid w:val="00F90574"/>
    <w:rsid w:val="00F90837"/>
    <w:rsid w:val="00F9090B"/>
    <w:rsid w:val="00F90C90"/>
    <w:rsid w:val="00F91350"/>
    <w:rsid w:val="00F91383"/>
    <w:rsid w:val="00F913DD"/>
    <w:rsid w:val="00F91691"/>
    <w:rsid w:val="00F916CF"/>
    <w:rsid w:val="00F91753"/>
    <w:rsid w:val="00F9175E"/>
    <w:rsid w:val="00F91B52"/>
    <w:rsid w:val="00F91B6D"/>
    <w:rsid w:val="00F91BD5"/>
    <w:rsid w:val="00F921B8"/>
    <w:rsid w:val="00F92456"/>
    <w:rsid w:val="00F92911"/>
    <w:rsid w:val="00F92922"/>
    <w:rsid w:val="00F929B4"/>
    <w:rsid w:val="00F92B25"/>
    <w:rsid w:val="00F92C4D"/>
    <w:rsid w:val="00F935C9"/>
    <w:rsid w:val="00F9360B"/>
    <w:rsid w:val="00F93761"/>
    <w:rsid w:val="00F93891"/>
    <w:rsid w:val="00F93EED"/>
    <w:rsid w:val="00F93EFC"/>
    <w:rsid w:val="00F94006"/>
    <w:rsid w:val="00F94239"/>
    <w:rsid w:val="00F942EC"/>
    <w:rsid w:val="00F9474D"/>
    <w:rsid w:val="00F9498C"/>
    <w:rsid w:val="00F94BC5"/>
    <w:rsid w:val="00F94CBF"/>
    <w:rsid w:val="00F94EC4"/>
    <w:rsid w:val="00F950CA"/>
    <w:rsid w:val="00F950D6"/>
    <w:rsid w:val="00F9511A"/>
    <w:rsid w:val="00F9522A"/>
    <w:rsid w:val="00F9553C"/>
    <w:rsid w:val="00F9560A"/>
    <w:rsid w:val="00F95619"/>
    <w:rsid w:val="00F95790"/>
    <w:rsid w:val="00F95D2F"/>
    <w:rsid w:val="00F95FCB"/>
    <w:rsid w:val="00F96110"/>
    <w:rsid w:val="00F965C1"/>
    <w:rsid w:val="00F965FD"/>
    <w:rsid w:val="00F96680"/>
    <w:rsid w:val="00F96808"/>
    <w:rsid w:val="00F96824"/>
    <w:rsid w:val="00F9699C"/>
    <w:rsid w:val="00F97025"/>
    <w:rsid w:val="00F97147"/>
    <w:rsid w:val="00F9732D"/>
    <w:rsid w:val="00F9767D"/>
    <w:rsid w:val="00F97965"/>
    <w:rsid w:val="00F97A0C"/>
    <w:rsid w:val="00F97A91"/>
    <w:rsid w:val="00F97BAD"/>
    <w:rsid w:val="00F97BC1"/>
    <w:rsid w:val="00F97D0E"/>
    <w:rsid w:val="00F97D85"/>
    <w:rsid w:val="00F97F61"/>
    <w:rsid w:val="00FA0110"/>
    <w:rsid w:val="00FA0222"/>
    <w:rsid w:val="00FA02A0"/>
    <w:rsid w:val="00FA04CC"/>
    <w:rsid w:val="00FA0599"/>
    <w:rsid w:val="00FA05FC"/>
    <w:rsid w:val="00FA08CA"/>
    <w:rsid w:val="00FA0A6E"/>
    <w:rsid w:val="00FA0BAB"/>
    <w:rsid w:val="00FA0C5D"/>
    <w:rsid w:val="00FA0DCF"/>
    <w:rsid w:val="00FA0DF9"/>
    <w:rsid w:val="00FA0F55"/>
    <w:rsid w:val="00FA130E"/>
    <w:rsid w:val="00FA16F8"/>
    <w:rsid w:val="00FA198A"/>
    <w:rsid w:val="00FA1DD8"/>
    <w:rsid w:val="00FA1E8B"/>
    <w:rsid w:val="00FA212C"/>
    <w:rsid w:val="00FA242A"/>
    <w:rsid w:val="00FA268D"/>
    <w:rsid w:val="00FA2827"/>
    <w:rsid w:val="00FA2C5D"/>
    <w:rsid w:val="00FA2D4F"/>
    <w:rsid w:val="00FA2EB9"/>
    <w:rsid w:val="00FA2EE0"/>
    <w:rsid w:val="00FA30C1"/>
    <w:rsid w:val="00FA3187"/>
    <w:rsid w:val="00FA31E5"/>
    <w:rsid w:val="00FA3409"/>
    <w:rsid w:val="00FA3768"/>
    <w:rsid w:val="00FA4087"/>
    <w:rsid w:val="00FA414C"/>
    <w:rsid w:val="00FA4263"/>
    <w:rsid w:val="00FA45FF"/>
    <w:rsid w:val="00FA4962"/>
    <w:rsid w:val="00FA49AC"/>
    <w:rsid w:val="00FA4ABF"/>
    <w:rsid w:val="00FA4B31"/>
    <w:rsid w:val="00FA4BBD"/>
    <w:rsid w:val="00FA4CF9"/>
    <w:rsid w:val="00FA4E7D"/>
    <w:rsid w:val="00FA4F58"/>
    <w:rsid w:val="00FA53FE"/>
    <w:rsid w:val="00FA55BB"/>
    <w:rsid w:val="00FA5A66"/>
    <w:rsid w:val="00FA5D65"/>
    <w:rsid w:val="00FA5E16"/>
    <w:rsid w:val="00FA5F01"/>
    <w:rsid w:val="00FA604A"/>
    <w:rsid w:val="00FA64C9"/>
    <w:rsid w:val="00FA64CE"/>
    <w:rsid w:val="00FA682D"/>
    <w:rsid w:val="00FA68B7"/>
    <w:rsid w:val="00FA6C2F"/>
    <w:rsid w:val="00FA733C"/>
    <w:rsid w:val="00FA7994"/>
    <w:rsid w:val="00FA7D46"/>
    <w:rsid w:val="00FB01EE"/>
    <w:rsid w:val="00FB0200"/>
    <w:rsid w:val="00FB0370"/>
    <w:rsid w:val="00FB05F0"/>
    <w:rsid w:val="00FB0A4C"/>
    <w:rsid w:val="00FB0B17"/>
    <w:rsid w:val="00FB0C29"/>
    <w:rsid w:val="00FB0C4B"/>
    <w:rsid w:val="00FB0D80"/>
    <w:rsid w:val="00FB0EC7"/>
    <w:rsid w:val="00FB0F56"/>
    <w:rsid w:val="00FB15D6"/>
    <w:rsid w:val="00FB16E1"/>
    <w:rsid w:val="00FB188C"/>
    <w:rsid w:val="00FB198C"/>
    <w:rsid w:val="00FB1B8A"/>
    <w:rsid w:val="00FB1C74"/>
    <w:rsid w:val="00FB1CC7"/>
    <w:rsid w:val="00FB1E15"/>
    <w:rsid w:val="00FB1E67"/>
    <w:rsid w:val="00FB1E83"/>
    <w:rsid w:val="00FB21CB"/>
    <w:rsid w:val="00FB23A4"/>
    <w:rsid w:val="00FB2459"/>
    <w:rsid w:val="00FB2541"/>
    <w:rsid w:val="00FB2617"/>
    <w:rsid w:val="00FB2670"/>
    <w:rsid w:val="00FB2BE9"/>
    <w:rsid w:val="00FB2C16"/>
    <w:rsid w:val="00FB2E5D"/>
    <w:rsid w:val="00FB2E74"/>
    <w:rsid w:val="00FB2F4E"/>
    <w:rsid w:val="00FB3003"/>
    <w:rsid w:val="00FB305F"/>
    <w:rsid w:val="00FB30A6"/>
    <w:rsid w:val="00FB3181"/>
    <w:rsid w:val="00FB31F9"/>
    <w:rsid w:val="00FB39C5"/>
    <w:rsid w:val="00FB3B98"/>
    <w:rsid w:val="00FB3C7B"/>
    <w:rsid w:val="00FB3F8E"/>
    <w:rsid w:val="00FB4145"/>
    <w:rsid w:val="00FB4324"/>
    <w:rsid w:val="00FB4545"/>
    <w:rsid w:val="00FB461D"/>
    <w:rsid w:val="00FB483C"/>
    <w:rsid w:val="00FB4874"/>
    <w:rsid w:val="00FB4876"/>
    <w:rsid w:val="00FB4923"/>
    <w:rsid w:val="00FB492C"/>
    <w:rsid w:val="00FB4984"/>
    <w:rsid w:val="00FB4A54"/>
    <w:rsid w:val="00FB4CD0"/>
    <w:rsid w:val="00FB4E72"/>
    <w:rsid w:val="00FB528F"/>
    <w:rsid w:val="00FB5315"/>
    <w:rsid w:val="00FB53E0"/>
    <w:rsid w:val="00FB5761"/>
    <w:rsid w:val="00FB58A1"/>
    <w:rsid w:val="00FB5998"/>
    <w:rsid w:val="00FB5A4F"/>
    <w:rsid w:val="00FB5B03"/>
    <w:rsid w:val="00FB5D4B"/>
    <w:rsid w:val="00FB5D5E"/>
    <w:rsid w:val="00FB5DE6"/>
    <w:rsid w:val="00FB6101"/>
    <w:rsid w:val="00FB612D"/>
    <w:rsid w:val="00FB6142"/>
    <w:rsid w:val="00FB627D"/>
    <w:rsid w:val="00FB62AC"/>
    <w:rsid w:val="00FB651F"/>
    <w:rsid w:val="00FB666E"/>
    <w:rsid w:val="00FB6696"/>
    <w:rsid w:val="00FB6A4D"/>
    <w:rsid w:val="00FB6DA2"/>
    <w:rsid w:val="00FB6FE0"/>
    <w:rsid w:val="00FB7008"/>
    <w:rsid w:val="00FB72AC"/>
    <w:rsid w:val="00FB73CC"/>
    <w:rsid w:val="00FB74FE"/>
    <w:rsid w:val="00FB7644"/>
    <w:rsid w:val="00FB7892"/>
    <w:rsid w:val="00FB7A3F"/>
    <w:rsid w:val="00FB7D3E"/>
    <w:rsid w:val="00FB7D86"/>
    <w:rsid w:val="00FB7FC6"/>
    <w:rsid w:val="00FC0275"/>
    <w:rsid w:val="00FC0296"/>
    <w:rsid w:val="00FC0434"/>
    <w:rsid w:val="00FC060E"/>
    <w:rsid w:val="00FC068C"/>
    <w:rsid w:val="00FC06F7"/>
    <w:rsid w:val="00FC0BB5"/>
    <w:rsid w:val="00FC0E3E"/>
    <w:rsid w:val="00FC10C9"/>
    <w:rsid w:val="00FC10FC"/>
    <w:rsid w:val="00FC11DF"/>
    <w:rsid w:val="00FC12D0"/>
    <w:rsid w:val="00FC137A"/>
    <w:rsid w:val="00FC14E3"/>
    <w:rsid w:val="00FC1539"/>
    <w:rsid w:val="00FC18A8"/>
    <w:rsid w:val="00FC18C3"/>
    <w:rsid w:val="00FC1FF7"/>
    <w:rsid w:val="00FC207B"/>
    <w:rsid w:val="00FC2225"/>
    <w:rsid w:val="00FC2259"/>
    <w:rsid w:val="00FC248D"/>
    <w:rsid w:val="00FC263E"/>
    <w:rsid w:val="00FC2647"/>
    <w:rsid w:val="00FC270B"/>
    <w:rsid w:val="00FC2A73"/>
    <w:rsid w:val="00FC2CDE"/>
    <w:rsid w:val="00FC2D65"/>
    <w:rsid w:val="00FC2F1A"/>
    <w:rsid w:val="00FC3172"/>
    <w:rsid w:val="00FC35DA"/>
    <w:rsid w:val="00FC36C4"/>
    <w:rsid w:val="00FC3848"/>
    <w:rsid w:val="00FC399E"/>
    <w:rsid w:val="00FC3D22"/>
    <w:rsid w:val="00FC3FDB"/>
    <w:rsid w:val="00FC4190"/>
    <w:rsid w:val="00FC4350"/>
    <w:rsid w:val="00FC4465"/>
    <w:rsid w:val="00FC449F"/>
    <w:rsid w:val="00FC4517"/>
    <w:rsid w:val="00FC486E"/>
    <w:rsid w:val="00FC4DC1"/>
    <w:rsid w:val="00FC53EB"/>
    <w:rsid w:val="00FC559C"/>
    <w:rsid w:val="00FC566E"/>
    <w:rsid w:val="00FC57D0"/>
    <w:rsid w:val="00FC57F7"/>
    <w:rsid w:val="00FC5853"/>
    <w:rsid w:val="00FC58BA"/>
    <w:rsid w:val="00FC5A3F"/>
    <w:rsid w:val="00FC5A9C"/>
    <w:rsid w:val="00FC5AAF"/>
    <w:rsid w:val="00FC5ACF"/>
    <w:rsid w:val="00FC5B61"/>
    <w:rsid w:val="00FC5C07"/>
    <w:rsid w:val="00FC5C3C"/>
    <w:rsid w:val="00FC614E"/>
    <w:rsid w:val="00FC63EA"/>
    <w:rsid w:val="00FC6427"/>
    <w:rsid w:val="00FC66AE"/>
    <w:rsid w:val="00FC67D0"/>
    <w:rsid w:val="00FC6821"/>
    <w:rsid w:val="00FC6C28"/>
    <w:rsid w:val="00FC6CBB"/>
    <w:rsid w:val="00FC6EDE"/>
    <w:rsid w:val="00FC6FB9"/>
    <w:rsid w:val="00FC709B"/>
    <w:rsid w:val="00FC7148"/>
    <w:rsid w:val="00FC76CD"/>
    <w:rsid w:val="00FC7782"/>
    <w:rsid w:val="00FC79C2"/>
    <w:rsid w:val="00FC7B99"/>
    <w:rsid w:val="00FC7C4A"/>
    <w:rsid w:val="00FC7F2D"/>
    <w:rsid w:val="00FD0102"/>
    <w:rsid w:val="00FD02F4"/>
    <w:rsid w:val="00FD03F0"/>
    <w:rsid w:val="00FD09DB"/>
    <w:rsid w:val="00FD0D9C"/>
    <w:rsid w:val="00FD0FD1"/>
    <w:rsid w:val="00FD1124"/>
    <w:rsid w:val="00FD12D3"/>
    <w:rsid w:val="00FD137D"/>
    <w:rsid w:val="00FD1428"/>
    <w:rsid w:val="00FD15B7"/>
    <w:rsid w:val="00FD15D2"/>
    <w:rsid w:val="00FD185F"/>
    <w:rsid w:val="00FD1968"/>
    <w:rsid w:val="00FD1E67"/>
    <w:rsid w:val="00FD208B"/>
    <w:rsid w:val="00FD20B6"/>
    <w:rsid w:val="00FD2892"/>
    <w:rsid w:val="00FD2B82"/>
    <w:rsid w:val="00FD2BBF"/>
    <w:rsid w:val="00FD2C73"/>
    <w:rsid w:val="00FD2E9C"/>
    <w:rsid w:val="00FD2F24"/>
    <w:rsid w:val="00FD3256"/>
    <w:rsid w:val="00FD3508"/>
    <w:rsid w:val="00FD36DC"/>
    <w:rsid w:val="00FD374E"/>
    <w:rsid w:val="00FD38E3"/>
    <w:rsid w:val="00FD3E4D"/>
    <w:rsid w:val="00FD3EC7"/>
    <w:rsid w:val="00FD4187"/>
    <w:rsid w:val="00FD4247"/>
    <w:rsid w:val="00FD45E2"/>
    <w:rsid w:val="00FD4823"/>
    <w:rsid w:val="00FD4967"/>
    <w:rsid w:val="00FD4B2B"/>
    <w:rsid w:val="00FD4B2E"/>
    <w:rsid w:val="00FD4E5A"/>
    <w:rsid w:val="00FD4E9D"/>
    <w:rsid w:val="00FD4EC7"/>
    <w:rsid w:val="00FD4EF7"/>
    <w:rsid w:val="00FD544D"/>
    <w:rsid w:val="00FD57AD"/>
    <w:rsid w:val="00FD584A"/>
    <w:rsid w:val="00FD5DCB"/>
    <w:rsid w:val="00FD5E0A"/>
    <w:rsid w:val="00FD5F2C"/>
    <w:rsid w:val="00FD62D0"/>
    <w:rsid w:val="00FD62E7"/>
    <w:rsid w:val="00FD64DA"/>
    <w:rsid w:val="00FD6573"/>
    <w:rsid w:val="00FD666B"/>
    <w:rsid w:val="00FD6777"/>
    <w:rsid w:val="00FD69DB"/>
    <w:rsid w:val="00FD6A67"/>
    <w:rsid w:val="00FD6B54"/>
    <w:rsid w:val="00FD6EE6"/>
    <w:rsid w:val="00FD7011"/>
    <w:rsid w:val="00FD7014"/>
    <w:rsid w:val="00FD70A1"/>
    <w:rsid w:val="00FD70AB"/>
    <w:rsid w:val="00FD71C7"/>
    <w:rsid w:val="00FD7345"/>
    <w:rsid w:val="00FD7D54"/>
    <w:rsid w:val="00FD7D88"/>
    <w:rsid w:val="00FE03D6"/>
    <w:rsid w:val="00FE04FC"/>
    <w:rsid w:val="00FE05CC"/>
    <w:rsid w:val="00FE0815"/>
    <w:rsid w:val="00FE0AED"/>
    <w:rsid w:val="00FE0F23"/>
    <w:rsid w:val="00FE10C2"/>
    <w:rsid w:val="00FE12FB"/>
    <w:rsid w:val="00FE14E1"/>
    <w:rsid w:val="00FE15B0"/>
    <w:rsid w:val="00FE181C"/>
    <w:rsid w:val="00FE19D0"/>
    <w:rsid w:val="00FE1BAC"/>
    <w:rsid w:val="00FE1BD6"/>
    <w:rsid w:val="00FE1C57"/>
    <w:rsid w:val="00FE1CEB"/>
    <w:rsid w:val="00FE1D97"/>
    <w:rsid w:val="00FE2230"/>
    <w:rsid w:val="00FE233D"/>
    <w:rsid w:val="00FE23DD"/>
    <w:rsid w:val="00FE244B"/>
    <w:rsid w:val="00FE2615"/>
    <w:rsid w:val="00FE26D4"/>
    <w:rsid w:val="00FE2713"/>
    <w:rsid w:val="00FE2922"/>
    <w:rsid w:val="00FE2A72"/>
    <w:rsid w:val="00FE2AA4"/>
    <w:rsid w:val="00FE2AE4"/>
    <w:rsid w:val="00FE2B81"/>
    <w:rsid w:val="00FE2D82"/>
    <w:rsid w:val="00FE2DBE"/>
    <w:rsid w:val="00FE2E0A"/>
    <w:rsid w:val="00FE2E82"/>
    <w:rsid w:val="00FE2EC9"/>
    <w:rsid w:val="00FE2EF3"/>
    <w:rsid w:val="00FE3218"/>
    <w:rsid w:val="00FE3327"/>
    <w:rsid w:val="00FE34E7"/>
    <w:rsid w:val="00FE35CA"/>
    <w:rsid w:val="00FE367B"/>
    <w:rsid w:val="00FE3D98"/>
    <w:rsid w:val="00FE3E15"/>
    <w:rsid w:val="00FE3F74"/>
    <w:rsid w:val="00FE3FDD"/>
    <w:rsid w:val="00FE43D5"/>
    <w:rsid w:val="00FE43DF"/>
    <w:rsid w:val="00FE44CF"/>
    <w:rsid w:val="00FE49F1"/>
    <w:rsid w:val="00FE4AAF"/>
    <w:rsid w:val="00FE4B87"/>
    <w:rsid w:val="00FE4E76"/>
    <w:rsid w:val="00FE4F07"/>
    <w:rsid w:val="00FE4F9B"/>
    <w:rsid w:val="00FE4FB6"/>
    <w:rsid w:val="00FE51CB"/>
    <w:rsid w:val="00FE52E0"/>
    <w:rsid w:val="00FE534B"/>
    <w:rsid w:val="00FE569B"/>
    <w:rsid w:val="00FE58B9"/>
    <w:rsid w:val="00FE58FF"/>
    <w:rsid w:val="00FE597C"/>
    <w:rsid w:val="00FE5A89"/>
    <w:rsid w:val="00FE5E67"/>
    <w:rsid w:val="00FE5F40"/>
    <w:rsid w:val="00FE5F6F"/>
    <w:rsid w:val="00FE6058"/>
    <w:rsid w:val="00FE63D0"/>
    <w:rsid w:val="00FE63E3"/>
    <w:rsid w:val="00FE6551"/>
    <w:rsid w:val="00FE67BF"/>
    <w:rsid w:val="00FE67C8"/>
    <w:rsid w:val="00FE6A9A"/>
    <w:rsid w:val="00FE6C3A"/>
    <w:rsid w:val="00FE6D80"/>
    <w:rsid w:val="00FE7032"/>
    <w:rsid w:val="00FE72A7"/>
    <w:rsid w:val="00FE7404"/>
    <w:rsid w:val="00FE79C7"/>
    <w:rsid w:val="00FE7A29"/>
    <w:rsid w:val="00FE7A7C"/>
    <w:rsid w:val="00FE7B60"/>
    <w:rsid w:val="00FE7BF5"/>
    <w:rsid w:val="00FE7D5A"/>
    <w:rsid w:val="00FF010B"/>
    <w:rsid w:val="00FF01DC"/>
    <w:rsid w:val="00FF0412"/>
    <w:rsid w:val="00FF09AB"/>
    <w:rsid w:val="00FF09E3"/>
    <w:rsid w:val="00FF0A22"/>
    <w:rsid w:val="00FF0AC7"/>
    <w:rsid w:val="00FF10A1"/>
    <w:rsid w:val="00FF10B0"/>
    <w:rsid w:val="00FF11BD"/>
    <w:rsid w:val="00FF13AE"/>
    <w:rsid w:val="00FF13D1"/>
    <w:rsid w:val="00FF1943"/>
    <w:rsid w:val="00FF1A3B"/>
    <w:rsid w:val="00FF1AAB"/>
    <w:rsid w:val="00FF1B7A"/>
    <w:rsid w:val="00FF1D6D"/>
    <w:rsid w:val="00FF1E02"/>
    <w:rsid w:val="00FF1E44"/>
    <w:rsid w:val="00FF1F8A"/>
    <w:rsid w:val="00FF2176"/>
    <w:rsid w:val="00FF2483"/>
    <w:rsid w:val="00FF25C1"/>
    <w:rsid w:val="00FF26D2"/>
    <w:rsid w:val="00FF2C4C"/>
    <w:rsid w:val="00FF32B5"/>
    <w:rsid w:val="00FF3478"/>
    <w:rsid w:val="00FF3800"/>
    <w:rsid w:val="00FF3AD1"/>
    <w:rsid w:val="00FF3B06"/>
    <w:rsid w:val="00FF3F10"/>
    <w:rsid w:val="00FF3F3E"/>
    <w:rsid w:val="00FF42E4"/>
    <w:rsid w:val="00FF42E6"/>
    <w:rsid w:val="00FF470B"/>
    <w:rsid w:val="00FF479B"/>
    <w:rsid w:val="00FF48BE"/>
    <w:rsid w:val="00FF4A22"/>
    <w:rsid w:val="00FF4A48"/>
    <w:rsid w:val="00FF4A8A"/>
    <w:rsid w:val="00FF4BF2"/>
    <w:rsid w:val="00FF504B"/>
    <w:rsid w:val="00FF5091"/>
    <w:rsid w:val="00FF52B3"/>
    <w:rsid w:val="00FF537B"/>
    <w:rsid w:val="00FF5383"/>
    <w:rsid w:val="00FF5509"/>
    <w:rsid w:val="00FF5597"/>
    <w:rsid w:val="00FF55E2"/>
    <w:rsid w:val="00FF5788"/>
    <w:rsid w:val="00FF58EF"/>
    <w:rsid w:val="00FF58F4"/>
    <w:rsid w:val="00FF5DE6"/>
    <w:rsid w:val="00FF60D9"/>
    <w:rsid w:val="00FF6167"/>
    <w:rsid w:val="00FF6275"/>
    <w:rsid w:val="00FF62CD"/>
    <w:rsid w:val="00FF6326"/>
    <w:rsid w:val="00FF6539"/>
    <w:rsid w:val="00FF658B"/>
    <w:rsid w:val="00FF66CD"/>
    <w:rsid w:val="00FF6B4B"/>
    <w:rsid w:val="00FF6F25"/>
    <w:rsid w:val="00FF7001"/>
    <w:rsid w:val="00FF71B1"/>
    <w:rsid w:val="00FF7321"/>
    <w:rsid w:val="00FF7354"/>
    <w:rsid w:val="00FF7413"/>
    <w:rsid w:val="00FF744D"/>
    <w:rsid w:val="00FF7BB9"/>
    <w:rsid w:val="010B9EEE"/>
    <w:rsid w:val="0111C4B3"/>
    <w:rsid w:val="012B7557"/>
    <w:rsid w:val="013E7274"/>
    <w:rsid w:val="0148A9A9"/>
    <w:rsid w:val="0149FC14"/>
    <w:rsid w:val="015433DC"/>
    <w:rsid w:val="01581E5A"/>
    <w:rsid w:val="01585C02"/>
    <w:rsid w:val="0162F8B3"/>
    <w:rsid w:val="016D5D15"/>
    <w:rsid w:val="018B8D91"/>
    <w:rsid w:val="0198F004"/>
    <w:rsid w:val="019CB9A0"/>
    <w:rsid w:val="01A86175"/>
    <w:rsid w:val="01B7EA7B"/>
    <w:rsid w:val="01BECD5C"/>
    <w:rsid w:val="01BF3869"/>
    <w:rsid w:val="01CF49A0"/>
    <w:rsid w:val="01D0CED9"/>
    <w:rsid w:val="01D89499"/>
    <w:rsid w:val="01DC5E6F"/>
    <w:rsid w:val="01E57CCA"/>
    <w:rsid w:val="01E9D1E0"/>
    <w:rsid w:val="020C5E18"/>
    <w:rsid w:val="02112004"/>
    <w:rsid w:val="02121AB5"/>
    <w:rsid w:val="021A2168"/>
    <w:rsid w:val="0220681B"/>
    <w:rsid w:val="0233B3A7"/>
    <w:rsid w:val="023A9B78"/>
    <w:rsid w:val="0256495D"/>
    <w:rsid w:val="0259E020"/>
    <w:rsid w:val="0265E991"/>
    <w:rsid w:val="02693A5C"/>
    <w:rsid w:val="026A4BC1"/>
    <w:rsid w:val="026E7AC7"/>
    <w:rsid w:val="027D22F1"/>
    <w:rsid w:val="0282DA1D"/>
    <w:rsid w:val="029433AB"/>
    <w:rsid w:val="029F8E89"/>
    <w:rsid w:val="02A613B5"/>
    <w:rsid w:val="02AB2926"/>
    <w:rsid w:val="02B4BEE0"/>
    <w:rsid w:val="02B54685"/>
    <w:rsid w:val="02B7887D"/>
    <w:rsid w:val="02BF21FE"/>
    <w:rsid w:val="02C1D76F"/>
    <w:rsid w:val="02C39DEF"/>
    <w:rsid w:val="02C89A27"/>
    <w:rsid w:val="02C9E8BB"/>
    <w:rsid w:val="02CB2876"/>
    <w:rsid w:val="02D290BA"/>
    <w:rsid w:val="02E1178F"/>
    <w:rsid w:val="02E9EF23"/>
    <w:rsid w:val="02EFEA09"/>
    <w:rsid w:val="02F9C0B7"/>
    <w:rsid w:val="02FDCEBA"/>
    <w:rsid w:val="0303E386"/>
    <w:rsid w:val="030A8428"/>
    <w:rsid w:val="031DA0A0"/>
    <w:rsid w:val="031E7694"/>
    <w:rsid w:val="0327374E"/>
    <w:rsid w:val="032FFEC8"/>
    <w:rsid w:val="03315BB8"/>
    <w:rsid w:val="03427B9C"/>
    <w:rsid w:val="034C0F15"/>
    <w:rsid w:val="034DEABE"/>
    <w:rsid w:val="035630B7"/>
    <w:rsid w:val="035E5B7E"/>
    <w:rsid w:val="035F6EEE"/>
    <w:rsid w:val="03649CDE"/>
    <w:rsid w:val="036BB7BB"/>
    <w:rsid w:val="03739F23"/>
    <w:rsid w:val="0383BA3A"/>
    <w:rsid w:val="03857052"/>
    <w:rsid w:val="038886EF"/>
    <w:rsid w:val="038A394A"/>
    <w:rsid w:val="038BF578"/>
    <w:rsid w:val="038E381A"/>
    <w:rsid w:val="039E6423"/>
    <w:rsid w:val="03AA1844"/>
    <w:rsid w:val="03B95D55"/>
    <w:rsid w:val="03C1110A"/>
    <w:rsid w:val="03CBFEF8"/>
    <w:rsid w:val="03CFB7D3"/>
    <w:rsid w:val="03D3DC52"/>
    <w:rsid w:val="03DD522D"/>
    <w:rsid w:val="03E95760"/>
    <w:rsid w:val="03EEF302"/>
    <w:rsid w:val="03F48233"/>
    <w:rsid w:val="03F8F260"/>
    <w:rsid w:val="03FDF19C"/>
    <w:rsid w:val="04083FCC"/>
    <w:rsid w:val="040B2B9B"/>
    <w:rsid w:val="040D386B"/>
    <w:rsid w:val="040E6AD7"/>
    <w:rsid w:val="0415ABA3"/>
    <w:rsid w:val="04311B2A"/>
    <w:rsid w:val="044AE7FE"/>
    <w:rsid w:val="044C7D14"/>
    <w:rsid w:val="044CF352"/>
    <w:rsid w:val="04549AC8"/>
    <w:rsid w:val="04560CBF"/>
    <w:rsid w:val="04568535"/>
    <w:rsid w:val="04602679"/>
    <w:rsid w:val="04652747"/>
    <w:rsid w:val="04698A3E"/>
    <w:rsid w:val="04873A3D"/>
    <w:rsid w:val="048BFB88"/>
    <w:rsid w:val="048E0D2C"/>
    <w:rsid w:val="049D81FE"/>
    <w:rsid w:val="04A3B69E"/>
    <w:rsid w:val="04A3C682"/>
    <w:rsid w:val="04A4366D"/>
    <w:rsid w:val="04B56176"/>
    <w:rsid w:val="04C3C67F"/>
    <w:rsid w:val="04C96F89"/>
    <w:rsid w:val="04CCCE69"/>
    <w:rsid w:val="04CEA056"/>
    <w:rsid w:val="04CFDD8A"/>
    <w:rsid w:val="04EB69CE"/>
    <w:rsid w:val="04EBE175"/>
    <w:rsid w:val="04EE465C"/>
    <w:rsid w:val="04EF86DB"/>
    <w:rsid w:val="04FA36FF"/>
    <w:rsid w:val="0518FDEC"/>
    <w:rsid w:val="051C5950"/>
    <w:rsid w:val="0529BCEC"/>
    <w:rsid w:val="0531382A"/>
    <w:rsid w:val="0535BE55"/>
    <w:rsid w:val="053EC3E5"/>
    <w:rsid w:val="05419F8F"/>
    <w:rsid w:val="05440279"/>
    <w:rsid w:val="0547EAAC"/>
    <w:rsid w:val="054BA72F"/>
    <w:rsid w:val="054E3BAA"/>
    <w:rsid w:val="054E570B"/>
    <w:rsid w:val="05575D82"/>
    <w:rsid w:val="055E7B08"/>
    <w:rsid w:val="0561A386"/>
    <w:rsid w:val="0566C010"/>
    <w:rsid w:val="0569C1D6"/>
    <w:rsid w:val="05772FCD"/>
    <w:rsid w:val="058A828A"/>
    <w:rsid w:val="058E67FE"/>
    <w:rsid w:val="0593FC89"/>
    <w:rsid w:val="059967DA"/>
    <w:rsid w:val="05AF9686"/>
    <w:rsid w:val="05C0D23C"/>
    <w:rsid w:val="05CD3728"/>
    <w:rsid w:val="05D2A7C6"/>
    <w:rsid w:val="05DD22C5"/>
    <w:rsid w:val="05DEBC16"/>
    <w:rsid w:val="05E32638"/>
    <w:rsid w:val="05E3ADF8"/>
    <w:rsid w:val="05F13DFC"/>
    <w:rsid w:val="05F1A25C"/>
    <w:rsid w:val="05FF3764"/>
    <w:rsid w:val="0602D752"/>
    <w:rsid w:val="0609CE4E"/>
    <w:rsid w:val="060C77D1"/>
    <w:rsid w:val="0616EE85"/>
    <w:rsid w:val="06170669"/>
    <w:rsid w:val="061B02C5"/>
    <w:rsid w:val="0635C3A5"/>
    <w:rsid w:val="0638994B"/>
    <w:rsid w:val="063CD88C"/>
    <w:rsid w:val="064454B3"/>
    <w:rsid w:val="06489745"/>
    <w:rsid w:val="065E89B8"/>
    <w:rsid w:val="06629D40"/>
    <w:rsid w:val="066AB825"/>
    <w:rsid w:val="0675E4D3"/>
    <w:rsid w:val="067B5792"/>
    <w:rsid w:val="069B369C"/>
    <w:rsid w:val="06A09DBF"/>
    <w:rsid w:val="06A59DCD"/>
    <w:rsid w:val="06A89CC9"/>
    <w:rsid w:val="06A93EE9"/>
    <w:rsid w:val="06ABB791"/>
    <w:rsid w:val="06B62256"/>
    <w:rsid w:val="06B64C84"/>
    <w:rsid w:val="06B78262"/>
    <w:rsid w:val="06C20562"/>
    <w:rsid w:val="06C31AFA"/>
    <w:rsid w:val="06C46426"/>
    <w:rsid w:val="06CBE65F"/>
    <w:rsid w:val="06D47D68"/>
    <w:rsid w:val="06DCDDEF"/>
    <w:rsid w:val="06E2B974"/>
    <w:rsid w:val="06EB87ED"/>
    <w:rsid w:val="06EEEB8B"/>
    <w:rsid w:val="07016995"/>
    <w:rsid w:val="070CFF23"/>
    <w:rsid w:val="070E9092"/>
    <w:rsid w:val="0710078D"/>
    <w:rsid w:val="073FF913"/>
    <w:rsid w:val="074A7EE9"/>
    <w:rsid w:val="07584A9D"/>
    <w:rsid w:val="0771E0EE"/>
    <w:rsid w:val="077F6CE1"/>
    <w:rsid w:val="0781C83F"/>
    <w:rsid w:val="0794DD3B"/>
    <w:rsid w:val="079BBC1D"/>
    <w:rsid w:val="079CE023"/>
    <w:rsid w:val="079E6D01"/>
    <w:rsid w:val="079F0B9F"/>
    <w:rsid w:val="079F5369"/>
    <w:rsid w:val="07B20676"/>
    <w:rsid w:val="07B3EE78"/>
    <w:rsid w:val="07B86892"/>
    <w:rsid w:val="07BECF04"/>
    <w:rsid w:val="07C49FBF"/>
    <w:rsid w:val="07C75B2D"/>
    <w:rsid w:val="07D64801"/>
    <w:rsid w:val="07D9E657"/>
    <w:rsid w:val="07DBA0E2"/>
    <w:rsid w:val="07E018F1"/>
    <w:rsid w:val="07E73ABE"/>
    <w:rsid w:val="0805C363"/>
    <w:rsid w:val="08104784"/>
    <w:rsid w:val="08240DE7"/>
    <w:rsid w:val="0827904A"/>
    <w:rsid w:val="08384CB3"/>
    <w:rsid w:val="08481B75"/>
    <w:rsid w:val="084C489F"/>
    <w:rsid w:val="08541FC2"/>
    <w:rsid w:val="0854310D"/>
    <w:rsid w:val="0859DC67"/>
    <w:rsid w:val="085B698E"/>
    <w:rsid w:val="085FA377"/>
    <w:rsid w:val="0860CE78"/>
    <w:rsid w:val="0865AFDA"/>
    <w:rsid w:val="086D3018"/>
    <w:rsid w:val="0872C0B4"/>
    <w:rsid w:val="08740E55"/>
    <w:rsid w:val="087EC5DB"/>
    <w:rsid w:val="08803133"/>
    <w:rsid w:val="08806DF6"/>
    <w:rsid w:val="0883835E"/>
    <w:rsid w:val="0886AF9A"/>
    <w:rsid w:val="088D570E"/>
    <w:rsid w:val="088EE4D4"/>
    <w:rsid w:val="089B3888"/>
    <w:rsid w:val="08AD6332"/>
    <w:rsid w:val="08C3F164"/>
    <w:rsid w:val="08D02042"/>
    <w:rsid w:val="08D2718C"/>
    <w:rsid w:val="08E2FAD2"/>
    <w:rsid w:val="08EDBF26"/>
    <w:rsid w:val="08F197F0"/>
    <w:rsid w:val="0905A7CA"/>
    <w:rsid w:val="0906A3A6"/>
    <w:rsid w:val="090A77E7"/>
    <w:rsid w:val="091EB572"/>
    <w:rsid w:val="0925063C"/>
    <w:rsid w:val="09372739"/>
    <w:rsid w:val="09372E03"/>
    <w:rsid w:val="0951E55B"/>
    <w:rsid w:val="0954AD77"/>
    <w:rsid w:val="0960B4AA"/>
    <w:rsid w:val="0961EAB5"/>
    <w:rsid w:val="0977D8D0"/>
    <w:rsid w:val="0987C080"/>
    <w:rsid w:val="098A9293"/>
    <w:rsid w:val="098BD132"/>
    <w:rsid w:val="0999D5E9"/>
    <w:rsid w:val="09B69962"/>
    <w:rsid w:val="09B90818"/>
    <w:rsid w:val="09C0BFC6"/>
    <w:rsid w:val="09CEED1F"/>
    <w:rsid w:val="09D51238"/>
    <w:rsid w:val="09D7C45B"/>
    <w:rsid w:val="09DD8A59"/>
    <w:rsid w:val="09EE7F83"/>
    <w:rsid w:val="09FCCB6E"/>
    <w:rsid w:val="0A086450"/>
    <w:rsid w:val="0A0A22C3"/>
    <w:rsid w:val="0A0BF721"/>
    <w:rsid w:val="0A0F575B"/>
    <w:rsid w:val="0A1375FD"/>
    <w:rsid w:val="0A17B814"/>
    <w:rsid w:val="0A19A4E9"/>
    <w:rsid w:val="0A225229"/>
    <w:rsid w:val="0A25E75C"/>
    <w:rsid w:val="0A3B26DF"/>
    <w:rsid w:val="0A4041F4"/>
    <w:rsid w:val="0A44600C"/>
    <w:rsid w:val="0A53D045"/>
    <w:rsid w:val="0A597564"/>
    <w:rsid w:val="0A71992E"/>
    <w:rsid w:val="0A7450C3"/>
    <w:rsid w:val="0A7AFB37"/>
    <w:rsid w:val="0A88C9DC"/>
    <w:rsid w:val="0AA31156"/>
    <w:rsid w:val="0AAEDCD8"/>
    <w:rsid w:val="0AC474DA"/>
    <w:rsid w:val="0ACA7DB7"/>
    <w:rsid w:val="0ACAA11A"/>
    <w:rsid w:val="0AD380B0"/>
    <w:rsid w:val="0ADBCDE9"/>
    <w:rsid w:val="0AE8F66F"/>
    <w:rsid w:val="0AF0B8D5"/>
    <w:rsid w:val="0AF86994"/>
    <w:rsid w:val="0B03C2C1"/>
    <w:rsid w:val="0B100656"/>
    <w:rsid w:val="0B120DC7"/>
    <w:rsid w:val="0B19106E"/>
    <w:rsid w:val="0B2BA0D4"/>
    <w:rsid w:val="0B33FFCD"/>
    <w:rsid w:val="0B3C0BE7"/>
    <w:rsid w:val="0B3C9482"/>
    <w:rsid w:val="0B428A99"/>
    <w:rsid w:val="0B558087"/>
    <w:rsid w:val="0B5632F0"/>
    <w:rsid w:val="0B6226E1"/>
    <w:rsid w:val="0B638950"/>
    <w:rsid w:val="0B681471"/>
    <w:rsid w:val="0B74BA10"/>
    <w:rsid w:val="0B89888C"/>
    <w:rsid w:val="0BA1BA67"/>
    <w:rsid w:val="0BA4E7E5"/>
    <w:rsid w:val="0BA8C5FA"/>
    <w:rsid w:val="0BBAC297"/>
    <w:rsid w:val="0BCD0FF5"/>
    <w:rsid w:val="0BCDFF0E"/>
    <w:rsid w:val="0BD0FD83"/>
    <w:rsid w:val="0BD35CE4"/>
    <w:rsid w:val="0BEB4E90"/>
    <w:rsid w:val="0BFB6729"/>
    <w:rsid w:val="0C09C004"/>
    <w:rsid w:val="0C0BD9DB"/>
    <w:rsid w:val="0C193FD0"/>
    <w:rsid w:val="0C210A34"/>
    <w:rsid w:val="0C32C71A"/>
    <w:rsid w:val="0C33CA1A"/>
    <w:rsid w:val="0C3679FD"/>
    <w:rsid w:val="0C3B794F"/>
    <w:rsid w:val="0C453C36"/>
    <w:rsid w:val="0C4F2316"/>
    <w:rsid w:val="0C4F885A"/>
    <w:rsid w:val="0C508EFE"/>
    <w:rsid w:val="0C59DBC3"/>
    <w:rsid w:val="0C5BA2B0"/>
    <w:rsid w:val="0C676889"/>
    <w:rsid w:val="0C6CF2D4"/>
    <w:rsid w:val="0C83D92A"/>
    <w:rsid w:val="0C84DE4C"/>
    <w:rsid w:val="0C91A79E"/>
    <w:rsid w:val="0C9B0BAA"/>
    <w:rsid w:val="0C9FB1B0"/>
    <w:rsid w:val="0CA12AE1"/>
    <w:rsid w:val="0CB638BF"/>
    <w:rsid w:val="0CB984B7"/>
    <w:rsid w:val="0CBDF57A"/>
    <w:rsid w:val="0CBE5E3E"/>
    <w:rsid w:val="0CC37955"/>
    <w:rsid w:val="0CD71AF5"/>
    <w:rsid w:val="0CD8D6EC"/>
    <w:rsid w:val="0CE1E8CA"/>
    <w:rsid w:val="0CE20C7E"/>
    <w:rsid w:val="0CEF01AF"/>
    <w:rsid w:val="0CF0ACE1"/>
    <w:rsid w:val="0CF186B1"/>
    <w:rsid w:val="0CFDDECE"/>
    <w:rsid w:val="0D0172E5"/>
    <w:rsid w:val="0D03EB11"/>
    <w:rsid w:val="0D0450A8"/>
    <w:rsid w:val="0D092E6F"/>
    <w:rsid w:val="0D1AFBCF"/>
    <w:rsid w:val="0D237FE1"/>
    <w:rsid w:val="0D30BCBD"/>
    <w:rsid w:val="0D316616"/>
    <w:rsid w:val="0D378649"/>
    <w:rsid w:val="0D4082F0"/>
    <w:rsid w:val="0D4BF5E2"/>
    <w:rsid w:val="0D4C65D0"/>
    <w:rsid w:val="0D4E16D5"/>
    <w:rsid w:val="0D55EA6C"/>
    <w:rsid w:val="0D5C3775"/>
    <w:rsid w:val="0D5DC154"/>
    <w:rsid w:val="0D63CC46"/>
    <w:rsid w:val="0D68AB27"/>
    <w:rsid w:val="0D699EEB"/>
    <w:rsid w:val="0D6C1B0A"/>
    <w:rsid w:val="0D7C5197"/>
    <w:rsid w:val="0D8ED594"/>
    <w:rsid w:val="0D8F3FF8"/>
    <w:rsid w:val="0D92A86E"/>
    <w:rsid w:val="0D94ED33"/>
    <w:rsid w:val="0D9E3B46"/>
    <w:rsid w:val="0DA8913A"/>
    <w:rsid w:val="0DA9F5F1"/>
    <w:rsid w:val="0DABE685"/>
    <w:rsid w:val="0DAE0D3D"/>
    <w:rsid w:val="0DBDFF9D"/>
    <w:rsid w:val="0DC186E3"/>
    <w:rsid w:val="0DD2690D"/>
    <w:rsid w:val="0DD2F1A4"/>
    <w:rsid w:val="0DD3D9AC"/>
    <w:rsid w:val="0DE24DEF"/>
    <w:rsid w:val="0DF53D64"/>
    <w:rsid w:val="0DFA87CA"/>
    <w:rsid w:val="0DFF1627"/>
    <w:rsid w:val="0E0A0481"/>
    <w:rsid w:val="0E1412EC"/>
    <w:rsid w:val="0E151229"/>
    <w:rsid w:val="0E16C845"/>
    <w:rsid w:val="0E18AA44"/>
    <w:rsid w:val="0E1A3691"/>
    <w:rsid w:val="0E1A383D"/>
    <w:rsid w:val="0E226C35"/>
    <w:rsid w:val="0E2B6C7F"/>
    <w:rsid w:val="0E34010F"/>
    <w:rsid w:val="0E36EC21"/>
    <w:rsid w:val="0E409989"/>
    <w:rsid w:val="0E493100"/>
    <w:rsid w:val="0E53023B"/>
    <w:rsid w:val="0E590442"/>
    <w:rsid w:val="0E596D72"/>
    <w:rsid w:val="0E6232E3"/>
    <w:rsid w:val="0E64DA4F"/>
    <w:rsid w:val="0E6A0DC3"/>
    <w:rsid w:val="0E6F2F33"/>
    <w:rsid w:val="0E73ACDE"/>
    <w:rsid w:val="0E75B881"/>
    <w:rsid w:val="0E88362A"/>
    <w:rsid w:val="0E911F41"/>
    <w:rsid w:val="0E93BA95"/>
    <w:rsid w:val="0E979AE7"/>
    <w:rsid w:val="0E9CD0AE"/>
    <w:rsid w:val="0E9F44B1"/>
    <w:rsid w:val="0E9FD6CC"/>
    <w:rsid w:val="0EA24CD7"/>
    <w:rsid w:val="0EB1FFCC"/>
    <w:rsid w:val="0EB46573"/>
    <w:rsid w:val="0EBFF904"/>
    <w:rsid w:val="0EDA90FB"/>
    <w:rsid w:val="0EE26E0F"/>
    <w:rsid w:val="0EE82606"/>
    <w:rsid w:val="0EEA0BA7"/>
    <w:rsid w:val="0EFED22D"/>
    <w:rsid w:val="0EFF40FE"/>
    <w:rsid w:val="0F1030E6"/>
    <w:rsid w:val="0F13D937"/>
    <w:rsid w:val="0F1436B7"/>
    <w:rsid w:val="0F18B25A"/>
    <w:rsid w:val="0F2CCEBF"/>
    <w:rsid w:val="0F323258"/>
    <w:rsid w:val="0F32FF65"/>
    <w:rsid w:val="0F46A187"/>
    <w:rsid w:val="0F4EFFAF"/>
    <w:rsid w:val="0F51F5F4"/>
    <w:rsid w:val="0F568F37"/>
    <w:rsid w:val="0F5F0D28"/>
    <w:rsid w:val="0F6242F9"/>
    <w:rsid w:val="0F62D3BA"/>
    <w:rsid w:val="0F6A5B2E"/>
    <w:rsid w:val="0F8987BE"/>
    <w:rsid w:val="0F8F8B61"/>
    <w:rsid w:val="0F96A018"/>
    <w:rsid w:val="0F9C8368"/>
    <w:rsid w:val="0F9FC7CF"/>
    <w:rsid w:val="0FA43858"/>
    <w:rsid w:val="0FAC49E0"/>
    <w:rsid w:val="0FB8135F"/>
    <w:rsid w:val="0FB8EBFF"/>
    <w:rsid w:val="0FBCE682"/>
    <w:rsid w:val="0FBDA43D"/>
    <w:rsid w:val="0FC8788D"/>
    <w:rsid w:val="0FCA41E4"/>
    <w:rsid w:val="0FD450AE"/>
    <w:rsid w:val="0FD4E2CE"/>
    <w:rsid w:val="0FD936D6"/>
    <w:rsid w:val="0FE935DF"/>
    <w:rsid w:val="0FF06D19"/>
    <w:rsid w:val="0FF701B8"/>
    <w:rsid w:val="0FFFDCE2"/>
    <w:rsid w:val="1001E9E1"/>
    <w:rsid w:val="10066206"/>
    <w:rsid w:val="1012C470"/>
    <w:rsid w:val="10163BD0"/>
    <w:rsid w:val="101AA5DF"/>
    <w:rsid w:val="101CB38E"/>
    <w:rsid w:val="10266EC3"/>
    <w:rsid w:val="10294363"/>
    <w:rsid w:val="1038744D"/>
    <w:rsid w:val="1046B110"/>
    <w:rsid w:val="104999D1"/>
    <w:rsid w:val="1053DBB8"/>
    <w:rsid w:val="105B1EC1"/>
    <w:rsid w:val="1063321B"/>
    <w:rsid w:val="106B0DB2"/>
    <w:rsid w:val="1081F356"/>
    <w:rsid w:val="1086E9F7"/>
    <w:rsid w:val="10881440"/>
    <w:rsid w:val="108A5FD0"/>
    <w:rsid w:val="108E84DE"/>
    <w:rsid w:val="10A078E9"/>
    <w:rsid w:val="10A499DA"/>
    <w:rsid w:val="10A80FC5"/>
    <w:rsid w:val="10ACFC6E"/>
    <w:rsid w:val="10B1ECCE"/>
    <w:rsid w:val="10B42636"/>
    <w:rsid w:val="10B7501D"/>
    <w:rsid w:val="10BA9348"/>
    <w:rsid w:val="10C25969"/>
    <w:rsid w:val="10C3BCBD"/>
    <w:rsid w:val="10C5D9C4"/>
    <w:rsid w:val="10C6C80E"/>
    <w:rsid w:val="10C74760"/>
    <w:rsid w:val="10CE559B"/>
    <w:rsid w:val="10D5A275"/>
    <w:rsid w:val="10EED881"/>
    <w:rsid w:val="10FA1B74"/>
    <w:rsid w:val="10FB7627"/>
    <w:rsid w:val="10FC4CDD"/>
    <w:rsid w:val="110975EC"/>
    <w:rsid w:val="1109D88F"/>
    <w:rsid w:val="110E5523"/>
    <w:rsid w:val="1119E043"/>
    <w:rsid w:val="111FA3F7"/>
    <w:rsid w:val="112ACCC4"/>
    <w:rsid w:val="1132380E"/>
    <w:rsid w:val="113DCA42"/>
    <w:rsid w:val="113DE82B"/>
    <w:rsid w:val="1146B8EC"/>
    <w:rsid w:val="114C4A61"/>
    <w:rsid w:val="1150F212"/>
    <w:rsid w:val="1152D759"/>
    <w:rsid w:val="1158CBEB"/>
    <w:rsid w:val="1160B7E4"/>
    <w:rsid w:val="11650E48"/>
    <w:rsid w:val="11683254"/>
    <w:rsid w:val="11727340"/>
    <w:rsid w:val="117D0E62"/>
    <w:rsid w:val="1180F66A"/>
    <w:rsid w:val="1181832B"/>
    <w:rsid w:val="118BBFC8"/>
    <w:rsid w:val="118C0AA5"/>
    <w:rsid w:val="11940433"/>
    <w:rsid w:val="119B7493"/>
    <w:rsid w:val="11A2A1D9"/>
    <w:rsid w:val="11AC3BF3"/>
    <w:rsid w:val="11B618A5"/>
    <w:rsid w:val="11B6AD2D"/>
    <w:rsid w:val="11C779DA"/>
    <w:rsid w:val="11CACE3B"/>
    <w:rsid w:val="11E1724E"/>
    <w:rsid w:val="11E7F70F"/>
    <w:rsid w:val="11ECF5A1"/>
    <w:rsid w:val="120BEDD7"/>
    <w:rsid w:val="1225C133"/>
    <w:rsid w:val="1231AABA"/>
    <w:rsid w:val="1232E45E"/>
    <w:rsid w:val="123DCD35"/>
    <w:rsid w:val="1252F874"/>
    <w:rsid w:val="1260CE6E"/>
    <w:rsid w:val="126DBA0A"/>
    <w:rsid w:val="126DEA72"/>
    <w:rsid w:val="126F3E52"/>
    <w:rsid w:val="12770AFA"/>
    <w:rsid w:val="128BD837"/>
    <w:rsid w:val="128EDE3F"/>
    <w:rsid w:val="129115BC"/>
    <w:rsid w:val="12917A5E"/>
    <w:rsid w:val="1293AF1E"/>
    <w:rsid w:val="129F7A99"/>
    <w:rsid w:val="12A4F8EE"/>
    <w:rsid w:val="12AC0650"/>
    <w:rsid w:val="12AE93C4"/>
    <w:rsid w:val="12B7C701"/>
    <w:rsid w:val="12C5CB9C"/>
    <w:rsid w:val="12CFBA12"/>
    <w:rsid w:val="12D52601"/>
    <w:rsid w:val="12D61F05"/>
    <w:rsid w:val="12D8C537"/>
    <w:rsid w:val="12E90929"/>
    <w:rsid w:val="12EE025E"/>
    <w:rsid w:val="12F6A169"/>
    <w:rsid w:val="130324F3"/>
    <w:rsid w:val="13063D76"/>
    <w:rsid w:val="131C8888"/>
    <w:rsid w:val="131F98DC"/>
    <w:rsid w:val="13233D01"/>
    <w:rsid w:val="132538A8"/>
    <w:rsid w:val="1327C4BD"/>
    <w:rsid w:val="132A1603"/>
    <w:rsid w:val="133E2B7C"/>
    <w:rsid w:val="1348A1E7"/>
    <w:rsid w:val="134BBDFC"/>
    <w:rsid w:val="1355AE6D"/>
    <w:rsid w:val="135643CF"/>
    <w:rsid w:val="135C41B6"/>
    <w:rsid w:val="135F35B5"/>
    <w:rsid w:val="13605D1D"/>
    <w:rsid w:val="1378F41B"/>
    <w:rsid w:val="13934B6A"/>
    <w:rsid w:val="1399C4E2"/>
    <w:rsid w:val="13A9C5C8"/>
    <w:rsid w:val="13AD4310"/>
    <w:rsid w:val="13ADC013"/>
    <w:rsid w:val="13AE2423"/>
    <w:rsid w:val="13B32B49"/>
    <w:rsid w:val="13B9111A"/>
    <w:rsid w:val="13C19A5A"/>
    <w:rsid w:val="13CFA7FA"/>
    <w:rsid w:val="13D66B28"/>
    <w:rsid w:val="13E5DCED"/>
    <w:rsid w:val="13E816D3"/>
    <w:rsid w:val="13E877E9"/>
    <w:rsid w:val="13EBDB57"/>
    <w:rsid w:val="140C8F13"/>
    <w:rsid w:val="140D3A6C"/>
    <w:rsid w:val="140ED5B1"/>
    <w:rsid w:val="14278FE7"/>
    <w:rsid w:val="142BBB06"/>
    <w:rsid w:val="142F1ADF"/>
    <w:rsid w:val="1438A734"/>
    <w:rsid w:val="143A1033"/>
    <w:rsid w:val="143A3B6E"/>
    <w:rsid w:val="143AAF40"/>
    <w:rsid w:val="14423FE0"/>
    <w:rsid w:val="144295EE"/>
    <w:rsid w:val="144A3D6A"/>
    <w:rsid w:val="144D7F9D"/>
    <w:rsid w:val="144EE448"/>
    <w:rsid w:val="1453BF22"/>
    <w:rsid w:val="14546F87"/>
    <w:rsid w:val="14612CEA"/>
    <w:rsid w:val="14769116"/>
    <w:rsid w:val="147C2936"/>
    <w:rsid w:val="14821BC8"/>
    <w:rsid w:val="149AE235"/>
    <w:rsid w:val="149E9C8E"/>
    <w:rsid w:val="14AC9D44"/>
    <w:rsid w:val="14BA9721"/>
    <w:rsid w:val="14DF4697"/>
    <w:rsid w:val="14E5954F"/>
    <w:rsid w:val="14EE27F5"/>
    <w:rsid w:val="14F10B65"/>
    <w:rsid w:val="14F247C7"/>
    <w:rsid w:val="14F38BE3"/>
    <w:rsid w:val="14F4F333"/>
    <w:rsid w:val="14F70747"/>
    <w:rsid w:val="1508BFCD"/>
    <w:rsid w:val="15095C79"/>
    <w:rsid w:val="150C21C8"/>
    <w:rsid w:val="150D55A7"/>
    <w:rsid w:val="15101D6F"/>
    <w:rsid w:val="1512AF40"/>
    <w:rsid w:val="15169EE7"/>
    <w:rsid w:val="151E6B4C"/>
    <w:rsid w:val="1524CDAE"/>
    <w:rsid w:val="1527A7DD"/>
    <w:rsid w:val="1530B961"/>
    <w:rsid w:val="154679C4"/>
    <w:rsid w:val="1554B179"/>
    <w:rsid w:val="15555DF6"/>
    <w:rsid w:val="15556B0B"/>
    <w:rsid w:val="15575463"/>
    <w:rsid w:val="155E0263"/>
    <w:rsid w:val="15762138"/>
    <w:rsid w:val="157E79DC"/>
    <w:rsid w:val="158085BA"/>
    <w:rsid w:val="1590D5A7"/>
    <w:rsid w:val="159B4871"/>
    <w:rsid w:val="159D45C5"/>
    <w:rsid w:val="159EA78C"/>
    <w:rsid w:val="15A3E531"/>
    <w:rsid w:val="15A9E2D5"/>
    <w:rsid w:val="15B4DFA4"/>
    <w:rsid w:val="15BB0561"/>
    <w:rsid w:val="15C8BB54"/>
    <w:rsid w:val="15CBFF7A"/>
    <w:rsid w:val="15CD6A53"/>
    <w:rsid w:val="15CF145E"/>
    <w:rsid w:val="15D17D10"/>
    <w:rsid w:val="15E28F53"/>
    <w:rsid w:val="15E7A6EC"/>
    <w:rsid w:val="15E7C449"/>
    <w:rsid w:val="15E89884"/>
    <w:rsid w:val="15EFEB43"/>
    <w:rsid w:val="15F7285F"/>
    <w:rsid w:val="15FB287F"/>
    <w:rsid w:val="15FD4722"/>
    <w:rsid w:val="1608BAD7"/>
    <w:rsid w:val="16148B48"/>
    <w:rsid w:val="161CC786"/>
    <w:rsid w:val="1635EFEB"/>
    <w:rsid w:val="1640F99B"/>
    <w:rsid w:val="16458B1B"/>
    <w:rsid w:val="164E3162"/>
    <w:rsid w:val="16511141"/>
    <w:rsid w:val="16531B07"/>
    <w:rsid w:val="165D4D6C"/>
    <w:rsid w:val="16654C00"/>
    <w:rsid w:val="1665DDC7"/>
    <w:rsid w:val="1667E2E0"/>
    <w:rsid w:val="1674394E"/>
    <w:rsid w:val="167B6365"/>
    <w:rsid w:val="167C8CE6"/>
    <w:rsid w:val="1686F9F2"/>
    <w:rsid w:val="168C3E8C"/>
    <w:rsid w:val="168F73AC"/>
    <w:rsid w:val="1691577E"/>
    <w:rsid w:val="1692492B"/>
    <w:rsid w:val="1694C98C"/>
    <w:rsid w:val="16A7E1C0"/>
    <w:rsid w:val="16A98604"/>
    <w:rsid w:val="16AACFE4"/>
    <w:rsid w:val="16AE3942"/>
    <w:rsid w:val="16B1D45E"/>
    <w:rsid w:val="16B42E09"/>
    <w:rsid w:val="16B5B702"/>
    <w:rsid w:val="16C160FB"/>
    <w:rsid w:val="16CC8B78"/>
    <w:rsid w:val="16D73B20"/>
    <w:rsid w:val="16E6D0EC"/>
    <w:rsid w:val="16ED5D7D"/>
    <w:rsid w:val="16F0895D"/>
    <w:rsid w:val="16F5D86D"/>
    <w:rsid w:val="16FA4F6D"/>
    <w:rsid w:val="16FD34C2"/>
    <w:rsid w:val="16FD5A11"/>
    <w:rsid w:val="170F8578"/>
    <w:rsid w:val="1712A67E"/>
    <w:rsid w:val="171E9DD5"/>
    <w:rsid w:val="17206D6F"/>
    <w:rsid w:val="1725D3FC"/>
    <w:rsid w:val="172B88FD"/>
    <w:rsid w:val="172C58BC"/>
    <w:rsid w:val="173A13B5"/>
    <w:rsid w:val="1744261D"/>
    <w:rsid w:val="1748E863"/>
    <w:rsid w:val="174A436C"/>
    <w:rsid w:val="1761DA8B"/>
    <w:rsid w:val="1766DD30"/>
    <w:rsid w:val="176BA412"/>
    <w:rsid w:val="17746D4F"/>
    <w:rsid w:val="1779C322"/>
    <w:rsid w:val="177B3B40"/>
    <w:rsid w:val="178117AA"/>
    <w:rsid w:val="179202C8"/>
    <w:rsid w:val="179B1553"/>
    <w:rsid w:val="179FBB5F"/>
    <w:rsid w:val="17ACFFA5"/>
    <w:rsid w:val="17AE79E1"/>
    <w:rsid w:val="17B070A9"/>
    <w:rsid w:val="17CE776F"/>
    <w:rsid w:val="17CEC475"/>
    <w:rsid w:val="17CF786A"/>
    <w:rsid w:val="17DA970A"/>
    <w:rsid w:val="17DAF69C"/>
    <w:rsid w:val="17E33EE0"/>
    <w:rsid w:val="17E9B265"/>
    <w:rsid w:val="17FF6EB2"/>
    <w:rsid w:val="181C734B"/>
    <w:rsid w:val="18314598"/>
    <w:rsid w:val="18394FE8"/>
    <w:rsid w:val="183F6CAC"/>
    <w:rsid w:val="184EC6AB"/>
    <w:rsid w:val="18532BC6"/>
    <w:rsid w:val="18577912"/>
    <w:rsid w:val="186053FF"/>
    <w:rsid w:val="18647251"/>
    <w:rsid w:val="1865DCEC"/>
    <w:rsid w:val="186FABBF"/>
    <w:rsid w:val="18890829"/>
    <w:rsid w:val="1895BF67"/>
    <w:rsid w:val="189D6A80"/>
    <w:rsid w:val="18AD227A"/>
    <w:rsid w:val="18B21278"/>
    <w:rsid w:val="18BD8D14"/>
    <w:rsid w:val="18BE82DF"/>
    <w:rsid w:val="18C26D34"/>
    <w:rsid w:val="18D5EA85"/>
    <w:rsid w:val="18D93CD2"/>
    <w:rsid w:val="18DE091A"/>
    <w:rsid w:val="18E17BB2"/>
    <w:rsid w:val="18E80756"/>
    <w:rsid w:val="18ECB400"/>
    <w:rsid w:val="18F4D1A6"/>
    <w:rsid w:val="18F6FFF5"/>
    <w:rsid w:val="18F8E9C0"/>
    <w:rsid w:val="18FDD1CA"/>
    <w:rsid w:val="190F5C25"/>
    <w:rsid w:val="19123676"/>
    <w:rsid w:val="19197F1A"/>
    <w:rsid w:val="1934675A"/>
    <w:rsid w:val="1938F72E"/>
    <w:rsid w:val="193C5CE5"/>
    <w:rsid w:val="194F7132"/>
    <w:rsid w:val="19549129"/>
    <w:rsid w:val="195C7B3D"/>
    <w:rsid w:val="19628416"/>
    <w:rsid w:val="196F9F76"/>
    <w:rsid w:val="19700340"/>
    <w:rsid w:val="1976682F"/>
    <w:rsid w:val="1987906F"/>
    <w:rsid w:val="1988B041"/>
    <w:rsid w:val="198E3CF8"/>
    <w:rsid w:val="19936114"/>
    <w:rsid w:val="1993F6A7"/>
    <w:rsid w:val="199BB256"/>
    <w:rsid w:val="19AA46A9"/>
    <w:rsid w:val="19AB6CC8"/>
    <w:rsid w:val="19BBCEF3"/>
    <w:rsid w:val="19BCC5B2"/>
    <w:rsid w:val="19C415C0"/>
    <w:rsid w:val="19CE9D2F"/>
    <w:rsid w:val="19E71B68"/>
    <w:rsid w:val="19EC8691"/>
    <w:rsid w:val="19F96376"/>
    <w:rsid w:val="1A0591CB"/>
    <w:rsid w:val="1A0B216E"/>
    <w:rsid w:val="1A109709"/>
    <w:rsid w:val="1A150290"/>
    <w:rsid w:val="1A1E2F19"/>
    <w:rsid w:val="1A221C4C"/>
    <w:rsid w:val="1A2D1397"/>
    <w:rsid w:val="1A3978E8"/>
    <w:rsid w:val="1A3A2BA6"/>
    <w:rsid w:val="1A3A5791"/>
    <w:rsid w:val="1A3AA1F7"/>
    <w:rsid w:val="1A3D9861"/>
    <w:rsid w:val="1A495C35"/>
    <w:rsid w:val="1A692F2C"/>
    <w:rsid w:val="1A75B164"/>
    <w:rsid w:val="1A777C3C"/>
    <w:rsid w:val="1A7B03F5"/>
    <w:rsid w:val="1A7EE02F"/>
    <w:rsid w:val="1A928872"/>
    <w:rsid w:val="1A9F4476"/>
    <w:rsid w:val="1AB9EABB"/>
    <w:rsid w:val="1AD8FA16"/>
    <w:rsid w:val="1AE55140"/>
    <w:rsid w:val="1AEA48A2"/>
    <w:rsid w:val="1AF94984"/>
    <w:rsid w:val="1AFFA007"/>
    <w:rsid w:val="1B04403B"/>
    <w:rsid w:val="1B1185A0"/>
    <w:rsid w:val="1B29C7A0"/>
    <w:rsid w:val="1B4453B7"/>
    <w:rsid w:val="1B49A948"/>
    <w:rsid w:val="1B49BF19"/>
    <w:rsid w:val="1B4DD114"/>
    <w:rsid w:val="1B62D74C"/>
    <w:rsid w:val="1B6591C8"/>
    <w:rsid w:val="1B6F7394"/>
    <w:rsid w:val="1B7C0AA6"/>
    <w:rsid w:val="1B9B4B9D"/>
    <w:rsid w:val="1B9F3DC9"/>
    <w:rsid w:val="1BA84ACC"/>
    <w:rsid w:val="1BAF12E1"/>
    <w:rsid w:val="1BC2F745"/>
    <w:rsid w:val="1BC9964E"/>
    <w:rsid w:val="1BCB2501"/>
    <w:rsid w:val="1BCE2938"/>
    <w:rsid w:val="1BCF74DA"/>
    <w:rsid w:val="1BD68FAD"/>
    <w:rsid w:val="1BD80D50"/>
    <w:rsid w:val="1BE4C38E"/>
    <w:rsid w:val="1BE8E2BA"/>
    <w:rsid w:val="1BEAE625"/>
    <w:rsid w:val="1BEB1108"/>
    <w:rsid w:val="1BEB7CC6"/>
    <w:rsid w:val="1BFB42E8"/>
    <w:rsid w:val="1C008CD9"/>
    <w:rsid w:val="1C1476A1"/>
    <w:rsid w:val="1C1CF69E"/>
    <w:rsid w:val="1C1DB865"/>
    <w:rsid w:val="1C25F214"/>
    <w:rsid w:val="1C2D9039"/>
    <w:rsid w:val="1C317BFE"/>
    <w:rsid w:val="1C3AA95F"/>
    <w:rsid w:val="1C3D550D"/>
    <w:rsid w:val="1C413B62"/>
    <w:rsid w:val="1C4E23C9"/>
    <w:rsid w:val="1C4F384D"/>
    <w:rsid w:val="1C5326C5"/>
    <w:rsid w:val="1C5B5FFC"/>
    <w:rsid w:val="1C5C5643"/>
    <w:rsid w:val="1C5E0584"/>
    <w:rsid w:val="1C65E683"/>
    <w:rsid w:val="1C661569"/>
    <w:rsid w:val="1C6F3351"/>
    <w:rsid w:val="1C70EE43"/>
    <w:rsid w:val="1C761A46"/>
    <w:rsid w:val="1C7723D8"/>
    <w:rsid w:val="1C77C2C6"/>
    <w:rsid w:val="1C832691"/>
    <w:rsid w:val="1C87EA89"/>
    <w:rsid w:val="1C8D6F0E"/>
    <w:rsid w:val="1C99760D"/>
    <w:rsid w:val="1CA18565"/>
    <w:rsid w:val="1CBFD4CC"/>
    <w:rsid w:val="1CC121C6"/>
    <w:rsid w:val="1CC58DD7"/>
    <w:rsid w:val="1CD606BA"/>
    <w:rsid w:val="1CE51E65"/>
    <w:rsid w:val="1CE59692"/>
    <w:rsid w:val="1CF1516C"/>
    <w:rsid w:val="1D1265F5"/>
    <w:rsid w:val="1D338E10"/>
    <w:rsid w:val="1D390813"/>
    <w:rsid w:val="1D399A22"/>
    <w:rsid w:val="1D4472DB"/>
    <w:rsid w:val="1D53FC06"/>
    <w:rsid w:val="1D5864AA"/>
    <w:rsid w:val="1D5A0D4D"/>
    <w:rsid w:val="1D5C21E9"/>
    <w:rsid w:val="1D5FE6F4"/>
    <w:rsid w:val="1D6169DE"/>
    <w:rsid w:val="1D63D783"/>
    <w:rsid w:val="1D667B87"/>
    <w:rsid w:val="1D75A478"/>
    <w:rsid w:val="1D767A0A"/>
    <w:rsid w:val="1D78EB65"/>
    <w:rsid w:val="1D7A1177"/>
    <w:rsid w:val="1D7F6E78"/>
    <w:rsid w:val="1DA0EA51"/>
    <w:rsid w:val="1DAA6946"/>
    <w:rsid w:val="1DBA1462"/>
    <w:rsid w:val="1DBBB530"/>
    <w:rsid w:val="1DC15F68"/>
    <w:rsid w:val="1DC9A0DE"/>
    <w:rsid w:val="1DCC9120"/>
    <w:rsid w:val="1DDFA236"/>
    <w:rsid w:val="1DE416D2"/>
    <w:rsid w:val="1DE4A085"/>
    <w:rsid w:val="1DED4734"/>
    <w:rsid w:val="1DF0EF2A"/>
    <w:rsid w:val="1E0389F6"/>
    <w:rsid w:val="1E080E2A"/>
    <w:rsid w:val="1E0D74DD"/>
    <w:rsid w:val="1E1436BF"/>
    <w:rsid w:val="1E177127"/>
    <w:rsid w:val="1E1BFDF6"/>
    <w:rsid w:val="1E1CB488"/>
    <w:rsid w:val="1E2743FD"/>
    <w:rsid w:val="1E386A7F"/>
    <w:rsid w:val="1E399576"/>
    <w:rsid w:val="1E3C6D5C"/>
    <w:rsid w:val="1E40F14B"/>
    <w:rsid w:val="1E411B24"/>
    <w:rsid w:val="1E511A70"/>
    <w:rsid w:val="1E53591F"/>
    <w:rsid w:val="1E5AE491"/>
    <w:rsid w:val="1E69A40B"/>
    <w:rsid w:val="1E6B16E9"/>
    <w:rsid w:val="1E728851"/>
    <w:rsid w:val="1E74A4E5"/>
    <w:rsid w:val="1E8BDAAB"/>
    <w:rsid w:val="1E904886"/>
    <w:rsid w:val="1E9B021A"/>
    <w:rsid w:val="1EA9C251"/>
    <w:rsid w:val="1ECAA8FB"/>
    <w:rsid w:val="1ED3F516"/>
    <w:rsid w:val="1ED75100"/>
    <w:rsid w:val="1EDD76F6"/>
    <w:rsid w:val="1EE9BD71"/>
    <w:rsid w:val="1EF769E6"/>
    <w:rsid w:val="1EFE3488"/>
    <w:rsid w:val="1F05D273"/>
    <w:rsid w:val="1F09BDAF"/>
    <w:rsid w:val="1F0B6F8B"/>
    <w:rsid w:val="1F17B231"/>
    <w:rsid w:val="1F180D0B"/>
    <w:rsid w:val="1F1DF7D2"/>
    <w:rsid w:val="1F22E69F"/>
    <w:rsid w:val="1F24A18C"/>
    <w:rsid w:val="1F33ABC2"/>
    <w:rsid w:val="1F493B9C"/>
    <w:rsid w:val="1F614A5D"/>
    <w:rsid w:val="1F631453"/>
    <w:rsid w:val="1F6C3953"/>
    <w:rsid w:val="1F6F91E7"/>
    <w:rsid w:val="1F727155"/>
    <w:rsid w:val="1F829C38"/>
    <w:rsid w:val="1F8341B9"/>
    <w:rsid w:val="1F9554FE"/>
    <w:rsid w:val="1FAA9F82"/>
    <w:rsid w:val="1FAB0239"/>
    <w:rsid w:val="1FABADBB"/>
    <w:rsid w:val="1FB568A2"/>
    <w:rsid w:val="1FC06B67"/>
    <w:rsid w:val="1FC503B7"/>
    <w:rsid w:val="1FCCA576"/>
    <w:rsid w:val="1FD03065"/>
    <w:rsid w:val="1FD242E6"/>
    <w:rsid w:val="1FD30C7D"/>
    <w:rsid w:val="1FD941D5"/>
    <w:rsid w:val="1FD9B5BD"/>
    <w:rsid w:val="1FD9BE8F"/>
    <w:rsid w:val="1FE7189A"/>
    <w:rsid w:val="1FE7F2A5"/>
    <w:rsid w:val="1FF7FDCE"/>
    <w:rsid w:val="2009F0F8"/>
    <w:rsid w:val="200ECF3F"/>
    <w:rsid w:val="201834F6"/>
    <w:rsid w:val="202182E5"/>
    <w:rsid w:val="202A65E9"/>
    <w:rsid w:val="203C541C"/>
    <w:rsid w:val="2047647F"/>
    <w:rsid w:val="2047A298"/>
    <w:rsid w:val="204CAFA6"/>
    <w:rsid w:val="204EE7CC"/>
    <w:rsid w:val="20548120"/>
    <w:rsid w:val="205B3E5F"/>
    <w:rsid w:val="206FEF6F"/>
    <w:rsid w:val="2070DB03"/>
    <w:rsid w:val="207A6096"/>
    <w:rsid w:val="207B9BF0"/>
    <w:rsid w:val="207C7392"/>
    <w:rsid w:val="208569BF"/>
    <w:rsid w:val="2098F4B1"/>
    <w:rsid w:val="2099A70B"/>
    <w:rsid w:val="209C4566"/>
    <w:rsid w:val="209D8C66"/>
    <w:rsid w:val="20A704A8"/>
    <w:rsid w:val="20B0E2AB"/>
    <w:rsid w:val="20B4B220"/>
    <w:rsid w:val="20B6EFAA"/>
    <w:rsid w:val="20C089B2"/>
    <w:rsid w:val="20C9ED44"/>
    <w:rsid w:val="20D306C5"/>
    <w:rsid w:val="20DE4608"/>
    <w:rsid w:val="20E5FD6D"/>
    <w:rsid w:val="20ED7739"/>
    <w:rsid w:val="20F2E6B9"/>
    <w:rsid w:val="210562D8"/>
    <w:rsid w:val="2105BBEF"/>
    <w:rsid w:val="210A6DE4"/>
    <w:rsid w:val="21164295"/>
    <w:rsid w:val="211B337F"/>
    <w:rsid w:val="211EC129"/>
    <w:rsid w:val="2139E359"/>
    <w:rsid w:val="2140A47C"/>
    <w:rsid w:val="21432054"/>
    <w:rsid w:val="21483487"/>
    <w:rsid w:val="2157287A"/>
    <w:rsid w:val="216782BE"/>
    <w:rsid w:val="216D4884"/>
    <w:rsid w:val="219D13F9"/>
    <w:rsid w:val="21A7B642"/>
    <w:rsid w:val="21ACF0F2"/>
    <w:rsid w:val="21BA9EC9"/>
    <w:rsid w:val="21C252AD"/>
    <w:rsid w:val="21C4B4EF"/>
    <w:rsid w:val="21C4FA6D"/>
    <w:rsid w:val="21D107F9"/>
    <w:rsid w:val="21E6EB0E"/>
    <w:rsid w:val="21F5D9A5"/>
    <w:rsid w:val="21FC719A"/>
    <w:rsid w:val="21FEE19B"/>
    <w:rsid w:val="2208783C"/>
    <w:rsid w:val="2208F3FD"/>
    <w:rsid w:val="220B7442"/>
    <w:rsid w:val="220BBE69"/>
    <w:rsid w:val="220D432C"/>
    <w:rsid w:val="221667F8"/>
    <w:rsid w:val="22186C3D"/>
    <w:rsid w:val="221CCADE"/>
    <w:rsid w:val="221E2F42"/>
    <w:rsid w:val="222B1C12"/>
    <w:rsid w:val="222C7B8A"/>
    <w:rsid w:val="22369DA3"/>
    <w:rsid w:val="22461BC4"/>
    <w:rsid w:val="2268706E"/>
    <w:rsid w:val="22722E12"/>
    <w:rsid w:val="227915B9"/>
    <w:rsid w:val="228134B1"/>
    <w:rsid w:val="228294BB"/>
    <w:rsid w:val="228AEE63"/>
    <w:rsid w:val="22A0F246"/>
    <w:rsid w:val="22AFE3B0"/>
    <w:rsid w:val="22B100D9"/>
    <w:rsid w:val="22D886FA"/>
    <w:rsid w:val="22DFA259"/>
    <w:rsid w:val="22E740A6"/>
    <w:rsid w:val="22F249B1"/>
    <w:rsid w:val="22F91BE2"/>
    <w:rsid w:val="2300E9F7"/>
    <w:rsid w:val="231CC4FF"/>
    <w:rsid w:val="2329D94D"/>
    <w:rsid w:val="233241DE"/>
    <w:rsid w:val="23390A1D"/>
    <w:rsid w:val="233A746B"/>
    <w:rsid w:val="2349F1E4"/>
    <w:rsid w:val="235A26DD"/>
    <w:rsid w:val="235EF4EE"/>
    <w:rsid w:val="235F46E5"/>
    <w:rsid w:val="2366A3D0"/>
    <w:rsid w:val="236B37D6"/>
    <w:rsid w:val="2370EC41"/>
    <w:rsid w:val="2371793D"/>
    <w:rsid w:val="237A235F"/>
    <w:rsid w:val="2385577B"/>
    <w:rsid w:val="23881CDE"/>
    <w:rsid w:val="238B33F7"/>
    <w:rsid w:val="23924AC5"/>
    <w:rsid w:val="23A741F7"/>
    <w:rsid w:val="23A9CAAD"/>
    <w:rsid w:val="23B7316C"/>
    <w:rsid w:val="23BBA802"/>
    <w:rsid w:val="23C334E3"/>
    <w:rsid w:val="23CD91F5"/>
    <w:rsid w:val="23DE41AD"/>
    <w:rsid w:val="23ECFF0D"/>
    <w:rsid w:val="23F5D028"/>
    <w:rsid w:val="23F6943F"/>
    <w:rsid w:val="23F7D55B"/>
    <w:rsid w:val="23FFB419"/>
    <w:rsid w:val="24075C92"/>
    <w:rsid w:val="24131991"/>
    <w:rsid w:val="24158026"/>
    <w:rsid w:val="241AF682"/>
    <w:rsid w:val="2429B5C2"/>
    <w:rsid w:val="242BFC4F"/>
    <w:rsid w:val="2439D939"/>
    <w:rsid w:val="243E7968"/>
    <w:rsid w:val="244945ED"/>
    <w:rsid w:val="24661243"/>
    <w:rsid w:val="24765650"/>
    <w:rsid w:val="2481F3CA"/>
    <w:rsid w:val="24839645"/>
    <w:rsid w:val="24871E94"/>
    <w:rsid w:val="2487695F"/>
    <w:rsid w:val="24887725"/>
    <w:rsid w:val="2496CA76"/>
    <w:rsid w:val="249AA62F"/>
    <w:rsid w:val="24A305A8"/>
    <w:rsid w:val="24B305AE"/>
    <w:rsid w:val="24B7322E"/>
    <w:rsid w:val="24BACC12"/>
    <w:rsid w:val="24C48A39"/>
    <w:rsid w:val="24CEA423"/>
    <w:rsid w:val="24D82DD3"/>
    <w:rsid w:val="24E092FE"/>
    <w:rsid w:val="24E95AB9"/>
    <w:rsid w:val="24ED9699"/>
    <w:rsid w:val="24F2F6FC"/>
    <w:rsid w:val="24F5E58F"/>
    <w:rsid w:val="24F9CD3B"/>
    <w:rsid w:val="24FF6E91"/>
    <w:rsid w:val="2502D20C"/>
    <w:rsid w:val="2508AAE1"/>
    <w:rsid w:val="251151C3"/>
    <w:rsid w:val="25154430"/>
    <w:rsid w:val="2522B20A"/>
    <w:rsid w:val="252988D4"/>
    <w:rsid w:val="252C7937"/>
    <w:rsid w:val="252CFB81"/>
    <w:rsid w:val="253EC5D8"/>
    <w:rsid w:val="2546B8D0"/>
    <w:rsid w:val="25526493"/>
    <w:rsid w:val="2565B429"/>
    <w:rsid w:val="25696C37"/>
    <w:rsid w:val="256DCB6C"/>
    <w:rsid w:val="25709AC0"/>
    <w:rsid w:val="2571AEB1"/>
    <w:rsid w:val="257A7570"/>
    <w:rsid w:val="257C3FDE"/>
    <w:rsid w:val="2581D205"/>
    <w:rsid w:val="2581D985"/>
    <w:rsid w:val="258EF37C"/>
    <w:rsid w:val="25982D4A"/>
    <w:rsid w:val="2598C214"/>
    <w:rsid w:val="25A1A392"/>
    <w:rsid w:val="25ACB4EC"/>
    <w:rsid w:val="25B58277"/>
    <w:rsid w:val="25B99776"/>
    <w:rsid w:val="25CC3A07"/>
    <w:rsid w:val="25CE5A9D"/>
    <w:rsid w:val="25D303F3"/>
    <w:rsid w:val="25E00BD0"/>
    <w:rsid w:val="25E056CE"/>
    <w:rsid w:val="25E11A9F"/>
    <w:rsid w:val="25E4BA2F"/>
    <w:rsid w:val="25EF4957"/>
    <w:rsid w:val="25F516A5"/>
    <w:rsid w:val="25F92CE9"/>
    <w:rsid w:val="25F93E95"/>
    <w:rsid w:val="260D8FE4"/>
    <w:rsid w:val="261112E0"/>
    <w:rsid w:val="2611FD11"/>
    <w:rsid w:val="261A0290"/>
    <w:rsid w:val="262021C0"/>
    <w:rsid w:val="2632A890"/>
    <w:rsid w:val="2636FA95"/>
    <w:rsid w:val="264BF52A"/>
    <w:rsid w:val="264D07CB"/>
    <w:rsid w:val="264D4395"/>
    <w:rsid w:val="265965C8"/>
    <w:rsid w:val="265BE185"/>
    <w:rsid w:val="265C8C56"/>
    <w:rsid w:val="265D4AB3"/>
    <w:rsid w:val="26623A06"/>
    <w:rsid w:val="26710EDE"/>
    <w:rsid w:val="2687F77F"/>
    <w:rsid w:val="26940943"/>
    <w:rsid w:val="2698AF64"/>
    <w:rsid w:val="2698B6AF"/>
    <w:rsid w:val="26A4A194"/>
    <w:rsid w:val="26A743E5"/>
    <w:rsid w:val="26ACBF37"/>
    <w:rsid w:val="26C4514A"/>
    <w:rsid w:val="26C673DF"/>
    <w:rsid w:val="26C90B1E"/>
    <w:rsid w:val="26D9C1CF"/>
    <w:rsid w:val="26F1846C"/>
    <w:rsid w:val="26F58D00"/>
    <w:rsid w:val="26FBEE22"/>
    <w:rsid w:val="2702FDCE"/>
    <w:rsid w:val="271E51D2"/>
    <w:rsid w:val="27226C59"/>
    <w:rsid w:val="2722CC9A"/>
    <w:rsid w:val="27260A0D"/>
    <w:rsid w:val="27264D7B"/>
    <w:rsid w:val="2729312B"/>
    <w:rsid w:val="272FA628"/>
    <w:rsid w:val="273B9548"/>
    <w:rsid w:val="27439A83"/>
    <w:rsid w:val="27528651"/>
    <w:rsid w:val="2769536A"/>
    <w:rsid w:val="276D17A9"/>
    <w:rsid w:val="27724993"/>
    <w:rsid w:val="2775140B"/>
    <w:rsid w:val="2778F53F"/>
    <w:rsid w:val="2779C93B"/>
    <w:rsid w:val="277B1E52"/>
    <w:rsid w:val="278604C2"/>
    <w:rsid w:val="27874FB9"/>
    <w:rsid w:val="278A1836"/>
    <w:rsid w:val="279B664A"/>
    <w:rsid w:val="279E8E07"/>
    <w:rsid w:val="27A83608"/>
    <w:rsid w:val="27AB5B50"/>
    <w:rsid w:val="27ADEE16"/>
    <w:rsid w:val="27AE37CF"/>
    <w:rsid w:val="27B43AA7"/>
    <w:rsid w:val="27BAC4CC"/>
    <w:rsid w:val="27BDC92A"/>
    <w:rsid w:val="27D31374"/>
    <w:rsid w:val="27DDA929"/>
    <w:rsid w:val="27F06CEC"/>
    <w:rsid w:val="27F4DB97"/>
    <w:rsid w:val="27F806C1"/>
    <w:rsid w:val="27FB1DF5"/>
    <w:rsid w:val="27FB57CE"/>
    <w:rsid w:val="27FC4C02"/>
    <w:rsid w:val="28052D6E"/>
    <w:rsid w:val="280A6246"/>
    <w:rsid w:val="28252C7C"/>
    <w:rsid w:val="282C3738"/>
    <w:rsid w:val="28304823"/>
    <w:rsid w:val="283221C3"/>
    <w:rsid w:val="28342B32"/>
    <w:rsid w:val="2839F6D4"/>
    <w:rsid w:val="284B5633"/>
    <w:rsid w:val="284EA576"/>
    <w:rsid w:val="2855566A"/>
    <w:rsid w:val="285DE265"/>
    <w:rsid w:val="2867753D"/>
    <w:rsid w:val="286BDB0F"/>
    <w:rsid w:val="287FB198"/>
    <w:rsid w:val="2880260B"/>
    <w:rsid w:val="28844408"/>
    <w:rsid w:val="288638C5"/>
    <w:rsid w:val="288F92C8"/>
    <w:rsid w:val="2897487B"/>
    <w:rsid w:val="289A2F48"/>
    <w:rsid w:val="28A1A010"/>
    <w:rsid w:val="28A956DF"/>
    <w:rsid w:val="28A9DBD1"/>
    <w:rsid w:val="28AC309F"/>
    <w:rsid w:val="28B3001F"/>
    <w:rsid w:val="28B31622"/>
    <w:rsid w:val="28BF283A"/>
    <w:rsid w:val="28C88AC4"/>
    <w:rsid w:val="28CBD520"/>
    <w:rsid w:val="28CDCE26"/>
    <w:rsid w:val="28E09BB5"/>
    <w:rsid w:val="28E4789A"/>
    <w:rsid w:val="28E9E927"/>
    <w:rsid w:val="2905DBE1"/>
    <w:rsid w:val="290981A0"/>
    <w:rsid w:val="290B69F1"/>
    <w:rsid w:val="292D3D71"/>
    <w:rsid w:val="2930745C"/>
    <w:rsid w:val="29328406"/>
    <w:rsid w:val="29361AC9"/>
    <w:rsid w:val="2938121D"/>
    <w:rsid w:val="294719BC"/>
    <w:rsid w:val="295B9FFD"/>
    <w:rsid w:val="295CCB35"/>
    <w:rsid w:val="29835622"/>
    <w:rsid w:val="298927B8"/>
    <w:rsid w:val="298C9009"/>
    <w:rsid w:val="298D2100"/>
    <w:rsid w:val="29969885"/>
    <w:rsid w:val="299AA894"/>
    <w:rsid w:val="29A710C5"/>
    <w:rsid w:val="29AA8E2D"/>
    <w:rsid w:val="29B6695D"/>
    <w:rsid w:val="29B7BB80"/>
    <w:rsid w:val="29BA0FE3"/>
    <w:rsid w:val="29BA49C2"/>
    <w:rsid w:val="29BCF0E9"/>
    <w:rsid w:val="29BD1451"/>
    <w:rsid w:val="29D20F4D"/>
    <w:rsid w:val="29D22C66"/>
    <w:rsid w:val="29F48FEF"/>
    <w:rsid w:val="29FB8EAF"/>
    <w:rsid w:val="29FF5EDC"/>
    <w:rsid w:val="2A0370C6"/>
    <w:rsid w:val="2A0635D8"/>
    <w:rsid w:val="2A0F3B53"/>
    <w:rsid w:val="2A116B3F"/>
    <w:rsid w:val="2A279B7A"/>
    <w:rsid w:val="2A28898B"/>
    <w:rsid w:val="2A4136DE"/>
    <w:rsid w:val="2A5003F9"/>
    <w:rsid w:val="2A5AC410"/>
    <w:rsid w:val="2A5E8612"/>
    <w:rsid w:val="2A60A23F"/>
    <w:rsid w:val="2A663161"/>
    <w:rsid w:val="2A6A2BDE"/>
    <w:rsid w:val="2A6BBB81"/>
    <w:rsid w:val="2A740FFD"/>
    <w:rsid w:val="2A7D7178"/>
    <w:rsid w:val="2A7F7E67"/>
    <w:rsid w:val="2A8E62DB"/>
    <w:rsid w:val="2A9DDA27"/>
    <w:rsid w:val="2AA182B0"/>
    <w:rsid w:val="2AAC6757"/>
    <w:rsid w:val="2AB0A697"/>
    <w:rsid w:val="2AB3FFE6"/>
    <w:rsid w:val="2ABE31AA"/>
    <w:rsid w:val="2ACD3720"/>
    <w:rsid w:val="2AF3705F"/>
    <w:rsid w:val="2B068FAA"/>
    <w:rsid w:val="2B0C06B9"/>
    <w:rsid w:val="2B144DB8"/>
    <w:rsid w:val="2B1FE2AE"/>
    <w:rsid w:val="2B2B0B5B"/>
    <w:rsid w:val="2B556736"/>
    <w:rsid w:val="2B57F4AD"/>
    <w:rsid w:val="2B60D24A"/>
    <w:rsid w:val="2B65546A"/>
    <w:rsid w:val="2B7C21D1"/>
    <w:rsid w:val="2B81DFEA"/>
    <w:rsid w:val="2B8908E3"/>
    <w:rsid w:val="2B8A7706"/>
    <w:rsid w:val="2B9D273E"/>
    <w:rsid w:val="2B9EAEF2"/>
    <w:rsid w:val="2B9F6FBF"/>
    <w:rsid w:val="2BB2D5E9"/>
    <w:rsid w:val="2BBEBC88"/>
    <w:rsid w:val="2BD5BC40"/>
    <w:rsid w:val="2BD6A1CB"/>
    <w:rsid w:val="2BE007F3"/>
    <w:rsid w:val="2BEE2585"/>
    <w:rsid w:val="2BF19998"/>
    <w:rsid w:val="2BF252FB"/>
    <w:rsid w:val="2BF45C01"/>
    <w:rsid w:val="2BF5F602"/>
    <w:rsid w:val="2C06E1E8"/>
    <w:rsid w:val="2C111EA7"/>
    <w:rsid w:val="2C29CAA1"/>
    <w:rsid w:val="2C356D1C"/>
    <w:rsid w:val="2C405EB2"/>
    <w:rsid w:val="2C419E3C"/>
    <w:rsid w:val="2C4BCE82"/>
    <w:rsid w:val="2C4DA3D8"/>
    <w:rsid w:val="2C57A2D2"/>
    <w:rsid w:val="2C768A77"/>
    <w:rsid w:val="2C7E1289"/>
    <w:rsid w:val="2C88E33B"/>
    <w:rsid w:val="2C98C6AA"/>
    <w:rsid w:val="2CA7E171"/>
    <w:rsid w:val="2CA97478"/>
    <w:rsid w:val="2CB79788"/>
    <w:rsid w:val="2CB90B84"/>
    <w:rsid w:val="2CBA0232"/>
    <w:rsid w:val="2CBE150E"/>
    <w:rsid w:val="2CC491CE"/>
    <w:rsid w:val="2CCE5926"/>
    <w:rsid w:val="2CD9F198"/>
    <w:rsid w:val="2CDDC553"/>
    <w:rsid w:val="2CE49DFE"/>
    <w:rsid w:val="2CE90B78"/>
    <w:rsid w:val="2CEB77E5"/>
    <w:rsid w:val="2CEF1820"/>
    <w:rsid w:val="2CF0FDDB"/>
    <w:rsid w:val="2D09E119"/>
    <w:rsid w:val="2D0C5EE1"/>
    <w:rsid w:val="2D0DBB4C"/>
    <w:rsid w:val="2D103A5E"/>
    <w:rsid w:val="2D185F9E"/>
    <w:rsid w:val="2D27BC0F"/>
    <w:rsid w:val="2D281309"/>
    <w:rsid w:val="2D2BC892"/>
    <w:rsid w:val="2D366179"/>
    <w:rsid w:val="2D39C617"/>
    <w:rsid w:val="2D3BF6AF"/>
    <w:rsid w:val="2D45A6AB"/>
    <w:rsid w:val="2D460DEA"/>
    <w:rsid w:val="2D4FB53A"/>
    <w:rsid w:val="2D580B90"/>
    <w:rsid w:val="2D61AC6D"/>
    <w:rsid w:val="2D648BD7"/>
    <w:rsid w:val="2D666BA8"/>
    <w:rsid w:val="2D6CF338"/>
    <w:rsid w:val="2D6D00C9"/>
    <w:rsid w:val="2D73DB3E"/>
    <w:rsid w:val="2D769A9B"/>
    <w:rsid w:val="2D775739"/>
    <w:rsid w:val="2D793D05"/>
    <w:rsid w:val="2D7DC421"/>
    <w:rsid w:val="2D8B0BDF"/>
    <w:rsid w:val="2D9F1FB3"/>
    <w:rsid w:val="2DA2B8DE"/>
    <w:rsid w:val="2DA60003"/>
    <w:rsid w:val="2DA6347A"/>
    <w:rsid w:val="2DABC094"/>
    <w:rsid w:val="2DB30CCE"/>
    <w:rsid w:val="2DB47E03"/>
    <w:rsid w:val="2DB62CCA"/>
    <w:rsid w:val="2DDA819D"/>
    <w:rsid w:val="2DF10014"/>
    <w:rsid w:val="2DFE8869"/>
    <w:rsid w:val="2E01E2E1"/>
    <w:rsid w:val="2E02AE5E"/>
    <w:rsid w:val="2E108744"/>
    <w:rsid w:val="2E16F0A2"/>
    <w:rsid w:val="2E194F70"/>
    <w:rsid w:val="2E1D724F"/>
    <w:rsid w:val="2E1E09AF"/>
    <w:rsid w:val="2E230E97"/>
    <w:rsid w:val="2E2D149F"/>
    <w:rsid w:val="2E309135"/>
    <w:rsid w:val="2E31B7AA"/>
    <w:rsid w:val="2E3CECB9"/>
    <w:rsid w:val="2E411F76"/>
    <w:rsid w:val="2E423332"/>
    <w:rsid w:val="2E45895C"/>
    <w:rsid w:val="2E61B3EF"/>
    <w:rsid w:val="2E6F378A"/>
    <w:rsid w:val="2E7A7474"/>
    <w:rsid w:val="2E8A1A45"/>
    <w:rsid w:val="2E8BCB80"/>
    <w:rsid w:val="2E936845"/>
    <w:rsid w:val="2E9A2535"/>
    <w:rsid w:val="2E9B143C"/>
    <w:rsid w:val="2EA0B719"/>
    <w:rsid w:val="2EAA23F5"/>
    <w:rsid w:val="2EAC6945"/>
    <w:rsid w:val="2EB50F68"/>
    <w:rsid w:val="2EC59BB2"/>
    <w:rsid w:val="2ED035D6"/>
    <w:rsid w:val="2ED08A8B"/>
    <w:rsid w:val="2EE59A77"/>
    <w:rsid w:val="2EEC19A9"/>
    <w:rsid w:val="2EF2E5FF"/>
    <w:rsid w:val="2EFE06E5"/>
    <w:rsid w:val="2F0BE016"/>
    <w:rsid w:val="2F11D86C"/>
    <w:rsid w:val="2F13C5DC"/>
    <w:rsid w:val="2F15933F"/>
    <w:rsid w:val="2F1A4E37"/>
    <w:rsid w:val="2F1EABE2"/>
    <w:rsid w:val="2F1FF53B"/>
    <w:rsid w:val="2F2D4DBB"/>
    <w:rsid w:val="2F2DEB74"/>
    <w:rsid w:val="2F35EC50"/>
    <w:rsid w:val="2F3AAF5E"/>
    <w:rsid w:val="2F407237"/>
    <w:rsid w:val="2F429D95"/>
    <w:rsid w:val="2F4AA55E"/>
    <w:rsid w:val="2F5D45FB"/>
    <w:rsid w:val="2F64B00D"/>
    <w:rsid w:val="2F69FA40"/>
    <w:rsid w:val="2F7F3274"/>
    <w:rsid w:val="2F8C01BC"/>
    <w:rsid w:val="2F8D086E"/>
    <w:rsid w:val="2F98C22C"/>
    <w:rsid w:val="2FA220E0"/>
    <w:rsid w:val="2FA8465F"/>
    <w:rsid w:val="2FA897A1"/>
    <w:rsid w:val="2FB49A78"/>
    <w:rsid w:val="2FCFFA91"/>
    <w:rsid w:val="2FD4E750"/>
    <w:rsid w:val="2FD8440F"/>
    <w:rsid w:val="2FE58CC1"/>
    <w:rsid w:val="2FE5D65E"/>
    <w:rsid w:val="2FEB100E"/>
    <w:rsid w:val="2FEBBE2A"/>
    <w:rsid w:val="2FF10CF8"/>
    <w:rsid w:val="30023AE5"/>
    <w:rsid w:val="300A2E2A"/>
    <w:rsid w:val="3018FA6E"/>
    <w:rsid w:val="301E8309"/>
    <w:rsid w:val="3023A8FC"/>
    <w:rsid w:val="302F0389"/>
    <w:rsid w:val="303AE09B"/>
    <w:rsid w:val="3048BFC9"/>
    <w:rsid w:val="30490310"/>
    <w:rsid w:val="304E10A5"/>
    <w:rsid w:val="30539D40"/>
    <w:rsid w:val="3055658B"/>
    <w:rsid w:val="3072BD52"/>
    <w:rsid w:val="3074F24F"/>
    <w:rsid w:val="3082AE44"/>
    <w:rsid w:val="30830E59"/>
    <w:rsid w:val="30866724"/>
    <w:rsid w:val="308933EC"/>
    <w:rsid w:val="308B19C7"/>
    <w:rsid w:val="308DA4C2"/>
    <w:rsid w:val="309A5C4F"/>
    <w:rsid w:val="309A9E68"/>
    <w:rsid w:val="309EADDC"/>
    <w:rsid w:val="30A66D5B"/>
    <w:rsid w:val="30A9CDA0"/>
    <w:rsid w:val="30A9FAF4"/>
    <w:rsid w:val="30ADAB7F"/>
    <w:rsid w:val="30B44EF3"/>
    <w:rsid w:val="30BBF8B7"/>
    <w:rsid w:val="30BD8837"/>
    <w:rsid w:val="30BE783A"/>
    <w:rsid w:val="30D29F13"/>
    <w:rsid w:val="30DD9285"/>
    <w:rsid w:val="30F3F7F3"/>
    <w:rsid w:val="30FCF531"/>
    <w:rsid w:val="30FE5CF8"/>
    <w:rsid w:val="3112B6E7"/>
    <w:rsid w:val="311CE58F"/>
    <w:rsid w:val="31204AEF"/>
    <w:rsid w:val="31214A9E"/>
    <w:rsid w:val="31252378"/>
    <w:rsid w:val="312B3BB9"/>
    <w:rsid w:val="3130772E"/>
    <w:rsid w:val="3131D1A6"/>
    <w:rsid w:val="313624C1"/>
    <w:rsid w:val="3136CF3E"/>
    <w:rsid w:val="3147EF95"/>
    <w:rsid w:val="3156637F"/>
    <w:rsid w:val="3158CA9C"/>
    <w:rsid w:val="315E8DCD"/>
    <w:rsid w:val="316A8CEE"/>
    <w:rsid w:val="31702016"/>
    <w:rsid w:val="3171C7C6"/>
    <w:rsid w:val="3184F93B"/>
    <w:rsid w:val="318C0ED7"/>
    <w:rsid w:val="31920408"/>
    <w:rsid w:val="31A13FF8"/>
    <w:rsid w:val="31A3A36E"/>
    <w:rsid w:val="31A65A75"/>
    <w:rsid w:val="31AF5A9C"/>
    <w:rsid w:val="31BBE7EB"/>
    <w:rsid w:val="31BD6FB3"/>
    <w:rsid w:val="31C854BA"/>
    <w:rsid w:val="31CC17EC"/>
    <w:rsid w:val="31D272B6"/>
    <w:rsid w:val="31DA8756"/>
    <w:rsid w:val="31DB41B6"/>
    <w:rsid w:val="31EB9826"/>
    <w:rsid w:val="31F3E06A"/>
    <w:rsid w:val="32099129"/>
    <w:rsid w:val="32144AFC"/>
    <w:rsid w:val="3215F577"/>
    <w:rsid w:val="322872ED"/>
    <w:rsid w:val="32386E0E"/>
    <w:rsid w:val="323D112D"/>
    <w:rsid w:val="323E2B81"/>
    <w:rsid w:val="324F4624"/>
    <w:rsid w:val="325263E4"/>
    <w:rsid w:val="3254239A"/>
    <w:rsid w:val="3254C85E"/>
    <w:rsid w:val="325E8397"/>
    <w:rsid w:val="326D0913"/>
    <w:rsid w:val="326EF0E2"/>
    <w:rsid w:val="3279F456"/>
    <w:rsid w:val="327D2A20"/>
    <w:rsid w:val="3283638B"/>
    <w:rsid w:val="3284B7B1"/>
    <w:rsid w:val="32886A37"/>
    <w:rsid w:val="32938E86"/>
    <w:rsid w:val="329D0C53"/>
    <w:rsid w:val="32AC3E52"/>
    <w:rsid w:val="32B0D858"/>
    <w:rsid w:val="32B6DFE9"/>
    <w:rsid w:val="32BC5432"/>
    <w:rsid w:val="32CBCC87"/>
    <w:rsid w:val="32E0F5BD"/>
    <w:rsid w:val="32E3FE1A"/>
    <w:rsid w:val="32E68BBB"/>
    <w:rsid w:val="3309CC1B"/>
    <w:rsid w:val="330C08A4"/>
    <w:rsid w:val="330D6563"/>
    <w:rsid w:val="331A0C34"/>
    <w:rsid w:val="332B0B7C"/>
    <w:rsid w:val="33329FB5"/>
    <w:rsid w:val="3337530D"/>
    <w:rsid w:val="3338ABF1"/>
    <w:rsid w:val="33430133"/>
    <w:rsid w:val="3351E099"/>
    <w:rsid w:val="33532D77"/>
    <w:rsid w:val="3358D671"/>
    <w:rsid w:val="336BF61C"/>
    <w:rsid w:val="338C1320"/>
    <w:rsid w:val="338CD5C5"/>
    <w:rsid w:val="338F5AF9"/>
    <w:rsid w:val="33B68271"/>
    <w:rsid w:val="33B90CA4"/>
    <w:rsid w:val="33C56BC6"/>
    <w:rsid w:val="33C639C2"/>
    <w:rsid w:val="33E17E96"/>
    <w:rsid w:val="33ED3DDA"/>
    <w:rsid w:val="33ED7EE3"/>
    <w:rsid w:val="33FA938C"/>
    <w:rsid w:val="3411E55C"/>
    <w:rsid w:val="34189976"/>
    <w:rsid w:val="341A8776"/>
    <w:rsid w:val="34342F74"/>
    <w:rsid w:val="34394E2C"/>
    <w:rsid w:val="344174D3"/>
    <w:rsid w:val="34489399"/>
    <w:rsid w:val="344DE9AF"/>
    <w:rsid w:val="34549C56"/>
    <w:rsid w:val="3456B6B8"/>
    <w:rsid w:val="3456C9E7"/>
    <w:rsid w:val="345F699D"/>
    <w:rsid w:val="346038EE"/>
    <w:rsid w:val="34615508"/>
    <w:rsid w:val="3473147A"/>
    <w:rsid w:val="347455BA"/>
    <w:rsid w:val="347910D7"/>
    <w:rsid w:val="347C8ECA"/>
    <w:rsid w:val="348207AC"/>
    <w:rsid w:val="3483C63E"/>
    <w:rsid w:val="3488F32C"/>
    <w:rsid w:val="349116BA"/>
    <w:rsid w:val="34A0D0D3"/>
    <w:rsid w:val="34A5DC92"/>
    <w:rsid w:val="34A64B47"/>
    <w:rsid w:val="34A75A5D"/>
    <w:rsid w:val="34A7832A"/>
    <w:rsid w:val="34B050CA"/>
    <w:rsid w:val="34B75D0B"/>
    <w:rsid w:val="34B810B1"/>
    <w:rsid w:val="34B88E90"/>
    <w:rsid w:val="34B90147"/>
    <w:rsid w:val="34C53394"/>
    <w:rsid w:val="34CE962C"/>
    <w:rsid w:val="34F20546"/>
    <w:rsid w:val="34F81349"/>
    <w:rsid w:val="34FD1147"/>
    <w:rsid w:val="35029557"/>
    <w:rsid w:val="350E58B4"/>
    <w:rsid w:val="35177976"/>
    <w:rsid w:val="35231216"/>
    <w:rsid w:val="352E618D"/>
    <w:rsid w:val="3530960B"/>
    <w:rsid w:val="3537786E"/>
    <w:rsid w:val="353D86D7"/>
    <w:rsid w:val="354472FF"/>
    <w:rsid w:val="354652EA"/>
    <w:rsid w:val="35641508"/>
    <w:rsid w:val="35684630"/>
    <w:rsid w:val="356E4806"/>
    <w:rsid w:val="356E79C4"/>
    <w:rsid w:val="35700F5E"/>
    <w:rsid w:val="35945A87"/>
    <w:rsid w:val="359AFF85"/>
    <w:rsid w:val="359C5F34"/>
    <w:rsid w:val="35A165A4"/>
    <w:rsid w:val="35A65103"/>
    <w:rsid w:val="35A709A3"/>
    <w:rsid w:val="35BA64C3"/>
    <w:rsid w:val="35BDC4CB"/>
    <w:rsid w:val="35C8DB67"/>
    <w:rsid w:val="35C94D4E"/>
    <w:rsid w:val="35CBC7BA"/>
    <w:rsid w:val="35D4ADBB"/>
    <w:rsid w:val="35DE0590"/>
    <w:rsid w:val="35E05A96"/>
    <w:rsid w:val="35E09207"/>
    <w:rsid w:val="35E44B6D"/>
    <w:rsid w:val="35ECD508"/>
    <w:rsid w:val="35EE97D9"/>
    <w:rsid w:val="35FA2016"/>
    <w:rsid w:val="35FE2076"/>
    <w:rsid w:val="36029FF0"/>
    <w:rsid w:val="360B7EC4"/>
    <w:rsid w:val="361A2523"/>
    <w:rsid w:val="361DDBF2"/>
    <w:rsid w:val="3623D50F"/>
    <w:rsid w:val="362CC775"/>
    <w:rsid w:val="36303ECE"/>
    <w:rsid w:val="3632A79D"/>
    <w:rsid w:val="3637725D"/>
    <w:rsid w:val="364183DE"/>
    <w:rsid w:val="36421E39"/>
    <w:rsid w:val="364295E8"/>
    <w:rsid w:val="3652FB19"/>
    <w:rsid w:val="3655F2A8"/>
    <w:rsid w:val="367128C9"/>
    <w:rsid w:val="3673D019"/>
    <w:rsid w:val="36795528"/>
    <w:rsid w:val="3682602D"/>
    <w:rsid w:val="368DAA65"/>
    <w:rsid w:val="369A2CE0"/>
    <w:rsid w:val="36A4FDDD"/>
    <w:rsid w:val="36ADE52D"/>
    <w:rsid w:val="36B15ED9"/>
    <w:rsid w:val="36B4E888"/>
    <w:rsid w:val="36B7B7BC"/>
    <w:rsid w:val="36B88088"/>
    <w:rsid w:val="36BB2117"/>
    <w:rsid w:val="36BCD9CC"/>
    <w:rsid w:val="36C4E2DD"/>
    <w:rsid w:val="36C8A258"/>
    <w:rsid w:val="36D3192D"/>
    <w:rsid w:val="36E06988"/>
    <w:rsid w:val="36ECDABE"/>
    <w:rsid w:val="36F4911A"/>
    <w:rsid w:val="36FBC659"/>
    <w:rsid w:val="3708C171"/>
    <w:rsid w:val="37141769"/>
    <w:rsid w:val="37156B21"/>
    <w:rsid w:val="3716C2B8"/>
    <w:rsid w:val="37189D37"/>
    <w:rsid w:val="371C752C"/>
    <w:rsid w:val="371D4072"/>
    <w:rsid w:val="37255996"/>
    <w:rsid w:val="37279A20"/>
    <w:rsid w:val="37288CAA"/>
    <w:rsid w:val="372EBC91"/>
    <w:rsid w:val="3733FB2E"/>
    <w:rsid w:val="37410390"/>
    <w:rsid w:val="374842BE"/>
    <w:rsid w:val="3749F751"/>
    <w:rsid w:val="374E205A"/>
    <w:rsid w:val="3754BE1B"/>
    <w:rsid w:val="37556CB7"/>
    <w:rsid w:val="375E1423"/>
    <w:rsid w:val="375F4A2B"/>
    <w:rsid w:val="376682A8"/>
    <w:rsid w:val="3766ACC8"/>
    <w:rsid w:val="3798B37B"/>
    <w:rsid w:val="379C84B4"/>
    <w:rsid w:val="37ADDE40"/>
    <w:rsid w:val="37BA87D3"/>
    <w:rsid w:val="37C61DD7"/>
    <w:rsid w:val="37C86D3C"/>
    <w:rsid w:val="37CBE1CB"/>
    <w:rsid w:val="37DB9F72"/>
    <w:rsid w:val="37E54037"/>
    <w:rsid w:val="37E67D21"/>
    <w:rsid w:val="37EAABF3"/>
    <w:rsid w:val="37F1AA96"/>
    <w:rsid w:val="37FBCE00"/>
    <w:rsid w:val="3801C327"/>
    <w:rsid w:val="38027862"/>
    <w:rsid w:val="3804203C"/>
    <w:rsid w:val="38289279"/>
    <w:rsid w:val="382AE11E"/>
    <w:rsid w:val="383555CD"/>
    <w:rsid w:val="383578A2"/>
    <w:rsid w:val="3835E6D9"/>
    <w:rsid w:val="383B04CB"/>
    <w:rsid w:val="38424FB3"/>
    <w:rsid w:val="38451CA5"/>
    <w:rsid w:val="38470352"/>
    <w:rsid w:val="38470BB2"/>
    <w:rsid w:val="384F5CB1"/>
    <w:rsid w:val="38501DDB"/>
    <w:rsid w:val="3857D3ED"/>
    <w:rsid w:val="385E434B"/>
    <w:rsid w:val="38600BDC"/>
    <w:rsid w:val="3871F37B"/>
    <w:rsid w:val="3872ECF4"/>
    <w:rsid w:val="3875859A"/>
    <w:rsid w:val="387B0AD3"/>
    <w:rsid w:val="387EF1CC"/>
    <w:rsid w:val="3885981D"/>
    <w:rsid w:val="388DA3A8"/>
    <w:rsid w:val="38969E33"/>
    <w:rsid w:val="389877B0"/>
    <w:rsid w:val="38A3AF25"/>
    <w:rsid w:val="38C67371"/>
    <w:rsid w:val="38C6B35D"/>
    <w:rsid w:val="38CE2A19"/>
    <w:rsid w:val="38D64694"/>
    <w:rsid w:val="38DD404A"/>
    <w:rsid w:val="38FE7976"/>
    <w:rsid w:val="38FED48E"/>
    <w:rsid w:val="38FF51FF"/>
    <w:rsid w:val="390A1B97"/>
    <w:rsid w:val="390D1622"/>
    <w:rsid w:val="390ED476"/>
    <w:rsid w:val="390F33DF"/>
    <w:rsid w:val="3910CFD6"/>
    <w:rsid w:val="39116F84"/>
    <w:rsid w:val="391B7AB2"/>
    <w:rsid w:val="39213398"/>
    <w:rsid w:val="3921C6D6"/>
    <w:rsid w:val="39289932"/>
    <w:rsid w:val="392D41CA"/>
    <w:rsid w:val="393135F9"/>
    <w:rsid w:val="39440C6A"/>
    <w:rsid w:val="3947DDFA"/>
    <w:rsid w:val="394A2CB2"/>
    <w:rsid w:val="39551EC7"/>
    <w:rsid w:val="39581B11"/>
    <w:rsid w:val="395ACBD2"/>
    <w:rsid w:val="3964D20F"/>
    <w:rsid w:val="396A1AB8"/>
    <w:rsid w:val="3973771E"/>
    <w:rsid w:val="39754E19"/>
    <w:rsid w:val="397DF40C"/>
    <w:rsid w:val="398260CB"/>
    <w:rsid w:val="39966A79"/>
    <w:rsid w:val="399AABFF"/>
    <w:rsid w:val="39AE4995"/>
    <w:rsid w:val="39B95E8C"/>
    <w:rsid w:val="39C35409"/>
    <w:rsid w:val="39C4616C"/>
    <w:rsid w:val="39C75056"/>
    <w:rsid w:val="39D76F7E"/>
    <w:rsid w:val="39E11D0A"/>
    <w:rsid w:val="39E1D61F"/>
    <w:rsid w:val="39E58A10"/>
    <w:rsid w:val="39E65FE8"/>
    <w:rsid w:val="39E8C6E2"/>
    <w:rsid w:val="39E92252"/>
    <w:rsid w:val="39ECADD0"/>
    <w:rsid w:val="39EFE3BA"/>
    <w:rsid w:val="39F95D81"/>
    <w:rsid w:val="3A052862"/>
    <w:rsid w:val="3A0A0DBB"/>
    <w:rsid w:val="3A115F0A"/>
    <w:rsid w:val="3A1DCDEC"/>
    <w:rsid w:val="3A2054C1"/>
    <w:rsid w:val="3A228C4F"/>
    <w:rsid w:val="3A2D8F24"/>
    <w:rsid w:val="3A2F3EBB"/>
    <w:rsid w:val="3A2F4131"/>
    <w:rsid w:val="3A3183BC"/>
    <w:rsid w:val="3A3DD3BE"/>
    <w:rsid w:val="3A4AC3D3"/>
    <w:rsid w:val="3A4D351D"/>
    <w:rsid w:val="3A4DC79B"/>
    <w:rsid w:val="3A560937"/>
    <w:rsid w:val="3A561F06"/>
    <w:rsid w:val="3A6030A3"/>
    <w:rsid w:val="3A6CE259"/>
    <w:rsid w:val="3A6DCDC6"/>
    <w:rsid w:val="3A706D5A"/>
    <w:rsid w:val="3A7A2E0C"/>
    <w:rsid w:val="3A82352E"/>
    <w:rsid w:val="3A82441E"/>
    <w:rsid w:val="3A827F82"/>
    <w:rsid w:val="3A84735C"/>
    <w:rsid w:val="3A8AD6EC"/>
    <w:rsid w:val="3A97F72D"/>
    <w:rsid w:val="3A9C1DE3"/>
    <w:rsid w:val="3AA4B425"/>
    <w:rsid w:val="3ABDFB9C"/>
    <w:rsid w:val="3ABF242E"/>
    <w:rsid w:val="3AC90263"/>
    <w:rsid w:val="3AC95285"/>
    <w:rsid w:val="3AE1CEC1"/>
    <w:rsid w:val="3AE341CE"/>
    <w:rsid w:val="3AE958C6"/>
    <w:rsid w:val="3AF0D504"/>
    <w:rsid w:val="3B152B07"/>
    <w:rsid w:val="3B1E6924"/>
    <w:rsid w:val="3B24EF5F"/>
    <w:rsid w:val="3B279A24"/>
    <w:rsid w:val="3B300315"/>
    <w:rsid w:val="3B334A1D"/>
    <w:rsid w:val="3B341E63"/>
    <w:rsid w:val="3B3C9B83"/>
    <w:rsid w:val="3B3DF592"/>
    <w:rsid w:val="3B52BD9B"/>
    <w:rsid w:val="3B54F25E"/>
    <w:rsid w:val="3B559A8D"/>
    <w:rsid w:val="3B5C0AC0"/>
    <w:rsid w:val="3B6003CF"/>
    <w:rsid w:val="3B63E521"/>
    <w:rsid w:val="3B71BEDB"/>
    <w:rsid w:val="3B734D81"/>
    <w:rsid w:val="3B76CF34"/>
    <w:rsid w:val="3B789FD5"/>
    <w:rsid w:val="3B85E7CB"/>
    <w:rsid w:val="3B8E8518"/>
    <w:rsid w:val="3B91BE72"/>
    <w:rsid w:val="3B9935B7"/>
    <w:rsid w:val="3BA5D307"/>
    <w:rsid w:val="3BAB3A9B"/>
    <w:rsid w:val="3BCADAF2"/>
    <w:rsid w:val="3BD765D1"/>
    <w:rsid w:val="3BDBEDEB"/>
    <w:rsid w:val="3BE8796A"/>
    <w:rsid w:val="3BE8E273"/>
    <w:rsid w:val="3BED1579"/>
    <w:rsid w:val="3BEE02F1"/>
    <w:rsid w:val="3BF3C4C1"/>
    <w:rsid w:val="3BF4EF26"/>
    <w:rsid w:val="3BFB6F99"/>
    <w:rsid w:val="3BFCD300"/>
    <w:rsid w:val="3BFD444E"/>
    <w:rsid w:val="3BFDE6AB"/>
    <w:rsid w:val="3C0636AC"/>
    <w:rsid w:val="3C06665C"/>
    <w:rsid w:val="3C134634"/>
    <w:rsid w:val="3C199D98"/>
    <w:rsid w:val="3C1EE4D2"/>
    <w:rsid w:val="3C2345D1"/>
    <w:rsid w:val="3C300E25"/>
    <w:rsid w:val="3C3F7554"/>
    <w:rsid w:val="3C4D0753"/>
    <w:rsid w:val="3C4FB2F2"/>
    <w:rsid w:val="3C591FCC"/>
    <w:rsid w:val="3C5D376D"/>
    <w:rsid w:val="3C5DFC5E"/>
    <w:rsid w:val="3C6A9C25"/>
    <w:rsid w:val="3C6E9EE6"/>
    <w:rsid w:val="3C7CB23B"/>
    <w:rsid w:val="3C802937"/>
    <w:rsid w:val="3C86328D"/>
    <w:rsid w:val="3C9559C7"/>
    <w:rsid w:val="3C966E39"/>
    <w:rsid w:val="3CA686D8"/>
    <w:rsid w:val="3CAC450D"/>
    <w:rsid w:val="3CBBAC3E"/>
    <w:rsid w:val="3CC9EB6D"/>
    <w:rsid w:val="3CD29E8C"/>
    <w:rsid w:val="3CDE010A"/>
    <w:rsid w:val="3CF069D4"/>
    <w:rsid w:val="3CFD1FF0"/>
    <w:rsid w:val="3D0771B3"/>
    <w:rsid w:val="3D0AE134"/>
    <w:rsid w:val="3D19890B"/>
    <w:rsid w:val="3D1A3D0A"/>
    <w:rsid w:val="3D22507A"/>
    <w:rsid w:val="3D228943"/>
    <w:rsid w:val="3D23A583"/>
    <w:rsid w:val="3D2D4B71"/>
    <w:rsid w:val="3D31C356"/>
    <w:rsid w:val="3D3598CB"/>
    <w:rsid w:val="3D39561F"/>
    <w:rsid w:val="3D3ABA18"/>
    <w:rsid w:val="3D415719"/>
    <w:rsid w:val="3D472E32"/>
    <w:rsid w:val="3D55218D"/>
    <w:rsid w:val="3D5583F2"/>
    <w:rsid w:val="3D578CC7"/>
    <w:rsid w:val="3D69A3DE"/>
    <w:rsid w:val="3D7057CE"/>
    <w:rsid w:val="3D74DFA6"/>
    <w:rsid w:val="3D84F4F0"/>
    <w:rsid w:val="3D936435"/>
    <w:rsid w:val="3D99CA7C"/>
    <w:rsid w:val="3DA183BF"/>
    <w:rsid w:val="3DAB9C9F"/>
    <w:rsid w:val="3DB757D5"/>
    <w:rsid w:val="3DC1507B"/>
    <w:rsid w:val="3DC211DC"/>
    <w:rsid w:val="3DC211F1"/>
    <w:rsid w:val="3DC59475"/>
    <w:rsid w:val="3DC6B354"/>
    <w:rsid w:val="3DD48B13"/>
    <w:rsid w:val="3DD4DF52"/>
    <w:rsid w:val="3DE2B697"/>
    <w:rsid w:val="3DEAB322"/>
    <w:rsid w:val="3DF33D0E"/>
    <w:rsid w:val="3E008A43"/>
    <w:rsid w:val="3E16CE78"/>
    <w:rsid w:val="3E16E788"/>
    <w:rsid w:val="3E262D53"/>
    <w:rsid w:val="3E2DBD09"/>
    <w:rsid w:val="3E337626"/>
    <w:rsid w:val="3E43BD59"/>
    <w:rsid w:val="3E4940A2"/>
    <w:rsid w:val="3E4AD58D"/>
    <w:rsid w:val="3E500C7F"/>
    <w:rsid w:val="3E5D175C"/>
    <w:rsid w:val="3E608618"/>
    <w:rsid w:val="3E79D811"/>
    <w:rsid w:val="3E7B797D"/>
    <w:rsid w:val="3E9289B4"/>
    <w:rsid w:val="3EA14C7B"/>
    <w:rsid w:val="3EAE61AB"/>
    <w:rsid w:val="3EAF2B1B"/>
    <w:rsid w:val="3EB5982F"/>
    <w:rsid w:val="3EB86EAF"/>
    <w:rsid w:val="3EC06997"/>
    <w:rsid w:val="3EC3757F"/>
    <w:rsid w:val="3EC3FCEC"/>
    <w:rsid w:val="3ECF241B"/>
    <w:rsid w:val="3EF6529E"/>
    <w:rsid w:val="3EFA2B9F"/>
    <w:rsid w:val="3F04C579"/>
    <w:rsid w:val="3F094F66"/>
    <w:rsid w:val="3F0F3D6C"/>
    <w:rsid w:val="3F10E573"/>
    <w:rsid w:val="3F11B8FB"/>
    <w:rsid w:val="3F13F7CE"/>
    <w:rsid w:val="3F1949B5"/>
    <w:rsid w:val="3F23163C"/>
    <w:rsid w:val="3F3013BB"/>
    <w:rsid w:val="3F307575"/>
    <w:rsid w:val="3F318961"/>
    <w:rsid w:val="3F353845"/>
    <w:rsid w:val="3F372EA9"/>
    <w:rsid w:val="3F3A6044"/>
    <w:rsid w:val="3F3ABB83"/>
    <w:rsid w:val="3F466A02"/>
    <w:rsid w:val="3F534A64"/>
    <w:rsid w:val="3F5416A1"/>
    <w:rsid w:val="3F5552B9"/>
    <w:rsid w:val="3F59FCBB"/>
    <w:rsid w:val="3F5C8AF5"/>
    <w:rsid w:val="3F6833D2"/>
    <w:rsid w:val="3F8760AE"/>
    <w:rsid w:val="3F87A9E6"/>
    <w:rsid w:val="3F9578E5"/>
    <w:rsid w:val="3FAC0A81"/>
    <w:rsid w:val="3FAC2833"/>
    <w:rsid w:val="3FADFE97"/>
    <w:rsid w:val="3FB1F682"/>
    <w:rsid w:val="3FB56993"/>
    <w:rsid w:val="3FB6C6A1"/>
    <w:rsid w:val="3FBBE3BB"/>
    <w:rsid w:val="3FC3C3C4"/>
    <w:rsid w:val="3FC58499"/>
    <w:rsid w:val="3FF4C633"/>
    <w:rsid w:val="3FFE4B54"/>
    <w:rsid w:val="4000D226"/>
    <w:rsid w:val="40047E9C"/>
    <w:rsid w:val="400C48FE"/>
    <w:rsid w:val="401AE407"/>
    <w:rsid w:val="401BA359"/>
    <w:rsid w:val="4020D180"/>
    <w:rsid w:val="40272929"/>
    <w:rsid w:val="4027AAC7"/>
    <w:rsid w:val="402B576F"/>
    <w:rsid w:val="4034A637"/>
    <w:rsid w:val="403550EC"/>
    <w:rsid w:val="40389836"/>
    <w:rsid w:val="403A18BF"/>
    <w:rsid w:val="403C06A5"/>
    <w:rsid w:val="403F6C66"/>
    <w:rsid w:val="405636A3"/>
    <w:rsid w:val="4058B474"/>
    <w:rsid w:val="405FB713"/>
    <w:rsid w:val="40619EC6"/>
    <w:rsid w:val="4066ED03"/>
    <w:rsid w:val="40684BEC"/>
    <w:rsid w:val="406C620A"/>
    <w:rsid w:val="406F3C83"/>
    <w:rsid w:val="40772822"/>
    <w:rsid w:val="407A9311"/>
    <w:rsid w:val="407B38FC"/>
    <w:rsid w:val="4089BFEE"/>
    <w:rsid w:val="408BD8A0"/>
    <w:rsid w:val="4093E6EB"/>
    <w:rsid w:val="40A8B94B"/>
    <w:rsid w:val="40B58BCC"/>
    <w:rsid w:val="40B7D8E6"/>
    <w:rsid w:val="40C561AC"/>
    <w:rsid w:val="40D198E0"/>
    <w:rsid w:val="40D52850"/>
    <w:rsid w:val="40E02FD0"/>
    <w:rsid w:val="40E226C3"/>
    <w:rsid w:val="40E60A61"/>
    <w:rsid w:val="40EA7AD8"/>
    <w:rsid w:val="40FB3910"/>
    <w:rsid w:val="4101BBB0"/>
    <w:rsid w:val="41073CB7"/>
    <w:rsid w:val="4107B044"/>
    <w:rsid w:val="41175D5E"/>
    <w:rsid w:val="4123D420"/>
    <w:rsid w:val="41258DAE"/>
    <w:rsid w:val="412ED2E6"/>
    <w:rsid w:val="4134A3F5"/>
    <w:rsid w:val="413ABEB3"/>
    <w:rsid w:val="41428FEB"/>
    <w:rsid w:val="4144A202"/>
    <w:rsid w:val="414AD480"/>
    <w:rsid w:val="4161DF09"/>
    <w:rsid w:val="416CF68E"/>
    <w:rsid w:val="416D2C3F"/>
    <w:rsid w:val="416FFD13"/>
    <w:rsid w:val="4170EA37"/>
    <w:rsid w:val="418F3CB4"/>
    <w:rsid w:val="4193FBCE"/>
    <w:rsid w:val="4195C5FF"/>
    <w:rsid w:val="41967C16"/>
    <w:rsid w:val="419AEDCB"/>
    <w:rsid w:val="41A36BF4"/>
    <w:rsid w:val="41A74191"/>
    <w:rsid w:val="41AA3D44"/>
    <w:rsid w:val="41ADB2E7"/>
    <w:rsid w:val="41AF65FC"/>
    <w:rsid w:val="41CB5A1F"/>
    <w:rsid w:val="41CC25F2"/>
    <w:rsid w:val="41CE43D0"/>
    <w:rsid w:val="41CF843D"/>
    <w:rsid w:val="41D7C864"/>
    <w:rsid w:val="41E7EC32"/>
    <w:rsid w:val="41EECC87"/>
    <w:rsid w:val="41FB5372"/>
    <w:rsid w:val="4201B3A4"/>
    <w:rsid w:val="42031539"/>
    <w:rsid w:val="4205CBA5"/>
    <w:rsid w:val="4208804B"/>
    <w:rsid w:val="42122CA4"/>
    <w:rsid w:val="421BBD8B"/>
    <w:rsid w:val="421FC589"/>
    <w:rsid w:val="4220A6F3"/>
    <w:rsid w:val="423BE12F"/>
    <w:rsid w:val="424A9ECE"/>
    <w:rsid w:val="4253A240"/>
    <w:rsid w:val="425A3CD8"/>
    <w:rsid w:val="426507DB"/>
    <w:rsid w:val="42657957"/>
    <w:rsid w:val="426C9B16"/>
    <w:rsid w:val="427322BB"/>
    <w:rsid w:val="428250DB"/>
    <w:rsid w:val="428CCC9A"/>
    <w:rsid w:val="428D6EC6"/>
    <w:rsid w:val="4298174C"/>
    <w:rsid w:val="42A08EBC"/>
    <w:rsid w:val="42A4B081"/>
    <w:rsid w:val="42ACD2C3"/>
    <w:rsid w:val="42B004B6"/>
    <w:rsid w:val="42BD3C97"/>
    <w:rsid w:val="42C2A806"/>
    <w:rsid w:val="42C48BAC"/>
    <w:rsid w:val="42CF644D"/>
    <w:rsid w:val="42CFC677"/>
    <w:rsid w:val="42DE3711"/>
    <w:rsid w:val="42F4BDA8"/>
    <w:rsid w:val="4304516D"/>
    <w:rsid w:val="430A150D"/>
    <w:rsid w:val="43132795"/>
    <w:rsid w:val="431CF69F"/>
    <w:rsid w:val="432573CB"/>
    <w:rsid w:val="4328BD59"/>
    <w:rsid w:val="433AF605"/>
    <w:rsid w:val="43445180"/>
    <w:rsid w:val="435BB0DB"/>
    <w:rsid w:val="43668E2B"/>
    <w:rsid w:val="4374560B"/>
    <w:rsid w:val="43768D4C"/>
    <w:rsid w:val="4384BCA8"/>
    <w:rsid w:val="43872F0A"/>
    <w:rsid w:val="438B9DD8"/>
    <w:rsid w:val="4391ACEF"/>
    <w:rsid w:val="439262A5"/>
    <w:rsid w:val="43957DE8"/>
    <w:rsid w:val="43A072F8"/>
    <w:rsid w:val="43A7F467"/>
    <w:rsid w:val="43C732E2"/>
    <w:rsid w:val="43C7AE8F"/>
    <w:rsid w:val="43D0717E"/>
    <w:rsid w:val="43D219FF"/>
    <w:rsid w:val="43D2F7BF"/>
    <w:rsid w:val="43DDE58F"/>
    <w:rsid w:val="43F2885B"/>
    <w:rsid w:val="43F2CF70"/>
    <w:rsid w:val="43F50231"/>
    <w:rsid w:val="43F5FAD7"/>
    <w:rsid w:val="43FAB8F8"/>
    <w:rsid w:val="4402A7D0"/>
    <w:rsid w:val="44097E99"/>
    <w:rsid w:val="44206DDF"/>
    <w:rsid w:val="442320A2"/>
    <w:rsid w:val="44383FD2"/>
    <w:rsid w:val="444AEC0F"/>
    <w:rsid w:val="445BD967"/>
    <w:rsid w:val="445BE716"/>
    <w:rsid w:val="445DD941"/>
    <w:rsid w:val="446A9968"/>
    <w:rsid w:val="4473C9B4"/>
    <w:rsid w:val="447EBF79"/>
    <w:rsid w:val="44865498"/>
    <w:rsid w:val="4486B3C8"/>
    <w:rsid w:val="449E646F"/>
    <w:rsid w:val="44A5BF35"/>
    <w:rsid w:val="44A5DB1F"/>
    <w:rsid w:val="44A7E69B"/>
    <w:rsid w:val="44B0BE65"/>
    <w:rsid w:val="44B1DA29"/>
    <w:rsid w:val="44B5C81D"/>
    <w:rsid w:val="44BDC6F6"/>
    <w:rsid w:val="44D9B415"/>
    <w:rsid w:val="44E33476"/>
    <w:rsid w:val="44E4DA31"/>
    <w:rsid w:val="44EE209D"/>
    <w:rsid w:val="44F3B8B0"/>
    <w:rsid w:val="44FE350C"/>
    <w:rsid w:val="4506882D"/>
    <w:rsid w:val="450A6A8C"/>
    <w:rsid w:val="451401CF"/>
    <w:rsid w:val="451606BD"/>
    <w:rsid w:val="451CCF3D"/>
    <w:rsid w:val="452506FB"/>
    <w:rsid w:val="452BD61A"/>
    <w:rsid w:val="45336B48"/>
    <w:rsid w:val="453AC18F"/>
    <w:rsid w:val="453BD9AF"/>
    <w:rsid w:val="453C88F0"/>
    <w:rsid w:val="454586BE"/>
    <w:rsid w:val="454EA577"/>
    <w:rsid w:val="45550039"/>
    <w:rsid w:val="45673D35"/>
    <w:rsid w:val="4568689C"/>
    <w:rsid w:val="45763159"/>
    <w:rsid w:val="457AAA7A"/>
    <w:rsid w:val="457C78C6"/>
    <w:rsid w:val="457E8D00"/>
    <w:rsid w:val="457F0229"/>
    <w:rsid w:val="4580411F"/>
    <w:rsid w:val="4581A48C"/>
    <w:rsid w:val="45862492"/>
    <w:rsid w:val="4588A2C1"/>
    <w:rsid w:val="4594F45D"/>
    <w:rsid w:val="45ABE633"/>
    <w:rsid w:val="45B012DD"/>
    <w:rsid w:val="45B0C37C"/>
    <w:rsid w:val="45B15A45"/>
    <w:rsid w:val="45B77316"/>
    <w:rsid w:val="45BDDBBA"/>
    <w:rsid w:val="45C11AED"/>
    <w:rsid w:val="45CF1665"/>
    <w:rsid w:val="45DD4F4B"/>
    <w:rsid w:val="45DE8B05"/>
    <w:rsid w:val="45E2C4EC"/>
    <w:rsid w:val="45EA8D7C"/>
    <w:rsid w:val="45EADAC6"/>
    <w:rsid w:val="45EAF6CA"/>
    <w:rsid w:val="45EF87EE"/>
    <w:rsid w:val="45FA53F7"/>
    <w:rsid w:val="45FCADB2"/>
    <w:rsid w:val="45FFF1B3"/>
    <w:rsid w:val="46012A65"/>
    <w:rsid w:val="460228F3"/>
    <w:rsid w:val="4603C7AB"/>
    <w:rsid w:val="4605D070"/>
    <w:rsid w:val="46102A37"/>
    <w:rsid w:val="46132717"/>
    <w:rsid w:val="4615CECE"/>
    <w:rsid w:val="46209910"/>
    <w:rsid w:val="4625AD45"/>
    <w:rsid w:val="462A20F6"/>
    <w:rsid w:val="462D9B18"/>
    <w:rsid w:val="462F7059"/>
    <w:rsid w:val="4632552C"/>
    <w:rsid w:val="46353B4D"/>
    <w:rsid w:val="46380457"/>
    <w:rsid w:val="46425B6D"/>
    <w:rsid w:val="46432FAA"/>
    <w:rsid w:val="46469DF6"/>
    <w:rsid w:val="464B31B8"/>
    <w:rsid w:val="464E5909"/>
    <w:rsid w:val="4650BB7F"/>
    <w:rsid w:val="46543FE9"/>
    <w:rsid w:val="4661F378"/>
    <w:rsid w:val="4665C82A"/>
    <w:rsid w:val="466797A0"/>
    <w:rsid w:val="466E6DF8"/>
    <w:rsid w:val="46713A65"/>
    <w:rsid w:val="46802419"/>
    <w:rsid w:val="4680B170"/>
    <w:rsid w:val="468AF559"/>
    <w:rsid w:val="468F1F28"/>
    <w:rsid w:val="46AD5337"/>
    <w:rsid w:val="46B361E1"/>
    <w:rsid w:val="46BC887E"/>
    <w:rsid w:val="46C51E60"/>
    <w:rsid w:val="46C5FB1A"/>
    <w:rsid w:val="46D3A6C3"/>
    <w:rsid w:val="46E20E68"/>
    <w:rsid w:val="46E38865"/>
    <w:rsid w:val="46F1C897"/>
    <w:rsid w:val="47033AEA"/>
    <w:rsid w:val="4709AC9A"/>
    <w:rsid w:val="470C88B8"/>
    <w:rsid w:val="470DC55D"/>
    <w:rsid w:val="4710E68A"/>
    <w:rsid w:val="47183358"/>
    <w:rsid w:val="471B232B"/>
    <w:rsid w:val="471C806D"/>
    <w:rsid w:val="471D3298"/>
    <w:rsid w:val="47209E56"/>
    <w:rsid w:val="4725D7E5"/>
    <w:rsid w:val="473DC22C"/>
    <w:rsid w:val="47458030"/>
    <w:rsid w:val="474E7A26"/>
    <w:rsid w:val="475AEA7E"/>
    <w:rsid w:val="475E4A8A"/>
    <w:rsid w:val="4766E6B6"/>
    <w:rsid w:val="4776A4D8"/>
    <w:rsid w:val="478E4AEC"/>
    <w:rsid w:val="478F0145"/>
    <w:rsid w:val="47A37B5C"/>
    <w:rsid w:val="47A4FC59"/>
    <w:rsid w:val="47AB09A3"/>
    <w:rsid w:val="47AB3320"/>
    <w:rsid w:val="47BB1867"/>
    <w:rsid w:val="47C775A8"/>
    <w:rsid w:val="47D257AA"/>
    <w:rsid w:val="47D58F7A"/>
    <w:rsid w:val="47E298D8"/>
    <w:rsid w:val="47E6AA8E"/>
    <w:rsid w:val="480C61F9"/>
    <w:rsid w:val="48100C9A"/>
    <w:rsid w:val="48189014"/>
    <w:rsid w:val="481A34F1"/>
    <w:rsid w:val="48218D34"/>
    <w:rsid w:val="4845BBD2"/>
    <w:rsid w:val="484740F2"/>
    <w:rsid w:val="4850036E"/>
    <w:rsid w:val="4858C38A"/>
    <w:rsid w:val="485A28FF"/>
    <w:rsid w:val="485D9D8F"/>
    <w:rsid w:val="486166FF"/>
    <w:rsid w:val="486CD612"/>
    <w:rsid w:val="487B9716"/>
    <w:rsid w:val="487CF6CA"/>
    <w:rsid w:val="487E00B1"/>
    <w:rsid w:val="4880CDE6"/>
    <w:rsid w:val="48897CC7"/>
    <w:rsid w:val="489B4D70"/>
    <w:rsid w:val="48C5B38A"/>
    <w:rsid w:val="48C71E5A"/>
    <w:rsid w:val="48D1E8CE"/>
    <w:rsid w:val="48D6BE7B"/>
    <w:rsid w:val="48DA9647"/>
    <w:rsid w:val="48E1F1A6"/>
    <w:rsid w:val="48FD3268"/>
    <w:rsid w:val="48FDC25D"/>
    <w:rsid w:val="49045800"/>
    <w:rsid w:val="49095209"/>
    <w:rsid w:val="491D8056"/>
    <w:rsid w:val="4922AA83"/>
    <w:rsid w:val="493385B7"/>
    <w:rsid w:val="4935A861"/>
    <w:rsid w:val="494CB1F4"/>
    <w:rsid w:val="4951F452"/>
    <w:rsid w:val="495627AA"/>
    <w:rsid w:val="495A73C3"/>
    <w:rsid w:val="495B6DC1"/>
    <w:rsid w:val="49649FE4"/>
    <w:rsid w:val="49670D0E"/>
    <w:rsid w:val="496AC9CE"/>
    <w:rsid w:val="496E6B63"/>
    <w:rsid w:val="497A66C0"/>
    <w:rsid w:val="497B08AE"/>
    <w:rsid w:val="49825C9D"/>
    <w:rsid w:val="498C8BDD"/>
    <w:rsid w:val="49908C2B"/>
    <w:rsid w:val="499483BA"/>
    <w:rsid w:val="499A2524"/>
    <w:rsid w:val="499C7F72"/>
    <w:rsid w:val="49C6DEE5"/>
    <w:rsid w:val="49C6EB2C"/>
    <w:rsid w:val="49C72FED"/>
    <w:rsid w:val="49C9A323"/>
    <w:rsid w:val="49CB070D"/>
    <w:rsid w:val="49DB5DF3"/>
    <w:rsid w:val="49DBB195"/>
    <w:rsid w:val="49E609DC"/>
    <w:rsid w:val="49EA96B1"/>
    <w:rsid w:val="49EB4ECD"/>
    <w:rsid w:val="49EF7940"/>
    <w:rsid w:val="49F54E42"/>
    <w:rsid w:val="49FCDFFC"/>
    <w:rsid w:val="4A0B9EBE"/>
    <w:rsid w:val="4A136ED6"/>
    <w:rsid w:val="4A198413"/>
    <w:rsid w:val="4A1D0BDC"/>
    <w:rsid w:val="4A260AC4"/>
    <w:rsid w:val="4A2A247A"/>
    <w:rsid w:val="4A2FDAA3"/>
    <w:rsid w:val="4A3D3BEF"/>
    <w:rsid w:val="4A5B3C84"/>
    <w:rsid w:val="4A61FF15"/>
    <w:rsid w:val="4A6EA76A"/>
    <w:rsid w:val="4A6EB853"/>
    <w:rsid w:val="4A7C205B"/>
    <w:rsid w:val="4A80EE56"/>
    <w:rsid w:val="4A987DB5"/>
    <w:rsid w:val="4A990758"/>
    <w:rsid w:val="4AA017DC"/>
    <w:rsid w:val="4AAB6A8B"/>
    <w:rsid w:val="4AB40892"/>
    <w:rsid w:val="4AB71446"/>
    <w:rsid w:val="4ABF57A3"/>
    <w:rsid w:val="4AC30A73"/>
    <w:rsid w:val="4AC4972F"/>
    <w:rsid w:val="4ACE6167"/>
    <w:rsid w:val="4ADEB4AC"/>
    <w:rsid w:val="4ADF0AEA"/>
    <w:rsid w:val="4ADFE327"/>
    <w:rsid w:val="4AE0BCC1"/>
    <w:rsid w:val="4AED98AA"/>
    <w:rsid w:val="4AF292BA"/>
    <w:rsid w:val="4AFAE411"/>
    <w:rsid w:val="4AFDAF2D"/>
    <w:rsid w:val="4AFE19D7"/>
    <w:rsid w:val="4B0227CC"/>
    <w:rsid w:val="4B04E93F"/>
    <w:rsid w:val="4B07FB13"/>
    <w:rsid w:val="4B1017E7"/>
    <w:rsid w:val="4B1C2D12"/>
    <w:rsid w:val="4B202B5D"/>
    <w:rsid w:val="4B2B44AF"/>
    <w:rsid w:val="4B32D5B7"/>
    <w:rsid w:val="4B383359"/>
    <w:rsid w:val="4B3F63E5"/>
    <w:rsid w:val="4B4650C5"/>
    <w:rsid w:val="4B4D1300"/>
    <w:rsid w:val="4B69A596"/>
    <w:rsid w:val="4B7C75C8"/>
    <w:rsid w:val="4B7C7F65"/>
    <w:rsid w:val="4B8A9FBB"/>
    <w:rsid w:val="4B944A68"/>
    <w:rsid w:val="4B97A104"/>
    <w:rsid w:val="4BA80C5C"/>
    <w:rsid w:val="4BA99368"/>
    <w:rsid w:val="4BABEB51"/>
    <w:rsid w:val="4BCDD065"/>
    <w:rsid w:val="4BD2D710"/>
    <w:rsid w:val="4BDBDEF8"/>
    <w:rsid w:val="4BDBF089"/>
    <w:rsid w:val="4BE11084"/>
    <w:rsid w:val="4BE56587"/>
    <w:rsid w:val="4BEC0215"/>
    <w:rsid w:val="4BF6A6E0"/>
    <w:rsid w:val="4C04CAAE"/>
    <w:rsid w:val="4C2340D7"/>
    <w:rsid w:val="4C23800F"/>
    <w:rsid w:val="4C335222"/>
    <w:rsid w:val="4C350F26"/>
    <w:rsid w:val="4C3E2C97"/>
    <w:rsid w:val="4C4262A0"/>
    <w:rsid w:val="4C470F3B"/>
    <w:rsid w:val="4C48C621"/>
    <w:rsid w:val="4C50FD2D"/>
    <w:rsid w:val="4C55F5F4"/>
    <w:rsid w:val="4C657F0D"/>
    <w:rsid w:val="4C68F552"/>
    <w:rsid w:val="4C76A7D4"/>
    <w:rsid w:val="4C80E0D3"/>
    <w:rsid w:val="4C8417FA"/>
    <w:rsid w:val="4C87ED3C"/>
    <w:rsid w:val="4C89CDA7"/>
    <w:rsid w:val="4C8AB112"/>
    <w:rsid w:val="4CAF8ABA"/>
    <w:rsid w:val="4CCE74BB"/>
    <w:rsid w:val="4CCEE9A1"/>
    <w:rsid w:val="4CE094E2"/>
    <w:rsid w:val="4CE495E2"/>
    <w:rsid w:val="4CFBE221"/>
    <w:rsid w:val="4D0A270E"/>
    <w:rsid w:val="4D0F031A"/>
    <w:rsid w:val="4D0F0EE2"/>
    <w:rsid w:val="4D18844B"/>
    <w:rsid w:val="4D1E1881"/>
    <w:rsid w:val="4D1F4E97"/>
    <w:rsid w:val="4D27C2B7"/>
    <w:rsid w:val="4D38E168"/>
    <w:rsid w:val="4D39CF50"/>
    <w:rsid w:val="4D420ECE"/>
    <w:rsid w:val="4D43F00A"/>
    <w:rsid w:val="4D4C2338"/>
    <w:rsid w:val="4D69C975"/>
    <w:rsid w:val="4D72A635"/>
    <w:rsid w:val="4D75D668"/>
    <w:rsid w:val="4D7669FD"/>
    <w:rsid w:val="4D8FCC91"/>
    <w:rsid w:val="4D951005"/>
    <w:rsid w:val="4D98398F"/>
    <w:rsid w:val="4D9A4B2D"/>
    <w:rsid w:val="4D9B1389"/>
    <w:rsid w:val="4D9D2807"/>
    <w:rsid w:val="4D9DD025"/>
    <w:rsid w:val="4DAAAD01"/>
    <w:rsid w:val="4DAC52EC"/>
    <w:rsid w:val="4DAC8387"/>
    <w:rsid w:val="4DB06954"/>
    <w:rsid w:val="4DB22F28"/>
    <w:rsid w:val="4DB8C089"/>
    <w:rsid w:val="4DC68846"/>
    <w:rsid w:val="4DD0A787"/>
    <w:rsid w:val="4DD45E7B"/>
    <w:rsid w:val="4DDCAAA1"/>
    <w:rsid w:val="4DE23A9B"/>
    <w:rsid w:val="4DEDCB29"/>
    <w:rsid w:val="4DFE3C20"/>
    <w:rsid w:val="4E0A47E8"/>
    <w:rsid w:val="4E178642"/>
    <w:rsid w:val="4E1DD7ED"/>
    <w:rsid w:val="4E26BE76"/>
    <w:rsid w:val="4E2C8BC2"/>
    <w:rsid w:val="4E30F74C"/>
    <w:rsid w:val="4E3B2C10"/>
    <w:rsid w:val="4E421773"/>
    <w:rsid w:val="4E484E18"/>
    <w:rsid w:val="4E4873DD"/>
    <w:rsid w:val="4E49B2BC"/>
    <w:rsid w:val="4E4BAEEE"/>
    <w:rsid w:val="4E51E6C3"/>
    <w:rsid w:val="4E527F69"/>
    <w:rsid w:val="4E55BD31"/>
    <w:rsid w:val="4E6E1414"/>
    <w:rsid w:val="4E6FD48F"/>
    <w:rsid w:val="4E7FB11D"/>
    <w:rsid w:val="4E834720"/>
    <w:rsid w:val="4E852946"/>
    <w:rsid w:val="4E8DC990"/>
    <w:rsid w:val="4E95B105"/>
    <w:rsid w:val="4E9BFD1F"/>
    <w:rsid w:val="4EA84D26"/>
    <w:rsid w:val="4EB3D66A"/>
    <w:rsid w:val="4EBA958B"/>
    <w:rsid w:val="4EBB2AFB"/>
    <w:rsid w:val="4EC2246E"/>
    <w:rsid w:val="4EC7859C"/>
    <w:rsid w:val="4ECC6638"/>
    <w:rsid w:val="4ECF0DF2"/>
    <w:rsid w:val="4ED48262"/>
    <w:rsid w:val="4EF113AB"/>
    <w:rsid w:val="4EF27FE4"/>
    <w:rsid w:val="4EF787B7"/>
    <w:rsid w:val="4F07118F"/>
    <w:rsid w:val="4F092DCB"/>
    <w:rsid w:val="4F0F3889"/>
    <w:rsid w:val="4F1923AC"/>
    <w:rsid w:val="4F1AE24D"/>
    <w:rsid w:val="4F1BEC72"/>
    <w:rsid w:val="4F1DB6BB"/>
    <w:rsid w:val="4F2BE623"/>
    <w:rsid w:val="4F2D30A6"/>
    <w:rsid w:val="4F2FF6DC"/>
    <w:rsid w:val="4F30545A"/>
    <w:rsid w:val="4F325F46"/>
    <w:rsid w:val="4F39CA48"/>
    <w:rsid w:val="4F3A904A"/>
    <w:rsid w:val="4F3B5769"/>
    <w:rsid w:val="4F474950"/>
    <w:rsid w:val="4F48765E"/>
    <w:rsid w:val="4F52508F"/>
    <w:rsid w:val="4F5665DE"/>
    <w:rsid w:val="4F678D10"/>
    <w:rsid w:val="4F6E98B4"/>
    <w:rsid w:val="4F6FB3D3"/>
    <w:rsid w:val="4F74697D"/>
    <w:rsid w:val="4F7AF7A6"/>
    <w:rsid w:val="4F898E6C"/>
    <w:rsid w:val="4F8E40EF"/>
    <w:rsid w:val="4F8EC944"/>
    <w:rsid w:val="4F940F06"/>
    <w:rsid w:val="4F9AC3EE"/>
    <w:rsid w:val="4FA165D8"/>
    <w:rsid w:val="4FA2429D"/>
    <w:rsid w:val="4FA9BDD4"/>
    <w:rsid w:val="4FAF6442"/>
    <w:rsid w:val="4FBD93F3"/>
    <w:rsid w:val="4FC01A15"/>
    <w:rsid w:val="4FC63160"/>
    <w:rsid w:val="4FC752D6"/>
    <w:rsid w:val="4FC8F833"/>
    <w:rsid w:val="4FCA4A59"/>
    <w:rsid w:val="4FCF087E"/>
    <w:rsid w:val="4FD5B6C5"/>
    <w:rsid w:val="4FE6E26A"/>
    <w:rsid w:val="4FE8DCD4"/>
    <w:rsid w:val="4FEFA9E5"/>
    <w:rsid w:val="4FF817D9"/>
    <w:rsid w:val="4FF9B877"/>
    <w:rsid w:val="4FFFF54A"/>
    <w:rsid w:val="5001D52B"/>
    <w:rsid w:val="50022AC5"/>
    <w:rsid w:val="5002DA99"/>
    <w:rsid w:val="500AC823"/>
    <w:rsid w:val="50129B72"/>
    <w:rsid w:val="5016080A"/>
    <w:rsid w:val="501CE1D4"/>
    <w:rsid w:val="503F93D6"/>
    <w:rsid w:val="50415D5E"/>
    <w:rsid w:val="5044D6C2"/>
    <w:rsid w:val="50457A05"/>
    <w:rsid w:val="504A0ADC"/>
    <w:rsid w:val="505143C6"/>
    <w:rsid w:val="50545233"/>
    <w:rsid w:val="50577D72"/>
    <w:rsid w:val="50582E54"/>
    <w:rsid w:val="50598BD3"/>
    <w:rsid w:val="5059A0D7"/>
    <w:rsid w:val="506257CA"/>
    <w:rsid w:val="5067813A"/>
    <w:rsid w:val="5067B23E"/>
    <w:rsid w:val="506ACFEB"/>
    <w:rsid w:val="506BB2A6"/>
    <w:rsid w:val="507B2A5F"/>
    <w:rsid w:val="508127B7"/>
    <w:rsid w:val="508DA1EE"/>
    <w:rsid w:val="50A5F4D2"/>
    <w:rsid w:val="50A663A6"/>
    <w:rsid w:val="50AAA5A0"/>
    <w:rsid w:val="50AE43A4"/>
    <w:rsid w:val="50B7EF14"/>
    <w:rsid w:val="50BFBA6C"/>
    <w:rsid w:val="50C58A55"/>
    <w:rsid w:val="50CC5116"/>
    <w:rsid w:val="50CC8EC0"/>
    <w:rsid w:val="50CF9C1E"/>
    <w:rsid w:val="50D78EFB"/>
    <w:rsid w:val="50DCF382"/>
    <w:rsid w:val="50E4F5A1"/>
    <w:rsid w:val="50EC9D4E"/>
    <w:rsid w:val="50F04E4E"/>
    <w:rsid w:val="50FDCE8E"/>
    <w:rsid w:val="510837BE"/>
    <w:rsid w:val="51181ED1"/>
    <w:rsid w:val="511EEE4A"/>
    <w:rsid w:val="513240A8"/>
    <w:rsid w:val="513EE3B7"/>
    <w:rsid w:val="514A7013"/>
    <w:rsid w:val="51552F20"/>
    <w:rsid w:val="51587866"/>
    <w:rsid w:val="5162852B"/>
    <w:rsid w:val="5163E091"/>
    <w:rsid w:val="517CCC91"/>
    <w:rsid w:val="51888318"/>
    <w:rsid w:val="519EF192"/>
    <w:rsid w:val="51A0F11C"/>
    <w:rsid w:val="51AC5177"/>
    <w:rsid w:val="51ACD4EA"/>
    <w:rsid w:val="51B5787E"/>
    <w:rsid w:val="51B68229"/>
    <w:rsid w:val="51BE8F61"/>
    <w:rsid w:val="51D55055"/>
    <w:rsid w:val="51DEF87F"/>
    <w:rsid w:val="51E71806"/>
    <w:rsid w:val="51F338DA"/>
    <w:rsid w:val="51F36E58"/>
    <w:rsid w:val="51FBF974"/>
    <w:rsid w:val="520208B1"/>
    <w:rsid w:val="52116702"/>
    <w:rsid w:val="52154097"/>
    <w:rsid w:val="52524EB9"/>
    <w:rsid w:val="52537837"/>
    <w:rsid w:val="525576C7"/>
    <w:rsid w:val="5256F9CA"/>
    <w:rsid w:val="525A0FBF"/>
    <w:rsid w:val="525F692C"/>
    <w:rsid w:val="5264E21A"/>
    <w:rsid w:val="526556D3"/>
    <w:rsid w:val="5275639B"/>
    <w:rsid w:val="52841F0A"/>
    <w:rsid w:val="528D292C"/>
    <w:rsid w:val="52917D81"/>
    <w:rsid w:val="529B6153"/>
    <w:rsid w:val="529CD2FD"/>
    <w:rsid w:val="52ACBB75"/>
    <w:rsid w:val="52ACC655"/>
    <w:rsid w:val="52BEBB6D"/>
    <w:rsid w:val="52CCB11C"/>
    <w:rsid w:val="52CCC3ED"/>
    <w:rsid w:val="52D5091C"/>
    <w:rsid w:val="52D9BFD1"/>
    <w:rsid w:val="52EA6AE8"/>
    <w:rsid w:val="52FA30F2"/>
    <w:rsid w:val="530068AA"/>
    <w:rsid w:val="53067E7C"/>
    <w:rsid w:val="530730CB"/>
    <w:rsid w:val="530BED28"/>
    <w:rsid w:val="531DF7C6"/>
    <w:rsid w:val="5333D3E9"/>
    <w:rsid w:val="533553A9"/>
    <w:rsid w:val="5336C2F4"/>
    <w:rsid w:val="5338D564"/>
    <w:rsid w:val="533A24A6"/>
    <w:rsid w:val="533FB137"/>
    <w:rsid w:val="534BEF79"/>
    <w:rsid w:val="535463EB"/>
    <w:rsid w:val="53561CA4"/>
    <w:rsid w:val="536F6095"/>
    <w:rsid w:val="53842455"/>
    <w:rsid w:val="538D5EBD"/>
    <w:rsid w:val="53BC6C0B"/>
    <w:rsid w:val="53C76A2F"/>
    <w:rsid w:val="53C794E6"/>
    <w:rsid w:val="53CDAA08"/>
    <w:rsid w:val="53CDEE1C"/>
    <w:rsid w:val="53DDE9A9"/>
    <w:rsid w:val="53ED726B"/>
    <w:rsid w:val="53FD9383"/>
    <w:rsid w:val="54050E9B"/>
    <w:rsid w:val="5416EAB1"/>
    <w:rsid w:val="541C586A"/>
    <w:rsid w:val="541F9DEF"/>
    <w:rsid w:val="54289BF4"/>
    <w:rsid w:val="542BC3DC"/>
    <w:rsid w:val="543A329D"/>
    <w:rsid w:val="543B75FD"/>
    <w:rsid w:val="543DD35D"/>
    <w:rsid w:val="543EA5B9"/>
    <w:rsid w:val="545344DE"/>
    <w:rsid w:val="54654816"/>
    <w:rsid w:val="54798837"/>
    <w:rsid w:val="548ABD91"/>
    <w:rsid w:val="54982300"/>
    <w:rsid w:val="549C1DE7"/>
    <w:rsid w:val="549CEEA9"/>
    <w:rsid w:val="54AB2AC4"/>
    <w:rsid w:val="54B24ECF"/>
    <w:rsid w:val="54B2688C"/>
    <w:rsid w:val="54B3E906"/>
    <w:rsid w:val="54B74F1C"/>
    <w:rsid w:val="54B9A6C6"/>
    <w:rsid w:val="54C01E09"/>
    <w:rsid w:val="54C2EB52"/>
    <w:rsid w:val="54C990E7"/>
    <w:rsid w:val="54CC8305"/>
    <w:rsid w:val="54CD36AB"/>
    <w:rsid w:val="54CE0AFE"/>
    <w:rsid w:val="54D059A6"/>
    <w:rsid w:val="54DEB93A"/>
    <w:rsid w:val="54E14773"/>
    <w:rsid w:val="54E34EB3"/>
    <w:rsid w:val="54EAE9CD"/>
    <w:rsid w:val="54EEEE5E"/>
    <w:rsid w:val="54F1A8B4"/>
    <w:rsid w:val="54F5C95C"/>
    <w:rsid w:val="54FBB105"/>
    <w:rsid w:val="54FDFADC"/>
    <w:rsid w:val="550B27BA"/>
    <w:rsid w:val="550EF656"/>
    <w:rsid w:val="551F9C90"/>
    <w:rsid w:val="55203C99"/>
    <w:rsid w:val="55374845"/>
    <w:rsid w:val="553C9F43"/>
    <w:rsid w:val="55405661"/>
    <w:rsid w:val="55422206"/>
    <w:rsid w:val="5545FA93"/>
    <w:rsid w:val="55519A6C"/>
    <w:rsid w:val="5551AB50"/>
    <w:rsid w:val="5553A939"/>
    <w:rsid w:val="5556D1F5"/>
    <w:rsid w:val="55589057"/>
    <w:rsid w:val="555A6432"/>
    <w:rsid w:val="555FCDFB"/>
    <w:rsid w:val="55628F9E"/>
    <w:rsid w:val="5567BF36"/>
    <w:rsid w:val="55712486"/>
    <w:rsid w:val="5574A4B5"/>
    <w:rsid w:val="557C62C1"/>
    <w:rsid w:val="5584D352"/>
    <w:rsid w:val="558A9A4A"/>
    <w:rsid w:val="558CAE15"/>
    <w:rsid w:val="559AA698"/>
    <w:rsid w:val="559D2498"/>
    <w:rsid w:val="55A725D1"/>
    <w:rsid w:val="55BA9467"/>
    <w:rsid w:val="55C1F053"/>
    <w:rsid w:val="55CCEE91"/>
    <w:rsid w:val="55D8197C"/>
    <w:rsid w:val="55DEB15B"/>
    <w:rsid w:val="55E5CC7D"/>
    <w:rsid w:val="55E81CC8"/>
    <w:rsid w:val="55EA70CB"/>
    <w:rsid w:val="55FB1A41"/>
    <w:rsid w:val="5602F1E8"/>
    <w:rsid w:val="5605B5A2"/>
    <w:rsid w:val="560A9399"/>
    <w:rsid w:val="5615475E"/>
    <w:rsid w:val="563186EB"/>
    <w:rsid w:val="563F97DE"/>
    <w:rsid w:val="564967BD"/>
    <w:rsid w:val="56503087"/>
    <w:rsid w:val="56526EEC"/>
    <w:rsid w:val="56605A97"/>
    <w:rsid w:val="566491C8"/>
    <w:rsid w:val="5676D3FE"/>
    <w:rsid w:val="567D5312"/>
    <w:rsid w:val="56979D5D"/>
    <w:rsid w:val="569CB6A5"/>
    <w:rsid w:val="56A0A58D"/>
    <w:rsid w:val="56A1C9A0"/>
    <w:rsid w:val="56A88542"/>
    <w:rsid w:val="56B04CAD"/>
    <w:rsid w:val="56B67E66"/>
    <w:rsid w:val="56C4CB6E"/>
    <w:rsid w:val="56C8B4CA"/>
    <w:rsid w:val="56D68383"/>
    <w:rsid w:val="56D9CF11"/>
    <w:rsid w:val="56DEC9E2"/>
    <w:rsid w:val="56E5A4ED"/>
    <w:rsid w:val="56EA5820"/>
    <w:rsid w:val="56F9DD72"/>
    <w:rsid w:val="56FD39EF"/>
    <w:rsid w:val="57119A94"/>
    <w:rsid w:val="5712C821"/>
    <w:rsid w:val="571D0EE9"/>
    <w:rsid w:val="57247A6C"/>
    <w:rsid w:val="572A5E86"/>
    <w:rsid w:val="572FB32D"/>
    <w:rsid w:val="573D0777"/>
    <w:rsid w:val="573FD6E2"/>
    <w:rsid w:val="5748C7AE"/>
    <w:rsid w:val="57501DBD"/>
    <w:rsid w:val="5759F6D7"/>
    <w:rsid w:val="576DB6AF"/>
    <w:rsid w:val="5771EAE4"/>
    <w:rsid w:val="5773A7CA"/>
    <w:rsid w:val="57764449"/>
    <w:rsid w:val="57766616"/>
    <w:rsid w:val="57773E54"/>
    <w:rsid w:val="57792A68"/>
    <w:rsid w:val="577C9263"/>
    <w:rsid w:val="57851F9A"/>
    <w:rsid w:val="5793A563"/>
    <w:rsid w:val="57996F9B"/>
    <w:rsid w:val="579FB0FA"/>
    <w:rsid w:val="57B13AEF"/>
    <w:rsid w:val="57EEB4E1"/>
    <w:rsid w:val="57EEB814"/>
    <w:rsid w:val="57EF1535"/>
    <w:rsid w:val="57EFF4FD"/>
    <w:rsid w:val="580E8799"/>
    <w:rsid w:val="581A4900"/>
    <w:rsid w:val="581D7EB1"/>
    <w:rsid w:val="5827073C"/>
    <w:rsid w:val="58299522"/>
    <w:rsid w:val="582A32A9"/>
    <w:rsid w:val="582CB285"/>
    <w:rsid w:val="582EE487"/>
    <w:rsid w:val="58305804"/>
    <w:rsid w:val="583997F5"/>
    <w:rsid w:val="58417335"/>
    <w:rsid w:val="584774B0"/>
    <w:rsid w:val="5847B489"/>
    <w:rsid w:val="584B4400"/>
    <w:rsid w:val="584FE951"/>
    <w:rsid w:val="586D4370"/>
    <w:rsid w:val="587F6583"/>
    <w:rsid w:val="5888E184"/>
    <w:rsid w:val="5889D87E"/>
    <w:rsid w:val="5895D150"/>
    <w:rsid w:val="5898C299"/>
    <w:rsid w:val="589BA11C"/>
    <w:rsid w:val="58A44F31"/>
    <w:rsid w:val="58AFEFC5"/>
    <w:rsid w:val="58B052EC"/>
    <w:rsid w:val="58BEF44E"/>
    <w:rsid w:val="58CCE61D"/>
    <w:rsid w:val="58E42C53"/>
    <w:rsid w:val="58E7F593"/>
    <w:rsid w:val="58F21086"/>
    <w:rsid w:val="58F8F76E"/>
    <w:rsid w:val="58FB2849"/>
    <w:rsid w:val="58FF47CF"/>
    <w:rsid w:val="591EE38F"/>
    <w:rsid w:val="591F40AE"/>
    <w:rsid w:val="591F93AA"/>
    <w:rsid w:val="5923BE07"/>
    <w:rsid w:val="596C0E2A"/>
    <w:rsid w:val="596C1C0A"/>
    <w:rsid w:val="59710FF0"/>
    <w:rsid w:val="597222C6"/>
    <w:rsid w:val="597D261A"/>
    <w:rsid w:val="5980D942"/>
    <w:rsid w:val="5984F9C1"/>
    <w:rsid w:val="598DACB8"/>
    <w:rsid w:val="598F4AEF"/>
    <w:rsid w:val="59935210"/>
    <w:rsid w:val="59ABB66C"/>
    <w:rsid w:val="59B0F677"/>
    <w:rsid w:val="59BF5FFE"/>
    <w:rsid w:val="59C112E0"/>
    <w:rsid w:val="59C19872"/>
    <w:rsid w:val="59C28EC9"/>
    <w:rsid w:val="59D953F0"/>
    <w:rsid w:val="59DF0790"/>
    <w:rsid w:val="59E10F44"/>
    <w:rsid w:val="59E69162"/>
    <w:rsid w:val="59F00401"/>
    <w:rsid w:val="5A03A3FB"/>
    <w:rsid w:val="5A08D4D8"/>
    <w:rsid w:val="5A093B8B"/>
    <w:rsid w:val="5A0E808B"/>
    <w:rsid w:val="5A11885D"/>
    <w:rsid w:val="5A1BB3FE"/>
    <w:rsid w:val="5A1BD257"/>
    <w:rsid w:val="5A1C39E0"/>
    <w:rsid w:val="5A227248"/>
    <w:rsid w:val="5A22C8F9"/>
    <w:rsid w:val="5A29258D"/>
    <w:rsid w:val="5A368BD3"/>
    <w:rsid w:val="5A37BECB"/>
    <w:rsid w:val="5A3E1025"/>
    <w:rsid w:val="5A4B39D0"/>
    <w:rsid w:val="5A4ECB9F"/>
    <w:rsid w:val="5A4EE692"/>
    <w:rsid w:val="5A575C1F"/>
    <w:rsid w:val="5A64D73E"/>
    <w:rsid w:val="5A659C78"/>
    <w:rsid w:val="5A685EAB"/>
    <w:rsid w:val="5A6913EA"/>
    <w:rsid w:val="5A711958"/>
    <w:rsid w:val="5A7226BD"/>
    <w:rsid w:val="5A76BD81"/>
    <w:rsid w:val="5A9C8F10"/>
    <w:rsid w:val="5A9FB722"/>
    <w:rsid w:val="5ACDD723"/>
    <w:rsid w:val="5AD3B9FF"/>
    <w:rsid w:val="5AD496E4"/>
    <w:rsid w:val="5AD4A440"/>
    <w:rsid w:val="5AD897B8"/>
    <w:rsid w:val="5AE34F82"/>
    <w:rsid w:val="5AE379B9"/>
    <w:rsid w:val="5AE6C2B1"/>
    <w:rsid w:val="5AE9AE29"/>
    <w:rsid w:val="5AF32678"/>
    <w:rsid w:val="5B08DD6F"/>
    <w:rsid w:val="5B0A8043"/>
    <w:rsid w:val="5B0C8ECA"/>
    <w:rsid w:val="5B10FFCC"/>
    <w:rsid w:val="5B199835"/>
    <w:rsid w:val="5B217D1B"/>
    <w:rsid w:val="5B227E41"/>
    <w:rsid w:val="5B2ABFA1"/>
    <w:rsid w:val="5B2AD7E7"/>
    <w:rsid w:val="5B2C2915"/>
    <w:rsid w:val="5B3B3115"/>
    <w:rsid w:val="5B3FB7CD"/>
    <w:rsid w:val="5B4099A4"/>
    <w:rsid w:val="5B417BBC"/>
    <w:rsid w:val="5B436E2E"/>
    <w:rsid w:val="5B44A26C"/>
    <w:rsid w:val="5B455A41"/>
    <w:rsid w:val="5B51F9CD"/>
    <w:rsid w:val="5B6755A8"/>
    <w:rsid w:val="5B6A92B9"/>
    <w:rsid w:val="5B6A947E"/>
    <w:rsid w:val="5B7B64ED"/>
    <w:rsid w:val="5B82C2A0"/>
    <w:rsid w:val="5BC0617D"/>
    <w:rsid w:val="5BC74BAF"/>
    <w:rsid w:val="5BC8B36A"/>
    <w:rsid w:val="5BE1AB79"/>
    <w:rsid w:val="5BE52269"/>
    <w:rsid w:val="5BE72CC7"/>
    <w:rsid w:val="5BED0321"/>
    <w:rsid w:val="5BF68051"/>
    <w:rsid w:val="5C06F9CE"/>
    <w:rsid w:val="5C0958C0"/>
    <w:rsid w:val="5C0AB2F9"/>
    <w:rsid w:val="5C1ECB1B"/>
    <w:rsid w:val="5C26CEC6"/>
    <w:rsid w:val="5C2A79F3"/>
    <w:rsid w:val="5C2DEDBA"/>
    <w:rsid w:val="5C3785FE"/>
    <w:rsid w:val="5C3CAFC6"/>
    <w:rsid w:val="5C44C7AE"/>
    <w:rsid w:val="5C466A51"/>
    <w:rsid w:val="5C473721"/>
    <w:rsid w:val="5C531B46"/>
    <w:rsid w:val="5C5715B4"/>
    <w:rsid w:val="5C5BE2E1"/>
    <w:rsid w:val="5C6318C9"/>
    <w:rsid w:val="5C6C4916"/>
    <w:rsid w:val="5C71FC4E"/>
    <w:rsid w:val="5C745053"/>
    <w:rsid w:val="5C7A1A78"/>
    <w:rsid w:val="5C81EA93"/>
    <w:rsid w:val="5C835BD5"/>
    <w:rsid w:val="5C8F1B1B"/>
    <w:rsid w:val="5C94D262"/>
    <w:rsid w:val="5C9EC8A7"/>
    <w:rsid w:val="5CB1F7C2"/>
    <w:rsid w:val="5CB22EBD"/>
    <w:rsid w:val="5CB32B7A"/>
    <w:rsid w:val="5CB4CD51"/>
    <w:rsid w:val="5CD25CB0"/>
    <w:rsid w:val="5CD2C844"/>
    <w:rsid w:val="5CD4A70B"/>
    <w:rsid w:val="5CD93E50"/>
    <w:rsid w:val="5CDAD8FE"/>
    <w:rsid w:val="5CDCF3D3"/>
    <w:rsid w:val="5CDEC90C"/>
    <w:rsid w:val="5CE40BC3"/>
    <w:rsid w:val="5CE9E982"/>
    <w:rsid w:val="5D021896"/>
    <w:rsid w:val="5D2DBA2E"/>
    <w:rsid w:val="5D46182A"/>
    <w:rsid w:val="5D5B22AE"/>
    <w:rsid w:val="5D5BE1BD"/>
    <w:rsid w:val="5D5CCFB0"/>
    <w:rsid w:val="5D5E61DB"/>
    <w:rsid w:val="5D6029D4"/>
    <w:rsid w:val="5D71F47A"/>
    <w:rsid w:val="5D725154"/>
    <w:rsid w:val="5D77785A"/>
    <w:rsid w:val="5D7A74BE"/>
    <w:rsid w:val="5D7D6C5A"/>
    <w:rsid w:val="5D853C9C"/>
    <w:rsid w:val="5D861693"/>
    <w:rsid w:val="5D881A34"/>
    <w:rsid w:val="5D8A3459"/>
    <w:rsid w:val="5D8D194F"/>
    <w:rsid w:val="5D8FD1B7"/>
    <w:rsid w:val="5D9009EE"/>
    <w:rsid w:val="5D91403E"/>
    <w:rsid w:val="5D9568AA"/>
    <w:rsid w:val="5D9A1ADE"/>
    <w:rsid w:val="5D9E2916"/>
    <w:rsid w:val="5D9EDAEE"/>
    <w:rsid w:val="5DA7890F"/>
    <w:rsid w:val="5DACB90C"/>
    <w:rsid w:val="5DB11AB3"/>
    <w:rsid w:val="5DC12AA8"/>
    <w:rsid w:val="5DCF6779"/>
    <w:rsid w:val="5DE03F6A"/>
    <w:rsid w:val="5DE369E2"/>
    <w:rsid w:val="5DE42CCD"/>
    <w:rsid w:val="5DE718F7"/>
    <w:rsid w:val="5DE9DA16"/>
    <w:rsid w:val="5DF6D886"/>
    <w:rsid w:val="5E06A5EC"/>
    <w:rsid w:val="5E0D0732"/>
    <w:rsid w:val="5E1B259A"/>
    <w:rsid w:val="5E1D82EB"/>
    <w:rsid w:val="5E1D9C93"/>
    <w:rsid w:val="5E294EBA"/>
    <w:rsid w:val="5E2AB7FF"/>
    <w:rsid w:val="5E302C23"/>
    <w:rsid w:val="5E4C6EBA"/>
    <w:rsid w:val="5E4F90DD"/>
    <w:rsid w:val="5E51ACD2"/>
    <w:rsid w:val="5E5A189B"/>
    <w:rsid w:val="5E6367C2"/>
    <w:rsid w:val="5E63D82C"/>
    <w:rsid w:val="5E6F0C7A"/>
    <w:rsid w:val="5E7060C8"/>
    <w:rsid w:val="5E772E51"/>
    <w:rsid w:val="5E87D663"/>
    <w:rsid w:val="5E882FCB"/>
    <w:rsid w:val="5E9EAD1C"/>
    <w:rsid w:val="5EA648F6"/>
    <w:rsid w:val="5EC21C07"/>
    <w:rsid w:val="5EC224D7"/>
    <w:rsid w:val="5EC5AAD2"/>
    <w:rsid w:val="5ED22571"/>
    <w:rsid w:val="5EE6DC69"/>
    <w:rsid w:val="5EEDB870"/>
    <w:rsid w:val="5EFB5989"/>
    <w:rsid w:val="5EFE1DFB"/>
    <w:rsid w:val="5F0AFBE9"/>
    <w:rsid w:val="5F128088"/>
    <w:rsid w:val="5F17C366"/>
    <w:rsid w:val="5F20FD8C"/>
    <w:rsid w:val="5F250098"/>
    <w:rsid w:val="5F2D9724"/>
    <w:rsid w:val="5F392430"/>
    <w:rsid w:val="5F3A76AD"/>
    <w:rsid w:val="5F3B586D"/>
    <w:rsid w:val="5F3B724D"/>
    <w:rsid w:val="5F451B3F"/>
    <w:rsid w:val="5F4C01D5"/>
    <w:rsid w:val="5F5D32B8"/>
    <w:rsid w:val="5F65AF28"/>
    <w:rsid w:val="5F6D0E34"/>
    <w:rsid w:val="5F6F2233"/>
    <w:rsid w:val="5F83EDB9"/>
    <w:rsid w:val="5F9239E5"/>
    <w:rsid w:val="5F9AEE04"/>
    <w:rsid w:val="5FA2369B"/>
    <w:rsid w:val="5FAC5AFB"/>
    <w:rsid w:val="5FB1574A"/>
    <w:rsid w:val="5FBB8428"/>
    <w:rsid w:val="5FC23CBD"/>
    <w:rsid w:val="5FC703FA"/>
    <w:rsid w:val="5FC8412B"/>
    <w:rsid w:val="5FC8E16B"/>
    <w:rsid w:val="5FCA8A62"/>
    <w:rsid w:val="5FCC5BEE"/>
    <w:rsid w:val="5FD39D89"/>
    <w:rsid w:val="5FD49D1D"/>
    <w:rsid w:val="5FD7D58D"/>
    <w:rsid w:val="5FE01C3B"/>
    <w:rsid w:val="5FED7196"/>
    <w:rsid w:val="5FF87F24"/>
    <w:rsid w:val="5FFDBFDE"/>
    <w:rsid w:val="5FFF91E6"/>
    <w:rsid w:val="60087D14"/>
    <w:rsid w:val="600B89D5"/>
    <w:rsid w:val="601533A8"/>
    <w:rsid w:val="6016B257"/>
    <w:rsid w:val="601F8274"/>
    <w:rsid w:val="6020877D"/>
    <w:rsid w:val="60248A64"/>
    <w:rsid w:val="602C2A84"/>
    <w:rsid w:val="602CEBA7"/>
    <w:rsid w:val="6031D66B"/>
    <w:rsid w:val="603488B5"/>
    <w:rsid w:val="603B6F4D"/>
    <w:rsid w:val="6044E4E2"/>
    <w:rsid w:val="604814BB"/>
    <w:rsid w:val="605216FA"/>
    <w:rsid w:val="605419DD"/>
    <w:rsid w:val="605B1F21"/>
    <w:rsid w:val="606442D1"/>
    <w:rsid w:val="6073E4B5"/>
    <w:rsid w:val="6079F2F9"/>
    <w:rsid w:val="60983B90"/>
    <w:rsid w:val="60985F38"/>
    <w:rsid w:val="609A51C2"/>
    <w:rsid w:val="609C9A03"/>
    <w:rsid w:val="609CC409"/>
    <w:rsid w:val="60A08333"/>
    <w:rsid w:val="60A1F852"/>
    <w:rsid w:val="60A66A88"/>
    <w:rsid w:val="60B0635A"/>
    <w:rsid w:val="60B31301"/>
    <w:rsid w:val="60C8EE53"/>
    <w:rsid w:val="60D14BB1"/>
    <w:rsid w:val="60DAB814"/>
    <w:rsid w:val="60DBFCFF"/>
    <w:rsid w:val="60E191F1"/>
    <w:rsid w:val="60E73298"/>
    <w:rsid w:val="6107FD13"/>
    <w:rsid w:val="6113BBFE"/>
    <w:rsid w:val="611410BF"/>
    <w:rsid w:val="6114291B"/>
    <w:rsid w:val="6114FBB5"/>
    <w:rsid w:val="61158263"/>
    <w:rsid w:val="611C11FA"/>
    <w:rsid w:val="6124F42C"/>
    <w:rsid w:val="61252EBD"/>
    <w:rsid w:val="612834E7"/>
    <w:rsid w:val="61379615"/>
    <w:rsid w:val="61380A7C"/>
    <w:rsid w:val="613C9719"/>
    <w:rsid w:val="613FA255"/>
    <w:rsid w:val="61437A54"/>
    <w:rsid w:val="614A7D3C"/>
    <w:rsid w:val="61574591"/>
    <w:rsid w:val="615D7E93"/>
    <w:rsid w:val="61681E12"/>
    <w:rsid w:val="61833290"/>
    <w:rsid w:val="61869F4A"/>
    <w:rsid w:val="618A2B2B"/>
    <w:rsid w:val="618F8DD4"/>
    <w:rsid w:val="619508A5"/>
    <w:rsid w:val="619FEE83"/>
    <w:rsid w:val="61A000BD"/>
    <w:rsid w:val="61AB5945"/>
    <w:rsid w:val="61B6D3FC"/>
    <w:rsid w:val="61B7284A"/>
    <w:rsid w:val="61C1EDF6"/>
    <w:rsid w:val="61C78DD0"/>
    <w:rsid w:val="61CC35A6"/>
    <w:rsid w:val="61D4AE29"/>
    <w:rsid w:val="61E29973"/>
    <w:rsid w:val="61E487F2"/>
    <w:rsid w:val="61E5C9FB"/>
    <w:rsid w:val="61E7841E"/>
    <w:rsid w:val="61EABC52"/>
    <w:rsid w:val="61F3C3F1"/>
    <w:rsid w:val="62023B39"/>
    <w:rsid w:val="620C8F58"/>
    <w:rsid w:val="620EE9F4"/>
    <w:rsid w:val="620F87F6"/>
    <w:rsid w:val="6216CD15"/>
    <w:rsid w:val="621E4B4D"/>
    <w:rsid w:val="6221BC6D"/>
    <w:rsid w:val="6223787A"/>
    <w:rsid w:val="62282C9B"/>
    <w:rsid w:val="624154F4"/>
    <w:rsid w:val="6252CBC5"/>
    <w:rsid w:val="625300C8"/>
    <w:rsid w:val="625D5374"/>
    <w:rsid w:val="62642185"/>
    <w:rsid w:val="62656D5F"/>
    <w:rsid w:val="628B6875"/>
    <w:rsid w:val="6293F3AE"/>
    <w:rsid w:val="62A2E1F0"/>
    <w:rsid w:val="62A85FFC"/>
    <w:rsid w:val="62B118C5"/>
    <w:rsid w:val="62BB05A3"/>
    <w:rsid w:val="62BDCEDC"/>
    <w:rsid w:val="62C0D0A5"/>
    <w:rsid w:val="62C76119"/>
    <w:rsid w:val="62C9D678"/>
    <w:rsid w:val="62CF2CE6"/>
    <w:rsid w:val="62D3FEC8"/>
    <w:rsid w:val="62DA14D9"/>
    <w:rsid w:val="62DC9525"/>
    <w:rsid w:val="62E27B11"/>
    <w:rsid w:val="62E990BE"/>
    <w:rsid w:val="62FD9492"/>
    <w:rsid w:val="6300B5E5"/>
    <w:rsid w:val="6302BDFD"/>
    <w:rsid w:val="6308514B"/>
    <w:rsid w:val="6316616C"/>
    <w:rsid w:val="63175A05"/>
    <w:rsid w:val="6328DF86"/>
    <w:rsid w:val="632A1192"/>
    <w:rsid w:val="632A40E0"/>
    <w:rsid w:val="632BFCC1"/>
    <w:rsid w:val="63337ED6"/>
    <w:rsid w:val="63362E4C"/>
    <w:rsid w:val="633A99DF"/>
    <w:rsid w:val="633DFD96"/>
    <w:rsid w:val="6342D01C"/>
    <w:rsid w:val="635A5D78"/>
    <w:rsid w:val="6365275C"/>
    <w:rsid w:val="63664B03"/>
    <w:rsid w:val="636D665B"/>
    <w:rsid w:val="63748FEB"/>
    <w:rsid w:val="6385EFBD"/>
    <w:rsid w:val="638FB541"/>
    <w:rsid w:val="638FD908"/>
    <w:rsid w:val="63946BB7"/>
    <w:rsid w:val="639849D4"/>
    <w:rsid w:val="639D029C"/>
    <w:rsid w:val="639F922C"/>
    <w:rsid w:val="63A6DA54"/>
    <w:rsid w:val="63A7C16C"/>
    <w:rsid w:val="63AF1343"/>
    <w:rsid w:val="63BB156B"/>
    <w:rsid w:val="63CAEE76"/>
    <w:rsid w:val="63CB91EB"/>
    <w:rsid w:val="63D87DFC"/>
    <w:rsid w:val="63E47AAC"/>
    <w:rsid w:val="63EB5F82"/>
    <w:rsid w:val="6401E988"/>
    <w:rsid w:val="640D6ED6"/>
    <w:rsid w:val="641F62BD"/>
    <w:rsid w:val="64215CFB"/>
    <w:rsid w:val="6422F2A1"/>
    <w:rsid w:val="642332EC"/>
    <w:rsid w:val="64276F54"/>
    <w:rsid w:val="642806C6"/>
    <w:rsid w:val="6429361A"/>
    <w:rsid w:val="643BE9C5"/>
    <w:rsid w:val="6443E2CB"/>
    <w:rsid w:val="644CBC85"/>
    <w:rsid w:val="645FC75E"/>
    <w:rsid w:val="6461A4B6"/>
    <w:rsid w:val="6466A90F"/>
    <w:rsid w:val="647534C8"/>
    <w:rsid w:val="6478F277"/>
    <w:rsid w:val="6483A1BC"/>
    <w:rsid w:val="64844EBF"/>
    <w:rsid w:val="649A9B7A"/>
    <w:rsid w:val="64A37045"/>
    <w:rsid w:val="64A68B49"/>
    <w:rsid w:val="64B83DAC"/>
    <w:rsid w:val="64BF1042"/>
    <w:rsid w:val="64C2621F"/>
    <w:rsid w:val="64C662B5"/>
    <w:rsid w:val="64CA6EC6"/>
    <w:rsid w:val="64CC0B94"/>
    <w:rsid w:val="64D30933"/>
    <w:rsid w:val="64E34D40"/>
    <w:rsid w:val="64EC6D61"/>
    <w:rsid w:val="64EDA4CC"/>
    <w:rsid w:val="64EDC13B"/>
    <w:rsid w:val="64F1D02A"/>
    <w:rsid w:val="65022099"/>
    <w:rsid w:val="650CD558"/>
    <w:rsid w:val="651314C8"/>
    <w:rsid w:val="6516A143"/>
    <w:rsid w:val="651B3805"/>
    <w:rsid w:val="651E3012"/>
    <w:rsid w:val="65277CB7"/>
    <w:rsid w:val="652BCA59"/>
    <w:rsid w:val="6546EBAF"/>
    <w:rsid w:val="65475BD0"/>
    <w:rsid w:val="655A44FA"/>
    <w:rsid w:val="655AE009"/>
    <w:rsid w:val="655F0244"/>
    <w:rsid w:val="65738777"/>
    <w:rsid w:val="658F396C"/>
    <w:rsid w:val="65AD199A"/>
    <w:rsid w:val="65AF6438"/>
    <w:rsid w:val="65BAD394"/>
    <w:rsid w:val="65C4F10B"/>
    <w:rsid w:val="65C6653D"/>
    <w:rsid w:val="65CFC1F0"/>
    <w:rsid w:val="65DB55D4"/>
    <w:rsid w:val="65DC516B"/>
    <w:rsid w:val="65DEC9BF"/>
    <w:rsid w:val="65F4DF4E"/>
    <w:rsid w:val="65FDC814"/>
    <w:rsid w:val="660C0433"/>
    <w:rsid w:val="661D2D0C"/>
    <w:rsid w:val="6627F410"/>
    <w:rsid w:val="6628782B"/>
    <w:rsid w:val="663AE667"/>
    <w:rsid w:val="663E2554"/>
    <w:rsid w:val="664474BD"/>
    <w:rsid w:val="665B7403"/>
    <w:rsid w:val="6666F5B9"/>
    <w:rsid w:val="666D7A69"/>
    <w:rsid w:val="66707AE4"/>
    <w:rsid w:val="66744039"/>
    <w:rsid w:val="667C0B16"/>
    <w:rsid w:val="668E7E6C"/>
    <w:rsid w:val="66919959"/>
    <w:rsid w:val="6695462E"/>
    <w:rsid w:val="66A584B3"/>
    <w:rsid w:val="66AA7FE9"/>
    <w:rsid w:val="66B29357"/>
    <w:rsid w:val="66C1D561"/>
    <w:rsid w:val="66C8BA14"/>
    <w:rsid w:val="66C96353"/>
    <w:rsid w:val="66CAB32B"/>
    <w:rsid w:val="66CFC04C"/>
    <w:rsid w:val="66D20C87"/>
    <w:rsid w:val="66D21747"/>
    <w:rsid w:val="66D2B3AE"/>
    <w:rsid w:val="66E67E1B"/>
    <w:rsid w:val="66F4200C"/>
    <w:rsid w:val="66F84BE3"/>
    <w:rsid w:val="670A0D1A"/>
    <w:rsid w:val="67200A24"/>
    <w:rsid w:val="6722C07E"/>
    <w:rsid w:val="672D2735"/>
    <w:rsid w:val="67314933"/>
    <w:rsid w:val="67373AB7"/>
    <w:rsid w:val="6740D15B"/>
    <w:rsid w:val="6742567C"/>
    <w:rsid w:val="6745B9B1"/>
    <w:rsid w:val="674BED16"/>
    <w:rsid w:val="6752C6AF"/>
    <w:rsid w:val="6759A3B9"/>
    <w:rsid w:val="67684C67"/>
    <w:rsid w:val="6769286B"/>
    <w:rsid w:val="676A9024"/>
    <w:rsid w:val="676AAF5D"/>
    <w:rsid w:val="676B432F"/>
    <w:rsid w:val="676D95FD"/>
    <w:rsid w:val="676FE9B9"/>
    <w:rsid w:val="6774F495"/>
    <w:rsid w:val="67835F01"/>
    <w:rsid w:val="6792CC0A"/>
    <w:rsid w:val="6796128E"/>
    <w:rsid w:val="67A3DE33"/>
    <w:rsid w:val="67A60E7A"/>
    <w:rsid w:val="67C2F76C"/>
    <w:rsid w:val="67CF9DE5"/>
    <w:rsid w:val="67D61389"/>
    <w:rsid w:val="67D63B12"/>
    <w:rsid w:val="67E31674"/>
    <w:rsid w:val="67E3475B"/>
    <w:rsid w:val="67E40084"/>
    <w:rsid w:val="67E5CB3E"/>
    <w:rsid w:val="67EB2344"/>
    <w:rsid w:val="6802B6AC"/>
    <w:rsid w:val="6804440F"/>
    <w:rsid w:val="68072847"/>
    <w:rsid w:val="6823F463"/>
    <w:rsid w:val="682953F8"/>
    <w:rsid w:val="682BE425"/>
    <w:rsid w:val="683630AF"/>
    <w:rsid w:val="68491530"/>
    <w:rsid w:val="684BDCBE"/>
    <w:rsid w:val="68530021"/>
    <w:rsid w:val="6865206C"/>
    <w:rsid w:val="6870AB04"/>
    <w:rsid w:val="68781164"/>
    <w:rsid w:val="687ADB63"/>
    <w:rsid w:val="687EA842"/>
    <w:rsid w:val="6892713C"/>
    <w:rsid w:val="68A5B88A"/>
    <w:rsid w:val="68AD06D7"/>
    <w:rsid w:val="68AF79D0"/>
    <w:rsid w:val="68B303F5"/>
    <w:rsid w:val="68CAC136"/>
    <w:rsid w:val="68CC9162"/>
    <w:rsid w:val="68D75EBD"/>
    <w:rsid w:val="68EA22EC"/>
    <w:rsid w:val="68EDD616"/>
    <w:rsid w:val="68FD82F4"/>
    <w:rsid w:val="68FF1A9C"/>
    <w:rsid w:val="69079030"/>
    <w:rsid w:val="690D0F0B"/>
    <w:rsid w:val="691D43F7"/>
    <w:rsid w:val="692712CF"/>
    <w:rsid w:val="6933178C"/>
    <w:rsid w:val="694AAFE8"/>
    <w:rsid w:val="69648B67"/>
    <w:rsid w:val="697C187A"/>
    <w:rsid w:val="69907C4E"/>
    <w:rsid w:val="69916564"/>
    <w:rsid w:val="6991676A"/>
    <w:rsid w:val="69964780"/>
    <w:rsid w:val="699969E9"/>
    <w:rsid w:val="69A5DC81"/>
    <w:rsid w:val="69AE8AFE"/>
    <w:rsid w:val="69BCA663"/>
    <w:rsid w:val="69BD719D"/>
    <w:rsid w:val="69C5B116"/>
    <w:rsid w:val="69C706C7"/>
    <w:rsid w:val="69CABAD1"/>
    <w:rsid w:val="69DD48BE"/>
    <w:rsid w:val="69E05B6D"/>
    <w:rsid w:val="69E2780B"/>
    <w:rsid w:val="69E31DE6"/>
    <w:rsid w:val="69F15402"/>
    <w:rsid w:val="69FC7067"/>
    <w:rsid w:val="6A0D9522"/>
    <w:rsid w:val="6A10FE55"/>
    <w:rsid w:val="6A1B02EB"/>
    <w:rsid w:val="6A24EC8F"/>
    <w:rsid w:val="6A290612"/>
    <w:rsid w:val="6A29EC6A"/>
    <w:rsid w:val="6A2B620F"/>
    <w:rsid w:val="6A2E035B"/>
    <w:rsid w:val="6A307BAD"/>
    <w:rsid w:val="6A3431C7"/>
    <w:rsid w:val="6A350378"/>
    <w:rsid w:val="6A3C1C1C"/>
    <w:rsid w:val="6A460A43"/>
    <w:rsid w:val="6A47E4E1"/>
    <w:rsid w:val="6A4CE941"/>
    <w:rsid w:val="6A4E6756"/>
    <w:rsid w:val="6A51B1BB"/>
    <w:rsid w:val="6A5C9C9A"/>
    <w:rsid w:val="6A5DC43B"/>
    <w:rsid w:val="6A60C0F7"/>
    <w:rsid w:val="6A6554ED"/>
    <w:rsid w:val="6A692296"/>
    <w:rsid w:val="6A6C6970"/>
    <w:rsid w:val="6A74CFE5"/>
    <w:rsid w:val="6A77DA2A"/>
    <w:rsid w:val="6A7E11E3"/>
    <w:rsid w:val="6A83CBCC"/>
    <w:rsid w:val="6A8A0136"/>
    <w:rsid w:val="6A8FAAC7"/>
    <w:rsid w:val="6AA2C9B2"/>
    <w:rsid w:val="6AB1AD40"/>
    <w:rsid w:val="6ABB0AE4"/>
    <w:rsid w:val="6ABCF0B3"/>
    <w:rsid w:val="6AC01F33"/>
    <w:rsid w:val="6ACE069B"/>
    <w:rsid w:val="6AEA296C"/>
    <w:rsid w:val="6AEE7FE9"/>
    <w:rsid w:val="6AF7DFE2"/>
    <w:rsid w:val="6AFE8B38"/>
    <w:rsid w:val="6B083642"/>
    <w:rsid w:val="6B23B6BC"/>
    <w:rsid w:val="6B25C643"/>
    <w:rsid w:val="6B2EB6FC"/>
    <w:rsid w:val="6B31D4BE"/>
    <w:rsid w:val="6B31EB92"/>
    <w:rsid w:val="6B444825"/>
    <w:rsid w:val="6B47ABF8"/>
    <w:rsid w:val="6B4EB006"/>
    <w:rsid w:val="6B53ABC7"/>
    <w:rsid w:val="6B5A70AA"/>
    <w:rsid w:val="6B714B30"/>
    <w:rsid w:val="6B77B093"/>
    <w:rsid w:val="6B808457"/>
    <w:rsid w:val="6B88FD18"/>
    <w:rsid w:val="6B8A80C6"/>
    <w:rsid w:val="6B8B4B01"/>
    <w:rsid w:val="6B8DE20C"/>
    <w:rsid w:val="6BA382FA"/>
    <w:rsid w:val="6BA8B2BD"/>
    <w:rsid w:val="6BA96594"/>
    <w:rsid w:val="6BB45A1E"/>
    <w:rsid w:val="6BBF3BDE"/>
    <w:rsid w:val="6BCCF59A"/>
    <w:rsid w:val="6BCDB6C2"/>
    <w:rsid w:val="6BD40BA2"/>
    <w:rsid w:val="6BD6D7EF"/>
    <w:rsid w:val="6BDA41D3"/>
    <w:rsid w:val="6BDB0940"/>
    <w:rsid w:val="6BE12AA4"/>
    <w:rsid w:val="6BE9B73A"/>
    <w:rsid w:val="6BF72EC4"/>
    <w:rsid w:val="6BF8838D"/>
    <w:rsid w:val="6BFD9EE0"/>
    <w:rsid w:val="6C013E1A"/>
    <w:rsid w:val="6C0ABB44"/>
    <w:rsid w:val="6C0D83B3"/>
    <w:rsid w:val="6C1A525E"/>
    <w:rsid w:val="6C1BD7EC"/>
    <w:rsid w:val="6C1D3AD3"/>
    <w:rsid w:val="6C233945"/>
    <w:rsid w:val="6C24A216"/>
    <w:rsid w:val="6C3BA7AE"/>
    <w:rsid w:val="6C3E4B3B"/>
    <w:rsid w:val="6C4346C4"/>
    <w:rsid w:val="6C527ED0"/>
    <w:rsid w:val="6C5D6172"/>
    <w:rsid w:val="6C646745"/>
    <w:rsid w:val="6C9C2D57"/>
    <w:rsid w:val="6C9EE47F"/>
    <w:rsid w:val="6CAC88C4"/>
    <w:rsid w:val="6CACCC10"/>
    <w:rsid w:val="6CAEEE61"/>
    <w:rsid w:val="6CB5C486"/>
    <w:rsid w:val="6CC278B1"/>
    <w:rsid w:val="6CCE31DD"/>
    <w:rsid w:val="6CCF6299"/>
    <w:rsid w:val="6CD54F81"/>
    <w:rsid w:val="6CE0F959"/>
    <w:rsid w:val="6CEE14A6"/>
    <w:rsid w:val="6D0BD410"/>
    <w:rsid w:val="6D0E810A"/>
    <w:rsid w:val="6D11C966"/>
    <w:rsid w:val="6D18C2D9"/>
    <w:rsid w:val="6D1D49AA"/>
    <w:rsid w:val="6D281100"/>
    <w:rsid w:val="6D2953A1"/>
    <w:rsid w:val="6D329992"/>
    <w:rsid w:val="6D3A485F"/>
    <w:rsid w:val="6D3F6F3A"/>
    <w:rsid w:val="6D4457DF"/>
    <w:rsid w:val="6D641746"/>
    <w:rsid w:val="6D767EB1"/>
    <w:rsid w:val="6D7B864A"/>
    <w:rsid w:val="6D894612"/>
    <w:rsid w:val="6D91B47C"/>
    <w:rsid w:val="6D9ED7FC"/>
    <w:rsid w:val="6DA2189B"/>
    <w:rsid w:val="6DA4C329"/>
    <w:rsid w:val="6DAC9F05"/>
    <w:rsid w:val="6DAD2D7A"/>
    <w:rsid w:val="6DAE52EC"/>
    <w:rsid w:val="6DB3DE0F"/>
    <w:rsid w:val="6DB88ECE"/>
    <w:rsid w:val="6DBB1A35"/>
    <w:rsid w:val="6DD7C6E2"/>
    <w:rsid w:val="6DEB06FF"/>
    <w:rsid w:val="6E00E4A3"/>
    <w:rsid w:val="6E0B931F"/>
    <w:rsid w:val="6E1001A3"/>
    <w:rsid w:val="6E13A699"/>
    <w:rsid w:val="6E156E2A"/>
    <w:rsid w:val="6E1E6165"/>
    <w:rsid w:val="6E230822"/>
    <w:rsid w:val="6E237575"/>
    <w:rsid w:val="6E275597"/>
    <w:rsid w:val="6E303E4E"/>
    <w:rsid w:val="6E385222"/>
    <w:rsid w:val="6E47B60D"/>
    <w:rsid w:val="6E5E930D"/>
    <w:rsid w:val="6E686D94"/>
    <w:rsid w:val="6E69E6E9"/>
    <w:rsid w:val="6E6AFE09"/>
    <w:rsid w:val="6E6F0883"/>
    <w:rsid w:val="6E75088B"/>
    <w:rsid w:val="6E7D037E"/>
    <w:rsid w:val="6E86E5B4"/>
    <w:rsid w:val="6E8AF9EE"/>
    <w:rsid w:val="6E92163A"/>
    <w:rsid w:val="6E97A126"/>
    <w:rsid w:val="6EA5CE4D"/>
    <w:rsid w:val="6EA91FEB"/>
    <w:rsid w:val="6EABB171"/>
    <w:rsid w:val="6EBBBF7C"/>
    <w:rsid w:val="6ECB5C6D"/>
    <w:rsid w:val="6ED5F69F"/>
    <w:rsid w:val="6ED8ECAB"/>
    <w:rsid w:val="6EDC5838"/>
    <w:rsid w:val="6EE69CC7"/>
    <w:rsid w:val="6F04E572"/>
    <w:rsid w:val="6F08D71D"/>
    <w:rsid w:val="6F136F69"/>
    <w:rsid w:val="6F1B0E90"/>
    <w:rsid w:val="6F273EF3"/>
    <w:rsid w:val="6F28EBB3"/>
    <w:rsid w:val="6F2DA33C"/>
    <w:rsid w:val="6F39C265"/>
    <w:rsid w:val="6F4FBB56"/>
    <w:rsid w:val="6F528799"/>
    <w:rsid w:val="6F6292AE"/>
    <w:rsid w:val="6F643EBC"/>
    <w:rsid w:val="6F741817"/>
    <w:rsid w:val="6F741AB6"/>
    <w:rsid w:val="6F75ABDA"/>
    <w:rsid w:val="6F836D3B"/>
    <w:rsid w:val="6F8518B5"/>
    <w:rsid w:val="6F866F11"/>
    <w:rsid w:val="6F9613FC"/>
    <w:rsid w:val="6F9D9D1D"/>
    <w:rsid w:val="6F9EBD10"/>
    <w:rsid w:val="6FA598F4"/>
    <w:rsid w:val="6FA744CD"/>
    <w:rsid w:val="6FB10F11"/>
    <w:rsid w:val="6FCA5E0B"/>
    <w:rsid w:val="6FCEF193"/>
    <w:rsid w:val="6FDBCA6B"/>
    <w:rsid w:val="6FDDF333"/>
    <w:rsid w:val="6FE6A7E1"/>
    <w:rsid w:val="6FE75E45"/>
    <w:rsid w:val="6FEB9900"/>
    <w:rsid w:val="6FF03954"/>
    <w:rsid w:val="6FF2155D"/>
    <w:rsid w:val="6FF532A0"/>
    <w:rsid w:val="6FF6393B"/>
    <w:rsid w:val="6FFAFECE"/>
    <w:rsid w:val="7005DDF6"/>
    <w:rsid w:val="70073A09"/>
    <w:rsid w:val="7010DC28"/>
    <w:rsid w:val="70211237"/>
    <w:rsid w:val="7028AACA"/>
    <w:rsid w:val="7036A0DB"/>
    <w:rsid w:val="7044B29D"/>
    <w:rsid w:val="70493A41"/>
    <w:rsid w:val="704A6052"/>
    <w:rsid w:val="7058439B"/>
    <w:rsid w:val="70670540"/>
    <w:rsid w:val="7068289D"/>
    <w:rsid w:val="706B1128"/>
    <w:rsid w:val="706B5907"/>
    <w:rsid w:val="706CA234"/>
    <w:rsid w:val="7079ACC7"/>
    <w:rsid w:val="707C6D7A"/>
    <w:rsid w:val="7080CB20"/>
    <w:rsid w:val="7081E5B4"/>
    <w:rsid w:val="70898E57"/>
    <w:rsid w:val="708A07D1"/>
    <w:rsid w:val="70924DD1"/>
    <w:rsid w:val="7096F112"/>
    <w:rsid w:val="70A28050"/>
    <w:rsid w:val="70A42428"/>
    <w:rsid w:val="70AB3C95"/>
    <w:rsid w:val="70B49236"/>
    <w:rsid w:val="70BA1A2B"/>
    <w:rsid w:val="70BD8194"/>
    <w:rsid w:val="70BF0CEA"/>
    <w:rsid w:val="70C2CF87"/>
    <w:rsid w:val="70C39247"/>
    <w:rsid w:val="70C74967"/>
    <w:rsid w:val="70D3B125"/>
    <w:rsid w:val="70D588E6"/>
    <w:rsid w:val="70DA5B1F"/>
    <w:rsid w:val="70E7485B"/>
    <w:rsid w:val="70ECCAF3"/>
    <w:rsid w:val="70EFD37C"/>
    <w:rsid w:val="70F4F86A"/>
    <w:rsid w:val="70F5251C"/>
    <w:rsid w:val="71032C68"/>
    <w:rsid w:val="7103B651"/>
    <w:rsid w:val="710D19C2"/>
    <w:rsid w:val="71185759"/>
    <w:rsid w:val="711962EB"/>
    <w:rsid w:val="7119CCFB"/>
    <w:rsid w:val="71234ECE"/>
    <w:rsid w:val="712D2A35"/>
    <w:rsid w:val="713E1CA9"/>
    <w:rsid w:val="714808AD"/>
    <w:rsid w:val="714B0A9C"/>
    <w:rsid w:val="714C246A"/>
    <w:rsid w:val="714C7D45"/>
    <w:rsid w:val="715D188D"/>
    <w:rsid w:val="715F40D9"/>
    <w:rsid w:val="71674DEA"/>
    <w:rsid w:val="716D1B82"/>
    <w:rsid w:val="716E9591"/>
    <w:rsid w:val="7170F0A9"/>
    <w:rsid w:val="7173B48B"/>
    <w:rsid w:val="718A3434"/>
    <w:rsid w:val="718C9CF5"/>
    <w:rsid w:val="718D9A1A"/>
    <w:rsid w:val="7195C465"/>
    <w:rsid w:val="719BD33B"/>
    <w:rsid w:val="719BF77A"/>
    <w:rsid w:val="71A2C673"/>
    <w:rsid w:val="71B621D1"/>
    <w:rsid w:val="71BCA885"/>
    <w:rsid w:val="71C123A4"/>
    <w:rsid w:val="71C258CD"/>
    <w:rsid w:val="71CB89CF"/>
    <w:rsid w:val="71CCBD26"/>
    <w:rsid w:val="71CD58E8"/>
    <w:rsid w:val="71CE4392"/>
    <w:rsid w:val="71D60523"/>
    <w:rsid w:val="71DF762B"/>
    <w:rsid w:val="71E130D2"/>
    <w:rsid w:val="71E501E7"/>
    <w:rsid w:val="71E61183"/>
    <w:rsid w:val="71E67518"/>
    <w:rsid w:val="71F130CF"/>
    <w:rsid w:val="71FAC516"/>
    <w:rsid w:val="7207A8B6"/>
    <w:rsid w:val="7207FC2D"/>
    <w:rsid w:val="7216C909"/>
    <w:rsid w:val="7226104D"/>
    <w:rsid w:val="722B2A09"/>
    <w:rsid w:val="7231E33F"/>
    <w:rsid w:val="7249FF90"/>
    <w:rsid w:val="724CB8FF"/>
    <w:rsid w:val="7251048B"/>
    <w:rsid w:val="725EF58F"/>
    <w:rsid w:val="7262D189"/>
    <w:rsid w:val="72661511"/>
    <w:rsid w:val="72686886"/>
    <w:rsid w:val="72698300"/>
    <w:rsid w:val="727C98A7"/>
    <w:rsid w:val="728762EA"/>
    <w:rsid w:val="728878CB"/>
    <w:rsid w:val="729078C9"/>
    <w:rsid w:val="7296D3A7"/>
    <w:rsid w:val="72A01D4D"/>
    <w:rsid w:val="72AE7124"/>
    <w:rsid w:val="72B142C6"/>
    <w:rsid w:val="72B3883C"/>
    <w:rsid w:val="72B3F386"/>
    <w:rsid w:val="72BAED40"/>
    <w:rsid w:val="72C85B7D"/>
    <w:rsid w:val="72CB5B69"/>
    <w:rsid w:val="72D15655"/>
    <w:rsid w:val="72D5A4B6"/>
    <w:rsid w:val="72E42025"/>
    <w:rsid w:val="72E5757F"/>
    <w:rsid w:val="72ED0C22"/>
    <w:rsid w:val="72F3FBDC"/>
    <w:rsid w:val="72F94072"/>
    <w:rsid w:val="72FA392F"/>
    <w:rsid w:val="73002D53"/>
    <w:rsid w:val="7302C2D2"/>
    <w:rsid w:val="731BF965"/>
    <w:rsid w:val="731D8F50"/>
    <w:rsid w:val="7320AA87"/>
    <w:rsid w:val="73227FE8"/>
    <w:rsid w:val="7325F5B6"/>
    <w:rsid w:val="734CDAF1"/>
    <w:rsid w:val="735EF65C"/>
    <w:rsid w:val="73665211"/>
    <w:rsid w:val="73674535"/>
    <w:rsid w:val="73709301"/>
    <w:rsid w:val="737D8C3C"/>
    <w:rsid w:val="7390802A"/>
    <w:rsid w:val="7390D702"/>
    <w:rsid w:val="73A20F13"/>
    <w:rsid w:val="73A3A923"/>
    <w:rsid w:val="73A3DDF1"/>
    <w:rsid w:val="73A82DCB"/>
    <w:rsid w:val="73A8444F"/>
    <w:rsid w:val="73AB6948"/>
    <w:rsid w:val="73B8E269"/>
    <w:rsid w:val="73B9B73A"/>
    <w:rsid w:val="73D01309"/>
    <w:rsid w:val="73D208CB"/>
    <w:rsid w:val="73D7DB4F"/>
    <w:rsid w:val="73DC4402"/>
    <w:rsid w:val="73E704C2"/>
    <w:rsid w:val="73E8B050"/>
    <w:rsid w:val="73F740EB"/>
    <w:rsid w:val="73F9E732"/>
    <w:rsid w:val="74092AFB"/>
    <w:rsid w:val="740BB7F9"/>
    <w:rsid w:val="74194B3D"/>
    <w:rsid w:val="741FC332"/>
    <w:rsid w:val="742A8234"/>
    <w:rsid w:val="742A9750"/>
    <w:rsid w:val="7435B77A"/>
    <w:rsid w:val="7445DAC2"/>
    <w:rsid w:val="744607C8"/>
    <w:rsid w:val="744A5B72"/>
    <w:rsid w:val="744A9EF3"/>
    <w:rsid w:val="74510B2D"/>
    <w:rsid w:val="74517E03"/>
    <w:rsid w:val="745A978F"/>
    <w:rsid w:val="74600C58"/>
    <w:rsid w:val="746856D2"/>
    <w:rsid w:val="7468D808"/>
    <w:rsid w:val="746B246E"/>
    <w:rsid w:val="7476AB14"/>
    <w:rsid w:val="747DB4C5"/>
    <w:rsid w:val="74806D27"/>
    <w:rsid w:val="7499B0FD"/>
    <w:rsid w:val="749AA24F"/>
    <w:rsid w:val="74A1C13B"/>
    <w:rsid w:val="74A55D97"/>
    <w:rsid w:val="74AA9B94"/>
    <w:rsid w:val="74C367E8"/>
    <w:rsid w:val="74CFC4E6"/>
    <w:rsid w:val="74D14BC3"/>
    <w:rsid w:val="74D4E2F8"/>
    <w:rsid w:val="74DA20AC"/>
    <w:rsid w:val="74DE69B6"/>
    <w:rsid w:val="74DF2397"/>
    <w:rsid w:val="74E4579F"/>
    <w:rsid w:val="74FFBB6C"/>
    <w:rsid w:val="7500B5E2"/>
    <w:rsid w:val="7502A787"/>
    <w:rsid w:val="7504A8F2"/>
    <w:rsid w:val="7507BB91"/>
    <w:rsid w:val="750BAA56"/>
    <w:rsid w:val="75283B94"/>
    <w:rsid w:val="752BBE11"/>
    <w:rsid w:val="753388FF"/>
    <w:rsid w:val="754D8A29"/>
    <w:rsid w:val="7558E533"/>
    <w:rsid w:val="755AFA28"/>
    <w:rsid w:val="755C0167"/>
    <w:rsid w:val="755C9919"/>
    <w:rsid w:val="7562A34C"/>
    <w:rsid w:val="75660272"/>
    <w:rsid w:val="756ABF6A"/>
    <w:rsid w:val="757CD2EF"/>
    <w:rsid w:val="7599ADC6"/>
    <w:rsid w:val="759AF84B"/>
    <w:rsid w:val="759DFA14"/>
    <w:rsid w:val="75A8ACD0"/>
    <w:rsid w:val="75B78968"/>
    <w:rsid w:val="75BAF398"/>
    <w:rsid w:val="75C5B5A6"/>
    <w:rsid w:val="75CC9016"/>
    <w:rsid w:val="75D0C3A5"/>
    <w:rsid w:val="75E36A02"/>
    <w:rsid w:val="75F0DA16"/>
    <w:rsid w:val="75F6FACD"/>
    <w:rsid w:val="7602F704"/>
    <w:rsid w:val="76099DF2"/>
    <w:rsid w:val="761D4141"/>
    <w:rsid w:val="7627DF26"/>
    <w:rsid w:val="76296D54"/>
    <w:rsid w:val="7634579D"/>
    <w:rsid w:val="76359814"/>
    <w:rsid w:val="764DA05E"/>
    <w:rsid w:val="764DB7F0"/>
    <w:rsid w:val="764DDCBB"/>
    <w:rsid w:val="765197F1"/>
    <w:rsid w:val="7654CB4A"/>
    <w:rsid w:val="76580B16"/>
    <w:rsid w:val="7659E118"/>
    <w:rsid w:val="766D6024"/>
    <w:rsid w:val="7677AED2"/>
    <w:rsid w:val="767D6A1D"/>
    <w:rsid w:val="76836430"/>
    <w:rsid w:val="76897A42"/>
    <w:rsid w:val="768C863A"/>
    <w:rsid w:val="768DA9EB"/>
    <w:rsid w:val="76934227"/>
    <w:rsid w:val="7693D862"/>
    <w:rsid w:val="76A76920"/>
    <w:rsid w:val="76ACF1F4"/>
    <w:rsid w:val="76B628B8"/>
    <w:rsid w:val="76B94627"/>
    <w:rsid w:val="76B96039"/>
    <w:rsid w:val="76C5ED83"/>
    <w:rsid w:val="76C7C9C0"/>
    <w:rsid w:val="76C9D0D1"/>
    <w:rsid w:val="76CB9A85"/>
    <w:rsid w:val="76CC1A2C"/>
    <w:rsid w:val="76CC349D"/>
    <w:rsid w:val="76CE2ADD"/>
    <w:rsid w:val="76D74BA2"/>
    <w:rsid w:val="76E30AC0"/>
    <w:rsid w:val="76E81D08"/>
    <w:rsid w:val="771304B2"/>
    <w:rsid w:val="7713BDFF"/>
    <w:rsid w:val="771B1479"/>
    <w:rsid w:val="771BF33F"/>
    <w:rsid w:val="771D0CE8"/>
    <w:rsid w:val="77257E4A"/>
    <w:rsid w:val="7728880D"/>
    <w:rsid w:val="77579343"/>
    <w:rsid w:val="77694F80"/>
    <w:rsid w:val="77770B70"/>
    <w:rsid w:val="77895898"/>
    <w:rsid w:val="778D94AA"/>
    <w:rsid w:val="778EC85C"/>
    <w:rsid w:val="7795A6CB"/>
    <w:rsid w:val="77999016"/>
    <w:rsid w:val="779AB03C"/>
    <w:rsid w:val="779E0133"/>
    <w:rsid w:val="77A1A12D"/>
    <w:rsid w:val="77B0D482"/>
    <w:rsid w:val="77B9F951"/>
    <w:rsid w:val="77BB26E3"/>
    <w:rsid w:val="77CA24BF"/>
    <w:rsid w:val="77D12002"/>
    <w:rsid w:val="77E37BEE"/>
    <w:rsid w:val="77F30454"/>
    <w:rsid w:val="7803A6BD"/>
    <w:rsid w:val="7807A053"/>
    <w:rsid w:val="7809A463"/>
    <w:rsid w:val="780BE5A6"/>
    <w:rsid w:val="7810BB64"/>
    <w:rsid w:val="78123E70"/>
    <w:rsid w:val="782A1530"/>
    <w:rsid w:val="782C5993"/>
    <w:rsid w:val="782FCF3F"/>
    <w:rsid w:val="783278CD"/>
    <w:rsid w:val="7835D972"/>
    <w:rsid w:val="7838E5A0"/>
    <w:rsid w:val="783A486D"/>
    <w:rsid w:val="78404BDF"/>
    <w:rsid w:val="785A1081"/>
    <w:rsid w:val="785DD40D"/>
    <w:rsid w:val="7875706D"/>
    <w:rsid w:val="7877A985"/>
    <w:rsid w:val="787AC6EE"/>
    <w:rsid w:val="787E8790"/>
    <w:rsid w:val="78844393"/>
    <w:rsid w:val="788AA1AE"/>
    <w:rsid w:val="7893952A"/>
    <w:rsid w:val="789AB1B9"/>
    <w:rsid w:val="78A20675"/>
    <w:rsid w:val="78B19D8A"/>
    <w:rsid w:val="78C53A66"/>
    <w:rsid w:val="78C72009"/>
    <w:rsid w:val="78C9868A"/>
    <w:rsid w:val="78CA8834"/>
    <w:rsid w:val="78DF2CF9"/>
    <w:rsid w:val="78DF5BB5"/>
    <w:rsid w:val="78E2EAFA"/>
    <w:rsid w:val="78EB1B5D"/>
    <w:rsid w:val="78EBB072"/>
    <w:rsid w:val="78F5C0AD"/>
    <w:rsid w:val="78F71D74"/>
    <w:rsid w:val="7902D8ED"/>
    <w:rsid w:val="7904E2EA"/>
    <w:rsid w:val="79071137"/>
    <w:rsid w:val="790A09D0"/>
    <w:rsid w:val="790A3A9F"/>
    <w:rsid w:val="790BC95E"/>
    <w:rsid w:val="790C066C"/>
    <w:rsid w:val="790D102E"/>
    <w:rsid w:val="79107CA9"/>
    <w:rsid w:val="791917BA"/>
    <w:rsid w:val="792153D7"/>
    <w:rsid w:val="79246099"/>
    <w:rsid w:val="7938F74B"/>
    <w:rsid w:val="79425406"/>
    <w:rsid w:val="7946CB46"/>
    <w:rsid w:val="7948E63B"/>
    <w:rsid w:val="794CB8BF"/>
    <w:rsid w:val="796522B0"/>
    <w:rsid w:val="796637F0"/>
    <w:rsid w:val="79663817"/>
    <w:rsid w:val="79691A7A"/>
    <w:rsid w:val="796999C4"/>
    <w:rsid w:val="796F4B99"/>
    <w:rsid w:val="7970AF97"/>
    <w:rsid w:val="797F0165"/>
    <w:rsid w:val="79816C41"/>
    <w:rsid w:val="79827114"/>
    <w:rsid w:val="7988EC8E"/>
    <w:rsid w:val="798AEBD1"/>
    <w:rsid w:val="798B507B"/>
    <w:rsid w:val="798BC899"/>
    <w:rsid w:val="79911FBA"/>
    <w:rsid w:val="79A7C7A1"/>
    <w:rsid w:val="79A846AA"/>
    <w:rsid w:val="79A8AEAD"/>
    <w:rsid w:val="79AF0FE8"/>
    <w:rsid w:val="79CCA58C"/>
    <w:rsid w:val="79E91A40"/>
    <w:rsid w:val="79EDE4A7"/>
    <w:rsid w:val="79EEB2B4"/>
    <w:rsid w:val="79F2B48C"/>
    <w:rsid w:val="79F5C2E5"/>
    <w:rsid w:val="79FCB355"/>
    <w:rsid w:val="7A053582"/>
    <w:rsid w:val="7A190898"/>
    <w:rsid w:val="7A1EDFC4"/>
    <w:rsid w:val="7A2F317F"/>
    <w:rsid w:val="7A33D104"/>
    <w:rsid w:val="7A3CBB33"/>
    <w:rsid w:val="7A417042"/>
    <w:rsid w:val="7A56E39D"/>
    <w:rsid w:val="7A695499"/>
    <w:rsid w:val="7A80C152"/>
    <w:rsid w:val="7A875626"/>
    <w:rsid w:val="7A94B267"/>
    <w:rsid w:val="7A9ABB72"/>
    <w:rsid w:val="7A9CEA88"/>
    <w:rsid w:val="7A9D822D"/>
    <w:rsid w:val="7A9DA592"/>
    <w:rsid w:val="7A9E92AA"/>
    <w:rsid w:val="7ABDE45B"/>
    <w:rsid w:val="7AC1ECF7"/>
    <w:rsid w:val="7AC86207"/>
    <w:rsid w:val="7AD21593"/>
    <w:rsid w:val="7AE63549"/>
    <w:rsid w:val="7AFED285"/>
    <w:rsid w:val="7B068FDB"/>
    <w:rsid w:val="7B10E78B"/>
    <w:rsid w:val="7B19A3F6"/>
    <w:rsid w:val="7B19D6EE"/>
    <w:rsid w:val="7B26DE02"/>
    <w:rsid w:val="7B3A95DE"/>
    <w:rsid w:val="7B484731"/>
    <w:rsid w:val="7B49FEF4"/>
    <w:rsid w:val="7B566F54"/>
    <w:rsid w:val="7B5810F1"/>
    <w:rsid w:val="7B5D060A"/>
    <w:rsid w:val="7B7DD53C"/>
    <w:rsid w:val="7B825DED"/>
    <w:rsid w:val="7B8DCDCE"/>
    <w:rsid w:val="7B91E626"/>
    <w:rsid w:val="7B9DCF9E"/>
    <w:rsid w:val="7BA15E81"/>
    <w:rsid w:val="7BB6DFE9"/>
    <w:rsid w:val="7BBA0F00"/>
    <w:rsid w:val="7BBFDB30"/>
    <w:rsid w:val="7BC5D501"/>
    <w:rsid w:val="7BC90A85"/>
    <w:rsid w:val="7BCD13FA"/>
    <w:rsid w:val="7BCF9A39"/>
    <w:rsid w:val="7BD03FF0"/>
    <w:rsid w:val="7BD8A313"/>
    <w:rsid w:val="7BDEBB4A"/>
    <w:rsid w:val="7BDF55F3"/>
    <w:rsid w:val="7BDFC9D2"/>
    <w:rsid w:val="7BE77C72"/>
    <w:rsid w:val="7BE7EA24"/>
    <w:rsid w:val="7BE96AB6"/>
    <w:rsid w:val="7BE9B0D7"/>
    <w:rsid w:val="7BF639D6"/>
    <w:rsid w:val="7BFC6A77"/>
    <w:rsid w:val="7C15E98D"/>
    <w:rsid w:val="7C1C7F00"/>
    <w:rsid w:val="7C2176B4"/>
    <w:rsid w:val="7C34D73F"/>
    <w:rsid w:val="7C430882"/>
    <w:rsid w:val="7C443317"/>
    <w:rsid w:val="7C45417C"/>
    <w:rsid w:val="7C461B11"/>
    <w:rsid w:val="7C4BE6C2"/>
    <w:rsid w:val="7C5564F2"/>
    <w:rsid w:val="7C56E791"/>
    <w:rsid w:val="7C622F53"/>
    <w:rsid w:val="7C63CA56"/>
    <w:rsid w:val="7C6C0B18"/>
    <w:rsid w:val="7C71CCDB"/>
    <w:rsid w:val="7C741207"/>
    <w:rsid w:val="7C75FFCE"/>
    <w:rsid w:val="7C812A01"/>
    <w:rsid w:val="7C84689B"/>
    <w:rsid w:val="7C8DDE2C"/>
    <w:rsid w:val="7CA70532"/>
    <w:rsid w:val="7CB321E8"/>
    <w:rsid w:val="7CBC84D0"/>
    <w:rsid w:val="7CC76718"/>
    <w:rsid w:val="7CC9E765"/>
    <w:rsid w:val="7CD45369"/>
    <w:rsid w:val="7CE178FD"/>
    <w:rsid w:val="7CEAAA7A"/>
    <w:rsid w:val="7CF0250D"/>
    <w:rsid w:val="7D0344C0"/>
    <w:rsid w:val="7D078F09"/>
    <w:rsid w:val="7D08822E"/>
    <w:rsid w:val="7D1B2FC4"/>
    <w:rsid w:val="7D1DF5AE"/>
    <w:rsid w:val="7D24275C"/>
    <w:rsid w:val="7D295BD4"/>
    <w:rsid w:val="7D3071E5"/>
    <w:rsid w:val="7D33257E"/>
    <w:rsid w:val="7D3B7F5F"/>
    <w:rsid w:val="7D50A1A7"/>
    <w:rsid w:val="7D515447"/>
    <w:rsid w:val="7D5519F1"/>
    <w:rsid w:val="7D5AA5EC"/>
    <w:rsid w:val="7D644361"/>
    <w:rsid w:val="7D699B74"/>
    <w:rsid w:val="7D701E42"/>
    <w:rsid w:val="7D71DCE2"/>
    <w:rsid w:val="7D922B1C"/>
    <w:rsid w:val="7DA51C96"/>
    <w:rsid w:val="7DBF51C4"/>
    <w:rsid w:val="7DBF6EE7"/>
    <w:rsid w:val="7DBF8953"/>
    <w:rsid w:val="7DC12A89"/>
    <w:rsid w:val="7DDE8C25"/>
    <w:rsid w:val="7DE72541"/>
    <w:rsid w:val="7DE9193E"/>
    <w:rsid w:val="7DE995A2"/>
    <w:rsid w:val="7DEE35CE"/>
    <w:rsid w:val="7DF22568"/>
    <w:rsid w:val="7E02E69B"/>
    <w:rsid w:val="7E1867B5"/>
    <w:rsid w:val="7E1C4204"/>
    <w:rsid w:val="7E2AF146"/>
    <w:rsid w:val="7E2F33E0"/>
    <w:rsid w:val="7E3F2C3E"/>
    <w:rsid w:val="7E4E2023"/>
    <w:rsid w:val="7E589969"/>
    <w:rsid w:val="7E6E620B"/>
    <w:rsid w:val="7E72EFFB"/>
    <w:rsid w:val="7E7FECFB"/>
    <w:rsid w:val="7E93A933"/>
    <w:rsid w:val="7E984763"/>
    <w:rsid w:val="7E9B6B4A"/>
    <w:rsid w:val="7E9E1B94"/>
    <w:rsid w:val="7E9EF8F4"/>
    <w:rsid w:val="7EAEE9C0"/>
    <w:rsid w:val="7EB50933"/>
    <w:rsid w:val="7EBFF664"/>
    <w:rsid w:val="7EC4391D"/>
    <w:rsid w:val="7ECAEA75"/>
    <w:rsid w:val="7ECC9E99"/>
    <w:rsid w:val="7EDBAA56"/>
    <w:rsid w:val="7EE33B69"/>
    <w:rsid w:val="7EEDC7E4"/>
    <w:rsid w:val="7F001B8B"/>
    <w:rsid w:val="7F0020EC"/>
    <w:rsid w:val="7F00A771"/>
    <w:rsid w:val="7F1052CF"/>
    <w:rsid w:val="7F12F4A8"/>
    <w:rsid w:val="7F147729"/>
    <w:rsid w:val="7F2EBAE8"/>
    <w:rsid w:val="7F36E4EF"/>
    <w:rsid w:val="7F494D84"/>
    <w:rsid w:val="7F4DED14"/>
    <w:rsid w:val="7F52F63B"/>
    <w:rsid w:val="7F58563B"/>
    <w:rsid w:val="7F5ED6E2"/>
    <w:rsid w:val="7F6B4871"/>
    <w:rsid w:val="7F763C3F"/>
    <w:rsid w:val="7F788E87"/>
    <w:rsid w:val="7F7BFD3D"/>
    <w:rsid w:val="7F7CA253"/>
    <w:rsid w:val="7F84E1DD"/>
    <w:rsid w:val="7F84F49E"/>
    <w:rsid w:val="7F883557"/>
    <w:rsid w:val="7F89100B"/>
    <w:rsid w:val="7F8DAE9C"/>
    <w:rsid w:val="7F9898B2"/>
    <w:rsid w:val="7F9FD188"/>
    <w:rsid w:val="7FB15E1E"/>
    <w:rsid w:val="7FBA7C6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DB41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E23"/>
    <w:pPr>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Heading1">
    <w:name w:val="heading 1"/>
    <w:basedOn w:val="Normal"/>
    <w:next w:val="Normal"/>
    <w:link w:val="Heading1Char"/>
    <w:uiPriority w:val="9"/>
    <w:qFormat/>
    <w:rsid w:val="00931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006"/>
    <w:rPr>
      <w:rFonts w:eastAsiaTheme="majorEastAsia" w:cstheme="majorBidi"/>
      <w:color w:val="272727" w:themeColor="text1" w:themeTint="D8"/>
    </w:rPr>
  </w:style>
  <w:style w:type="paragraph" w:styleId="Title">
    <w:name w:val="Title"/>
    <w:basedOn w:val="Normal"/>
    <w:next w:val="Normal"/>
    <w:link w:val="TitleChar"/>
    <w:uiPriority w:val="10"/>
    <w:qFormat/>
    <w:rsid w:val="009310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006"/>
    <w:pPr>
      <w:spacing w:before="160"/>
      <w:jc w:val="center"/>
    </w:pPr>
    <w:rPr>
      <w:i/>
      <w:iCs/>
      <w:color w:val="404040" w:themeColor="text1" w:themeTint="BF"/>
    </w:rPr>
  </w:style>
  <w:style w:type="character" w:customStyle="1" w:styleId="QuoteChar">
    <w:name w:val="Quote Char"/>
    <w:basedOn w:val="DefaultParagraphFont"/>
    <w:link w:val="Quote"/>
    <w:uiPriority w:val="29"/>
    <w:rsid w:val="00931006"/>
    <w:rPr>
      <w:i/>
      <w:iCs/>
      <w:color w:val="404040" w:themeColor="text1" w:themeTint="BF"/>
    </w:rPr>
  </w:style>
  <w:style w:type="paragraph" w:styleId="ListParagraph">
    <w:name w:val="List Paragraph"/>
    <w:aliases w:val="List Paragraph12,L,Ha,Scriptoria bullet points,List Paragraph 1,3,Dot pt,F5 List Paragraph,List Paragraph1,No Spacing1,List Paragraph Char Char Char,Indicator Text,Colorful List - Accent 11,Numbered Para 1,Bullet 1,Bullet Points,2,H,列出段落"/>
    <w:basedOn w:val="Normal"/>
    <w:link w:val="ListParagraphChar"/>
    <w:uiPriority w:val="34"/>
    <w:qFormat/>
    <w:rsid w:val="00931006"/>
    <w:pPr>
      <w:ind w:left="720"/>
      <w:contextualSpacing/>
    </w:pPr>
  </w:style>
  <w:style w:type="character" w:styleId="IntenseEmphasis">
    <w:name w:val="Intense Emphasis"/>
    <w:basedOn w:val="DefaultParagraphFont"/>
    <w:uiPriority w:val="21"/>
    <w:qFormat/>
    <w:rsid w:val="00931006"/>
    <w:rPr>
      <w:i/>
      <w:iCs/>
      <w:color w:val="0F4761" w:themeColor="accent1" w:themeShade="BF"/>
    </w:rPr>
  </w:style>
  <w:style w:type="paragraph" w:styleId="IntenseQuote">
    <w:name w:val="Intense Quote"/>
    <w:basedOn w:val="Normal"/>
    <w:next w:val="Normal"/>
    <w:link w:val="IntenseQuoteChar"/>
    <w:uiPriority w:val="30"/>
    <w:qFormat/>
    <w:rsid w:val="00931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006"/>
    <w:rPr>
      <w:i/>
      <w:iCs/>
      <w:color w:val="0F4761" w:themeColor="accent1" w:themeShade="BF"/>
    </w:rPr>
  </w:style>
  <w:style w:type="character" w:styleId="IntenseReference">
    <w:name w:val="Intense Reference"/>
    <w:basedOn w:val="DefaultParagraphFont"/>
    <w:uiPriority w:val="32"/>
    <w:qFormat/>
    <w:rsid w:val="00931006"/>
    <w:rPr>
      <w:b/>
      <w:bCs/>
      <w:smallCaps/>
      <w:color w:val="0F4761" w:themeColor="accent1" w:themeShade="BF"/>
      <w:spacing w:val="5"/>
    </w:rPr>
  </w:style>
  <w:style w:type="character" w:customStyle="1" w:styleId="ListParagraphChar">
    <w:name w:val="List Paragraph Char"/>
    <w:aliases w:val="List Paragraph12 Char,L Char,Ha Char,Scriptoria bullet points Char,List Paragraph 1 Char,3 Char,Dot pt Char,F5 List Paragraph Char,List Paragraph1 Char,No Spacing1 Char,List Paragraph Char Char Char Char,Indicator Text Char,2 Char"/>
    <w:basedOn w:val="DefaultParagraphFont"/>
    <w:link w:val="ListParagraph"/>
    <w:uiPriority w:val="34"/>
    <w:qFormat/>
    <w:locked/>
    <w:rsid w:val="009D6E23"/>
  </w:style>
  <w:style w:type="character" w:styleId="Hyperlink">
    <w:name w:val="Hyperlink"/>
    <w:basedOn w:val="DefaultParagraphFont"/>
    <w:uiPriority w:val="99"/>
    <w:unhideWhenUsed/>
    <w:rsid w:val="495627AA"/>
    <w:rPr>
      <w:color w:val="467886"/>
      <w:u w:val="single"/>
    </w:rPr>
  </w:style>
  <w:style w:type="paragraph" w:styleId="Revision">
    <w:name w:val="Revision"/>
    <w:hidden/>
    <w:uiPriority w:val="99"/>
    <w:semiHidden/>
    <w:rsid w:val="001E213B"/>
    <w:pPr>
      <w:spacing w:after="0" w:line="240" w:lineRule="auto"/>
    </w:pPr>
    <w:rPr>
      <w:rFonts w:ascii="Times New Roman" w:eastAsia="Times New Roman" w:hAnsi="Times New Roman" w:cs="Times New Roman"/>
      <w:kern w:val="0"/>
      <w:sz w:val="24"/>
      <w:szCs w:val="20"/>
      <w:lang w:eastAsia="en-IE"/>
      <w14:ligatures w14:val="no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ED213F"/>
    <w:pPr>
      <w:spacing w:after="0"/>
    </w:pPr>
    <w:rPr>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D213F"/>
    <w:rPr>
      <w:rFonts w:ascii="Times New Roman" w:eastAsia="Times New Roman" w:hAnsi="Times New Roman" w:cs="Times New Roman"/>
      <w:kern w:val="0"/>
      <w:sz w:val="20"/>
      <w:szCs w:val="20"/>
      <w:lang w:val="fr-FR" w:eastAsia="en-IE"/>
      <w14:ligatures w14:val="none"/>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styli,R,F"/>
    <w:basedOn w:val="DefaultParagraphFont"/>
    <w:link w:val="FootnoteReferenceLVL6"/>
    <w:uiPriority w:val="99"/>
    <w:unhideWhenUsed/>
    <w:qFormat/>
    <w:rsid w:val="00ED213F"/>
    <w:rPr>
      <w:vertAlign w:val="superscript"/>
    </w:rPr>
  </w:style>
  <w:style w:type="paragraph" w:customStyle="1" w:styleId="Default">
    <w:name w:val="Default"/>
    <w:rsid w:val="00ED213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1C6977"/>
    <w:pPr>
      <w:tabs>
        <w:tab w:val="center" w:pos="4513"/>
        <w:tab w:val="right" w:pos="9026"/>
      </w:tabs>
      <w:spacing w:after="0"/>
    </w:pPr>
  </w:style>
  <w:style w:type="character" w:customStyle="1" w:styleId="HeaderChar">
    <w:name w:val="Header Char"/>
    <w:basedOn w:val="DefaultParagraphFont"/>
    <w:link w:val="Header"/>
    <w:uiPriority w:val="99"/>
    <w:rsid w:val="001C6977"/>
    <w:rPr>
      <w:rFonts w:ascii="Times New Roman" w:eastAsia="Times New Roman" w:hAnsi="Times New Roman" w:cs="Times New Roman"/>
      <w:kern w:val="0"/>
      <w:sz w:val="24"/>
      <w:szCs w:val="20"/>
      <w:lang w:val="fr-FR" w:eastAsia="en-IE"/>
      <w14:ligatures w14:val="none"/>
    </w:rPr>
  </w:style>
  <w:style w:type="paragraph" w:styleId="Footer">
    <w:name w:val="footer"/>
    <w:basedOn w:val="Normal"/>
    <w:link w:val="FooterChar"/>
    <w:uiPriority w:val="99"/>
    <w:unhideWhenUsed/>
    <w:rsid w:val="001C6977"/>
    <w:pPr>
      <w:tabs>
        <w:tab w:val="center" w:pos="4513"/>
        <w:tab w:val="right" w:pos="9026"/>
      </w:tabs>
      <w:spacing w:after="0"/>
    </w:pPr>
  </w:style>
  <w:style w:type="character" w:customStyle="1" w:styleId="FooterChar">
    <w:name w:val="Footer Char"/>
    <w:basedOn w:val="DefaultParagraphFont"/>
    <w:link w:val="Footer"/>
    <w:uiPriority w:val="99"/>
    <w:rsid w:val="001C6977"/>
    <w:rPr>
      <w:rFonts w:ascii="Times New Roman" w:eastAsia="Times New Roman" w:hAnsi="Times New Roman" w:cs="Times New Roman"/>
      <w:kern w:val="0"/>
      <w:sz w:val="24"/>
      <w:szCs w:val="20"/>
      <w:lang w:val="fr-FR" w:eastAsia="en-IE"/>
      <w14:ligatures w14:val="none"/>
    </w:rPr>
  </w:style>
  <w:style w:type="character" w:styleId="CommentReference">
    <w:name w:val="annotation reference"/>
    <w:basedOn w:val="DefaultParagraphFont"/>
    <w:uiPriority w:val="99"/>
    <w:unhideWhenUsed/>
    <w:qFormat/>
    <w:rsid w:val="0044511A"/>
    <w:rPr>
      <w:sz w:val="16"/>
      <w:szCs w:val="16"/>
    </w:rPr>
  </w:style>
  <w:style w:type="paragraph" w:styleId="CommentText">
    <w:name w:val="annotation text"/>
    <w:basedOn w:val="Normal"/>
    <w:link w:val="CommentTextChar"/>
    <w:uiPriority w:val="99"/>
    <w:unhideWhenUsed/>
    <w:qFormat/>
    <w:rsid w:val="0044511A"/>
    <w:rPr>
      <w:sz w:val="20"/>
    </w:rPr>
  </w:style>
  <w:style w:type="character" w:customStyle="1" w:styleId="CommentTextChar">
    <w:name w:val="Comment Text Char"/>
    <w:basedOn w:val="DefaultParagraphFont"/>
    <w:link w:val="CommentText"/>
    <w:uiPriority w:val="99"/>
    <w:qFormat/>
    <w:rsid w:val="0044511A"/>
    <w:rPr>
      <w:rFonts w:ascii="Times New Roman" w:eastAsia="Times New Roman" w:hAnsi="Times New Roman" w:cs="Times New Roman"/>
      <w:kern w:val="0"/>
      <w:sz w:val="20"/>
      <w:szCs w:val="20"/>
      <w:lang w:val="fr-FR" w:eastAsia="en-IE"/>
      <w14:ligatures w14:val="none"/>
    </w:rPr>
  </w:style>
  <w:style w:type="paragraph" w:styleId="CommentSubject">
    <w:name w:val="annotation subject"/>
    <w:basedOn w:val="CommentText"/>
    <w:next w:val="CommentText"/>
    <w:link w:val="CommentSubjectChar"/>
    <w:uiPriority w:val="99"/>
    <w:semiHidden/>
    <w:unhideWhenUsed/>
    <w:rsid w:val="0044511A"/>
    <w:rPr>
      <w:b/>
      <w:bCs/>
    </w:rPr>
  </w:style>
  <w:style w:type="character" w:customStyle="1" w:styleId="CommentSubjectChar">
    <w:name w:val="Comment Subject Char"/>
    <w:basedOn w:val="CommentTextChar"/>
    <w:link w:val="CommentSubject"/>
    <w:uiPriority w:val="99"/>
    <w:semiHidden/>
    <w:rsid w:val="0044511A"/>
    <w:rPr>
      <w:rFonts w:ascii="Times New Roman" w:eastAsia="Times New Roman" w:hAnsi="Times New Roman" w:cs="Times New Roman"/>
      <w:b/>
      <w:bCs/>
      <w:kern w:val="0"/>
      <w:sz w:val="20"/>
      <w:szCs w:val="20"/>
      <w:lang w:val="fr-FR" w:eastAsia="en-IE"/>
      <w14:ligatures w14:val="none"/>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2B0002"/>
    <w:pPr>
      <w:spacing w:after="160" w:line="240" w:lineRule="exact"/>
    </w:pPr>
    <w:rPr>
      <w:rFonts w:asciiTheme="minorHAnsi" w:eastAsiaTheme="minorHAnsi" w:hAnsiTheme="minorHAnsi" w:cstheme="minorBidi"/>
      <w:kern w:val="2"/>
      <w:sz w:val="22"/>
      <w:szCs w:val="22"/>
      <w:vertAlign w:val="superscript"/>
      <w:lang w:eastAsia="en-US"/>
      <w14:ligatures w14:val="standardContextual"/>
    </w:rPr>
  </w:style>
  <w:style w:type="character" w:customStyle="1" w:styleId="UnresolvedMention1">
    <w:name w:val="Unresolved Mention1"/>
    <w:basedOn w:val="DefaultParagraphFont"/>
    <w:uiPriority w:val="99"/>
    <w:semiHidden/>
    <w:unhideWhenUsed/>
    <w:rsid w:val="0045304B"/>
    <w:rPr>
      <w:color w:val="605E5C"/>
      <w:shd w:val="clear" w:color="auto" w:fill="E1DFDD"/>
    </w:rPr>
  </w:style>
  <w:style w:type="character" w:customStyle="1" w:styleId="Mention1">
    <w:name w:val="Mention1"/>
    <w:basedOn w:val="DefaultParagraphFont"/>
    <w:uiPriority w:val="99"/>
    <w:unhideWhenUsed/>
    <w:rsid w:val="00AD3181"/>
    <w:rPr>
      <w:color w:val="2B579A"/>
      <w:shd w:val="clear" w:color="auto" w:fill="E1DFDD"/>
    </w:rPr>
  </w:style>
  <w:style w:type="paragraph" w:customStyle="1" w:styleId="paragraph">
    <w:name w:val="paragraph"/>
    <w:basedOn w:val="Normal"/>
    <w:rsid w:val="00575E76"/>
    <w:pPr>
      <w:spacing w:before="100" w:beforeAutospacing="1" w:after="100" w:afterAutospacing="1"/>
      <w:jc w:val="left"/>
    </w:pPr>
    <w:rPr>
      <w:szCs w:val="24"/>
    </w:rPr>
  </w:style>
  <w:style w:type="character" w:customStyle="1" w:styleId="normaltextrun">
    <w:name w:val="normaltextrun"/>
    <w:basedOn w:val="DefaultParagraphFont"/>
    <w:rsid w:val="00575E76"/>
  </w:style>
  <w:style w:type="character" w:customStyle="1" w:styleId="eop">
    <w:name w:val="eop"/>
    <w:basedOn w:val="DefaultParagraphFont"/>
    <w:rsid w:val="00575E76"/>
  </w:style>
  <w:style w:type="paragraph" w:styleId="NormalWeb">
    <w:name w:val="Normal (Web)"/>
    <w:basedOn w:val="Normal"/>
    <w:uiPriority w:val="99"/>
    <w:semiHidden/>
    <w:unhideWhenUsed/>
    <w:rsid w:val="00A50E63"/>
    <w:rPr>
      <w:szCs w:val="24"/>
    </w:rPr>
  </w:style>
  <w:style w:type="character" w:styleId="Strong">
    <w:name w:val="Strong"/>
    <w:basedOn w:val="DefaultParagraphFont"/>
    <w:uiPriority w:val="22"/>
    <w:qFormat/>
    <w:rsid w:val="00403778"/>
    <w:rPr>
      <w:b/>
      <w:bCs/>
    </w:rPr>
  </w:style>
  <w:style w:type="character" w:styleId="FollowedHyperlink">
    <w:name w:val="FollowedHyperlink"/>
    <w:basedOn w:val="DefaultParagraphFont"/>
    <w:uiPriority w:val="99"/>
    <w:semiHidden/>
    <w:unhideWhenUsed/>
    <w:rsid w:val="002B4F22"/>
    <w:rPr>
      <w:color w:val="96607D" w:themeColor="followedHyperlink"/>
      <w:u w:val="single"/>
    </w:rPr>
  </w:style>
  <w:style w:type="character" w:customStyle="1" w:styleId="Marker">
    <w:name w:val="Marker"/>
    <w:basedOn w:val="DefaultParagraphFont"/>
    <w:rsid w:val="00797394"/>
    <w:rPr>
      <w:color w:val="0000FF"/>
      <w:shd w:val="clear" w:color="auto" w:fill="auto"/>
    </w:rPr>
  </w:style>
  <w:style w:type="paragraph" w:customStyle="1" w:styleId="Pagedecouverture">
    <w:name w:val="Page de couverture"/>
    <w:basedOn w:val="Normal"/>
    <w:next w:val="Normal"/>
    <w:link w:val="PagedecouvertureChar"/>
    <w:rsid w:val="00797394"/>
    <w:pPr>
      <w:spacing w:after="0"/>
    </w:pPr>
    <w:rPr>
      <w:rFonts w:eastAsiaTheme="minorHAnsi"/>
      <w:szCs w:val="22"/>
      <w:lang w:eastAsia="en-US"/>
    </w:rPr>
  </w:style>
  <w:style w:type="paragraph" w:customStyle="1" w:styleId="FooterCoverPage">
    <w:name w:val="Footer Cover Page"/>
    <w:basedOn w:val="Normal"/>
    <w:link w:val="FooterCoverPageChar"/>
    <w:rsid w:val="00797394"/>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797394"/>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797394"/>
    <w:rPr>
      <w:rFonts w:ascii="Times New Roman" w:eastAsia="Times New Roman" w:hAnsi="Times New Roman" w:cs="Times New Roman"/>
      <w:kern w:val="0"/>
      <w:sz w:val="24"/>
      <w:szCs w:val="20"/>
      <w:lang w:val="fr-FR" w:eastAsia="en-IE"/>
      <w14:ligatures w14:val="none"/>
    </w:rPr>
  </w:style>
  <w:style w:type="paragraph" w:customStyle="1" w:styleId="FooterSensitivity">
    <w:name w:val="Footer Sensitivity"/>
    <w:basedOn w:val="Normal"/>
    <w:link w:val="FooterSensitivityChar"/>
    <w:rsid w:val="007973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797394"/>
    <w:rPr>
      <w:rFonts w:ascii="Times New Roman" w:eastAsia="Times New Roman" w:hAnsi="Times New Roman" w:cs="Times New Roman"/>
      <w:b/>
      <w:kern w:val="0"/>
      <w:sz w:val="32"/>
      <w:szCs w:val="20"/>
      <w:lang w:val="fr-FR" w:eastAsia="en-IE"/>
      <w14:ligatures w14:val="none"/>
    </w:rPr>
  </w:style>
  <w:style w:type="paragraph" w:customStyle="1" w:styleId="HeaderCoverPage">
    <w:name w:val="Header Cover Page"/>
    <w:basedOn w:val="Normal"/>
    <w:link w:val="HeaderCoverPageChar"/>
    <w:rsid w:val="00797394"/>
    <w:pPr>
      <w:tabs>
        <w:tab w:val="center" w:pos="4535"/>
        <w:tab w:val="right" w:pos="9071"/>
      </w:tabs>
      <w:spacing w:after="120"/>
    </w:pPr>
  </w:style>
  <w:style w:type="character" w:customStyle="1" w:styleId="HeaderCoverPageChar">
    <w:name w:val="Header Cover Page Char"/>
    <w:basedOn w:val="PagedecouvertureChar"/>
    <w:link w:val="HeaderCoverPage"/>
    <w:rsid w:val="00797394"/>
    <w:rPr>
      <w:rFonts w:ascii="Times New Roman" w:eastAsia="Times New Roman" w:hAnsi="Times New Roman" w:cs="Times New Roman"/>
      <w:kern w:val="0"/>
      <w:sz w:val="24"/>
      <w:szCs w:val="20"/>
      <w:lang w:val="fr-FR" w:eastAsia="en-IE"/>
      <w14:ligatures w14:val="none"/>
    </w:rPr>
  </w:style>
  <w:style w:type="paragraph" w:customStyle="1" w:styleId="HeaderSensitivity">
    <w:name w:val="Header Sensitivity"/>
    <w:basedOn w:val="Normal"/>
    <w:link w:val="HeaderSensitivityChar"/>
    <w:rsid w:val="0079739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97394"/>
    <w:rPr>
      <w:rFonts w:ascii="Times New Roman" w:eastAsia="Times New Roman" w:hAnsi="Times New Roman" w:cs="Times New Roman"/>
      <w:b/>
      <w:kern w:val="0"/>
      <w:sz w:val="32"/>
      <w:szCs w:val="20"/>
      <w:lang w:val="fr-FR" w:eastAsia="en-IE"/>
      <w14:ligatures w14:val="none"/>
    </w:rPr>
  </w:style>
  <w:style w:type="paragraph" w:customStyle="1" w:styleId="HeaderSensitivityRight">
    <w:name w:val="Header Sensitivity Right"/>
    <w:basedOn w:val="Normal"/>
    <w:link w:val="HeaderSensitivityRightChar"/>
    <w:rsid w:val="00F44E05"/>
    <w:pPr>
      <w:spacing w:after="120"/>
      <w:jc w:val="right"/>
    </w:pPr>
    <w:rPr>
      <w:sz w:val="28"/>
    </w:rPr>
  </w:style>
  <w:style w:type="character" w:customStyle="1" w:styleId="HeaderSensitivityRightChar">
    <w:name w:val="Header Sensitivity Right Char"/>
    <w:basedOn w:val="PagedecouvertureChar"/>
    <w:link w:val="HeaderSensitivityRight"/>
    <w:rsid w:val="00797394"/>
    <w:rPr>
      <w:rFonts w:ascii="Times New Roman" w:eastAsia="Times New Roman" w:hAnsi="Times New Roman" w:cs="Times New Roman"/>
      <w:kern w:val="0"/>
      <w:sz w:val="28"/>
      <w:szCs w:val="20"/>
      <w:lang w:val="fr-FR" w:eastAsia="en-IE"/>
      <w14:ligatures w14:val="none"/>
    </w:rPr>
  </w:style>
  <w:style w:type="paragraph" w:customStyle="1" w:styleId="Disclaimer">
    <w:name w:val="Disclaimer"/>
    <w:basedOn w:val="Normal"/>
    <w:rsid w:val="002B421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F44E05"/>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F44E05"/>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F44E05"/>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0006">
      <w:bodyDiv w:val="1"/>
      <w:marLeft w:val="0"/>
      <w:marRight w:val="0"/>
      <w:marTop w:val="0"/>
      <w:marBottom w:val="0"/>
      <w:divBdr>
        <w:top w:val="none" w:sz="0" w:space="0" w:color="auto"/>
        <w:left w:val="none" w:sz="0" w:space="0" w:color="auto"/>
        <w:bottom w:val="none" w:sz="0" w:space="0" w:color="auto"/>
        <w:right w:val="none" w:sz="0" w:space="0" w:color="auto"/>
      </w:divBdr>
    </w:div>
    <w:div w:id="80421321">
      <w:bodyDiv w:val="1"/>
      <w:marLeft w:val="0"/>
      <w:marRight w:val="0"/>
      <w:marTop w:val="0"/>
      <w:marBottom w:val="0"/>
      <w:divBdr>
        <w:top w:val="none" w:sz="0" w:space="0" w:color="auto"/>
        <w:left w:val="none" w:sz="0" w:space="0" w:color="auto"/>
        <w:bottom w:val="none" w:sz="0" w:space="0" w:color="auto"/>
        <w:right w:val="none" w:sz="0" w:space="0" w:color="auto"/>
      </w:divBdr>
    </w:div>
    <w:div w:id="143670092">
      <w:bodyDiv w:val="1"/>
      <w:marLeft w:val="0"/>
      <w:marRight w:val="0"/>
      <w:marTop w:val="0"/>
      <w:marBottom w:val="0"/>
      <w:divBdr>
        <w:top w:val="none" w:sz="0" w:space="0" w:color="auto"/>
        <w:left w:val="none" w:sz="0" w:space="0" w:color="auto"/>
        <w:bottom w:val="none" w:sz="0" w:space="0" w:color="auto"/>
        <w:right w:val="none" w:sz="0" w:space="0" w:color="auto"/>
      </w:divBdr>
    </w:div>
    <w:div w:id="178351705">
      <w:bodyDiv w:val="1"/>
      <w:marLeft w:val="0"/>
      <w:marRight w:val="0"/>
      <w:marTop w:val="0"/>
      <w:marBottom w:val="0"/>
      <w:divBdr>
        <w:top w:val="none" w:sz="0" w:space="0" w:color="auto"/>
        <w:left w:val="none" w:sz="0" w:space="0" w:color="auto"/>
        <w:bottom w:val="none" w:sz="0" w:space="0" w:color="auto"/>
        <w:right w:val="none" w:sz="0" w:space="0" w:color="auto"/>
      </w:divBdr>
    </w:div>
    <w:div w:id="260337600">
      <w:bodyDiv w:val="1"/>
      <w:marLeft w:val="0"/>
      <w:marRight w:val="0"/>
      <w:marTop w:val="0"/>
      <w:marBottom w:val="0"/>
      <w:divBdr>
        <w:top w:val="none" w:sz="0" w:space="0" w:color="auto"/>
        <w:left w:val="none" w:sz="0" w:space="0" w:color="auto"/>
        <w:bottom w:val="none" w:sz="0" w:space="0" w:color="auto"/>
        <w:right w:val="none" w:sz="0" w:space="0" w:color="auto"/>
      </w:divBdr>
    </w:div>
    <w:div w:id="284122103">
      <w:bodyDiv w:val="1"/>
      <w:marLeft w:val="0"/>
      <w:marRight w:val="0"/>
      <w:marTop w:val="0"/>
      <w:marBottom w:val="0"/>
      <w:divBdr>
        <w:top w:val="none" w:sz="0" w:space="0" w:color="auto"/>
        <w:left w:val="none" w:sz="0" w:space="0" w:color="auto"/>
        <w:bottom w:val="none" w:sz="0" w:space="0" w:color="auto"/>
        <w:right w:val="none" w:sz="0" w:space="0" w:color="auto"/>
      </w:divBdr>
    </w:div>
    <w:div w:id="297684955">
      <w:bodyDiv w:val="1"/>
      <w:marLeft w:val="0"/>
      <w:marRight w:val="0"/>
      <w:marTop w:val="0"/>
      <w:marBottom w:val="0"/>
      <w:divBdr>
        <w:top w:val="none" w:sz="0" w:space="0" w:color="auto"/>
        <w:left w:val="none" w:sz="0" w:space="0" w:color="auto"/>
        <w:bottom w:val="none" w:sz="0" w:space="0" w:color="auto"/>
        <w:right w:val="none" w:sz="0" w:space="0" w:color="auto"/>
      </w:divBdr>
    </w:div>
    <w:div w:id="313608071">
      <w:bodyDiv w:val="1"/>
      <w:marLeft w:val="0"/>
      <w:marRight w:val="0"/>
      <w:marTop w:val="0"/>
      <w:marBottom w:val="0"/>
      <w:divBdr>
        <w:top w:val="none" w:sz="0" w:space="0" w:color="auto"/>
        <w:left w:val="none" w:sz="0" w:space="0" w:color="auto"/>
        <w:bottom w:val="none" w:sz="0" w:space="0" w:color="auto"/>
        <w:right w:val="none" w:sz="0" w:space="0" w:color="auto"/>
      </w:divBdr>
    </w:div>
    <w:div w:id="329066240">
      <w:bodyDiv w:val="1"/>
      <w:marLeft w:val="0"/>
      <w:marRight w:val="0"/>
      <w:marTop w:val="0"/>
      <w:marBottom w:val="0"/>
      <w:divBdr>
        <w:top w:val="none" w:sz="0" w:space="0" w:color="auto"/>
        <w:left w:val="none" w:sz="0" w:space="0" w:color="auto"/>
        <w:bottom w:val="none" w:sz="0" w:space="0" w:color="auto"/>
        <w:right w:val="none" w:sz="0" w:space="0" w:color="auto"/>
      </w:divBdr>
    </w:div>
    <w:div w:id="333264986">
      <w:bodyDiv w:val="1"/>
      <w:marLeft w:val="0"/>
      <w:marRight w:val="0"/>
      <w:marTop w:val="0"/>
      <w:marBottom w:val="0"/>
      <w:divBdr>
        <w:top w:val="none" w:sz="0" w:space="0" w:color="auto"/>
        <w:left w:val="none" w:sz="0" w:space="0" w:color="auto"/>
        <w:bottom w:val="none" w:sz="0" w:space="0" w:color="auto"/>
        <w:right w:val="none" w:sz="0" w:space="0" w:color="auto"/>
      </w:divBdr>
      <w:divsChild>
        <w:div w:id="26220246">
          <w:marLeft w:val="0"/>
          <w:marRight w:val="0"/>
          <w:marTop w:val="0"/>
          <w:marBottom w:val="0"/>
          <w:divBdr>
            <w:top w:val="none" w:sz="0" w:space="0" w:color="auto"/>
            <w:left w:val="none" w:sz="0" w:space="0" w:color="auto"/>
            <w:bottom w:val="none" w:sz="0" w:space="0" w:color="auto"/>
            <w:right w:val="none" w:sz="0" w:space="0" w:color="auto"/>
          </w:divBdr>
        </w:div>
        <w:div w:id="846753019">
          <w:marLeft w:val="0"/>
          <w:marRight w:val="0"/>
          <w:marTop w:val="0"/>
          <w:marBottom w:val="0"/>
          <w:divBdr>
            <w:top w:val="none" w:sz="0" w:space="0" w:color="auto"/>
            <w:left w:val="none" w:sz="0" w:space="0" w:color="auto"/>
            <w:bottom w:val="none" w:sz="0" w:space="0" w:color="auto"/>
            <w:right w:val="none" w:sz="0" w:space="0" w:color="auto"/>
          </w:divBdr>
        </w:div>
        <w:div w:id="928006283">
          <w:marLeft w:val="0"/>
          <w:marRight w:val="0"/>
          <w:marTop w:val="0"/>
          <w:marBottom w:val="0"/>
          <w:divBdr>
            <w:top w:val="none" w:sz="0" w:space="0" w:color="auto"/>
            <w:left w:val="none" w:sz="0" w:space="0" w:color="auto"/>
            <w:bottom w:val="none" w:sz="0" w:space="0" w:color="auto"/>
            <w:right w:val="none" w:sz="0" w:space="0" w:color="auto"/>
          </w:divBdr>
        </w:div>
        <w:div w:id="1384056946">
          <w:marLeft w:val="0"/>
          <w:marRight w:val="0"/>
          <w:marTop w:val="0"/>
          <w:marBottom w:val="0"/>
          <w:divBdr>
            <w:top w:val="none" w:sz="0" w:space="0" w:color="auto"/>
            <w:left w:val="none" w:sz="0" w:space="0" w:color="auto"/>
            <w:bottom w:val="none" w:sz="0" w:space="0" w:color="auto"/>
            <w:right w:val="none" w:sz="0" w:space="0" w:color="auto"/>
          </w:divBdr>
        </w:div>
        <w:div w:id="2077891221">
          <w:marLeft w:val="0"/>
          <w:marRight w:val="0"/>
          <w:marTop w:val="0"/>
          <w:marBottom w:val="0"/>
          <w:divBdr>
            <w:top w:val="none" w:sz="0" w:space="0" w:color="auto"/>
            <w:left w:val="none" w:sz="0" w:space="0" w:color="auto"/>
            <w:bottom w:val="none" w:sz="0" w:space="0" w:color="auto"/>
            <w:right w:val="none" w:sz="0" w:space="0" w:color="auto"/>
          </w:divBdr>
        </w:div>
      </w:divsChild>
    </w:div>
    <w:div w:id="343940440">
      <w:bodyDiv w:val="1"/>
      <w:marLeft w:val="0"/>
      <w:marRight w:val="0"/>
      <w:marTop w:val="0"/>
      <w:marBottom w:val="0"/>
      <w:divBdr>
        <w:top w:val="none" w:sz="0" w:space="0" w:color="auto"/>
        <w:left w:val="none" w:sz="0" w:space="0" w:color="auto"/>
        <w:bottom w:val="none" w:sz="0" w:space="0" w:color="auto"/>
        <w:right w:val="none" w:sz="0" w:space="0" w:color="auto"/>
      </w:divBdr>
    </w:div>
    <w:div w:id="356928892">
      <w:bodyDiv w:val="1"/>
      <w:marLeft w:val="0"/>
      <w:marRight w:val="0"/>
      <w:marTop w:val="0"/>
      <w:marBottom w:val="0"/>
      <w:divBdr>
        <w:top w:val="none" w:sz="0" w:space="0" w:color="auto"/>
        <w:left w:val="none" w:sz="0" w:space="0" w:color="auto"/>
        <w:bottom w:val="none" w:sz="0" w:space="0" w:color="auto"/>
        <w:right w:val="none" w:sz="0" w:space="0" w:color="auto"/>
      </w:divBdr>
    </w:div>
    <w:div w:id="357313844">
      <w:bodyDiv w:val="1"/>
      <w:marLeft w:val="0"/>
      <w:marRight w:val="0"/>
      <w:marTop w:val="0"/>
      <w:marBottom w:val="0"/>
      <w:divBdr>
        <w:top w:val="none" w:sz="0" w:space="0" w:color="auto"/>
        <w:left w:val="none" w:sz="0" w:space="0" w:color="auto"/>
        <w:bottom w:val="none" w:sz="0" w:space="0" w:color="auto"/>
        <w:right w:val="none" w:sz="0" w:space="0" w:color="auto"/>
      </w:divBdr>
    </w:div>
    <w:div w:id="365563892">
      <w:bodyDiv w:val="1"/>
      <w:marLeft w:val="0"/>
      <w:marRight w:val="0"/>
      <w:marTop w:val="0"/>
      <w:marBottom w:val="0"/>
      <w:divBdr>
        <w:top w:val="none" w:sz="0" w:space="0" w:color="auto"/>
        <w:left w:val="none" w:sz="0" w:space="0" w:color="auto"/>
        <w:bottom w:val="none" w:sz="0" w:space="0" w:color="auto"/>
        <w:right w:val="none" w:sz="0" w:space="0" w:color="auto"/>
      </w:divBdr>
    </w:div>
    <w:div w:id="405500025">
      <w:bodyDiv w:val="1"/>
      <w:marLeft w:val="0"/>
      <w:marRight w:val="0"/>
      <w:marTop w:val="0"/>
      <w:marBottom w:val="0"/>
      <w:divBdr>
        <w:top w:val="none" w:sz="0" w:space="0" w:color="auto"/>
        <w:left w:val="none" w:sz="0" w:space="0" w:color="auto"/>
        <w:bottom w:val="none" w:sz="0" w:space="0" w:color="auto"/>
        <w:right w:val="none" w:sz="0" w:space="0" w:color="auto"/>
      </w:divBdr>
    </w:div>
    <w:div w:id="449320167">
      <w:bodyDiv w:val="1"/>
      <w:marLeft w:val="0"/>
      <w:marRight w:val="0"/>
      <w:marTop w:val="0"/>
      <w:marBottom w:val="0"/>
      <w:divBdr>
        <w:top w:val="none" w:sz="0" w:space="0" w:color="auto"/>
        <w:left w:val="none" w:sz="0" w:space="0" w:color="auto"/>
        <w:bottom w:val="none" w:sz="0" w:space="0" w:color="auto"/>
        <w:right w:val="none" w:sz="0" w:space="0" w:color="auto"/>
      </w:divBdr>
    </w:div>
    <w:div w:id="463934654">
      <w:bodyDiv w:val="1"/>
      <w:marLeft w:val="0"/>
      <w:marRight w:val="0"/>
      <w:marTop w:val="0"/>
      <w:marBottom w:val="0"/>
      <w:divBdr>
        <w:top w:val="none" w:sz="0" w:space="0" w:color="auto"/>
        <w:left w:val="none" w:sz="0" w:space="0" w:color="auto"/>
        <w:bottom w:val="none" w:sz="0" w:space="0" w:color="auto"/>
        <w:right w:val="none" w:sz="0" w:space="0" w:color="auto"/>
      </w:divBdr>
      <w:divsChild>
        <w:div w:id="291908897">
          <w:marLeft w:val="0"/>
          <w:marRight w:val="0"/>
          <w:marTop w:val="0"/>
          <w:marBottom w:val="0"/>
          <w:divBdr>
            <w:top w:val="none" w:sz="0" w:space="0" w:color="auto"/>
            <w:left w:val="none" w:sz="0" w:space="0" w:color="auto"/>
            <w:bottom w:val="none" w:sz="0" w:space="0" w:color="auto"/>
            <w:right w:val="none" w:sz="0" w:space="0" w:color="auto"/>
          </w:divBdr>
          <w:divsChild>
            <w:div w:id="6528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4488">
      <w:bodyDiv w:val="1"/>
      <w:marLeft w:val="0"/>
      <w:marRight w:val="0"/>
      <w:marTop w:val="0"/>
      <w:marBottom w:val="0"/>
      <w:divBdr>
        <w:top w:val="none" w:sz="0" w:space="0" w:color="auto"/>
        <w:left w:val="none" w:sz="0" w:space="0" w:color="auto"/>
        <w:bottom w:val="none" w:sz="0" w:space="0" w:color="auto"/>
        <w:right w:val="none" w:sz="0" w:space="0" w:color="auto"/>
      </w:divBdr>
    </w:div>
    <w:div w:id="515197866">
      <w:bodyDiv w:val="1"/>
      <w:marLeft w:val="0"/>
      <w:marRight w:val="0"/>
      <w:marTop w:val="0"/>
      <w:marBottom w:val="0"/>
      <w:divBdr>
        <w:top w:val="none" w:sz="0" w:space="0" w:color="auto"/>
        <w:left w:val="none" w:sz="0" w:space="0" w:color="auto"/>
        <w:bottom w:val="none" w:sz="0" w:space="0" w:color="auto"/>
        <w:right w:val="none" w:sz="0" w:space="0" w:color="auto"/>
      </w:divBdr>
    </w:div>
    <w:div w:id="533270934">
      <w:bodyDiv w:val="1"/>
      <w:marLeft w:val="0"/>
      <w:marRight w:val="0"/>
      <w:marTop w:val="0"/>
      <w:marBottom w:val="0"/>
      <w:divBdr>
        <w:top w:val="none" w:sz="0" w:space="0" w:color="auto"/>
        <w:left w:val="none" w:sz="0" w:space="0" w:color="auto"/>
        <w:bottom w:val="none" w:sz="0" w:space="0" w:color="auto"/>
        <w:right w:val="none" w:sz="0" w:space="0" w:color="auto"/>
      </w:divBdr>
    </w:div>
    <w:div w:id="554895289">
      <w:bodyDiv w:val="1"/>
      <w:marLeft w:val="0"/>
      <w:marRight w:val="0"/>
      <w:marTop w:val="0"/>
      <w:marBottom w:val="0"/>
      <w:divBdr>
        <w:top w:val="none" w:sz="0" w:space="0" w:color="auto"/>
        <w:left w:val="none" w:sz="0" w:space="0" w:color="auto"/>
        <w:bottom w:val="none" w:sz="0" w:space="0" w:color="auto"/>
        <w:right w:val="none" w:sz="0" w:space="0" w:color="auto"/>
      </w:divBdr>
    </w:div>
    <w:div w:id="560481676">
      <w:bodyDiv w:val="1"/>
      <w:marLeft w:val="0"/>
      <w:marRight w:val="0"/>
      <w:marTop w:val="0"/>
      <w:marBottom w:val="0"/>
      <w:divBdr>
        <w:top w:val="none" w:sz="0" w:space="0" w:color="auto"/>
        <w:left w:val="none" w:sz="0" w:space="0" w:color="auto"/>
        <w:bottom w:val="none" w:sz="0" w:space="0" w:color="auto"/>
        <w:right w:val="none" w:sz="0" w:space="0" w:color="auto"/>
      </w:divBdr>
    </w:div>
    <w:div w:id="576130004">
      <w:bodyDiv w:val="1"/>
      <w:marLeft w:val="0"/>
      <w:marRight w:val="0"/>
      <w:marTop w:val="0"/>
      <w:marBottom w:val="0"/>
      <w:divBdr>
        <w:top w:val="none" w:sz="0" w:space="0" w:color="auto"/>
        <w:left w:val="none" w:sz="0" w:space="0" w:color="auto"/>
        <w:bottom w:val="none" w:sz="0" w:space="0" w:color="auto"/>
        <w:right w:val="none" w:sz="0" w:space="0" w:color="auto"/>
      </w:divBdr>
    </w:div>
    <w:div w:id="625043177">
      <w:bodyDiv w:val="1"/>
      <w:marLeft w:val="0"/>
      <w:marRight w:val="0"/>
      <w:marTop w:val="0"/>
      <w:marBottom w:val="0"/>
      <w:divBdr>
        <w:top w:val="none" w:sz="0" w:space="0" w:color="auto"/>
        <w:left w:val="none" w:sz="0" w:space="0" w:color="auto"/>
        <w:bottom w:val="none" w:sz="0" w:space="0" w:color="auto"/>
        <w:right w:val="none" w:sz="0" w:space="0" w:color="auto"/>
      </w:divBdr>
    </w:div>
    <w:div w:id="650255581">
      <w:bodyDiv w:val="1"/>
      <w:marLeft w:val="0"/>
      <w:marRight w:val="0"/>
      <w:marTop w:val="0"/>
      <w:marBottom w:val="0"/>
      <w:divBdr>
        <w:top w:val="none" w:sz="0" w:space="0" w:color="auto"/>
        <w:left w:val="none" w:sz="0" w:space="0" w:color="auto"/>
        <w:bottom w:val="none" w:sz="0" w:space="0" w:color="auto"/>
        <w:right w:val="none" w:sz="0" w:space="0" w:color="auto"/>
      </w:divBdr>
    </w:div>
    <w:div w:id="706836451">
      <w:bodyDiv w:val="1"/>
      <w:marLeft w:val="0"/>
      <w:marRight w:val="0"/>
      <w:marTop w:val="0"/>
      <w:marBottom w:val="0"/>
      <w:divBdr>
        <w:top w:val="none" w:sz="0" w:space="0" w:color="auto"/>
        <w:left w:val="none" w:sz="0" w:space="0" w:color="auto"/>
        <w:bottom w:val="none" w:sz="0" w:space="0" w:color="auto"/>
        <w:right w:val="none" w:sz="0" w:space="0" w:color="auto"/>
      </w:divBdr>
    </w:div>
    <w:div w:id="725566257">
      <w:bodyDiv w:val="1"/>
      <w:marLeft w:val="0"/>
      <w:marRight w:val="0"/>
      <w:marTop w:val="0"/>
      <w:marBottom w:val="0"/>
      <w:divBdr>
        <w:top w:val="none" w:sz="0" w:space="0" w:color="auto"/>
        <w:left w:val="none" w:sz="0" w:space="0" w:color="auto"/>
        <w:bottom w:val="none" w:sz="0" w:space="0" w:color="auto"/>
        <w:right w:val="none" w:sz="0" w:space="0" w:color="auto"/>
      </w:divBdr>
    </w:div>
    <w:div w:id="764181813">
      <w:bodyDiv w:val="1"/>
      <w:marLeft w:val="0"/>
      <w:marRight w:val="0"/>
      <w:marTop w:val="0"/>
      <w:marBottom w:val="0"/>
      <w:divBdr>
        <w:top w:val="none" w:sz="0" w:space="0" w:color="auto"/>
        <w:left w:val="none" w:sz="0" w:space="0" w:color="auto"/>
        <w:bottom w:val="none" w:sz="0" w:space="0" w:color="auto"/>
        <w:right w:val="none" w:sz="0" w:space="0" w:color="auto"/>
      </w:divBdr>
    </w:div>
    <w:div w:id="766313942">
      <w:bodyDiv w:val="1"/>
      <w:marLeft w:val="0"/>
      <w:marRight w:val="0"/>
      <w:marTop w:val="0"/>
      <w:marBottom w:val="0"/>
      <w:divBdr>
        <w:top w:val="none" w:sz="0" w:space="0" w:color="auto"/>
        <w:left w:val="none" w:sz="0" w:space="0" w:color="auto"/>
        <w:bottom w:val="none" w:sz="0" w:space="0" w:color="auto"/>
        <w:right w:val="none" w:sz="0" w:space="0" w:color="auto"/>
      </w:divBdr>
    </w:div>
    <w:div w:id="805052775">
      <w:bodyDiv w:val="1"/>
      <w:marLeft w:val="0"/>
      <w:marRight w:val="0"/>
      <w:marTop w:val="0"/>
      <w:marBottom w:val="0"/>
      <w:divBdr>
        <w:top w:val="none" w:sz="0" w:space="0" w:color="auto"/>
        <w:left w:val="none" w:sz="0" w:space="0" w:color="auto"/>
        <w:bottom w:val="none" w:sz="0" w:space="0" w:color="auto"/>
        <w:right w:val="none" w:sz="0" w:space="0" w:color="auto"/>
      </w:divBdr>
      <w:divsChild>
        <w:div w:id="1248268427">
          <w:marLeft w:val="0"/>
          <w:marRight w:val="0"/>
          <w:marTop w:val="0"/>
          <w:marBottom w:val="0"/>
          <w:divBdr>
            <w:top w:val="none" w:sz="0" w:space="0" w:color="auto"/>
            <w:left w:val="none" w:sz="0" w:space="0" w:color="auto"/>
            <w:bottom w:val="none" w:sz="0" w:space="0" w:color="auto"/>
            <w:right w:val="none" w:sz="0" w:space="0" w:color="auto"/>
          </w:divBdr>
          <w:divsChild>
            <w:div w:id="311836341">
              <w:marLeft w:val="0"/>
              <w:marRight w:val="0"/>
              <w:marTop w:val="0"/>
              <w:marBottom w:val="0"/>
              <w:divBdr>
                <w:top w:val="none" w:sz="0" w:space="0" w:color="auto"/>
                <w:left w:val="none" w:sz="0" w:space="0" w:color="auto"/>
                <w:bottom w:val="none" w:sz="0" w:space="0" w:color="auto"/>
                <w:right w:val="none" w:sz="0" w:space="0" w:color="auto"/>
              </w:divBdr>
              <w:divsChild>
                <w:div w:id="701710684">
                  <w:marLeft w:val="0"/>
                  <w:marRight w:val="0"/>
                  <w:marTop w:val="0"/>
                  <w:marBottom w:val="0"/>
                  <w:divBdr>
                    <w:top w:val="none" w:sz="0" w:space="0" w:color="auto"/>
                    <w:left w:val="none" w:sz="0" w:space="0" w:color="auto"/>
                    <w:bottom w:val="none" w:sz="0" w:space="0" w:color="auto"/>
                    <w:right w:val="none" w:sz="0" w:space="0" w:color="auto"/>
                  </w:divBdr>
                  <w:divsChild>
                    <w:div w:id="1351297118">
                      <w:marLeft w:val="0"/>
                      <w:marRight w:val="0"/>
                      <w:marTop w:val="0"/>
                      <w:marBottom w:val="0"/>
                      <w:divBdr>
                        <w:top w:val="none" w:sz="0" w:space="0" w:color="auto"/>
                        <w:left w:val="none" w:sz="0" w:space="0" w:color="auto"/>
                        <w:bottom w:val="none" w:sz="0" w:space="0" w:color="auto"/>
                        <w:right w:val="none" w:sz="0" w:space="0" w:color="auto"/>
                      </w:divBdr>
                      <w:divsChild>
                        <w:div w:id="932007109">
                          <w:marLeft w:val="0"/>
                          <w:marRight w:val="0"/>
                          <w:marTop w:val="0"/>
                          <w:marBottom w:val="0"/>
                          <w:divBdr>
                            <w:top w:val="none" w:sz="0" w:space="0" w:color="auto"/>
                            <w:left w:val="none" w:sz="0" w:space="0" w:color="auto"/>
                            <w:bottom w:val="none" w:sz="0" w:space="0" w:color="auto"/>
                            <w:right w:val="none" w:sz="0" w:space="0" w:color="auto"/>
                          </w:divBdr>
                          <w:divsChild>
                            <w:div w:id="8146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210768">
      <w:bodyDiv w:val="1"/>
      <w:marLeft w:val="0"/>
      <w:marRight w:val="0"/>
      <w:marTop w:val="0"/>
      <w:marBottom w:val="0"/>
      <w:divBdr>
        <w:top w:val="none" w:sz="0" w:space="0" w:color="auto"/>
        <w:left w:val="none" w:sz="0" w:space="0" w:color="auto"/>
        <w:bottom w:val="none" w:sz="0" w:space="0" w:color="auto"/>
        <w:right w:val="none" w:sz="0" w:space="0" w:color="auto"/>
      </w:divBdr>
    </w:div>
    <w:div w:id="919290763">
      <w:bodyDiv w:val="1"/>
      <w:marLeft w:val="0"/>
      <w:marRight w:val="0"/>
      <w:marTop w:val="0"/>
      <w:marBottom w:val="0"/>
      <w:divBdr>
        <w:top w:val="none" w:sz="0" w:space="0" w:color="auto"/>
        <w:left w:val="none" w:sz="0" w:space="0" w:color="auto"/>
        <w:bottom w:val="none" w:sz="0" w:space="0" w:color="auto"/>
        <w:right w:val="none" w:sz="0" w:space="0" w:color="auto"/>
      </w:divBdr>
    </w:div>
    <w:div w:id="928196675">
      <w:bodyDiv w:val="1"/>
      <w:marLeft w:val="0"/>
      <w:marRight w:val="0"/>
      <w:marTop w:val="0"/>
      <w:marBottom w:val="0"/>
      <w:divBdr>
        <w:top w:val="none" w:sz="0" w:space="0" w:color="auto"/>
        <w:left w:val="none" w:sz="0" w:space="0" w:color="auto"/>
        <w:bottom w:val="none" w:sz="0" w:space="0" w:color="auto"/>
        <w:right w:val="none" w:sz="0" w:space="0" w:color="auto"/>
      </w:divBdr>
    </w:div>
    <w:div w:id="953364576">
      <w:bodyDiv w:val="1"/>
      <w:marLeft w:val="0"/>
      <w:marRight w:val="0"/>
      <w:marTop w:val="0"/>
      <w:marBottom w:val="0"/>
      <w:divBdr>
        <w:top w:val="none" w:sz="0" w:space="0" w:color="auto"/>
        <w:left w:val="none" w:sz="0" w:space="0" w:color="auto"/>
        <w:bottom w:val="none" w:sz="0" w:space="0" w:color="auto"/>
        <w:right w:val="none" w:sz="0" w:space="0" w:color="auto"/>
      </w:divBdr>
    </w:div>
    <w:div w:id="965546872">
      <w:bodyDiv w:val="1"/>
      <w:marLeft w:val="0"/>
      <w:marRight w:val="0"/>
      <w:marTop w:val="0"/>
      <w:marBottom w:val="0"/>
      <w:divBdr>
        <w:top w:val="none" w:sz="0" w:space="0" w:color="auto"/>
        <w:left w:val="none" w:sz="0" w:space="0" w:color="auto"/>
        <w:bottom w:val="none" w:sz="0" w:space="0" w:color="auto"/>
        <w:right w:val="none" w:sz="0" w:space="0" w:color="auto"/>
      </w:divBdr>
    </w:div>
    <w:div w:id="999700523">
      <w:bodyDiv w:val="1"/>
      <w:marLeft w:val="0"/>
      <w:marRight w:val="0"/>
      <w:marTop w:val="0"/>
      <w:marBottom w:val="0"/>
      <w:divBdr>
        <w:top w:val="none" w:sz="0" w:space="0" w:color="auto"/>
        <w:left w:val="none" w:sz="0" w:space="0" w:color="auto"/>
        <w:bottom w:val="none" w:sz="0" w:space="0" w:color="auto"/>
        <w:right w:val="none" w:sz="0" w:space="0" w:color="auto"/>
      </w:divBdr>
      <w:divsChild>
        <w:div w:id="1603950595">
          <w:marLeft w:val="0"/>
          <w:marRight w:val="0"/>
          <w:marTop w:val="0"/>
          <w:marBottom w:val="0"/>
          <w:divBdr>
            <w:top w:val="none" w:sz="0" w:space="0" w:color="auto"/>
            <w:left w:val="none" w:sz="0" w:space="0" w:color="auto"/>
            <w:bottom w:val="none" w:sz="0" w:space="0" w:color="auto"/>
            <w:right w:val="none" w:sz="0" w:space="0" w:color="auto"/>
          </w:divBdr>
          <w:divsChild>
            <w:div w:id="2988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7704">
      <w:bodyDiv w:val="1"/>
      <w:marLeft w:val="0"/>
      <w:marRight w:val="0"/>
      <w:marTop w:val="0"/>
      <w:marBottom w:val="0"/>
      <w:divBdr>
        <w:top w:val="none" w:sz="0" w:space="0" w:color="auto"/>
        <w:left w:val="none" w:sz="0" w:space="0" w:color="auto"/>
        <w:bottom w:val="none" w:sz="0" w:space="0" w:color="auto"/>
        <w:right w:val="none" w:sz="0" w:space="0" w:color="auto"/>
      </w:divBdr>
    </w:div>
    <w:div w:id="1110052272">
      <w:bodyDiv w:val="1"/>
      <w:marLeft w:val="0"/>
      <w:marRight w:val="0"/>
      <w:marTop w:val="0"/>
      <w:marBottom w:val="0"/>
      <w:divBdr>
        <w:top w:val="none" w:sz="0" w:space="0" w:color="auto"/>
        <w:left w:val="none" w:sz="0" w:space="0" w:color="auto"/>
        <w:bottom w:val="none" w:sz="0" w:space="0" w:color="auto"/>
        <w:right w:val="none" w:sz="0" w:space="0" w:color="auto"/>
      </w:divBdr>
    </w:div>
    <w:div w:id="1141774452">
      <w:bodyDiv w:val="1"/>
      <w:marLeft w:val="0"/>
      <w:marRight w:val="0"/>
      <w:marTop w:val="0"/>
      <w:marBottom w:val="0"/>
      <w:divBdr>
        <w:top w:val="none" w:sz="0" w:space="0" w:color="auto"/>
        <w:left w:val="none" w:sz="0" w:space="0" w:color="auto"/>
        <w:bottom w:val="none" w:sz="0" w:space="0" w:color="auto"/>
        <w:right w:val="none" w:sz="0" w:space="0" w:color="auto"/>
      </w:divBdr>
    </w:div>
    <w:div w:id="1176653511">
      <w:bodyDiv w:val="1"/>
      <w:marLeft w:val="0"/>
      <w:marRight w:val="0"/>
      <w:marTop w:val="0"/>
      <w:marBottom w:val="0"/>
      <w:divBdr>
        <w:top w:val="none" w:sz="0" w:space="0" w:color="auto"/>
        <w:left w:val="none" w:sz="0" w:space="0" w:color="auto"/>
        <w:bottom w:val="none" w:sz="0" w:space="0" w:color="auto"/>
        <w:right w:val="none" w:sz="0" w:space="0" w:color="auto"/>
      </w:divBdr>
    </w:div>
    <w:div w:id="1187252115">
      <w:bodyDiv w:val="1"/>
      <w:marLeft w:val="0"/>
      <w:marRight w:val="0"/>
      <w:marTop w:val="0"/>
      <w:marBottom w:val="0"/>
      <w:divBdr>
        <w:top w:val="none" w:sz="0" w:space="0" w:color="auto"/>
        <w:left w:val="none" w:sz="0" w:space="0" w:color="auto"/>
        <w:bottom w:val="none" w:sz="0" w:space="0" w:color="auto"/>
        <w:right w:val="none" w:sz="0" w:space="0" w:color="auto"/>
      </w:divBdr>
    </w:div>
    <w:div w:id="1188105485">
      <w:bodyDiv w:val="1"/>
      <w:marLeft w:val="0"/>
      <w:marRight w:val="0"/>
      <w:marTop w:val="0"/>
      <w:marBottom w:val="0"/>
      <w:divBdr>
        <w:top w:val="none" w:sz="0" w:space="0" w:color="auto"/>
        <w:left w:val="none" w:sz="0" w:space="0" w:color="auto"/>
        <w:bottom w:val="none" w:sz="0" w:space="0" w:color="auto"/>
        <w:right w:val="none" w:sz="0" w:space="0" w:color="auto"/>
      </w:divBdr>
    </w:div>
    <w:div w:id="1192768908">
      <w:bodyDiv w:val="1"/>
      <w:marLeft w:val="0"/>
      <w:marRight w:val="0"/>
      <w:marTop w:val="0"/>
      <w:marBottom w:val="0"/>
      <w:divBdr>
        <w:top w:val="none" w:sz="0" w:space="0" w:color="auto"/>
        <w:left w:val="none" w:sz="0" w:space="0" w:color="auto"/>
        <w:bottom w:val="none" w:sz="0" w:space="0" w:color="auto"/>
        <w:right w:val="none" w:sz="0" w:space="0" w:color="auto"/>
      </w:divBdr>
    </w:div>
    <w:div w:id="1202595726">
      <w:bodyDiv w:val="1"/>
      <w:marLeft w:val="0"/>
      <w:marRight w:val="0"/>
      <w:marTop w:val="0"/>
      <w:marBottom w:val="0"/>
      <w:divBdr>
        <w:top w:val="none" w:sz="0" w:space="0" w:color="auto"/>
        <w:left w:val="none" w:sz="0" w:space="0" w:color="auto"/>
        <w:bottom w:val="none" w:sz="0" w:space="0" w:color="auto"/>
        <w:right w:val="none" w:sz="0" w:space="0" w:color="auto"/>
      </w:divBdr>
    </w:div>
    <w:div w:id="1217470013">
      <w:bodyDiv w:val="1"/>
      <w:marLeft w:val="0"/>
      <w:marRight w:val="0"/>
      <w:marTop w:val="0"/>
      <w:marBottom w:val="0"/>
      <w:divBdr>
        <w:top w:val="none" w:sz="0" w:space="0" w:color="auto"/>
        <w:left w:val="none" w:sz="0" w:space="0" w:color="auto"/>
        <w:bottom w:val="none" w:sz="0" w:space="0" w:color="auto"/>
        <w:right w:val="none" w:sz="0" w:space="0" w:color="auto"/>
      </w:divBdr>
    </w:div>
    <w:div w:id="1224292772">
      <w:bodyDiv w:val="1"/>
      <w:marLeft w:val="0"/>
      <w:marRight w:val="0"/>
      <w:marTop w:val="0"/>
      <w:marBottom w:val="0"/>
      <w:divBdr>
        <w:top w:val="none" w:sz="0" w:space="0" w:color="auto"/>
        <w:left w:val="none" w:sz="0" w:space="0" w:color="auto"/>
        <w:bottom w:val="none" w:sz="0" w:space="0" w:color="auto"/>
        <w:right w:val="none" w:sz="0" w:space="0" w:color="auto"/>
      </w:divBdr>
    </w:div>
    <w:div w:id="1280989016">
      <w:bodyDiv w:val="1"/>
      <w:marLeft w:val="0"/>
      <w:marRight w:val="0"/>
      <w:marTop w:val="0"/>
      <w:marBottom w:val="0"/>
      <w:divBdr>
        <w:top w:val="none" w:sz="0" w:space="0" w:color="auto"/>
        <w:left w:val="none" w:sz="0" w:space="0" w:color="auto"/>
        <w:bottom w:val="none" w:sz="0" w:space="0" w:color="auto"/>
        <w:right w:val="none" w:sz="0" w:space="0" w:color="auto"/>
      </w:divBdr>
    </w:div>
    <w:div w:id="1302886358">
      <w:bodyDiv w:val="1"/>
      <w:marLeft w:val="0"/>
      <w:marRight w:val="0"/>
      <w:marTop w:val="0"/>
      <w:marBottom w:val="0"/>
      <w:divBdr>
        <w:top w:val="none" w:sz="0" w:space="0" w:color="auto"/>
        <w:left w:val="none" w:sz="0" w:space="0" w:color="auto"/>
        <w:bottom w:val="none" w:sz="0" w:space="0" w:color="auto"/>
        <w:right w:val="none" w:sz="0" w:space="0" w:color="auto"/>
      </w:divBdr>
    </w:div>
    <w:div w:id="1340431660">
      <w:bodyDiv w:val="1"/>
      <w:marLeft w:val="0"/>
      <w:marRight w:val="0"/>
      <w:marTop w:val="0"/>
      <w:marBottom w:val="0"/>
      <w:divBdr>
        <w:top w:val="none" w:sz="0" w:space="0" w:color="auto"/>
        <w:left w:val="none" w:sz="0" w:space="0" w:color="auto"/>
        <w:bottom w:val="none" w:sz="0" w:space="0" w:color="auto"/>
        <w:right w:val="none" w:sz="0" w:space="0" w:color="auto"/>
      </w:divBdr>
    </w:div>
    <w:div w:id="1403674933">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68742836">
      <w:bodyDiv w:val="1"/>
      <w:marLeft w:val="0"/>
      <w:marRight w:val="0"/>
      <w:marTop w:val="0"/>
      <w:marBottom w:val="0"/>
      <w:divBdr>
        <w:top w:val="none" w:sz="0" w:space="0" w:color="auto"/>
        <w:left w:val="none" w:sz="0" w:space="0" w:color="auto"/>
        <w:bottom w:val="none" w:sz="0" w:space="0" w:color="auto"/>
        <w:right w:val="none" w:sz="0" w:space="0" w:color="auto"/>
      </w:divBdr>
    </w:div>
    <w:div w:id="1496796066">
      <w:bodyDiv w:val="1"/>
      <w:marLeft w:val="0"/>
      <w:marRight w:val="0"/>
      <w:marTop w:val="0"/>
      <w:marBottom w:val="0"/>
      <w:divBdr>
        <w:top w:val="none" w:sz="0" w:space="0" w:color="auto"/>
        <w:left w:val="none" w:sz="0" w:space="0" w:color="auto"/>
        <w:bottom w:val="none" w:sz="0" w:space="0" w:color="auto"/>
        <w:right w:val="none" w:sz="0" w:space="0" w:color="auto"/>
      </w:divBdr>
    </w:div>
    <w:div w:id="1530292821">
      <w:bodyDiv w:val="1"/>
      <w:marLeft w:val="0"/>
      <w:marRight w:val="0"/>
      <w:marTop w:val="0"/>
      <w:marBottom w:val="0"/>
      <w:divBdr>
        <w:top w:val="none" w:sz="0" w:space="0" w:color="auto"/>
        <w:left w:val="none" w:sz="0" w:space="0" w:color="auto"/>
        <w:bottom w:val="none" w:sz="0" w:space="0" w:color="auto"/>
        <w:right w:val="none" w:sz="0" w:space="0" w:color="auto"/>
      </w:divBdr>
    </w:div>
    <w:div w:id="1544828612">
      <w:bodyDiv w:val="1"/>
      <w:marLeft w:val="0"/>
      <w:marRight w:val="0"/>
      <w:marTop w:val="0"/>
      <w:marBottom w:val="0"/>
      <w:divBdr>
        <w:top w:val="none" w:sz="0" w:space="0" w:color="auto"/>
        <w:left w:val="none" w:sz="0" w:space="0" w:color="auto"/>
        <w:bottom w:val="none" w:sz="0" w:space="0" w:color="auto"/>
        <w:right w:val="none" w:sz="0" w:space="0" w:color="auto"/>
      </w:divBdr>
    </w:div>
    <w:div w:id="1548838640">
      <w:bodyDiv w:val="1"/>
      <w:marLeft w:val="0"/>
      <w:marRight w:val="0"/>
      <w:marTop w:val="0"/>
      <w:marBottom w:val="0"/>
      <w:divBdr>
        <w:top w:val="none" w:sz="0" w:space="0" w:color="auto"/>
        <w:left w:val="none" w:sz="0" w:space="0" w:color="auto"/>
        <w:bottom w:val="none" w:sz="0" w:space="0" w:color="auto"/>
        <w:right w:val="none" w:sz="0" w:space="0" w:color="auto"/>
      </w:divBdr>
    </w:div>
    <w:div w:id="1564290559">
      <w:bodyDiv w:val="1"/>
      <w:marLeft w:val="0"/>
      <w:marRight w:val="0"/>
      <w:marTop w:val="0"/>
      <w:marBottom w:val="0"/>
      <w:divBdr>
        <w:top w:val="none" w:sz="0" w:space="0" w:color="auto"/>
        <w:left w:val="none" w:sz="0" w:space="0" w:color="auto"/>
        <w:bottom w:val="none" w:sz="0" w:space="0" w:color="auto"/>
        <w:right w:val="none" w:sz="0" w:space="0" w:color="auto"/>
      </w:divBdr>
    </w:div>
    <w:div w:id="1696885141">
      <w:bodyDiv w:val="1"/>
      <w:marLeft w:val="0"/>
      <w:marRight w:val="0"/>
      <w:marTop w:val="0"/>
      <w:marBottom w:val="0"/>
      <w:divBdr>
        <w:top w:val="none" w:sz="0" w:space="0" w:color="auto"/>
        <w:left w:val="none" w:sz="0" w:space="0" w:color="auto"/>
        <w:bottom w:val="none" w:sz="0" w:space="0" w:color="auto"/>
        <w:right w:val="none" w:sz="0" w:space="0" w:color="auto"/>
      </w:divBdr>
    </w:div>
    <w:div w:id="1738087194">
      <w:bodyDiv w:val="1"/>
      <w:marLeft w:val="0"/>
      <w:marRight w:val="0"/>
      <w:marTop w:val="0"/>
      <w:marBottom w:val="0"/>
      <w:divBdr>
        <w:top w:val="none" w:sz="0" w:space="0" w:color="auto"/>
        <w:left w:val="none" w:sz="0" w:space="0" w:color="auto"/>
        <w:bottom w:val="none" w:sz="0" w:space="0" w:color="auto"/>
        <w:right w:val="none" w:sz="0" w:space="0" w:color="auto"/>
      </w:divBdr>
    </w:div>
    <w:div w:id="1931888297">
      <w:bodyDiv w:val="1"/>
      <w:marLeft w:val="0"/>
      <w:marRight w:val="0"/>
      <w:marTop w:val="0"/>
      <w:marBottom w:val="0"/>
      <w:divBdr>
        <w:top w:val="none" w:sz="0" w:space="0" w:color="auto"/>
        <w:left w:val="none" w:sz="0" w:space="0" w:color="auto"/>
        <w:bottom w:val="none" w:sz="0" w:space="0" w:color="auto"/>
        <w:right w:val="none" w:sz="0" w:space="0" w:color="auto"/>
      </w:divBdr>
      <w:divsChild>
        <w:div w:id="28645893">
          <w:marLeft w:val="0"/>
          <w:marRight w:val="0"/>
          <w:marTop w:val="0"/>
          <w:marBottom w:val="0"/>
          <w:divBdr>
            <w:top w:val="none" w:sz="0" w:space="0" w:color="auto"/>
            <w:left w:val="none" w:sz="0" w:space="0" w:color="auto"/>
            <w:bottom w:val="none" w:sz="0" w:space="0" w:color="auto"/>
            <w:right w:val="none" w:sz="0" w:space="0" w:color="auto"/>
          </w:divBdr>
        </w:div>
        <w:div w:id="608855120">
          <w:marLeft w:val="0"/>
          <w:marRight w:val="0"/>
          <w:marTop w:val="0"/>
          <w:marBottom w:val="0"/>
          <w:divBdr>
            <w:top w:val="none" w:sz="0" w:space="0" w:color="auto"/>
            <w:left w:val="none" w:sz="0" w:space="0" w:color="auto"/>
            <w:bottom w:val="none" w:sz="0" w:space="0" w:color="auto"/>
            <w:right w:val="none" w:sz="0" w:space="0" w:color="auto"/>
          </w:divBdr>
        </w:div>
        <w:div w:id="815103609">
          <w:marLeft w:val="0"/>
          <w:marRight w:val="0"/>
          <w:marTop w:val="0"/>
          <w:marBottom w:val="0"/>
          <w:divBdr>
            <w:top w:val="none" w:sz="0" w:space="0" w:color="auto"/>
            <w:left w:val="none" w:sz="0" w:space="0" w:color="auto"/>
            <w:bottom w:val="none" w:sz="0" w:space="0" w:color="auto"/>
            <w:right w:val="none" w:sz="0" w:space="0" w:color="auto"/>
          </w:divBdr>
        </w:div>
        <w:div w:id="1017198010">
          <w:marLeft w:val="0"/>
          <w:marRight w:val="0"/>
          <w:marTop w:val="0"/>
          <w:marBottom w:val="0"/>
          <w:divBdr>
            <w:top w:val="none" w:sz="0" w:space="0" w:color="auto"/>
            <w:left w:val="none" w:sz="0" w:space="0" w:color="auto"/>
            <w:bottom w:val="none" w:sz="0" w:space="0" w:color="auto"/>
            <w:right w:val="none" w:sz="0" w:space="0" w:color="auto"/>
          </w:divBdr>
        </w:div>
        <w:div w:id="1141117169">
          <w:marLeft w:val="0"/>
          <w:marRight w:val="0"/>
          <w:marTop w:val="0"/>
          <w:marBottom w:val="0"/>
          <w:divBdr>
            <w:top w:val="none" w:sz="0" w:space="0" w:color="auto"/>
            <w:left w:val="none" w:sz="0" w:space="0" w:color="auto"/>
            <w:bottom w:val="none" w:sz="0" w:space="0" w:color="auto"/>
            <w:right w:val="none" w:sz="0" w:space="0" w:color="auto"/>
          </w:divBdr>
        </w:div>
      </w:divsChild>
    </w:div>
    <w:div w:id="2021731620">
      <w:bodyDiv w:val="1"/>
      <w:marLeft w:val="0"/>
      <w:marRight w:val="0"/>
      <w:marTop w:val="0"/>
      <w:marBottom w:val="0"/>
      <w:divBdr>
        <w:top w:val="none" w:sz="0" w:space="0" w:color="auto"/>
        <w:left w:val="none" w:sz="0" w:space="0" w:color="auto"/>
        <w:bottom w:val="none" w:sz="0" w:space="0" w:color="auto"/>
        <w:right w:val="none" w:sz="0" w:space="0" w:color="auto"/>
      </w:divBdr>
    </w:div>
    <w:div w:id="2028747060">
      <w:bodyDiv w:val="1"/>
      <w:marLeft w:val="0"/>
      <w:marRight w:val="0"/>
      <w:marTop w:val="0"/>
      <w:marBottom w:val="0"/>
      <w:divBdr>
        <w:top w:val="none" w:sz="0" w:space="0" w:color="auto"/>
        <w:left w:val="none" w:sz="0" w:space="0" w:color="auto"/>
        <w:bottom w:val="none" w:sz="0" w:space="0" w:color="auto"/>
        <w:right w:val="none" w:sz="0" w:space="0" w:color="auto"/>
      </w:divBdr>
    </w:div>
    <w:div w:id="2028754548">
      <w:bodyDiv w:val="1"/>
      <w:marLeft w:val="0"/>
      <w:marRight w:val="0"/>
      <w:marTop w:val="0"/>
      <w:marBottom w:val="0"/>
      <w:divBdr>
        <w:top w:val="none" w:sz="0" w:space="0" w:color="auto"/>
        <w:left w:val="none" w:sz="0" w:space="0" w:color="auto"/>
        <w:bottom w:val="none" w:sz="0" w:space="0" w:color="auto"/>
        <w:right w:val="none" w:sz="0" w:space="0" w:color="auto"/>
      </w:divBdr>
    </w:div>
    <w:div w:id="21064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Tourism_statistics_-_expenditure" TargetMode="External"/><Relationship Id="rId13" Type="http://schemas.openxmlformats.org/officeDocument/2006/relationships/hyperlink" Target="https://eur-lex.europa.eu/legal-content/FR/TXT/?uri=CELEX:52025DC0090" TargetMode="External"/><Relationship Id="rId18" Type="http://schemas.openxmlformats.org/officeDocument/2006/relationships/hyperlink" Target="https://eur-lex.europa.eu/legal-content/FR/TXT/?uri=CELEX%3A52025JC0130" TargetMode="External"/><Relationship Id="rId3" Type="http://schemas.openxmlformats.org/officeDocument/2006/relationships/hyperlink" Target="https://www.euaa.europa.eu/latest-asylum-trends-annual-analysis" TargetMode="External"/><Relationship Id="rId7" Type="http://schemas.openxmlformats.org/officeDocument/2006/relationships/hyperlink" Target="https://eur-lex.europa.eu/legal-content/FR/TXT/?uri=CELEX:52025DC0785" TargetMode="External"/><Relationship Id="rId12" Type="http://schemas.openxmlformats.org/officeDocument/2006/relationships/hyperlink" Target="https://travel-europe.europa.eu/etias/about-etias/what-is-etias" TargetMode="External"/><Relationship Id="rId17" Type="http://schemas.openxmlformats.org/officeDocument/2006/relationships/hyperlink" Target="https://commission.europa.eu/topics/research-and-innovation/choose-europe_en" TargetMode="External"/><Relationship Id="rId2" Type="http://schemas.openxmlformats.org/officeDocument/2006/relationships/hyperlink" Target="https://www.consilium.europa.eu/fr/infographics/eu-visa-agreements-with-non-eu-countries/" TargetMode="External"/><Relationship Id="rId16" Type="http://schemas.openxmlformats.org/officeDocument/2006/relationships/hyperlink" Target="https://commission.europa.eu/topics/research-and-innovation/choose-europe_en" TargetMode="External"/><Relationship Id="rId1" Type="http://schemas.openxmlformats.org/officeDocument/2006/relationships/hyperlink" Target="https://eur-lex.europa.eu/legal-content/FR/TXT/?uri=CELEX%3A52025DC0148" TargetMode="External"/><Relationship Id="rId6" Type="http://schemas.openxmlformats.org/officeDocument/2006/relationships/hyperlink" Target="https://home-affairs.ec.europa.eu/news/visa-applications-reach-117-million-eu-and-schengen-associated-countries-2025-05-20_en" TargetMode="External"/><Relationship Id="rId11" Type="http://schemas.openxmlformats.org/officeDocument/2006/relationships/hyperlink" Target="https://home-affairs.ec.europa.eu/news/everything-you-need-know-schengen-visa-digitalisation-2023-12-01_en" TargetMode="External"/><Relationship Id="rId5" Type="http://schemas.openxmlformats.org/officeDocument/2006/relationships/hyperlink" Target="https://eur-lex.europa.eu/legal-content/FR/TXT/?uri=CELEX:52025DC0185" TargetMode="External"/><Relationship Id="rId15" Type="http://schemas.openxmlformats.org/officeDocument/2006/relationships/hyperlink" Target="https://eur-lex.europa.eu/legal-content/FR/TXT/?uri=CELEX:52025DC0165" TargetMode="External"/><Relationship Id="rId10" Type="http://schemas.openxmlformats.org/officeDocument/2006/relationships/hyperlink" Target="https://transition-pathways.europa.eu/tourism/articles/eu-tourism-2024-key-updates-and-emerging-trends-1" TargetMode="External"/><Relationship Id="rId19" Type="http://schemas.openxmlformats.org/officeDocument/2006/relationships/hyperlink" Target="https://eur-lex.europa.eu/legal-content/FR/TXT/?uri=CELEX%3A52023PC0716" TargetMode="External"/><Relationship Id="rId4" Type="http://schemas.openxmlformats.org/officeDocument/2006/relationships/hyperlink" Target="https://www.euaa.europa.eu/latest-asylum-trends-annual-analysis" TargetMode="External"/><Relationship Id="rId9" Type="http://schemas.openxmlformats.org/officeDocument/2006/relationships/hyperlink" Target="https://transition-pathways.europa.eu/tourism/articles/eu-tourism-2024-key-updates-and-emerging-trends-1" TargetMode="External"/><Relationship Id="rId14" Type="http://schemas.openxmlformats.org/officeDocument/2006/relationships/hyperlink" Target="https://eur-lex.europa.eu/legal-content/FR/TXT/?uri=CELEX:52025DC0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F4CB6-1D30-48B2-9F7B-DCB24A80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8531</Words>
  <Characters>48629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57046</CharactersWithSpaces>
  <SharedDoc>false</SharedDoc>
  <HLinks>
    <vt:vector size="108" baseType="variant">
      <vt:variant>
        <vt:i4>7012387</vt:i4>
      </vt:variant>
      <vt:variant>
        <vt:i4>51</vt:i4>
      </vt:variant>
      <vt:variant>
        <vt:i4>0</vt:i4>
      </vt:variant>
      <vt:variant>
        <vt:i4>5</vt:i4>
      </vt:variant>
      <vt:variant>
        <vt:lpwstr>https://eur-lex.europa.eu/legal-content/EN/TXT/?uri=CELEX%3A52023PC0716</vt:lpwstr>
      </vt:variant>
      <vt:variant>
        <vt:lpwstr/>
      </vt:variant>
      <vt:variant>
        <vt:i4>7536675</vt:i4>
      </vt:variant>
      <vt:variant>
        <vt:i4>48</vt:i4>
      </vt:variant>
      <vt:variant>
        <vt:i4>0</vt:i4>
      </vt:variant>
      <vt:variant>
        <vt:i4>5</vt:i4>
      </vt:variant>
      <vt:variant>
        <vt:lpwstr>https://eur-lex.europa.eu/legal-content/EN/TXT/?uri=CELEX%3A52025JC0130</vt:lpwstr>
      </vt:variant>
      <vt:variant>
        <vt:lpwstr/>
      </vt:variant>
      <vt:variant>
        <vt:i4>8192019</vt:i4>
      </vt:variant>
      <vt:variant>
        <vt:i4>45</vt:i4>
      </vt:variant>
      <vt:variant>
        <vt:i4>0</vt:i4>
      </vt:variant>
      <vt:variant>
        <vt:i4>5</vt:i4>
      </vt:variant>
      <vt:variant>
        <vt:lpwstr>https://commission.europa.eu/topics/research-and-innovation/choose-europe_en</vt:lpwstr>
      </vt:variant>
      <vt:variant>
        <vt:lpwstr/>
      </vt:variant>
      <vt:variant>
        <vt:i4>393232</vt:i4>
      </vt:variant>
      <vt:variant>
        <vt:i4>42</vt:i4>
      </vt:variant>
      <vt:variant>
        <vt:i4>0</vt:i4>
      </vt:variant>
      <vt:variant>
        <vt:i4>5</vt:i4>
      </vt:variant>
      <vt:variant>
        <vt:lpwstr>https://eur-lex.europa.eu/legal-content/EN/TXT/?uri=celex:52025DC0165</vt:lpwstr>
      </vt:variant>
      <vt:variant>
        <vt:lpwstr/>
      </vt:variant>
      <vt:variant>
        <vt:i4>458771</vt:i4>
      </vt:variant>
      <vt:variant>
        <vt:i4>39</vt:i4>
      </vt:variant>
      <vt:variant>
        <vt:i4>0</vt:i4>
      </vt:variant>
      <vt:variant>
        <vt:i4>5</vt:i4>
      </vt:variant>
      <vt:variant>
        <vt:lpwstr>https://eur-lex.europa.eu/legal-content/EN/TXT/?uri=celex:52025DC0270</vt:lpwstr>
      </vt:variant>
      <vt:variant>
        <vt:lpwstr/>
      </vt:variant>
      <vt:variant>
        <vt:i4>589841</vt:i4>
      </vt:variant>
      <vt:variant>
        <vt:i4>36</vt:i4>
      </vt:variant>
      <vt:variant>
        <vt:i4>0</vt:i4>
      </vt:variant>
      <vt:variant>
        <vt:i4>5</vt:i4>
      </vt:variant>
      <vt:variant>
        <vt:lpwstr>https://eur-lex.europa.eu/legal-content/EN/TXT/?uri=celex:52025DC0090</vt:lpwstr>
      </vt:variant>
      <vt:variant>
        <vt:lpwstr/>
      </vt:variant>
      <vt:variant>
        <vt:i4>7733344</vt:i4>
      </vt:variant>
      <vt:variant>
        <vt:i4>33</vt:i4>
      </vt:variant>
      <vt:variant>
        <vt:i4>0</vt:i4>
      </vt:variant>
      <vt:variant>
        <vt:i4>5</vt:i4>
      </vt:variant>
      <vt:variant>
        <vt:lpwstr>https://travel-europe.europa.eu/etias/about-etias/what-is-etias</vt:lpwstr>
      </vt:variant>
      <vt:variant>
        <vt:lpwstr/>
      </vt:variant>
      <vt:variant>
        <vt:i4>327735</vt:i4>
      </vt:variant>
      <vt:variant>
        <vt:i4>30</vt:i4>
      </vt:variant>
      <vt:variant>
        <vt:i4>0</vt:i4>
      </vt:variant>
      <vt:variant>
        <vt:i4>5</vt:i4>
      </vt:variant>
      <vt:variant>
        <vt:lpwstr>https://home-affairs.ec.europa.eu/news/everything-you-need-know-schengen-visa-digitalisation-2023-12-01_en</vt:lpwstr>
      </vt:variant>
      <vt:variant>
        <vt:lpwstr/>
      </vt:variant>
      <vt:variant>
        <vt:i4>6619243</vt:i4>
      </vt:variant>
      <vt:variant>
        <vt:i4>27</vt:i4>
      </vt:variant>
      <vt:variant>
        <vt:i4>0</vt:i4>
      </vt:variant>
      <vt:variant>
        <vt:i4>5</vt:i4>
      </vt:variant>
      <vt:variant>
        <vt:lpwstr>https://transition-pathways.europa.eu/tourism/articles/eu-tourism-2024-key-updates-and-emerging-trends-1</vt:lpwstr>
      </vt:variant>
      <vt:variant>
        <vt:lpwstr>:~:text=Tourism%20is%20vital%20for%20Europeans,visitors%20to%20sustain%20their%20economies.</vt:lpwstr>
      </vt:variant>
      <vt:variant>
        <vt:i4>2621532</vt:i4>
      </vt:variant>
      <vt:variant>
        <vt:i4>24</vt:i4>
      </vt:variant>
      <vt:variant>
        <vt:i4>0</vt:i4>
      </vt:variant>
      <vt:variant>
        <vt:i4>5</vt:i4>
      </vt:variant>
      <vt:variant>
        <vt:lpwstr>https://ec.europa.eu/eurostat/statistics-explained/index.php?title=Tourism_statistics_-_expenditure</vt:lpwstr>
      </vt:variant>
      <vt:variant>
        <vt:lpwstr>:~:text=:%20Eurostat%20(tour_dem_exage)-,Business%20travel%20accounts%20for%2012%25%20of%20total%20tourism%20expenditure%20in,)%20(see%20Figure%2011).&amp;text=Business%20trips%20accounted%20for%2012,versus%20%E2%82%AC91%20per%20night).</vt:lpwstr>
      </vt:variant>
      <vt:variant>
        <vt:i4>524310</vt:i4>
      </vt:variant>
      <vt:variant>
        <vt:i4>21</vt:i4>
      </vt:variant>
      <vt:variant>
        <vt:i4>0</vt:i4>
      </vt:variant>
      <vt:variant>
        <vt:i4>5</vt:i4>
      </vt:variant>
      <vt:variant>
        <vt:lpwstr>https://eur-lex.europa.eu/legal-content/EN/TXT/?uri=celex:52025DC0785</vt:lpwstr>
      </vt:variant>
      <vt:variant>
        <vt:lpwstr/>
      </vt:variant>
      <vt:variant>
        <vt:i4>5308469</vt:i4>
      </vt:variant>
      <vt:variant>
        <vt:i4>18</vt:i4>
      </vt:variant>
      <vt:variant>
        <vt:i4>0</vt:i4>
      </vt:variant>
      <vt:variant>
        <vt:i4>5</vt:i4>
      </vt:variant>
      <vt:variant>
        <vt:lpwstr>https://home-affairs.ec.europa.eu/news/visa-applications-reach-117-million-eu-and-schengen-associated-countries-2025-05-20_en</vt:lpwstr>
      </vt:variant>
      <vt:variant>
        <vt:lpwstr>:~:text=2%20min%20read-,Visa%20applications%20reach%2011.7%20million%20in%20EU%20and%20Schengen%20associated,and%20Schengen%20associated%20countries%20were:</vt:lpwstr>
      </vt:variant>
      <vt:variant>
        <vt:i4>524304</vt:i4>
      </vt:variant>
      <vt:variant>
        <vt:i4>15</vt:i4>
      </vt:variant>
      <vt:variant>
        <vt:i4>0</vt:i4>
      </vt:variant>
      <vt:variant>
        <vt:i4>5</vt:i4>
      </vt:variant>
      <vt:variant>
        <vt:lpwstr>https://eur-lex.europa.eu/legal-content/EN/TXT/?uri=CELEX:52025DC0185</vt:lpwstr>
      </vt:variant>
      <vt:variant>
        <vt:lpwstr/>
      </vt:variant>
      <vt:variant>
        <vt:i4>3735596</vt:i4>
      </vt:variant>
      <vt:variant>
        <vt:i4>12</vt:i4>
      </vt:variant>
      <vt:variant>
        <vt:i4>0</vt:i4>
      </vt:variant>
      <vt:variant>
        <vt:i4>5</vt:i4>
      </vt:variant>
      <vt:variant>
        <vt:lpwstr>https://www.euaa.europa.eu/latest-asylum-trends-annual-analysis</vt:lpwstr>
      </vt:variant>
      <vt:variant>
        <vt:lpwstr>section5449-3</vt:lpwstr>
      </vt:variant>
      <vt:variant>
        <vt:i4>6225946</vt:i4>
      </vt:variant>
      <vt:variant>
        <vt:i4>6</vt:i4>
      </vt:variant>
      <vt:variant>
        <vt:i4>0</vt:i4>
      </vt:variant>
      <vt:variant>
        <vt:i4>5</vt:i4>
      </vt:variant>
      <vt:variant>
        <vt:lpwstr>https://www.consilium.europa.eu/en/infographics/eu-visa-agreements-with-non-eu-countries/</vt:lpwstr>
      </vt:variant>
      <vt:variant>
        <vt:lpwstr/>
      </vt:variant>
      <vt:variant>
        <vt:i4>7995427</vt:i4>
      </vt:variant>
      <vt:variant>
        <vt:i4>0</vt:i4>
      </vt:variant>
      <vt:variant>
        <vt:i4>0</vt:i4>
      </vt:variant>
      <vt:variant>
        <vt:i4>5</vt:i4>
      </vt:variant>
      <vt:variant>
        <vt:lpwstr>https://eur-lex.europa.eu/legal-content/EN/TXT/?uri=CELEX%3A52025DC0148</vt:lpwstr>
      </vt:variant>
      <vt:variant>
        <vt:lpwstr/>
      </vt:variant>
      <vt:variant>
        <vt:i4>4849748</vt:i4>
      </vt:variant>
      <vt:variant>
        <vt:i4>3</vt:i4>
      </vt:variant>
      <vt:variant>
        <vt:i4>0</vt:i4>
      </vt:variant>
      <vt:variant>
        <vt:i4>5</vt:i4>
      </vt:variant>
      <vt:variant>
        <vt:lpwstr>https://marie-sklodowska-curie-actions.ec.europa.eu/</vt:lpwstr>
      </vt:variant>
      <vt:variant>
        <vt:lpwstr/>
      </vt:variant>
      <vt:variant>
        <vt:i4>4063349</vt:i4>
      </vt:variant>
      <vt:variant>
        <vt:i4>0</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2026-01-28T07:51:00Z</dcterms:created>
  <dcterms:modified xsi:type="dcterms:W3CDTF">2026-02-11T08:03:00Z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2026-01-27T12:22:38Z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c8a11ce1-b87e-43ef-bf45-b45ddd80a3aa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