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9DB59091-DF0A-491E-BF3E-96D34D4B3EAB" style="width:455.25pt;height:354.75pt">
            <v:imagedata r:id="rId7" o:title=""/>
          </v:shape>
        </w:pict>
      </w:r>
    </w:p>
    <w:p>
      <w:pPr>
        <w:rPr>
          <w:noProof/>
        </w:rPr>
        <w:sectPr>
          <w:headerReference w:type="even" r:id="rId8"/>
          <w:headerReference w:type="default" r:id="rId9"/>
          <w:footerReference w:type="even" r:id="rId10"/>
          <w:footerReference w:type="default" r:id="rId11"/>
          <w:headerReference w:type="first" r:id="rId12"/>
          <w:footerReference w:type="first" r:id="rId13"/>
          <w:pgSz w:w="11907" w:h="16839"/>
          <w:pgMar w:top="1134" w:right="1417" w:bottom="1134" w:left="1417" w:header="709" w:footer="709" w:gutter="0"/>
          <w:pgNumType w:start="0"/>
          <w:cols w:space="720"/>
          <w:docGrid w:linePitch="360"/>
        </w:sectPr>
      </w:pPr>
    </w:p>
    <w:p>
      <w:pPr>
        <w:pStyle w:val="Annexetitre"/>
        <w:rPr>
          <w:noProof/>
        </w:rPr>
      </w:pPr>
      <w:r>
        <w:rPr>
          <w:noProof/>
        </w:rPr>
        <w:lastRenderedPageBreak/>
        <w:t>ANEXA 2</w:t>
      </w:r>
    </w:p>
    <w:p>
      <w:pPr>
        <w:rPr>
          <w:noProof/>
        </w:rPr>
      </w:pPr>
    </w:p>
    <w:p>
      <w:pPr>
        <w:jc w:val="center"/>
        <w:rPr>
          <w:b/>
          <w:bCs/>
          <w:noProof/>
        </w:rPr>
      </w:pPr>
      <w:r>
        <w:rPr>
          <w:b/>
          <w:noProof/>
        </w:rPr>
        <w:t>Declarație privind aderarea statelor care aplică integral acquis-ul Schengen în temeiul dreptului internațional</w:t>
      </w:r>
    </w:p>
    <w:p>
      <w:pPr>
        <w:rPr>
          <w:noProof/>
        </w:rPr>
      </w:pPr>
      <w:r>
        <w:rPr>
          <w:noProof/>
        </w:rPr>
        <w:t xml:space="preserve">Pentru a asigura coerența și buna funcționare a spațiului Schengen, Danemarca și orice alt stat care aplică integral acquis-ul Schengen pe baza unui acord care prevede asocierea sa la punerea în aplicare, asigurarea respectării și dezvoltarea acquis-ului Schengen (denumit în continuare „acord de asociere Schengen”), care nu fac obiectul prezentei decizii, ar trebui să aibă posibilitatea de a adera la acord. </w:t>
      </w:r>
    </w:p>
    <w:p>
      <w:pPr>
        <w:rPr>
          <w:noProof/>
        </w:rPr>
      </w:pPr>
      <w:r>
        <w:rPr>
          <w:noProof/>
        </w:rPr>
        <w:t>Pentru a asigura reprezentarea eficace a tuturor statelor membre care aplică integral acquis-ul Schengen în temeiul dreptului Uniunii, precum și a statelor care aplică integral acquis-ul Schengen în temeiul dreptului internațional și care au aderat la acord (denumite în continuare „state Schengen”), ar trebui să existe un dialog și o consultare regulate între aceste state și Uniune, inclusiv printr-un schimb de opinii în cadrul Comitetului mixt instituit în temeiul acordurilor de asociere Schengen. În cadrul acestor consultări, statele Schengen pot face propuneri pentru a se asigura că situația lor specifică și interesele lor sunt luate în considerare în mod corespunzător.</w:t>
      </w:r>
    </w:p>
    <w:p>
      <w:pPr>
        <w:rPr>
          <w:noProof/>
        </w:rPr>
      </w:pPr>
      <w:r>
        <w:rPr>
          <w:noProof/>
        </w:rPr>
        <w:t>Uniunea și statele Schengen își coordonează, de asemenea, îndeaproape acțiunile pentru a se asigura că pozițiile exprimate de Uniune în contextul exercitării drepturilor prevăzute de acord, inclusiv în cadrul Comitetului mixt și la aplicarea dispozițiilor privind soluționarea litigiilor, țin seama în mod corespunzător de opiniile exprimate de statele Schengen.</w:t>
      </w:r>
    </w:p>
    <w:p>
      <w:pPr>
        <w:rPr>
          <w:noProof/>
        </w:rPr>
      </w:pPr>
      <w:r>
        <w:rPr>
          <w:noProof/>
        </w:rPr>
        <w:t>În cazul în care un stat care a aderat la prezentul acord dorește să se retragă din acord, atunci, fără a aduce atingere Protocolului nr. 22 sau acordurilor de asociere Schengen relevante, după caz, Uniunea și statul care se retrage convin asupra unor măsuri adecvate și proporționale care să fie adoptate în comun în vederea menținerii coerenței și a bunei funcționări a spațiului Schengen.</w:t>
      </w:r>
    </w:p>
    <w:sectPr>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tab/>
    </w:r>
    <w:r>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D2DCE6CE"/>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0C0EBB3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46C8716"/>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2DBCDA1C"/>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5C4EAF6A"/>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5A6A1F5A"/>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829893E0"/>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86BA2B72"/>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19"/>
  </w:num>
  <w:num w:numId="10">
    <w:abstractNumId w:val="12"/>
  </w:num>
  <w:num w:numId="11">
    <w:abstractNumId w:val="21"/>
  </w:num>
  <w:num w:numId="12">
    <w:abstractNumId w:val="11"/>
  </w:num>
  <w:num w:numId="13">
    <w:abstractNumId w:val="13"/>
  </w:num>
  <w:num w:numId="14">
    <w:abstractNumId w:val="14"/>
  </w:num>
  <w:num w:numId="15">
    <w:abstractNumId w:val="9"/>
  </w:num>
  <w:num w:numId="16">
    <w:abstractNumId w:val="20"/>
  </w:num>
  <w:num w:numId="17">
    <w:abstractNumId w:val="8"/>
  </w:num>
  <w:num w:numId="18">
    <w:abstractNumId w:val="15"/>
  </w:num>
  <w:num w:numId="19">
    <w:abstractNumId w:val="17"/>
  </w:num>
  <w:num w:numId="20">
    <w:abstractNumId w:val="18"/>
  </w:num>
  <w:num w:numId="21">
    <w:abstractNumId w:val="10"/>
  </w:num>
  <w:num w:numId="22">
    <w:abstractNumId w:val="16"/>
  </w:num>
  <w:num w:numId="23">
    <w:abstractNumId w:val="2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9-04 15:45:10"/>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la"/>
    <w:docVar w:name="LW_ACCOMPAGNANT.CP" w:val="la"/>
    <w:docVar w:name="LW_ANNEX_NBR_FIRST" w:val="2"/>
    <w:docVar w:name="LW_ANNEX_NBR_LAST" w:val="2"/>
    <w:docVar w:name="LW_ANNEX_UNIQUE" w:val="0"/>
    <w:docVar w:name="LW_CORRIGENDUM" w:val="&lt;UNUSED&gt;"/>
    <w:docVar w:name="LW_COVERPAGE_EXISTS" w:val="True"/>
    <w:docVar w:name="LW_COVERPAGE_GUID" w:val="9DB59091-DF0A-491E-BF3E-96D34D4B3EAB"/>
    <w:docVar w:name="LW_COVERPAGE_TYPE" w:val="1"/>
    <w:docVar w:name="LW_CreatedUtc" w:val="2026-02-11T09:46:21.7721154Z"/>
    <w:docVar w:name="LW_CROSSREFERENCE" w:val="&lt;UNUSED&gt;"/>
    <w:docVar w:name="LW_DocType" w:val="ANNEX"/>
    <w:docVar w:name="LW_EMISSION" w:val="7.9.2026"/>
    <w:docVar w:name="LW_EMISSION_ISODATE" w:val="2026-09-07"/>
    <w:docVar w:name="LW_EMISSION_LOCATION" w:val="BRX"/>
    <w:docVar w:name="LW_EMISSION_PREFIX" w:val="Bruxelles, "/>
    <w:docVar w:name="LW_EMISSION_SUFFIX" w:val=" "/>
    <w:docVar w:name="LW_ID_DOCSTRUCTURE" w:val="COM/ANNEX"/>
    <w:docVar w:name="LW_ID_DOCTYPE" w:val="SG-017"/>
    <w:docVar w:name="LW_LANGUE" w:val="RO"/>
    <w:docVar w:name="LW_LEVEL_OF_SENSITIVITY" w:val="Standard treatment"/>
    <w:docVar w:name="LW_NOM.INST" w:val="COMISIA EUROPEAN\u258?"/>
    <w:docVar w:name="LW_NOM.INST_JOINTDOC" w:val="&lt;EMPTY&gt;"/>
    <w:docVar w:name="LW_OBJETACTEPRINCIPAL" w:val="privind încheierea Acordului dintre Uniunea European\u259? \u537?i Principatul Andorra privind mai multe aspecte din domeniul gestion\u259?rii frontierelor"/>
    <w:docVar w:name="LW_OBJETACTEPRINCIPAL.CP" w:val="privind încheierea Acordului dintre Uniunea European\u259? \u537?i Principatul Andorra privind mai multe aspecte din domeniul gestion\u259?rii frontierelor"/>
    <w:docVar w:name="LW_PART_NBR" w:val="1"/>
    <w:docVar w:name="LW_PART_NBR_TOTAL" w:val="1"/>
    <w:docVar w:name="LW_REF.INST.NEW" w:val="COM"/>
    <w:docVar w:name="LW_REF.INST.NEW_ADOPTED" w:val="final"/>
    <w:docVar w:name="LW_REF.INST.NEW_TEXT" w:val="(2026) 44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EX\u258?"/>
    <w:docVar w:name="LW_TYPE.DOC.CP" w:val="ANEX\u258?"/>
    <w:docVar w:name="LW_TYPEACTEPRINCIPAL" w:val="Propunerea de decizie a Consiliului"/>
    <w:docVar w:name="LW_TYPEACTEPRINCIPAL.CP" w:val="Propunerea de decizie a Consiliului"/>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D5C98281-5059-4B45-824F-1E77270BF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6"/>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6"/>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6"/>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6"/>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character" w:styleId="Hyperlink">
    <w:name w:val="Hyperlink"/>
    <w:basedOn w:val="DefaultParagraphFont"/>
    <w:uiPriority w:val="99"/>
    <w:unhideWhenUsed/>
    <w:rPr>
      <w:color w:val="0000FF" w:themeColor="hyperlink"/>
      <w:u w:val="single"/>
    </w:rPr>
  </w:style>
  <w:style w:type="character" w:styleId="UnresolvedMention">
    <w:name w:val="Unresolved Mention"/>
    <w:basedOn w:val="DefaultParagraphFont"/>
    <w:uiPriority w:val="99"/>
    <w:semiHidden/>
    <w:unhideWhenUsed/>
    <w:rPr>
      <w:color w:val="605E5C"/>
      <w:shd w:val="clear" w:color="auto" w:fill="E1DFDD"/>
    </w:rPr>
  </w:style>
  <w:style w:type="character" w:customStyle="1" w:styleId="HeaderChar">
    <w:name w:val="Header Char"/>
    <w:basedOn w:val="DefaultParagraphFont"/>
    <w:link w:val="Header"/>
    <w:uiPriority w:val="99"/>
    <w:rPr>
      <w:rFonts w:ascii="Times New Roman" w:hAnsi="Times New Roman" w:cs="Times New Roman"/>
      <w:sz w:val="24"/>
      <w:lang w:val="ro-RO"/>
    </w:rPr>
  </w:style>
  <w:style w:type="character" w:customStyle="1" w:styleId="FooterChar">
    <w:name w:val="Footer Char"/>
    <w:basedOn w:val="DefaultParagraphFont"/>
    <w:link w:val="Footer"/>
    <w:uiPriority w:val="99"/>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9"/>
      </w:numPr>
    </w:pPr>
  </w:style>
  <w:style w:type="paragraph" w:customStyle="1" w:styleId="Tiret1">
    <w:name w:val="Tiret 1"/>
    <w:basedOn w:val="Point1"/>
    <w:pPr>
      <w:numPr>
        <w:numId w:val="10"/>
      </w:numPr>
    </w:pPr>
  </w:style>
  <w:style w:type="paragraph" w:customStyle="1" w:styleId="Tiret2">
    <w:name w:val="Tiret 2"/>
    <w:basedOn w:val="Point2"/>
    <w:pPr>
      <w:numPr>
        <w:numId w:val="11"/>
      </w:numPr>
    </w:pPr>
  </w:style>
  <w:style w:type="paragraph" w:customStyle="1" w:styleId="Tiret3">
    <w:name w:val="Tiret 3"/>
    <w:basedOn w:val="Point3"/>
    <w:pPr>
      <w:numPr>
        <w:numId w:val="12"/>
      </w:numPr>
    </w:pPr>
  </w:style>
  <w:style w:type="paragraph" w:customStyle="1" w:styleId="Tiret4">
    <w:name w:val="Tiret 4"/>
    <w:basedOn w:val="Point4"/>
    <w:pPr>
      <w:numPr>
        <w:numId w:val="13"/>
      </w:numPr>
    </w:pPr>
  </w:style>
  <w:style w:type="paragraph" w:customStyle="1" w:styleId="Tiret5">
    <w:name w:val="Tiret 5"/>
    <w:basedOn w:val="Point5"/>
    <w:pPr>
      <w:numPr>
        <w:numId w:val="1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5"/>
      </w:numPr>
    </w:pPr>
  </w:style>
  <w:style w:type="paragraph" w:customStyle="1" w:styleId="NumPar2">
    <w:name w:val="NumPar 2"/>
    <w:basedOn w:val="Normal"/>
    <w:next w:val="Text1"/>
    <w:pPr>
      <w:numPr>
        <w:ilvl w:val="1"/>
        <w:numId w:val="15"/>
      </w:numPr>
    </w:pPr>
  </w:style>
  <w:style w:type="paragraph" w:customStyle="1" w:styleId="NumPar3">
    <w:name w:val="NumPar 3"/>
    <w:basedOn w:val="Normal"/>
    <w:next w:val="Text1"/>
    <w:pPr>
      <w:numPr>
        <w:ilvl w:val="2"/>
        <w:numId w:val="15"/>
      </w:numPr>
    </w:pPr>
  </w:style>
  <w:style w:type="paragraph" w:customStyle="1" w:styleId="NumPar4">
    <w:name w:val="NumPar 4"/>
    <w:basedOn w:val="Normal"/>
    <w:next w:val="Text1"/>
    <w:pPr>
      <w:numPr>
        <w:ilvl w:val="3"/>
        <w:numId w:val="15"/>
      </w:numPr>
    </w:pPr>
  </w:style>
  <w:style w:type="paragraph" w:customStyle="1" w:styleId="NumPar5">
    <w:name w:val="NumPar 5"/>
    <w:basedOn w:val="Normal"/>
    <w:next w:val="Text2"/>
    <w:pPr>
      <w:numPr>
        <w:ilvl w:val="4"/>
        <w:numId w:val="15"/>
      </w:numPr>
    </w:pPr>
  </w:style>
  <w:style w:type="paragraph" w:customStyle="1" w:styleId="NumPar6">
    <w:name w:val="NumPar 6"/>
    <w:basedOn w:val="Normal"/>
    <w:next w:val="Text2"/>
    <w:pPr>
      <w:numPr>
        <w:ilvl w:val="5"/>
        <w:numId w:val="15"/>
      </w:numPr>
    </w:pPr>
  </w:style>
  <w:style w:type="paragraph" w:customStyle="1" w:styleId="NumPar7">
    <w:name w:val="NumPar 7"/>
    <w:basedOn w:val="Normal"/>
    <w:next w:val="Text2"/>
    <w:pPr>
      <w:numPr>
        <w:ilvl w:val="6"/>
        <w:numId w:val="1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7"/>
      </w:numPr>
    </w:pPr>
  </w:style>
  <w:style w:type="paragraph" w:customStyle="1" w:styleId="Point1number">
    <w:name w:val="Point 1 (number)"/>
    <w:basedOn w:val="Normal"/>
    <w:pPr>
      <w:numPr>
        <w:ilvl w:val="2"/>
        <w:numId w:val="17"/>
      </w:numPr>
    </w:pPr>
  </w:style>
  <w:style w:type="paragraph" w:customStyle="1" w:styleId="Point2number">
    <w:name w:val="Point 2 (number)"/>
    <w:basedOn w:val="Normal"/>
    <w:pPr>
      <w:numPr>
        <w:ilvl w:val="4"/>
        <w:numId w:val="17"/>
      </w:numPr>
    </w:pPr>
  </w:style>
  <w:style w:type="paragraph" w:customStyle="1" w:styleId="Point3number">
    <w:name w:val="Point 3 (number)"/>
    <w:basedOn w:val="Normal"/>
    <w:pPr>
      <w:numPr>
        <w:ilvl w:val="6"/>
        <w:numId w:val="17"/>
      </w:numPr>
    </w:pPr>
  </w:style>
  <w:style w:type="paragraph" w:customStyle="1" w:styleId="Point0letter">
    <w:name w:val="Point 0 (letter)"/>
    <w:basedOn w:val="Normal"/>
    <w:pPr>
      <w:numPr>
        <w:ilvl w:val="1"/>
        <w:numId w:val="17"/>
      </w:numPr>
    </w:pPr>
  </w:style>
  <w:style w:type="paragraph" w:customStyle="1" w:styleId="Point1letter">
    <w:name w:val="Point 1 (letter)"/>
    <w:basedOn w:val="Normal"/>
    <w:pPr>
      <w:numPr>
        <w:ilvl w:val="3"/>
        <w:numId w:val="17"/>
      </w:numPr>
    </w:pPr>
  </w:style>
  <w:style w:type="paragraph" w:customStyle="1" w:styleId="Point2letter">
    <w:name w:val="Point 2 (letter)"/>
    <w:basedOn w:val="Normal"/>
    <w:pPr>
      <w:numPr>
        <w:ilvl w:val="5"/>
        <w:numId w:val="17"/>
      </w:numPr>
    </w:pPr>
  </w:style>
  <w:style w:type="paragraph" w:customStyle="1" w:styleId="Point3letter">
    <w:name w:val="Point 3 (letter)"/>
    <w:basedOn w:val="Normal"/>
    <w:pPr>
      <w:numPr>
        <w:ilvl w:val="7"/>
        <w:numId w:val="17"/>
      </w:numPr>
    </w:pPr>
  </w:style>
  <w:style w:type="paragraph" w:customStyle="1" w:styleId="Point4letter">
    <w:name w:val="Point 4 (letter)"/>
    <w:basedOn w:val="Normal"/>
    <w:pPr>
      <w:numPr>
        <w:ilvl w:val="8"/>
        <w:numId w:val="17"/>
      </w:numPr>
    </w:pPr>
  </w:style>
  <w:style w:type="paragraph" w:customStyle="1" w:styleId="Bullet0">
    <w:name w:val="Bullet 0"/>
    <w:basedOn w:val="Normal"/>
    <w:pPr>
      <w:numPr>
        <w:numId w:val="18"/>
      </w:numPr>
    </w:pPr>
  </w:style>
  <w:style w:type="paragraph" w:customStyle="1" w:styleId="Bullet1">
    <w:name w:val="Bullet 1"/>
    <w:basedOn w:val="Normal"/>
    <w:pPr>
      <w:numPr>
        <w:numId w:val="19"/>
      </w:numPr>
    </w:pPr>
  </w:style>
  <w:style w:type="paragraph" w:customStyle="1" w:styleId="Bullet2">
    <w:name w:val="Bullet 2"/>
    <w:basedOn w:val="Normal"/>
    <w:pPr>
      <w:numPr>
        <w:numId w:val="20"/>
      </w:numPr>
    </w:pPr>
  </w:style>
  <w:style w:type="paragraph" w:customStyle="1" w:styleId="Bullet3">
    <w:name w:val="Bullet 3"/>
    <w:basedOn w:val="Normal"/>
    <w:pPr>
      <w:numPr>
        <w:numId w:val="21"/>
      </w:numPr>
    </w:pPr>
  </w:style>
  <w:style w:type="paragraph" w:customStyle="1" w:styleId="Bullet4">
    <w:name w:val="Bullet 4"/>
    <w:basedOn w:val="Normal"/>
    <w:pPr>
      <w:numPr>
        <w:numId w:val="22"/>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52689">
      <w:bodyDiv w:val="1"/>
      <w:marLeft w:val="0"/>
      <w:marRight w:val="0"/>
      <w:marTop w:val="0"/>
      <w:marBottom w:val="0"/>
      <w:divBdr>
        <w:top w:val="none" w:sz="0" w:space="0" w:color="auto"/>
        <w:left w:val="none" w:sz="0" w:space="0" w:color="auto"/>
        <w:bottom w:val="none" w:sz="0" w:space="0" w:color="auto"/>
        <w:right w:val="none" w:sz="0" w:space="0" w:color="auto"/>
      </w:divBdr>
    </w:div>
    <w:div w:id="1804077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ANNEX.dotm</Template>
  <TotalTime>13</TotalTime>
  <Pages>2</Pages>
  <Words>294</Words>
  <Characters>1679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19</cp:revision>
  <dcterms:created xsi:type="dcterms:W3CDTF">2026-06-01T15:35:00Z</dcterms:created>
  <dcterms:modified xsi:type="dcterms:W3CDTF">2026-09-04T13:45:00Z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First annex">
    <vt:lpwstr>2</vt:lpwstr>
  </property>
  <property fmtid="{D5CDD505-2E9C-101B-9397-08002B2CF9AE}" pid="7" name="Last annex">
    <vt:lpwstr>2</vt:lpwstr>
  </property>
  <property fmtid="{D5CDD505-2E9C-101B-9397-08002B2CF9AE}" pid="8" name="Unique annex">
    <vt:lpwstr>0</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2026-02-11T09:59:18Z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61fdd26f-8c11-49f1-9c5e-dd3e9b3c7727</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DQCStatus">
    <vt:lpwstr>Green (DQC version 03)</vt:lpwstr>
  </property>
</Properties>
</file>