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lang w:val="en-IE"/>
        </w:rPr>
      </w:pPr>
      <w:bookmarkStart w:id="0" w:name="LW_BM_COVERPAGE"/>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58CD471-509F-434F-B2CF-36C382004662" style="width:455.25pt;height:372.75pt">
            <v:imagedata r:id="rId11" o:title=""/>
          </v:shape>
        </w:pict>
      </w:r>
    </w:p>
    <w:bookmarkEnd w:id="0"/>
    <w:p>
      <w:pPr>
        <w:rPr>
          <w:rFonts w:ascii="Times New Roman" w:hAnsi="Times New Roman" w:cs="Times New Roman"/>
          <w:noProof/>
          <w:lang w:val="en-IE"/>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sz w:val="36"/>
          <w:szCs w:val="36"/>
          <w:lang w:val="en-IE"/>
        </w:rPr>
      </w:pPr>
      <w:r>
        <w:rPr>
          <w:rFonts w:ascii="Times New Roman" w:hAnsi="Times New Roman" w:cs="Times New Roman"/>
          <w:noProof/>
          <w:sz w:val="36"/>
          <w:szCs w:val="36"/>
          <w:lang w:val="en-IE"/>
        </w:rPr>
        <w:t>Agreement between the European Union and the Principality of Andorra on several aspects in the field of border management</w:t>
      </w:r>
    </w:p>
    <w:p>
      <w:pPr>
        <w:jc w:val="center"/>
        <w:rPr>
          <w:rFonts w:ascii="Times New Roman" w:hAnsi="Times New Roman" w:cs="Times New Roman"/>
          <w:noProof/>
          <w:color w:val="00B050"/>
          <w:sz w:val="36"/>
          <w:szCs w:val="36"/>
          <w:lang w:val="en-IE"/>
        </w:rPr>
      </w:pPr>
    </w:p>
    <w:p>
      <w:pPr>
        <w:jc w:val="left"/>
        <w:rPr>
          <w:rFonts w:ascii="Times New Roman" w:hAnsi="Times New Roman" w:cs="Times New Roman"/>
          <w:noProof/>
          <w:lang w:val="en-IE"/>
        </w:rPr>
      </w:pPr>
      <w:r>
        <w:rPr>
          <w:rFonts w:ascii="Times New Roman" w:hAnsi="Times New Roman" w:cs="Times New Roman"/>
          <w:noProof/>
          <w:lang w:val="en-IE"/>
        </w:rPr>
        <w:br w:type="page"/>
      </w:r>
    </w:p>
    <w:p>
      <w:pPr>
        <w:jc w:val="center"/>
        <w:rPr>
          <w:rFonts w:ascii="Times New Roman" w:hAnsi="Times New Roman" w:cs="Times New Roman"/>
          <w:b/>
          <w:noProof/>
          <w:sz w:val="36"/>
          <w:szCs w:val="32"/>
          <w:lang w:val="en-IE"/>
        </w:rPr>
      </w:pPr>
      <w:r>
        <w:rPr>
          <w:rFonts w:ascii="Times New Roman" w:hAnsi="Times New Roman" w:cs="Times New Roman"/>
          <w:b/>
          <w:noProof/>
          <w:sz w:val="36"/>
          <w:szCs w:val="32"/>
          <w:lang w:val="en-IE"/>
        </w:rPr>
        <w:lastRenderedPageBreak/>
        <w:t>TABLE OF CONTENT</w:t>
      </w:r>
    </w:p>
    <w:p>
      <w:pPr>
        <w:jc w:val="left"/>
        <w:rPr>
          <w:rFonts w:ascii="Times New Roman" w:hAnsi="Times New Roman" w:cs="Times New Roman"/>
          <w:b/>
          <w:noProof/>
          <w:color w:val="00B050"/>
          <w:sz w:val="24"/>
          <w:lang w:val="en-IE"/>
        </w:rPr>
      </w:pPr>
    </w:p>
    <w:p>
      <w:pPr>
        <w:pStyle w:val="TOC1"/>
        <w:rPr>
          <w:rFonts w:ascii="Times New Roman" w:eastAsiaTheme="minorEastAsia" w:hAnsi="Times New Roman" w:cs="Times New Roman"/>
          <w:b w:val="0"/>
          <w:noProof/>
          <w:kern w:val="2"/>
          <w:szCs w:val="24"/>
          <w:lang w:val="en-IE" w:eastAsia="en-IE"/>
          <w14:ligatures w14:val="standardContextual"/>
        </w:rPr>
      </w:pPr>
      <w:r>
        <w:rPr>
          <w:rFonts w:ascii="Times New Roman" w:hAnsi="Times New Roman" w:cs="Times New Roman"/>
          <w:noProof/>
          <w:color w:val="00B050"/>
          <w:lang w:val="en-IE"/>
        </w:rPr>
        <w:fldChar w:fldCharType="begin"/>
      </w:r>
      <w:r>
        <w:rPr>
          <w:rFonts w:ascii="Times New Roman" w:hAnsi="Times New Roman" w:cs="Times New Roman"/>
          <w:noProof/>
          <w:color w:val="00B050"/>
          <w:lang w:val="en-IE"/>
        </w:rPr>
        <w:instrText xml:space="preserve"> TOC \o "1-5" \h \z \u </w:instrText>
      </w:r>
      <w:r>
        <w:rPr>
          <w:rFonts w:ascii="Times New Roman" w:hAnsi="Times New Roman" w:cs="Times New Roman"/>
          <w:noProof/>
          <w:color w:val="00B050"/>
          <w:lang w:val="en-IE"/>
        </w:rPr>
        <w:fldChar w:fldCharType="separate"/>
      </w:r>
      <w:hyperlink w:anchor="_Toc231459326" w:history="1">
        <w:r>
          <w:rPr>
            <w:rStyle w:val="Hyperlink"/>
            <w:rFonts w:ascii="Times New Roman" w:hAnsi="Times New Roman" w:cs="Times New Roman"/>
            <w:noProof/>
            <w:lang w:val="en-IE"/>
          </w:rPr>
          <w:t>PREAMBLE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_Toc231459326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5</w:t>
        </w:r>
        <w:r>
          <w:rPr>
            <w:rFonts w:ascii="Times New Roman" w:hAnsi="Times New Roman" w:cs="Times New Roman"/>
            <w:noProof/>
            <w:webHidden/>
          </w:rPr>
          <w:fldChar w:fldCharType="end"/>
        </w:r>
      </w:hyperlink>
    </w:p>
    <w:p>
      <w:pPr>
        <w:pStyle w:val="TOC1"/>
        <w:rPr>
          <w:rFonts w:ascii="Times New Roman" w:eastAsiaTheme="minorEastAsia" w:hAnsi="Times New Roman" w:cs="Times New Roman"/>
          <w:b w:val="0"/>
          <w:noProof/>
          <w:kern w:val="2"/>
          <w:szCs w:val="24"/>
          <w:lang w:val="en-IE" w:eastAsia="en-IE"/>
          <w14:ligatures w14:val="standardContextual"/>
        </w:rPr>
      </w:pPr>
      <w:hyperlink w:anchor="_Toc231459327" w:history="1">
        <w:r>
          <w:rPr>
            <w:rStyle w:val="Hyperlink"/>
            <w:rFonts w:ascii="Times New Roman" w:hAnsi="Times New Roman" w:cs="Times New Roman"/>
            <w:noProof/>
            <w:lang w:val="en-IE"/>
          </w:rPr>
          <w:t>PART ONE  INSTITUTIONAL PROVISIONS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_Toc231459327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8</w:t>
        </w:r>
        <w:r>
          <w:rPr>
            <w:rFonts w:ascii="Times New Roman" w:hAnsi="Times New Roman" w:cs="Times New Roman"/>
            <w:noProof/>
            <w:webHidden/>
          </w:rPr>
          <w:fldChar w:fldCharType="end"/>
        </w:r>
      </w:hyperlink>
    </w:p>
    <w:p>
      <w:pPr>
        <w:pStyle w:val="TOC2"/>
        <w:tabs>
          <w:tab w:val="right" w:leader="dot" w:pos="9350"/>
        </w:tabs>
        <w:rPr>
          <w:rFonts w:ascii="Times New Roman" w:eastAsiaTheme="minorEastAsia" w:hAnsi="Times New Roman" w:cs="Times New Roman"/>
          <w:noProof/>
          <w:kern w:val="2"/>
          <w:sz w:val="24"/>
          <w:szCs w:val="24"/>
          <w:lang w:val="en-IE" w:eastAsia="en-IE"/>
          <w14:ligatures w14:val="standardContextual"/>
        </w:rPr>
      </w:pPr>
      <w:hyperlink w:anchor="_Toc231459328" w:history="1">
        <w:r>
          <w:rPr>
            <w:rStyle w:val="Hyperlink"/>
            <w:rFonts w:ascii="Times New Roman" w:hAnsi="Times New Roman" w:cs="Times New Roman"/>
            <w:noProof/>
            <w:lang w:val="en-IE"/>
          </w:rPr>
          <w:t>TITLE I  GENERAL PROVISIONS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_Toc231459328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29" w:history="1">
        <w:r>
          <w:rPr>
            <w:rStyle w:val="Hyperlink"/>
            <w:rFonts w:ascii="Times New Roman" w:hAnsi="Times New Roman" w:cs="Times New Roman"/>
            <w:noProof/>
            <w:lang w:val="en-IE"/>
          </w:rPr>
          <w:t>Article 1  Subject matter</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_Toc231459329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30" w:history="1">
        <w:r>
          <w:rPr>
            <w:rStyle w:val="Hyperlink"/>
            <w:rFonts w:ascii="Times New Roman" w:hAnsi="Times New Roman" w:cs="Times New Roman"/>
            <w:noProof/>
            <w:lang w:val="en-IE"/>
          </w:rPr>
          <w:t xml:space="preserve">Article 2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Supplementing agreements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31" w:history="1">
        <w:r>
          <w:rPr>
            <w:rStyle w:val="Hyperlink"/>
            <w:rFonts w:ascii="Times New Roman" w:hAnsi="Times New Roman" w:cs="Times New Roman"/>
            <w:noProof/>
            <w:lang w:val="en-IE"/>
          </w:rPr>
          <w:t>Article 3  Good faith</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32" w:history="1">
        <w:r>
          <w:rPr>
            <w:rStyle w:val="Hyperlink"/>
            <w:rFonts w:ascii="Times New Roman" w:eastAsia="Times New Roman" w:hAnsi="Times New Roman" w:cs="Times New Roman"/>
            <w:noProof/>
            <w:lang w:eastAsia="en-GB"/>
          </w:rPr>
          <w:t>Article 4  General Principles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33" w:history="1">
        <w:r>
          <w:rPr>
            <w:rStyle w:val="Hyperlink"/>
            <w:rFonts w:ascii="Times New Roman" w:eastAsia="Times New Roman" w:hAnsi="Times New Roman" w:cs="Times New Roman"/>
            <w:noProof/>
            <w:lang w:val="en-US" w:eastAsia="nl-NL"/>
          </w:rPr>
          <w:t xml:space="preserve">Article </w:t>
        </w:r>
        <w:r>
          <w:rPr>
            <w:rStyle w:val="Hyperlink"/>
            <w:rFonts w:ascii="Times New Roman" w:eastAsia="Times New Roman" w:hAnsi="Times New Roman" w:cs="Times New Roman"/>
            <w:noProof/>
            <w:lang w:eastAsia="nl-NL"/>
          </w:rPr>
          <w:t>5</w:t>
        </w:r>
        <w:r>
          <w:rPr>
            <w:rStyle w:val="Hyperlink"/>
            <w:rFonts w:ascii="Times New Roman" w:eastAsia="Times New Roman" w:hAnsi="Times New Roman" w:cs="Times New Roman"/>
            <w:noProof/>
            <w:lang w:val="en-US" w:eastAsia="nl-NL"/>
          </w:rPr>
          <w:t xml:space="preserve">  Personal data protection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34" w:history="1">
        <w:r>
          <w:rPr>
            <w:rStyle w:val="Hyperlink"/>
            <w:rFonts w:ascii="Times New Roman" w:eastAsia="Times New Roman" w:hAnsi="Times New Roman" w:cs="Times New Roman"/>
            <w:noProof/>
            <w:lang w:val="en-US" w:eastAsia="nl-NL"/>
          </w:rPr>
          <w:t>Article</w:t>
        </w:r>
        <w:r>
          <w:rPr>
            <w:rStyle w:val="Hyperlink"/>
            <w:rFonts w:ascii="Times New Roman" w:eastAsia="Times New Roman" w:hAnsi="Times New Roman" w:cs="Times New Roman"/>
            <w:noProof/>
            <w:lang w:eastAsia="en-GB"/>
          </w:rPr>
          <w:t xml:space="preserve"> </w:t>
        </w:r>
        <w:r>
          <w:rPr>
            <w:rStyle w:val="Hyperlink"/>
            <w:rFonts w:ascii="Times New Roman" w:hAnsi="Times New Roman" w:cs="Times New Roman"/>
            <w:noProof/>
          </w:rPr>
          <w:t>6</w:t>
        </w:r>
        <w:r>
          <w:rPr>
            <w:rStyle w:val="Hyperlink"/>
            <w:rFonts w:ascii="Times New Roman" w:eastAsia="Times New Roman" w:hAnsi="Times New Roman" w:cs="Times New Roman"/>
            <w:noProof/>
            <w:lang w:eastAsia="en-GB"/>
          </w:rPr>
          <w:t xml:space="preserve"> Essential elements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10</w:t>
        </w:r>
        <w:r>
          <w:rPr>
            <w:rFonts w:ascii="Times New Roman" w:hAnsi="Times New Roman" w:cs="Times New Roman"/>
            <w:noProof/>
            <w:webHidden/>
          </w:rPr>
          <w:fldChar w:fldCharType="end"/>
        </w:r>
      </w:hyperlink>
    </w:p>
    <w:p>
      <w:pPr>
        <w:pStyle w:val="TOC2"/>
        <w:tabs>
          <w:tab w:val="right" w:leader="dot" w:pos="9350"/>
        </w:tabs>
        <w:rPr>
          <w:rFonts w:ascii="Times New Roman" w:eastAsiaTheme="minorEastAsia" w:hAnsi="Times New Roman" w:cs="Times New Roman"/>
          <w:noProof/>
          <w:kern w:val="2"/>
          <w:sz w:val="24"/>
          <w:szCs w:val="24"/>
          <w:lang w:val="en-IE" w:eastAsia="en-IE"/>
          <w14:ligatures w14:val="standardContextual"/>
        </w:rPr>
      </w:pPr>
      <w:hyperlink w:anchor="_Toc231459335" w:history="1">
        <w:r>
          <w:rPr>
            <w:rStyle w:val="Hyperlink"/>
            <w:rFonts w:ascii="Times New Roman" w:hAnsi="Times New Roman" w:cs="Times New Roman"/>
            <w:noProof/>
            <w:lang w:val="en-IE"/>
          </w:rPr>
          <w:t>TITLE II PRINCIPLES OF INTERPRETATION AND DEFINITIONS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36" w:history="1">
        <w:r>
          <w:rPr>
            <w:rStyle w:val="Hyperlink"/>
            <w:rFonts w:ascii="Times New Roman" w:hAnsi="Times New Roman" w:cs="Times New Roman"/>
            <w:noProof/>
            <w:lang w:val="en-IE"/>
          </w:rPr>
          <w:t>Article 7  European Union law</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37"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8 </w:t>
        </w:r>
        <w:r>
          <w:rPr>
            <w:rStyle w:val="Hyperlink"/>
            <w:rFonts w:ascii="Times New Roman" w:hAnsi="Times New Roman" w:cs="Times New Roman"/>
            <w:noProof/>
            <w:lang w:val="en-IE"/>
          </w:rPr>
          <w:t xml:space="preserve"> Private rights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38" w:history="1">
        <w:r>
          <w:rPr>
            <w:rStyle w:val="Hyperlink"/>
            <w:rFonts w:ascii="Times New Roman" w:hAnsi="Times New Roman" w:cs="Times New Roman"/>
            <w:noProof/>
            <w:lang w:val="en-IE"/>
          </w:rPr>
          <w:t>Article 9  Definitions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10</w:t>
        </w:r>
        <w:r>
          <w:rPr>
            <w:rFonts w:ascii="Times New Roman" w:hAnsi="Times New Roman" w:cs="Times New Roman"/>
            <w:noProof/>
            <w:webHidden/>
          </w:rPr>
          <w:fldChar w:fldCharType="end"/>
        </w:r>
      </w:hyperlink>
    </w:p>
    <w:p>
      <w:pPr>
        <w:pStyle w:val="TOC2"/>
        <w:tabs>
          <w:tab w:val="right" w:leader="dot" w:pos="9350"/>
        </w:tabs>
        <w:rPr>
          <w:rFonts w:ascii="Times New Roman" w:eastAsiaTheme="minorEastAsia" w:hAnsi="Times New Roman" w:cs="Times New Roman"/>
          <w:noProof/>
          <w:kern w:val="2"/>
          <w:sz w:val="24"/>
          <w:szCs w:val="24"/>
          <w:lang w:val="en-IE" w:eastAsia="en-IE"/>
          <w14:ligatures w14:val="standardContextual"/>
        </w:rPr>
      </w:pPr>
      <w:hyperlink w:anchor="_Toc231459339" w:history="1">
        <w:r>
          <w:rPr>
            <w:rStyle w:val="Hyperlink"/>
            <w:rFonts w:ascii="Times New Roman" w:hAnsi="Times New Roman" w:cs="Times New Roman"/>
            <w:noProof/>
            <w:lang w:val="en-IE"/>
          </w:rPr>
          <w:t>TITLE III</w:t>
        </w:r>
        <w:r>
          <w:rPr>
            <w:rStyle w:val="Hyperlink"/>
            <w:rFonts w:ascii="Times New Roman" w:hAnsi="Times New Roman" w:cs="Times New Roman"/>
            <w:noProof/>
          </w:rPr>
          <w:t xml:space="preserve"> </w:t>
        </w:r>
        <w:r>
          <w:rPr>
            <w:rStyle w:val="Hyperlink"/>
            <w:rFonts w:ascii="Times New Roman" w:hAnsi="Times New Roman" w:cs="Times New Roman"/>
            <w:noProof/>
            <w:lang w:val="en-IE"/>
          </w:rPr>
          <w:t>INSTITUTIONAL FRAMEWORK</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_Toc231459339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13</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40" w:history="1">
        <w:r>
          <w:rPr>
            <w:rStyle w:val="Hyperlink"/>
            <w:rFonts w:ascii="Times New Roman" w:hAnsi="Times New Roman" w:cs="Times New Roman"/>
            <w:noProof/>
            <w:lang w:val="en-IE"/>
          </w:rPr>
          <w:t xml:space="preserve">Article 10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Joint Committee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13</w:t>
        </w:r>
        <w:r>
          <w:rPr>
            <w:rFonts w:ascii="Times New Roman" w:hAnsi="Times New Roman" w:cs="Times New Roman"/>
            <w:noProof/>
            <w:webHidden/>
          </w:rPr>
          <w:fldChar w:fldCharType="end"/>
        </w:r>
      </w:hyperlink>
    </w:p>
    <w:p>
      <w:pPr>
        <w:pStyle w:val="TOC1"/>
        <w:rPr>
          <w:rFonts w:ascii="Times New Roman" w:eastAsiaTheme="minorEastAsia" w:hAnsi="Times New Roman" w:cs="Times New Roman"/>
          <w:b w:val="0"/>
          <w:noProof/>
          <w:kern w:val="2"/>
          <w:szCs w:val="24"/>
          <w:lang w:val="en-IE" w:eastAsia="en-IE"/>
          <w14:ligatures w14:val="standardContextual"/>
        </w:rPr>
      </w:pPr>
      <w:hyperlink w:anchor="_Toc231459341" w:history="1">
        <w:r>
          <w:rPr>
            <w:rStyle w:val="Hyperlink"/>
            <w:rFonts w:ascii="Times New Roman" w:hAnsi="Times New Roman" w:cs="Times New Roman"/>
            <w:noProof/>
          </w:rPr>
          <w:t>PART TWO: CIRCULATION OF PERSONS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14</w:t>
        </w:r>
        <w:r>
          <w:rPr>
            <w:rFonts w:ascii="Times New Roman" w:hAnsi="Times New Roman" w:cs="Times New Roman"/>
            <w:noProof/>
            <w:webHidden/>
          </w:rPr>
          <w:fldChar w:fldCharType="end"/>
        </w:r>
      </w:hyperlink>
    </w:p>
    <w:p>
      <w:pPr>
        <w:pStyle w:val="TOC2"/>
        <w:tabs>
          <w:tab w:val="right" w:leader="dot" w:pos="9350"/>
        </w:tabs>
        <w:rPr>
          <w:rFonts w:ascii="Times New Roman" w:eastAsiaTheme="minorEastAsia" w:hAnsi="Times New Roman" w:cs="Times New Roman"/>
          <w:noProof/>
          <w:kern w:val="2"/>
          <w:sz w:val="24"/>
          <w:szCs w:val="24"/>
          <w:lang w:val="en-IE" w:eastAsia="en-IE"/>
          <w14:ligatures w14:val="standardContextual"/>
        </w:rPr>
      </w:pPr>
      <w:hyperlink w:anchor="_Toc231459342" w:history="1">
        <w:r>
          <w:rPr>
            <w:rStyle w:val="Hyperlink"/>
            <w:rFonts w:ascii="Times New Roman" w:hAnsi="Times New Roman" w:cs="Times New Roman"/>
            <w:noProof/>
            <w:lang w:val="en-IE"/>
          </w:rPr>
          <w:t>TITLE I  GENERAL PRINCIPLES AND OBJECTIVES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14</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43" w:history="1">
        <w:r>
          <w:rPr>
            <w:rStyle w:val="Hyperlink"/>
            <w:rFonts w:ascii="Times New Roman" w:hAnsi="Times New Roman" w:cs="Times New Roman"/>
            <w:noProof/>
            <w:lang w:val="en-IE"/>
          </w:rPr>
          <w:t>Article 11 Border checks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14</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44"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12</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Checks within the territory and the border areas between the Principality of Andorra and the </w:t>
        </w:r>
        <w:r>
          <w:rPr>
            <w:rStyle w:val="Hyperlink"/>
            <w:rFonts w:ascii="Times New Roman" w:hAnsi="Times New Roman" w:cs="Times New Roman"/>
            <w:noProof/>
            <w:lang w:val="en-IE"/>
          </w:rPr>
          <w:t>Schengen States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14</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45"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13</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Introduction of border control</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15</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46"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14</w:t>
        </w:r>
        <w:r>
          <w:rPr>
            <w:rStyle w:val="Hyperlink"/>
            <w:rFonts w:ascii="Times New Roman" w:hAnsi="Times New Roman" w:cs="Times New Roman"/>
            <w:noProof/>
            <w:lang w:val="en-IE"/>
          </w:rPr>
          <w:t xml:space="preserve">  European Union databases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16</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47"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w:t>
        </w:r>
        <w:r>
          <w:rPr>
            <w:rStyle w:val="Hyperlink"/>
            <w:rFonts w:ascii="Times New Roman" w:hAnsi="Times New Roman" w:cs="Times New Roman"/>
            <w:noProof/>
            <w:lang w:val="en-IE"/>
          </w:rPr>
          <w:t>5  Calculation of authorised stay</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16</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48"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16</w:t>
        </w:r>
        <w:r>
          <w:rPr>
            <w:rStyle w:val="Hyperlink"/>
            <w:rFonts w:ascii="Times New Roman" w:hAnsi="Times New Roman" w:cs="Times New Roman"/>
            <w:noProof/>
            <w:lang w:val="en-IE"/>
          </w:rPr>
          <w:t xml:space="preserve">  </w:t>
        </w:r>
        <w:r>
          <w:rPr>
            <w:rStyle w:val="Hyperlink"/>
            <w:rFonts w:ascii="Times New Roman" w:eastAsia="Calibri" w:hAnsi="Times New Roman" w:cs="Times New Roman"/>
            <w:noProof/>
          </w:rPr>
          <w:t>Operational arrangements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16</w:t>
        </w:r>
        <w:r>
          <w:rPr>
            <w:rFonts w:ascii="Times New Roman" w:hAnsi="Times New Roman" w:cs="Times New Roman"/>
            <w:noProof/>
            <w:webHidden/>
          </w:rPr>
          <w:fldChar w:fldCharType="end"/>
        </w:r>
      </w:hyperlink>
    </w:p>
    <w:p>
      <w:pPr>
        <w:pStyle w:val="TOC2"/>
        <w:tabs>
          <w:tab w:val="right" w:leader="dot" w:pos="9350"/>
        </w:tabs>
        <w:rPr>
          <w:rFonts w:ascii="Times New Roman" w:eastAsiaTheme="minorEastAsia" w:hAnsi="Times New Roman" w:cs="Times New Roman"/>
          <w:noProof/>
          <w:kern w:val="2"/>
          <w:sz w:val="24"/>
          <w:szCs w:val="24"/>
          <w:lang w:val="en-IE" w:eastAsia="en-IE"/>
          <w14:ligatures w14:val="standardContextual"/>
        </w:rPr>
      </w:pPr>
      <w:hyperlink w:anchor="_Toc231459349" w:history="1">
        <w:r>
          <w:rPr>
            <w:rStyle w:val="Hyperlink"/>
            <w:rFonts w:ascii="Times New Roman" w:hAnsi="Times New Roman" w:cs="Times New Roman"/>
            <w:noProof/>
            <w:lang w:val="en-IE"/>
          </w:rPr>
          <w:t>TITLE II  SAFEGUARD/COMPENSATORY MEASURES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_Toc231459349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50"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17</w:t>
        </w:r>
        <w:r>
          <w:rPr>
            <w:rStyle w:val="Hyperlink"/>
            <w:rFonts w:ascii="Times New Roman" w:hAnsi="Times New Roman" w:cs="Times New Roman"/>
            <w:noProof/>
            <w:lang w:val="en-IE"/>
          </w:rPr>
          <w:t xml:space="preserve">  </w:t>
        </w:r>
        <w:r>
          <w:rPr>
            <w:rStyle w:val="Hyperlink"/>
            <w:rFonts w:ascii="Times New Roman" w:hAnsi="Times New Roman" w:cs="Times New Roman"/>
            <w:noProof/>
          </w:rPr>
          <w:t>Scope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51"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18</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Relation with European Union law</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52"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19</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Border control in case of arrivals directly in the territory of the Principality of Andorra from outside the Schengen area</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17</w:t>
        </w:r>
        <w:r>
          <w:rPr>
            <w:rFonts w:ascii="Times New Roman" w:hAnsi="Times New Roman" w:cs="Times New Roman"/>
            <w:noProof/>
            <w:webHidden/>
          </w:rPr>
          <w:fldChar w:fldCharType="end"/>
        </w:r>
      </w:hyperlink>
    </w:p>
    <w:p>
      <w:pPr>
        <w:pStyle w:val="TOC2"/>
        <w:tabs>
          <w:tab w:val="right" w:leader="dot" w:pos="9350"/>
        </w:tabs>
        <w:rPr>
          <w:rFonts w:ascii="Times New Roman" w:eastAsiaTheme="minorEastAsia" w:hAnsi="Times New Roman" w:cs="Times New Roman"/>
          <w:noProof/>
          <w:kern w:val="2"/>
          <w:sz w:val="24"/>
          <w:szCs w:val="24"/>
          <w:lang w:val="en-IE" w:eastAsia="en-IE"/>
          <w14:ligatures w14:val="standardContextual"/>
        </w:rPr>
      </w:pPr>
      <w:hyperlink w:anchor="_Toc231459353" w:history="1">
        <w:r>
          <w:rPr>
            <w:rStyle w:val="Hyperlink"/>
            <w:rFonts w:ascii="Times New Roman" w:hAnsi="Times New Roman" w:cs="Times New Roman"/>
            <w:noProof/>
          </w:rPr>
          <w:t>Chapter 1  ENTRY, STAY AND RESIDENCE – SPECIAL RULES, ISSUANCE OF RESIDENCE PERMITS AND VISAS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54" w:history="1">
        <w:r>
          <w:rPr>
            <w:rStyle w:val="Hyperlink"/>
            <w:rFonts w:ascii="Times New Roman" w:hAnsi="Times New Roman" w:cs="Times New Roman"/>
            <w:noProof/>
          </w:rPr>
          <w:t xml:space="preserve">Article </w:t>
        </w:r>
        <w:r>
          <w:rPr>
            <w:rStyle w:val="Hyperlink"/>
            <w:rFonts w:ascii="Times New Roman" w:hAnsi="Times New Roman" w:cs="Times New Roman"/>
            <w:noProof/>
            <w:lang w:val="en-IE"/>
          </w:rPr>
          <w:t xml:space="preserve">20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Right of entry, stay and residence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55" w:history="1">
        <w:r>
          <w:rPr>
            <w:rStyle w:val="Hyperlink"/>
            <w:rFonts w:ascii="Times New Roman" w:hAnsi="Times New Roman" w:cs="Times New Roman"/>
            <w:noProof/>
            <w:lang w:val="en-IE"/>
          </w:rPr>
          <w:t>Article 21  Visa free travel</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56"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22</w:t>
        </w:r>
        <w:r>
          <w:rPr>
            <w:rStyle w:val="Hyperlink"/>
            <w:rFonts w:ascii="Times New Roman" w:hAnsi="Times New Roman" w:cs="Times New Roman"/>
            <w:noProof/>
            <w:lang w:val="en-IE"/>
          </w:rPr>
          <w:t xml:space="preserve"> Facilitations at the external borders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57"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23 </w:t>
        </w:r>
        <w:r>
          <w:rPr>
            <w:rStyle w:val="Hyperlink"/>
            <w:rFonts w:ascii="Times New Roman" w:hAnsi="Times New Roman" w:cs="Times New Roman"/>
            <w:noProof/>
            <w:lang w:val="en-IE"/>
          </w:rPr>
          <w:t>Entry in the territory of the Schengen States for transit purposes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58"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24</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Right of residence in the Principality of Andorra</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59"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25</w:t>
        </w:r>
        <w:r>
          <w:rPr>
            <w:rStyle w:val="Hyperlink"/>
            <w:rFonts w:ascii="Times New Roman" w:hAnsi="Times New Roman" w:cs="Times New Roman"/>
            <w:noProof/>
            <w:lang w:val="en-IE"/>
          </w:rPr>
          <w:t xml:space="preserve">  Residence permits issued or renewed by the Principality of Andorra</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_Toc231459359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60"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26</w:t>
        </w:r>
        <w:r>
          <w:rPr>
            <w:rStyle w:val="Hyperlink"/>
            <w:rFonts w:ascii="Times New Roman" w:hAnsi="Times New Roman" w:cs="Times New Roman"/>
            <w:noProof/>
            <w:lang w:val="en-IE"/>
          </w:rPr>
          <w:t xml:space="preserve"> Transitional rule for residence permits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24</w:t>
        </w:r>
        <w:r>
          <w:rPr>
            <w:rFonts w:ascii="Times New Roman" w:hAnsi="Times New Roman" w:cs="Times New Roman"/>
            <w:noProof/>
            <w:webHidden/>
          </w:rPr>
          <w:fldChar w:fldCharType="end"/>
        </w:r>
      </w:hyperlink>
    </w:p>
    <w:p>
      <w:pPr>
        <w:pStyle w:val="TOC2"/>
        <w:tabs>
          <w:tab w:val="right" w:leader="dot" w:pos="9350"/>
        </w:tabs>
        <w:rPr>
          <w:rFonts w:ascii="Times New Roman" w:eastAsiaTheme="minorEastAsia" w:hAnsi="Times New Roman" w:cs="Times New Roman"/>
          <w:noProof/>
          <w:kern w:val="2"/>
          <w:sz w:val="24"/>
          <w:szCs w:val="24"/>
          <w:lang w:val="en-IE" w:eastAsia="en-IE"/>
          <w14:ligatures w14:val="standardContextual"/>
        </w:rPr>
      </w:pPr>
      <w:hyperlink w:anchor="_Toc231459361" w:history="1">
        <w:r>
          <w:rPr>
            <w:rStyle w:val="Hyperlink"/>
            <w:rFonts w:ascii="Times New Roman" w:hAnsi="Times New Roman" w:cs="Times New Roman"/>
            <w:noProof/>
          </w:rPr>
          <w:t>Chapter</w:t>
        </w:r>
        <w:r>
          <w:rPr>
            <w:rStyle w:val="Hyperlink"/>
            <w:rFonts w:ascii="Times New Roman" w:hAnsi="Times New Roman" w:cs="Times New Roman"/>
            <w:noProof/>
            <w:lang w:val="en-IE"/>
          </w:rPr>
          <w:t xml:space="preserve"> 2  READMISSION AND RETURN OF THIRD-COUNTRY NATIONALS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25</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62"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27 </w:t>
        </w:r>
        <w:r>
          <w:rPr>
            <w:rStyle w:val="Hyperlink"/>
            <w:rFonts w:ascii="Times New Roman" w:hAnsi="Times New Roman" w:cs="Times New Roman"/>
            <w:noProof/>
            <w:lang w:val="en-IE"/>
          </w:rPr>
          <w:t>Responsibility for the return of persons with no right to enter or stay</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25</w:t>
        </w:r>
        <w:r>
          <w:rPr>
            <w:rFonts w:ascii="Times New Roman" w:hAnsi="Times New Roman" w:cs="Times New Roman"/>
            <w:noProof/>
            <w:webHidden/>
          </w:rPr>
          <w:fldChar w:fldCharType="end"/>
        </w:r>
      </w:hyperlink>
    </w:p>
    <w:p>
      <w:pPr>
        <w:pStyle w:val="TOC2"/>
        <w:tabs>
          <w:tab w:val="right" w:leader="dot" w:pos="9350"/>
        </w:tabs>
        <w:rPr>
          <w:rFonts w:ascii="Times New Roman" w:eastAsiaTheme="minorEastAsia" w:hAnsi="Times New Roman" w:cs="Times New Roman"/>
          <w:noProof/>
          <w:kern w:val="2"/>
          <w:sz w:val="24"/>
          <w:szCs w:val="24"/>
          <w:lang w:val="en-IE" w:eastAsia="en-IE"/>
          <w14:ligatures w14:val="standardContextual"/>
        </w:rPr>
      </w:pPr>
      <w:hyperlink w:anchor="_Toc231459363" w:history="1">
        <w:r>
          <w:rPr>
            <w:rStyle w:val="Hyperlink"/>
            <w:rFonts w:ascii="Times New Roman" w:hAnsi="Times New Roman" w:cs="Times New Roman"/>
            <w:noProof/>
            <w:lang w:val="en-IE"/>
          </w:rPr>
          <w:t xml:space="preserve">Chapter 3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SECURITY</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26</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64"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28</w:t>
        </w:r>
        <w:r>
          <w:rPr>
            <w:rStyle w:val="Hyperlink"/>
            <w:rFonts w:ascii="Times New Roman" w:hAnsi="Times New Roman" w:cs="Times New Roman"/>
            <w:noProof/>
            <w:lang w:val="en-IE"/>
          </w:rPr>
          <w:t xml:space="preserve"> Cooperating States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26</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65"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29</w:t>
        </w:r>
        <w:r>
          <w:rPr>
            <w:rStyle w:val="Hyperlink"/>
            <w:rFonts w:ascii="Times New Roman" w:hAnsi="Times New Roman" w:cs="Times New Roman"/>
            <w:noProof/>
            <w:lang w:val="en-IE"/>
          </w:rPr>
          <w:t xml:space="preserve"> Information exchange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26</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66"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30 </w:t>
        </w:r>
        <w:r>
          <w:rPr>
            <w:rStyle w:val="Hyperlink"/>
            <w:rFonts w:ascii="Times New Roman" w:hAnsi="Times New Roman" w:cs="Times New Roman"/>
            <w:noProof/>
            <w:lang w:val="en-IE"/>
          </w:rPr>
          <w:t>Criminal records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67"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31</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Relevant databases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68" w:history="1">
        <w:r>
          <w:rPr>
            <w:rStyle w:val="Hyperlink"/>
            <w:rFonts w:ascii="Times New Roman" w:hAnsi="Times New Roman" w:cs="Times New Roman"/>
            <w:noProof/>
            <w:lang w:val="en-IE"/>
          </w:rPr>
          <w:t>Article 32 Cross-border surveillance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28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69"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w:t>
        </w:r>
        <w:r>
          <w:rPr>
            <w:rStyle w:val="Hyperlink"/>
            <w:rFonts w:ascii="Times New Roman" w:hAnsi="Times New Roman" w:cs="Times New Roman"/>
            <w:noProof/>
            <w:lang w:val="en-IE"/>
          </w:rPr>
          <w:t>3  Hot pursuit</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_Toc231459369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70"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34</w:t>
        </w:r>
        <w:r>
          <w:rPr>
            <w:rStyle w:val="Hyperlink"/>
            <w:rFonts w:ascii="Times New Roman" w:hAnsi="Times New Roman" w:cs="Times New Roman"/>
            <w:noProof/>
            <w:lang w:val="en-IE"/>
          </w:rPr>
          <w:t xml:space="preserve">  Communication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32</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71"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35</w:t>
        </w:r>
        <w:r>
          <w:rPr>
            <w:rStyle w:val="Hyperlink"/>
            <w:rFonts w:ascii="Times New Roman" w:hAnsi="Times New Roman" w:cs="Times New Roman"/>
            <w:noProof/>
            <w:lang w:val="en-IE"/>
          </w:rPr>
          <w:t xml:space="preserve"> Joint operations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32</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72"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36</w:t>
        </w:r>
        <w:r>
          <w:rPr>
            <w:rStyle w:val="Hyperlink"/>
            <w:rFonts w:ascii="Times New Roman" w:hAnsi="Times New Roman" w:cs="Times New Roman"/>
            <w:noProof/>
            <w:lang w:val="en-IE"/>
          </w:rPr>
          <w:t xml:space="preserve">  Protection and assistance during joint operation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33</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73"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37</w:t>
        </w:r>
        <w:r>
          <w:rPr>
            <w:rStyle w:val="Hyperlink"/>
            <w:rFonts w:ascii="Times New Roman" w:hAnsi="Times New Roman" w:cs="Times New Roman"/>
            <w:noProof/>
            <w:lang w:val="en-IE"/>
          </w:rPr>
          <w:t xml:space="preserve">  Cross-border operations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33</w:t>
        </w:r>
        <w:r>
          <w:rPr>
            <w:rFonts w:ascii="Times New Roman" w:hAnsi="Times New Roman" w:cs="Times New Roman"/>
            <w:noProof/>
            <w:webHidden/>
          </w:rPr>
          <w:fldChar w:fldCharType="end"/>
        </w:r>
      </w:hyperlink>
    </w:p>
    <w:p>
      <w:pPr>
        <w:pStyle w:val="TOC2"/>
        <w:tabs>
          <w:tab w:val="right" w:leader="dot" w:pos="9350"/>
        </w:tabs>
        <w:rPr>
          <w:rFonts w:ascii="Times New Roman" w:eastAsiaTheme="minorEastAsia" w:hAnsi="Times New Roman" w:cs="Times New Roman"/>
          <w:noProof/>
          <w:kern w:val="2"/>
          <w:sz w:val="24"/>
          <w:szCs w:val="24"/>
          <w:lang w:val="en-IE" w:eastAsia="en-IE"/>
          <w14:ligatures w14:val="standardContextual"/>
        </w:rPr>
      </w:pPr>
      <w:hyperlink w:anchor="_Toc231459374" w:history="1">
        <w:r>
          <w:rPr>
            <w:rStyle w:val="Hyperlink"/>
            <w:rFonts w:ascii="Times New Roman" w:hAnsi="Times New Roman" w:cs="Times New Roman"/>
            <w:noProof/>
            <w:lang w:val="en-IE"/>
          </w:rPr>
          <w:t>TITLE III  IMPLEMENTATION, APPLICATIONAND ENFORCEMENT</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33</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75"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38 </w:t>
        </w:r>
        <w:r>
          <w:rPr>
            <w:rStyle w:val="Hyperlink"/>
            <w:rFonts w:ascii="Times New Roman" w:hAnsi="Times New Roman" w:cs="Times New Roman"/>
            <w:noProof/>
            <w:lang w:val="en-IE"/>
          </w:rPr>
          <w:t>References to European Union law</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33</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76" w:history="1">
        <w:r>
          <w:rPr>
            <w:rStyle w:val="Hyperlink"/>
            <w:rFonts w:ascii="Times New Roman" w:hAnsi="Times New Roman" w:cs="Times New Roman"/>
            <w:noProof/>
            <w:lang w:val="en-IE"/>
          </w:rPr>
          <w:t>Article 3</w:t>
        </w:r>
        <w:r>
          <w:rPr>
            <w:rStyle w:val="Hyperlink"/>
            <w:rFonts w:ascii="Times New Roman" w:hAnsi="Times New Roman" w:cs="Times New Roman"/>
            <w:noProof/>
          </w:rPr>
          <w:t>9</w:t>
        </w:r>
        <w:r>
          <w:rPr>
            <w:rStyle w:val="Hyperlink"/>
            <w:rFonts w:ascii="Times New Roman" w:hAnsi="Times New Roman" w:cs="Times New Roman"/>
            <w:noProof/>
            <w:lang w:val="en-IE"/>
          </w:rPr>
          <w:t xml:space="preserve">  E</w:t>
        </w:r>
        <w:r>
          <w:rPr>
            <w:rStyle w:val="Hyperlink"/>
            <w:rFonts w:ascii="Times New Roman" w:hAnsi="Times New Roman" w:cs="Times New Roman"/>
            <w:noProof/>
          </w:rPr>
          <w:t>uropean Union legal acts to be implemented by the Principality of Andorra</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34</w:t>
        </w:r>
        <w:r>
          <w:rPr>
            <w:rFonts w:ascii="Times New Roman" w:hAnsi="Times New Roman" w:cs="Times New Roman"/>
            <w:noProof/>
            <w:webHidden/>
          </w:rPr>
          <w:fldChar w:fldCharType="end"/>
        </w:r>
      </w:hyperlink>
    </w:p>
    <w:p>
      <w:pPr>
        <w:pStyle w:val="TOC1"/>
        <w:rPr>
          <w:rFonts w:ascii="Times New Roman" w:eastAsiaTheme="minorEastAsia" w:hAnsi="Times New Roman" w:cs="Times New Roman"/>
          <w:b w:val="0"/>
          <w:noProof/>
          <w:kern w:val="2"/>
          <w:szCs w:val="24"/>
          <w:lang w:val="en-IE" w:eastAsia="en-IE"/>
          <w14:ligatures w14:val="standardContextual"/>
        </w:rPr>
      </w:pPr>
      <w:hyperlink w:anchor="_Toc231459377" w:history="1">
        <w:r>
          <w:rPr>
            <w:rStyle w:val="Hyperlink"/>
            <w:rFonts w:ascii="Times New Roman" w:hAnsi="Times New Roman" w:cs="Times New Roman"/>
            <w:noProof/>
          </w:rPr>
          <w:t>PART THREE DISPUTE SETTLEMENT AND HORIZONTAL PROVISIONS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35</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78" w:history="1">
        <w:r>
          <w:rPr>
            <w:rStyle w:val="Hyperlink"/>
            <w:rFonts w:ascii="Times New Roman" w:eastAsia="Times New Roman" w:hAnsi="Times New Roman" w:cs="Times New Roman"/>
            <w:noProof/>
            <w:lang w:val="en-US" w:eastAsia="nl-NL"/>
          </w:rPr>
          <w:t>Article 40</w:t>
        </w:r>
        <w:r>
          <w:rPr>
            <w:rStyle w:val="Hyperlink"/>
            <w:rFonts w:ascii="Times New Roman" w:hAnsi="Times New Roman" w:cs="Times New Roman"/>
            <w:noProof/>
          </w:rPr>
          <w:t xml:space="preserve"> </w:t>
        </w:r>
        <w:r>
          <w:rPr>
            <w:rStyle w:val="Hyperlink"/>
            <w:rFonts w:ascii="Times New Roman" w:eastAsia="Times New Roman" w:hAnsi="Times New Roman" w:cs="Times New Roman"/>
            <w:noProof/>
            <w:lang w:val="en-US" w:eastAsia="nl-NL"/>
          </w:rPr>
          <w:t>Disputes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35</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79" w:history="1">
        <w:r>
          <w:rPr>
            <w:rStyle w:val="Hyperlink"/>
            <w:rFonts w:ascii="Times New Roman" w:eastAsia="Times New Roman" w:hAnsi="Times New Roman" w:cs="Times New Roman"/>
            <w:noProof/>
            <w:lang w:val="en-US" w:eastAsia="nl-NL"/>
          </w:rPr>
          <w:t>Article 41</w:t>
        </w:r>
        <w:r>
          <w:rPr>
            <w:rStyle w:val="Hyperlink"/>
            <w:rFonts w:ascii="Times New Roman" w:hAnsi="Times New Roman" w:cs="Times New Roman"/>
            <w:noProof/>
          </w:rPr>
          <w:t xml:space="preserve"> Fulfilment of Obligations, Supervision and Enforcement</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_Toc231459379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35</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80" w:history="1">
        <w:r>
          <w:rPr>
            <w:rStyle w:val="Hyperlink"/>
            <w:rFonts w:ascii="Times New Roman" w:hAnsi="Times New Roman" w:cs="Times New Roman"/>
            <w:noProof/>
          </w:rPr>
          <w:t xml:space="preserve">Article </w:t>
        </w:r>
        <w:r>
          <w:rPr>
            <w:rStyle w:val="Hyperlink"/>
            <w:rFonts w:ascii="Times New Roman" w:hAnsi="Times New Roman" w:cs="Times New Roman"/>
            <w:noProof/>
            <w:lang w:val="en-IE"/>
          </w:rPr>
          <w:t>42 Suspension of obligations based on security grounds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35</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81" w:history="1">
        <w:r>
          <w:rPr>
            <w:rStyle w:val="Hyperlink"/>
            <w:rFonts w:ascii="Times New Roman" w:hAnsi="Times New Roman" w:cs="Times New Roman"/>
            <w:noProof/>
          </w:rPr>
          <w:t xml:space="preserve">Article </w:t>
        </w:r>
        <w:r>
          <w:rPr>
            <w:rStyle w:val="Hyperlink"/>
            <w:rFonts w:ascii="Times New Roman" w:hAnsi="Times New Roman" w:cs="Times New Roman"/>
            <w:noProof/>
            <w:lang w:val="en-IE"/>
          </w:rPr>
          <w:t>43</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36</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82" w:history="1">
        <w:r>
          <w:rPr>
            <w:rStyle w:val="Hyperlink"/>
            <w:rFonts w:ascii="Times New Roman" w:hAnsi="Times New Roman" w:cs="Times New Roman"/>
            <w:noProof/>
            <w:lang w:val="en-IE"/>
          </w:rPr>
          <w:t>Suspension of obligations related to the visa-free status of Union citizens, nationals of a non-EU State which has acceded to this Agreement and the citizens of the Principalty of Andorra</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36</w:t>
        </w:r>
        <w:r>
          <w:rPr>
            <w:rFonts w:ascii="Times New Roman" w:hAnsi="Times New Roman" w:cs="Times New Roman"/>
            <w:noProof/>
            <w:webHidden/>
          </w:rPr>
          <w:fldChar w:fldCharType="end"/>
        </w:r>
      </w:hyperlink>
    </w:p>
    <w:p>
      <w:pPr>
        <w:pStyle w:val="TOC1"/>
        <w:rPr>
          <w:rFonts w:ascii="Times New Roman" w:eastAsiaTheme="minorEastAsia" w:hAnsi="Times New Roman" w:cs="Times New Roman"/>
          <w:b w:val="0"/>
          <w:noProof/>
          <w:kern w:val="2"/>
          <w:szCs w:val="24"/>
          <w:lang w:val="en-IE" w:eastAsia="en-IE"/>
          <w14:ligatures w14:val="standardContextual"/>
        </w:rPr>
      </w:pPr>
      <w:hyperlink w:anchor="_Toc231459383" w:history="1">
        <w:r>
          <w:rPr>
            <w:rStyle w:val="Hyperlink"/>
            <w:rFonts w:ascii="Times New Roman" w:hAnsi="Times New Roman" w:cs="Times New Roman"/>
            <w:noProof/>
            <w:lang w:val="en-IE"/>
          </w:rPr>
          <w:t>PART FOUR FINAL PROVISIONS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84" w:history="1">
        <w:r>
          <w:rPr>
            <w:rStyle w:val="Hyperlink"/>
            <w:rFonts w:ascii="Times New Roman" w:hAnsi="Times New Roman" w:cs="Times New Roman"/>
            <w:noProof/>
            <w:lang w:val="en-IE"/>
          </w:rPr>
          <w:t>Article 44</w:t>
        </w:r>
        <w:r>
          <w:rPr>
            <w:rStyle w:val="Hyperlink"/>
            <w:rFonts w:ascii="Times New Roman" w:hAnsi="Times New Roman" w:cs="Times New Roman"/>
            <w:noProof/>
          </w:rPr>
          <w:t xml:space="preserve"> </w:t>
        </w:r>
        <w:r>
          <w:rPr>
            <w:rStyle w:val="Hyperlink"/>
            <w:rFonts w:ascii="Times New Roman" w:hAnsi="Times New Roman" w:cs="Times New Roman"/>
            <w:noProof/>
            <w:lang w:val="en-IE"/>
          </w:rPr>
          <w:t>Relationship with other Agreements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85" w:history="1">
        <w:r>
          <w:rPr>
            <w:rStyle w:val="Hyperlink"/>
            <w:rFonts w:ascii="Times New Roman" w:eastAsia="Times New Roman" w:hAnsi="Times New Roman" w:cs="Times New Roman"/>
            <w:noProof/>
            <w:lang w:val="en-US" w:eastAsia="nl-NL"/>
          </w:rPr>
          <w:t xml:space="preserve">Article </w:t>
        </w:r>
        <w:r>
          <w:rPr>
            <w:rStyle w:val="Hyperlink"/>
            <w:rFonts w:ascii="Times New Roman" w:hAnsi="Times New Roman" w:cs="Times New Roman"/>
            <w:noProof/>
            <w:lang w:val="en-IE"/>
          </w:rPr>
          <w:t xml:space="preserve">45 </w:t>
        </w:r>
        <w:r>
          <w:rPr>
            <w:rStyle w:val="Hyperlink"/>
            <w:rFonts w:ascii="Times New Roman" w:hAnsi="Times New Roman" w:cs="Times New Roman"/>
            <w:noProof/>
          </w:rPr>
          <w:t xml:space="preserve"> </w:t>
        </w:r>
        <w:r>
          <w:rPr>
            <w:rStyle w:val="Hyperlink"/>
            <w:rFonts w:ascii="Times New Roman" w:eastAsia="Times New Roman" w:hAnsi="Times New Roman" w:cs="Times New Roman"/>
            <w:noProof/>
            <w:lang w:val="en-US" w:eastAsia="nl-NL"/>
          </w:rPr>
          <w:t>Amendments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86" w:history="1">
        <w:r>
          <w:rPr>
            <w:rStyle w:val="Hyperlink"/>
            <w:rFonts w:ascii="Times New Roman" w:hAnsi="Times New Roman" w:cs="Times New Roman"/>
            <w:noProof/>
            <w:lang w:val="en-IE"/>
          </w:rPr>
          <w:t>Article 46 Review of the implementation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87" w:history="1">
        <w:r>
          <w:rPr>
            <w:rStyle w:val="Hyperlink"/>
            <w:rFonts w:ascii="Times New Roman" w:hAnsi="Times New Roman" w:cs="Times New Roman"/>
            <w:noProof/>
            <w:lang w:val="en-IE"/>
          </w:rPr>
          <w:t>Article 47</w:t>
        </w:r>
        <w:r>
          <w:rPr>
            <w:rStyle w:val="Hyperlink"/>
            <w:rFonts w:ascii="Times New Roman" w:hAnsi="Times New Roman" w:cs="Times New Roman"/>
            <w:noProof/>
          </w:rPr>
          <w:t xml:space="preserve"> Confidential information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37</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88" w:history="1">
        <w:r>
          <w:rPr>
            <w:rStyle w:val="Hyperlink"/>
            <w:rFonts w:ascii="Times New Roman" w:hAnsi="Times New Roman" w:cs="Times New Roman"/>
            <w:noProof/>
            <w:lang w:val="en-IE"/>
          </w:rPr>
          <w:t>Article 48 Classified information and sensitive non-classified information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89" w:history="1">
        <w:r>
          <w:rPr>
            <w:rStyle w:val="Hyperlink"/>
            <w:rFonts w:ascii="Times New Roman" w:hAnsi="Times New Roman" w:cs="Times New Roman"/>
            <w:noProof/>
            <w:lang w:val="en-IE"/>
          </w:rPr>
          <w:t>Article 49 Integral parts of this Agreement</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_Toc231459389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90" w:history="1">
        <w:r>
          <w:rPr>
            <w:rStyle w:val="Hyperlink"/>
            <w:rFonts w:ascii="Times New Roman" w:hAnsi="Times New Roman" w:cs="Times New Roman"/>
            <w:noProof/>
            <w:lang w:val="en-IE"/>
          </w:rPr>
          <w:t>Article 50 Termination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_Toc231459390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91" w:history="1">
        <w:r>
          <w:rPr>
            <w:rStyle w:val="Hyperlink"/>
            <w:rFonts w:ascii="Times New Roman" w:hAnsi="Times New Roman" w:cs="Times New Roman"/>
            <w:noProof/>
            <w:lang w:val="en-IE"/>
          </w:rPr>
          <w:t>Article 51 Territorial application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_Toc231459391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38</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92" w:history="1">
        <w:r>
          <w:rPr>
            <w:rStyle w:val="Hyperlink"/>
            <w:rFonts w:ascii="Times New Roman" w:hAnsi="Times New Roman" w:cs="Times New Roman"/>
            <w:noProof/>
            <w:lang w:val="en-IE"/>
          </w:rPr>
          <w:t>Article 52 Accession to this Agreement by States participating in the Schengen area under international law</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_Toc231459392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93" w:history="1">
        <w:r>
          <w:rPr>
            <w:rStyle w:val="Hyperlink"/>
            <w:rFonts w:ascii="Times New Roman" w:hAnsi="Times New Roman" w:cs="Times New Roman"/>
            <w:noProof/>
            <w:lang w:val="en-IE"/>
          </w:rPr>
          <w:t>Article 53 Authentic texts</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_Toc231459393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39</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94" w:history="1">
        <w:r>
          <w:rPr>
            <w:rStyle w:val="Hyperlink"/>
            <w:rFonts w:ascii="Times New Roman" w:hAnsi="Times New Roman" w:cs="Times New Roman"/>
            <w:noProof/>
            <w:lang w:val="en-IE"/>
          </w:rPr>
          <w:t>Article 54</w:t>
        </w:r>
        <w:r>
          <w:rPr>
            <w:rStyle w:val="Hyperlink"/>
            <w:rFonts w:ascii="Times New Roman" w:hAnsi="Times New Roman" w:cs="Times New Roman"/>
            <w:noProof/>
          </w:rPr>
          <w:t xml:space="preserve"> </w:t>
        </w:r>
        <w:r>
          <w:rPr>
            <w:rStyle w:val="Hyperlink"/>
            <w:rFonts w:ascii="Times New Roman" w:hAnsi="Times New Roman" w:cs="Times New Roman"/>
            <w:noProof/>
            <w:lang w:val="en-IE"/>
          </w:rPr>
          <w:t>Entry into force</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_Toc231459394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40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95" w:history="1">
        <w:r>
          <w:rPr>
            <w:rStyle w:val="Hyperlink"/>
            <w:rFonts w:ascii="Times New Roman" w:hAnsi="Times New Roman" w:cs="Times New Roman"/>
            <w:noProof/>
            <w:lang w:val="en-IE"/>
          </w:rPr>
          <w:t>Article 55 Provisional application</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_Toc231459395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40</w:t>
        </w:r>
        <w:r>
          <w:rPr>
            <w:rFonts w:ascii="Times New Roman" w:hAnsi="Times New Roman" w:cs="Times New Roman"/>
            <w:noProof/>
            <w:webHidden/>
          </w:rPr>
          <w:fldChar w:fldCharType="end"/>
        </w:r>
      </w:hyperlink>
    </w:p>
    <w:p>
      <w:pPr>
        <w:pStyle w:val="TOC3"/>
        <w:rPr>
          <w:rFonts w:ascii="Times New Roman" w:eastAsiaTheme="minorEastAsia" w:hAnsi="Times New Roman" w:cs="Times New Roman"/>
          <w:noProof/>
          <w:kern w:val="2"/>
          <w:sz w:val="24"/>
          <w:szCs w:val="24"/>
          <w:lang w:val="en-IE" w:eastAsia="en-IE"/>
          <w14:ligatures w14:val="standardContextual"/>
        </w:rPr>
      </w:pPr>
      <w:hyperlink w:anchor="_Toc231459396" w:history="1">
        <w:r>
          <w:rPr>
            <w:rStyle w:val="Hyperlink"/>
            <w:rFonts w:ascii="Times New Roman" w:hAnsi="Times New Roman" w:cs="Times New Roman"/>
            <w:noProof/>
            <w:lang w:val="en-IE"/>
          </w:rPr>
          <w:t>Article 56</w:t>
        </w:r>
        <w:r>
          <w:rPr>
            <w:rStyle w:val="Hyperlink"/>
            <w:rFonts w:ascii="Times New Roman" w:hAnsi="Times New Roman" w:cs="Times New Roman"/>
            <w:noProof/>
          </w:rPr>
          <w:t xml:space="preserve"> </w:t>
        </w:r>
        <w:r>
          <w:rPr>
            <w:rStyle w:val="Hyperlink"/>
            <w:rFonts w:ascii="Times New Roman" w:hAnsi="Times New Roman" w:cs="Times New Roman"/>
            <w:noProof/>
            <w:lang w:val="en-IE"/>
          </w:rPr>
          <w:t>Depositary</w:t>
        </w:r>
        <w:r>
          <w:rPr>
            <w:rFonts w:ascii="Times New Roman" w:hAnsi="Times New Roman" w:cs="Times New Roman"/>
            <w:noProof/>
            <w:webHidden/>
          </w:rPr>
          <w:tab/>
        </w:r>
        <w:r>
          <w:rPr>
            <w:rFonts w:ascii="Times New Roman" w:hAnsi="Times New Roman" w:cs="Times New Roman"/>
            <w:noProof/>
            <w:webHidden/>
          </w:rPr>
          <w:fldChar w:fldCharType="begin"/>
        </w:r>
        <w:r>
          <w:rPr>
            <w:rFonts w:ascii="Times New Roman" w:hAnsi="Times New Roman" w:cs="Times New Roman"/>
            <w:noProof/>
            <w:webHidden/>
          </w:rPr>
          <w:instrText xml:space="preserve"> PAGEREF _Toc231459396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41</w:t>
        </w:r>
        <w:r>
          <w:rPr>
            <w:rFonts w:ascii="Times New Roman" w:hAnsi="Times New Roman" w:cs="Times New Roman"/>
            <w:noProof/>
            <w:webHidden/>
          </w:rPr>
          <w:fldChar w:fldCharType="end"/>
        </w:r>
      </w:hyperlink>
    </w:p>
    <w:p>
      <w:pPr>
        <w:pStyle w:val="TOC1"/>
        <w:rPr>
          <w:rFonts w:ascii="Times New Roman" w:hAnsi="Times New Roman" w:cs="Times New Roman"/>
          <w:noProof/>
          <w:lang w:val="en-IE"/>
        </w:rPr>
        <w:sectPr>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pPr>
      <w:r>
        <w:rPr>
          <w:rFonts w:ascii="Times New Roman" w:hAnsi="Times New Roman" w:cs="Times New Roman"/>
          <w:noProof/>
          <w:color w:val="00B050"/>
          <w:lang w:val="en-IE"/>
        </w:rPr>
        <w:fldChar w:fldCharType="end"/>
      </w:r>
    </w:p>
    <w:p>
      <w:pPr>
        <w:pStyle w:val="Heading1"/>
        <w:rPr>
          <w:rFonts w:ascii="Times New Roman" w:hAnsi="Times New Roman" w:cs="Times New Roman"/>
          <w:noProof/>
          <w:lang w:val="en-IE"/>
        </w:rPr>
      </w:pPr>
      <w:bookmarkStart w:id="1" w:name="_Toc231459326"/>
      <w:bookmarkStart w:id="2" w:name="_Hlk192774963"/>
      <w:r>
        <w:rPr>
          <w:rFonts w:ascii="Times New Roman" w:hAnsi="Times New Roman" w:cs="Times New Roman"/>
          <w:noProof/>
          <w:lang w:val="en-IE"/>
        </w:rPr>
        <w:lastRenderedPageBreak/>
        <w:t>PREAMBLE</w:t>
      </w:r>
      <w:bookmarkEnd w:id="1"/>
    </w:p>
    <w:p>
      <w:pPr>
        <w:spacing w:after="120"/>
        <w:rPr>
          <w:rFonts w:ascii="Times New Roman" w:hAnsi="Times New Roman" w:cs="Times New Roman"/>
          <w:i/>
          <w:iCs/>
          <w:noProof/>
          <w:lang w:val="en-IE"/>
        </w:rPr>
      </w:pPr>
      <w:r>
        <w:rPr>
          <w:rFonts w:ascii="Times New Roman" w:hAnsi="Times New Roman" w:cs="Times New Roman"/>
          <w:i/>
          <w:iCs/>
          <w:noProof/>
          <w:lang w:val="en-IE"/>
        </w:rPr>
        <w:t xml:space="preserve">(1) </w:t>
      </w:r>
      <w:r>
        <w:rPr>
          <w:rFonts w:ascii="Times New Roman" w:hAnsi="Times New Roman" w:cs="Times New Roman"/>
          <w:i/>
          <w:iCs/>
          <w:caps/>
          <w:noProof/>
          <w:lang w:val="en-IE"/>
        </w:rPr>
        <w:t>Emphasising</w:t>
      </w:r>
      <w:r>
        <w:rPr>
          <w:rFonts w:ascii="Times New Roman" w:hAnsi="Times New Roman" w:cs="Times New Roman"/>
          <w:i/>
          <w:iCs/>
          <w:noProof/>
          <w:lang w:val="en-IE"/>
        </w:rPr>
        <w:t xml:space="preserve"> that the relationship between the European Union and the Principality of Andorra is founded on shared values and mutual trust.</w:t>
      </w:r>
    </w:p>
    <w:p>
      <w:pPr>
        <w:spacing w:after="120"/>
        <w:rPr>
          <w:rFonts w:ascii="Times New Roman" w:hAnsi="Times New Roman" w:cs="Times New Roman"/>
          <w:i/>
          <w:iCs/>
          <w:noProof/>
          <w:lang w:val="en-IE"/>
        </w:rPr>
      </w:pPr>
      <w:r>
        <w:rPr>
          <w:rFonts w:ascii="Times New Roman" w:hAnsi="Times New Roman" w:cs="Times New Roman"/>
          <w:i/>
          <w:iCs/>
          <w:noProof/>
          <w:lang w:val="en-IE"/>
        </w:rPr>
        <w:t xml:space="preserve">(2) </w:t>
      </w:r>
      <w:r>
        <w:rPr>
          <w:rFonts w:ascii="Times New Roman" w:hAnsi="Times New Roman" w:cs="Times New Roman"/>
          <w:i/>
          <w:iCs/>
          <w:caps/>
          <w:noProof/>
          <w:lang w:val="en-IE"/>
        </w:rPr>
        <w:t>Seeking</w:t>
      </w:r>
      <w:r>
        <w:rPr>
          <w:rFonts w:ascii="Times New Roman" w:hAnsi="Times New Roman" w:cs="Times New Roman"/>
          <w:i/>
          <w:iCs/>
          <w:noProof/>
          <w:lang w:val="en-IE"/>
        </w:rPr>
        <w:t xml:space="preserve"> to maintain their specific relations of proximity, while taking into account the particular situation of the Principality of Andorra, as outlined in Declaration 3 on Article 8 of the Treaty on European Union.</w:t>
      </w:r>
    </w:p>
    <w:p>
      <w:pPr>
        <w:spacing w:after="120"/>
        <w:rPr>
          <w:rFonts w:ascii="Times New Roman" w:hAnsi="Times New Roman" w:cs="Times New Roman"/>
          <w:i/>
          <w:iCs/>
          <w:noProof/>
          <w:lang w:val="en-IE"/>
        </w:rPr>
      </w:pPr>
      <w:r>
        <w:rPr>
          <w:rFonts w:ascii="Times New Roman" w:hAnsi="Times New Roman" w:cs="Times New Roman"/>
          <w:i/>
          <w:iCs/>
          <w:noProof/>
          <w:lang w:val="en-IE"/>
        </w:rPr>
        <w:t xml:space="preserve">(3) </w:t>
      </w:r>
      <w:r>
        <w:rPr>
          <w:rFonts w:ascii="Times New Roman" w:hAnsi="Times New Roman" w:cs="Times New Roman"/>
          <w:i/>
          <w:iCs/>
          <w:caps/>
          <w:noProof/>
          <w:lang w:val="en-IE"/>
        </w:rPr>
        <w:t>Recalling</w:t>
      </w:r>
      <w:r>
        <w:rPr>
          <w:rFonts w:ascii="Times New Roman" w:hAnsi="Times New Roman" w:cs="Times New Roman"/>
          <w:i/>
          <w:iCs/>
          <w:noProof/>
          <w:lang w:val="en-IE"/>
        </w:rPr>
        <w:t xml:space="preserve"> the close historical, geographical, cultural, political, and economic ties between the European Union and the Principality of Andorra, including those formalized through existing agreements, as well as the specific bonds of proximity between the Principality of Andorra and its neighbouring EU Member States.</w:t>
      </w:r>
    </w:p>
    <w:p>
      <w:pPr>
        <w:spacing w:after="120"/>
        <w:rPr>
          <w:rFonts w:ascii="Times New Roman" w:hAnsi="Times New Roman" w:cs="Times New Roman"/>
          <w:i/>
          <w:iCs/>
          <w:noProof/>
          <w:lang w:val="en-IE"/>
        </w:rPr>
      </w:pPr>
      <w:r>
        <w:rPr>
          <w:rFonts w:ascii="Times New Roman" w:hAnsi="Times New Roman" w:cs="Times New Roman"/>
          <w:i/>
          <w:iCs/>
          <w:noProof/>
          <w:lang w:val="en-IE"/>
        </w:rPr>
        <w:t xml:space="preserve">(4) </w:t>
      </w:r>
      <w:r>
        <w:rPr>
          <w:rFonts w:ascii="Times New Roman" w:hAnsi="Times New Roman" w:cs="Times New Roman"/>
          <w:i/>
          <w:iCs/>
          <w:caps/>
          <w:noProof/>
          <w:lang w:val="en-IE"/>
        </w:rPr>
        <w:t>Recognising</w:t>
      </w:r>
      <w:r>
        <w:rPr>
          <w:rFonts w:ascii="Times New Roman" w:hAnsi="Times New Roman" w:cs="Times New Roman"/>
          <w:i/>
          <w:iCs/>
          <w:noProof/>
          <w:lang w:val="en-IE"/>
        </w:rPr>
        <w:t xml:space="preserve"> that Andorra has maintained close ties with </w:t>
      </w:r>
      <w:r>
        <w:rPr>
          <w:rFonts w:ascii="Times New Roman" w:hAnsi="Times New Roman" w:cs="Times New Roman"/>
          <w:i/>
          <w:iCs/>
          <w:noProof/>
        </w:rPr>
        <w:t>the French Republic and the Kingdom of Spain</w:t>
      </w:r>
      <w:r>
        <w:rPr>
          <w:rFonts w:ascii="Times New Roman" w:hAnsi="Times New Roman" w:cs="Times New Roman"/>
          <w:i/>
          <w:iCs/>
          <w:noProof/>
          <w:lang w:val="en-IE"/>
        </w:rPr>
        <w:t xml:space="preserve">, which are Member States of the European Union, and that its territory is entirely surrounded by </w:t>
      </w:r>
      <w:r>
        <w:rPr>
          <w:rFonts w:ascii="Times New Roman" w:hAnsi="Times New Roman" w:cs="Times New Roman"/>
          <w:i/>
          <w:iCs/>
          <w:noProof/>
        </w:rPr>
        <w:t xml:space="preserve">those Member States’ </w:t>
      </w:r>
      <w:r>
        <w:rPr>
          <w:rFonts w:ascii="Times New Roman" w:hAnsi="Times New Roman" w:cs="Times New Roman"/>
          <w:i/>
          <w:iCs/>
          <w:noProof/>
          <w:lang w:val="en-IE"/>
        </w:rPr>
        <w:t>territory.</w:t>
      </w:r>
    </w:p>
    <w:p>
      <w:pPr>
        <w:spacing w:after="120"/>
        <w:rPr>
          <w:rFonts w:ascii="Times New Roman" w:hAnsi="Times New Roman" w:cs="Times New Roman"/>
          <w:i/>
          <w:iCs/>
          <w:noProof/>
          <w:lang w:val="en-IE"/>
        </w:rPr>
      </w:pPr>
      <w:r>
        <w:rPr>
          <w:rFonts w:ascii="Times New Roman" w:hAnsi="Times New Roman" w:cs="Times New Roman"/>
          <w:i/>
          <w:iCs/>
          <w:noProof/>
          <w:lang w:val="en-IE"/>
        </w:rPr>
        <w:t xml:space="preserve">(5) </w:t>
      </w:r>
      <w:r>
        <w:rPr>
          <w:rFonts w:ascii="Times New Roman" w:hAnsi="Times New Roman" w:cs="Times New Roman"/>
          <w:i/>
          <w:iCs/>
          <w:caps/>
          <w:noProof/>
          <w:lang w:val="en-IE"/>
        </w:rPr>
        <w:t>Acknowledging</w:t>
      </w:r>
      <w:r>
        <w:rPr>
          <w:rFonts w:ascii="Times New Roman" w:hAnsi="Times New Roman" w:cs="Times New Roman"/>
          <w:i/>
          <w:iCs/>
          <w:noProof/>
          <w:lang w:val="en-IE"/>
        </w:rPr>
        <w:t xml:space="preserve"> the need to establish specific rules to address the particular geographical situation of the Principality of Andorra, and seeking to ensure that persons may cross the borders between the Principality of Andorra and the States applying the Schengen </w:t>
      </w:r>
      <w:r>
        <w:rPr>
          <w:rFonts w:ascii="Times New Roman" w:hAnsi="Times New Roman" w:cs="Times New Roman"/>
          <w:noProof/>
          <w:lang w:val="en-IE"/>
        </w:rPr>
        <w:t>acquis</w:t>
      </w:r>
      <w:r>
        <w:rPr>
          <w:rFonts w:ascii="Times New Roman" w:hAnsi="Times New Roman" w:cs="Times New Roman"/>
          <w:i/>
          <w:iCs/>
          <w:noProof/>
          <w:lang w:val="en-IE"/>
        </w:rPr>
        <w:t xml:space="preserve"> in full, meanwhile safeguarding and enhancing the internal security of</w:t>
      </w:r>
      <w:r>
        <w:rPr>
          <w:rFonts w:ascii="Times New Roman" w:hAnsi="Times New Roman" w:cs="Times New Roman"/>
          <w:i/>
          <w:noProof/>
          <w:lang w:val="en-IE"/>
        </w:rPr>
        <w:t xml:space="preserve"> the</w:t>
      </w:r>
      <w:r>
        <w:rPr>
          <w:rFonts w:ascii="Times New Roman" w:hAnsi="Times New Roman" w:cs="Times New Roman"/>
          <w:i/>
          <w:iCs/>
          <w:noProof/>
          <w:lang w:val="en-IE"/>
        </w:rPr>
        <w:t xml:space="preserve"> Principality of Andorra and of the European Union. To this end, compensatory measures should be established enabling a Schengen State to carry out a security assessment on third-country nationals applying for a residence permit in the Principality of Andorra, </w:t>
      </w:r>
      <w:r>
        <w:rPr>
          <w:rFonts w:ascii="Times New Roman" w:hAnsi="Times New Roman" w:cs="Times New Roman"/>
          <w:i/>
          <w:iCs/>
          <w:noProof/>
          <w:lang w:val="en-US"/>
        </w:rPr>
        <w:t xml:space="preserve">and police cooperation measures should be established and strengthened </w:t>
      </w:r>
      <w:r>
        <w:rPr>
          <w:rFonts w:ascii="Times New Roman" w:hAnsi="Times New Roman" w:cs="Times New Roman"/>
          <w:i/>
          <w:iCs/>
          <w:noProof/>
          <w:lang w:val="en-IE"/>
        </w:rPr>
        <w:t>between the Principality of Andorra and the Schengen States.</w:t>
      </w:r>
    </w:p>
    <w:p>
      <w:pPr>
        <w:pStyle w:val="Bodytext10"/>
        <w:tabs>
          <w:tab w:val="left" w:pos="471"/>
        </w:tabs>
        <w:jc w:val="both"/>
        <w:rPr>
          <w:rFonts w:ascii="Times New Roman" w:hAnsi="Times New Roman" w:cs="Times New Roman"/>
          <w:i w:val="0"/>
          <w:iCs w:val="0"/>
          <w:noProof/>
        </w:rPr>
      </w:pPr>
      <w:r>
        <w:rPr>
          <w:rFonts w:ascii="Times New Roman" w:hAnsi="Times New Roman" w:cs="Times New Roman"/>
          <w:noProof/>
          <w:lang w:val="en-IE"/>
        </w:rPr>
        <w:t>(6) RECOGNISING the rules applicable to nationals of the Principality of Andorra concerning their exemption from the requirement of being in possession of a visa when crossing the external borders, their exemption from the requirement of holding a valid travel authorisation from the European Travel Information and Authorisation System as well as their exemption from being registered in the Entry/Exit System as already laid down in other legal instruments.</w:t>
      </w:r>
      <w:r>
        <w:rPr>
          <w:rFonts w:ascii="Times New Roman" w:hAnsi="Times New Roman" w:cs="Times New Roman"/>
          <w:noProof/>
          <w:vertAlign w:val="superscript"/>
          <w:lang w:val="en-IE"/>
        </w:rPr>
        <w:footnoteReference w:id="2"/>
      </w:r>
    </w:p>
    <w:p>
      <w:pPr>
        <w:pStyle w:val="Bodytext10"/>
        <w:spacing w:after="160"/>
        <w:jc w:val="both"/>
        <w:rPr>
          <w:rFonts w:ascii="Times New Roman" w:hAnsi="Times New Roman" w:cs="Times New Roman"/>
          <w:i w:val="0"/>
          <w:iCs w:val="0"/>
          <w:noProof/>
        </w:rPr>
      </w:pPr>
      <w:r>
        <w:rPr>
          <w:rStyle w:val="Bodytext1"/>
          <w:rFonts w:ascii="Times New Roman" w:hAnsi="Times New Roman" w:cs="Times New Roman"/>
          <w:i/>
          <w:iCs/>
          <w:noProof/>
        </w:rPr>
        <w:t xml:space="preserve">(7) NOTING that, when crossing the external borders of States applying the Schengen </w:t>
      </w:r>
      <w:r>
        <w:rPr>
          <w:rStyle w:val="Bodytext1"/>
          <w:rFonts w:ascii="Times New Roman" w:hAnsi="Times New Roman" w:cs="Times New Roman"/>
          <w:noProof/>
        </w:rPr>
        <w:t>acquis</w:t>
      </w:r>
      <w:r>
        <w:rPr>
          <w:rStyle w:val="Bodytext1"/>
          <w:rFonts w:ascii="Times New Roman" w:hAnsi="Times New Roman" w:cs="Times New Roman"/>
          <w:i/>
          <w:iCs/>
          <w:noProof/>
        </w:rPr>
        <w:t xml:space="preserve"> in full, nationals of the Principality of Andorra may use specific lanes, without prejudice to the application of the regime of external border controls of third-country nationals to the </w:t>
      </w:r>
      <w:r>
        <w:rPr>
          <w:rFonts w:ascii="Times New Roman" w:hAnsi="Times New Roman" w:cs="Times New Roman"/>
          <w:noProof/>
          <w:lang w:val="en-IE"/>
        </w:rPr>
        <w:t>nationals</w:t>
      </w:r>
      <w:r>
        <w:rPr>
          <w:rStyle w:val="Bodytext1"/>
          <w:rFonts w:ascii="Times New Roman" w:hAnsi="Times New Roman" w:cs="Times New Roman"/>
          <w:i/>
          <w:iCs/>
          <w:noProof/>
        </w:rPr>
        <w:t xml:space="preserve"> of the Principality of Andorra.</w:t>
      </w:r>
      <w:r>
        <w:rPr>
          <w:rStyle w:val="Bodytext1"/>
          <w:rFonts w:ascii="Times New Roman" w:hAnsi="Times New Roman" w:cs="Times New Roman"/>
          <w:i/>
          <w:iCs/>
          <w:noProof/>
          <w:vertAlign w:val="superscript"/>
        </w:rPr>
        <w:footnoteReference w:id="3"/>
      </w:r>
    </w:p>
    <w:p>
      <w:pPr>
        <w:spacing w:after="120"/>
        <w:rPr>
          <w:rFonts w:ascii="Times New Roman" w:hAnsi="Times New Roman" w:cs="Times New Roman"/>
          <w:i/>
          <w:iCs/>
          <w:noProof/>
          <w:lang w:val="en-IE"/>
        </w:rPr>
      </w:pPr>
      <w:r>
        <w:rPr>
          <w:rFonts w:ascii="Times New Roman" w:hAnsi="Times New Roman" w:cs="Times New Roman"/>
          <w:i/>
          <w:iCs/>
          <w:noProof/>
          <w:lang w:val="en-IE"/>
        </w:rPr>
        <w:lastRenderedPageBreak/>
        <w:t>(8) NOTING the rules applicable to nationals of the Republic of San Marino and nationals of the Principality of Monaco concerning their exemption from the requirement of being in possession of a visa when crossing the external borders, their exemption from the requirement of holding a valid travel authorisation from the European Travel Information and Authorisation System as well as their exemption from being registered in the Entry/Exit System as already  laid down in other legal instruments.</w:t>
      </w:r>
      <w:r>
        <w:rPr>
          <w:rFonts w:ascii="Times New Roman" w:hAnsi="Times New Roman" w:cs="Times New Roman"/>
          <w:noProof/>
          <w:vertAlign w:val="superscript"/>
        </w:rPr>
        <w:footnoteReference w:id="4"/>
      </w:r>
    </w:p>
    <w:p>
      <w:pPr>
        <w:spacing w:after="120"/>
        <w:rPr>
          <w:rFonts w:ascii="Times New Roman" w:hAnsi="Times New Roman" w:cs="Times New Roman"/>
          <w:i/>
          <w:iCs/>
          <w:noProof/>
        </w:rPr>
      </w:pPr>
      <w:r>
        <w:rPr>
          <w:rFonts w:ascii="Times New Roman" w:hAnsi="Times New Roman" w:cs="Times New Roman"/>
          <w:i/>
          <w:iCs/>
          <w:noProof/>
        </w:rPr>
        <w:t>(9) NOTING that this Agreement is without prejudice to the application of existing or future bilateral agreements or arrangements between Schengen States and the Principality of Andorra relating to cross-border cooperation, provided that such agreements or arrangements are not incompatible with this Agreement and to the extent that they relate to matters in respect of which further cooperation is permitted by the Agreement.</w:t>
      </w:r>
    </w:p>
    <w:p>
      <w:pPr>
        <w:spacing w:after="120"/>
        <w:rPr>
          <w:rFonts w:ascii="Times New Roman" w:hAnsi="Times New Roman" w:cs="Times New Roman"/>
          <w:i/>
          <w:iCs/>
          <w:noProof/>
          <w:lang w:val="en-IE"/>
        </w:rPr>
      </w:pPr>
      <w:r>
        <w:rPr>
          <w:rFonts w:ascii="Times New Roman" w:hAnsi="Times New Roman" w:cs="Times New Roman"/>
          <w:i/>
          <w:noProof/>
          <w:lang w:val="en-IE"/>
        </w:rPr>
        <w:t>(</w:t>
      </w:r>
      <w:r>
        <w:rPr>
          <w:rFonts w:ascii="Times New Roman" w:hAnsi="Times New Roman" w:cs="Times New Roman"/>
          <w:i/>
          <w:iCs/>
          <w:noProof/>
          <w:lang w:val="en-IE"/>
        </w:rPr>
        <w:t xml:space="preserve">10) </w:t>
      </w:r>
      <w:r>
        <w:rPr>
          <w:rFonts w:ascii="Times New Roman" w:hAnsi="Times New Roman" w:cs="Times New Roman"/>
          <w:i/>
          <w:iCs/>
          <w:noProof/>
        </w:rPr>
        <w:t>REAFFIRMING their respect for the Council of Europe Convention on Action against Trafficking in Human Beings and the United Nations Convention against Transnational Organized Crime, together with the Protocol to Prevent, Suppress and Punish Trafficking in Persons, Especially Women and Children and the Protocol against the Smuggling of Migrants by Land, Sea and Air.</w:t>
      </w:r>
    </w:p>
    <w:p>
      <w:pPr>
        <w:spacing w:after="120"/>
        <w:rPr>
          <w:rFonts w:ascii="Times New Roman" w:hAnsi="Times New Roman" w:cs="Times New Roman"/>
          <w:i/>
          <w:noProof/>
          <w:lang w:val="en-IE"/>
        </w:rPr>
      </w:pPr>
      <w:r>
        <w:rPr>
          <w:rFonts w:ascii="Times New Roman" w:hAnsi="Times New Roman" w:cs="Times New Roman"/>
          <w:i/>
          <w:noProof/>
          <w:lang w:val="en-IE"/>
        </w:rPr>
        <w:t xml:space="preserve">(11) TAKING INTO ACCOUNT the Protocol on the Schengen </w:t>
      </w:r>
      <w:r>
        <w:rPr>
          <w:rFonts w:ascii="Times New Roman" w:hAnsi="Times New Roman" w:cs="Times New Roman"/>
          <w:iCs/>
          <w:noProof/>
          <w:lang w:val="en-IE"/>
        </w:rPr>
        <w:t>acquis</w:t>
      </w:r>
      <w:r>
        <w:rPr>
          <w:rFonts w:ascii="Times New Roman" w:hAnsi="Times New Roman" w:cs="Times New Roman"/>
          <w:i/>
          <w:noProof/>
          <w:lang w:val="en-IE"/>
        </w:rPr>
        <w:t xml:space="preserve"> integrated into the framework of the European Union, annexed to the Treaty on European Union and the Treaty on the Functioning of the European Union, and CONFIRMING that the provisions of this Agreement are not applicable in relation to Ireland.</w:t>
      </w:r>
    </w:p>
    <w:p>
      <w:pPr>
        <w:spacing w:after="120"/>
        <w:rPr>
          <w:rFonts w:ascii="Times New Roman" w:hAnsi="Times New Roman" w:cs="Times New Roman"/>
          <w:i/>
          <w:iCs/>
          <w:noProof/>
          <w:lang w:val="en-IE"/>
        </w:rPr>
      </w:pPr>
      <w:r>
        <w:rPr>
          <w:rFonts w:ascii="Times New Roman" w:hAnsi="Times New Roman" w:cs="Times New Roman"/>
          <w:i/>
          <w:iCs/>
          <w:noProof/>
          <w:lang w:val="en-IE"/>
        </w:rPr>
        <w:t xml:space="preserve">(12) TAKING INTO ACCOUNT the Protocol on the position of Denmark annexed to the Treaty on European Union and the Treaty on the Functioning of the European Union and CONFIRMING that this Agreement is not binding upon or applicable in relation to Denmark. Nevertheless, since this Agreement builds upon the Schengen </w:t>
      </w:r>
      <w:r>
        <w:rPr>
          <w:rFonts w:ascii="Times New Roman" w:hAnsi="Times New Roman" w:cs="Times New Roman"/>
          <w:noProof/>
          <w:lang w:val="en-IE"/>
        </w:rPr>
        <w:t>acquis</w:t>
      </w:r>
      <w:r>
        <w:rPr>
          <w:rFonts w:ascii="Times New Roman" w:hAnsi="Times New Roman" w:cs="Times New Roman"/>
          <w:i/>
          <w:iCs/>
          <w:noProof/>
          <w:lang w:val="en-IE"/>
        </w:rPr>
        <w:t>, if Denmark decides to implement this measure in accordance with Article 4 of that Protocol, it should accede to this Agreement in accordance with the provisions of this Agreement. </w:t>
      </w:r>
    </w:p>
    <w:p>
      <w:pPr>
        <w:spacing w:after="120"/>
        <w:rPr>
          <w:rFonts w:ascii="Times New Roman" w:hAnsi="Times New Roman" w:cs="Times New Roman"/>
          <w:i/>
          <w:iCs/>
          <w:noProof/>
          <w:lang w:val="en-IE"/>
        </w:rPr>
      </w:pPr>
      <w:r>
        <w:rPr>
          <w:rFonts w:ascii="Times New Roman" w:hAnsi="Times New Roman" w:cs="Times New Roman"/>
          <w:i/>
          <w:noProof/>
          <w:lang w:val="en-IE"/>
        </w:rPr>
        <w:t xml:space="preserve">(13) TAKING INTO ACCOUNT the close relationship between the European Union and Norway, Iceland, Switzerland and Liechtenstein, particularly by virtue of the Agreements of 18 May 1999 and 26 October 2004 concerning the association of those countries with the implementation, application and development of the Schengen </w:t>
      </w:r>
      <w:r>
        <w:rPr>
          <w:rFonts w:ascii="Times New Roman" w:hAnsi="Times New Roman" w:cs="Times New Roman"/>
          <w:iCs/>
          <w:noProof/>
          <w:lang w:val="en-IE"/>
        </w:rPr>
        <w:t>acquis</w:t>
      </w:r>
      <w:r>
        <w:rPr>
          <w:rFonts w:ascii="Times New Roman" w:hAnsi="Times New Roman" w:cs="Times New Roman"/>
          <w:i/>
          <w:noProof/>
          <w:lang w:val="en-IE"/>
        </w:rPr>
        <w:t>, and their participation in the area without controls at internal borders, it is desirable for those States to accede to this Agreement under international law in accordance with the provisions of this Agreement.</w:t>
      </w:r>
      <w:r>
        <w:rPr>
          <w:rFonts w:ascii="Times New Roman" w:hAnsi="Times New Roman" w:cs="Times New Roman"/>
          <w:i/>
          <w:iCs/>
          <w:noProof/>
          <w:lang w:val="en-IE"/>
        </w:rPr>
        <w:t> </w:t>
      </w:r>
    </w:p>
    <w:p>
      <w:pPr>
        <w:spacing w:after="120"/>
        <w:rPr>
          <w:rFonts w:ascii="Times New Roman" w:hAnsi="Times New Roman" w:cs="Times New Roman"/>
          <w:i/>
          <w:iCs/>
          <w:noProof/>
          <w:lang w:val="en-IE"/>
        </w:rPr>
      </w:pPr>
      <w:r>
        <w:rPr>
          <w:rFonts w:ascii="Times New Roman" w:hAnsi="Times New Roman" w:cs="Times New Roman"/>
          <w:i/>
          <w:iCs/>
          <w:noProof/>
          <w:lang w:val="en-IE"/>
        </w:rPr>
        <w:t>(14) CONSIDERING the imp</w:t>
      </w:r>
      <w:r>
        <w:rPr>
          <w:rFonts w:ascii="Times New Roman" w:eastAsia="Times New Roman" w:hAnsi="Times New Roman" w:cs="Times New Roman"/>
          <w:i/>
          <w:iCs/>
          <w:noProof/>
          <w:lang w:eastAsia="en-GB"/>
        </w:rPr>
        <w:t>ortance of data flows</w:t>
      </w:r>
      <w:r>
        <w:rPr>
          <w:rFonts w:ascii="Times New Roman" w:eastAsia="Times New Roman" w:hAnsi="Times New Roman" w:cs="Times New Roman"/>
          <w:i/>
          <w:noProof/>
          <w:lang w:eastAsia="en-GB"/>
        </w:rPr>
        <w:t xml:space="preserve"> </w:t>
      </w:r>
      <w:r>
        <w:rPr>
          <w:rFonts w:ascii="Times New Roman" w:eastAsia="Times New Roman" w:hAnsi="Times New Roman" w:cs="Times New Roman"/>
          <w:i/>
          <w:iCs/>
          <w:noProof/>
          <w:lang w:eastAsia="en-GB"/>
        </w:rPr>
        <w:t>for the application of the agreement AFFIRMING</w:t>
      </w:r>
      <w:r>
        <w:rPr>
          <w:rFonts w:ascii="Times New Roman" w:eastAsia="Times New Roman" w:hAnsi="Times New Roman" w:cs="Times New Roman"/>
          <w:i/>
          <w:noProof/>
          <w:lang w:eastAsia="en-GB"/>
        </w:rPr>
        <w:t xml:space="preserve"> the</w:t>
      </w:r>
      <w:r>
        <w:rPr>
          <w:rFonts w:ascii="Times New Roman" w:eastAsia="Times New Roman" w:hAnsi="Times New Roman" w:cs="Times New Roman"/>
          <w:i/>
          <w:iCs/>
          <w:noProof/>
          <w:lang w:eastAsia="en-GB"/>
        </w:rPr>
        <w:t xml:space="preserve"> joint commitment of the Parties to ensuring a high level of protection to the processing of any personal data processed pursuant to this Agreement. As regards States applying the Schengen acquis in full that that may accede to this Agreement in accordance with this Agreement, RECALLING </w:t>
      </w:r>
      <w:r>
        <w:rPr>
          <w:rFonts w:ascii="Times New Roman" w:hAnsi="Times New Roman" w:cs="Times New Roman"/>
          <w:i/>
          <w:iCs/>
          <w:noProof/>
          <w:lang w:val="en-IE"/>
        </w:rPr>
        <w:t>the application of Regulation (EU) 2016/679 to Norway, Iceland and Liechtenstein through its incorporation into the EEA Agreement, as well as the application of Directive (EU) 2016/680 to Norway, Iceland, Liechtenstein and Switzerland as part of the Schengen acquis. Also RECALLING that Commission Decision 2000/518/EC of 26 July 2000 pursuant to Directive 95/46/EC of the European Parliament and of the Council on the adequate protection of personal data provided in Switzerland recognises that Switzerland provides an adequate level of protection for personal data transferred from the EU. </w:t>
      </w:r>
    </w:p>
    <w:p>
      <w:pPr>
        <w:spacing w:after="120"/>
        <w:rPr>
          <w:rFonts w:ascii="Times New Roman" w:hAnsi="Times New Roman" w:cs="Times New Roman"/>
          <w:i/>
          <w:iCs/>
          <w:noProof/>
          <w:lang w:val="en-IE"/>
        </w:rPr>
      </w:pPr>
    </w:p>
    <w:bookmarkEnd w:id="2"/>
    <w:p>
      <w:pPr>
        <w:rPr>
          <w:rFonts w:ascii="Times New Roman" w:hAnsi="Times New Roman" w:cs="Times New Roman"/>
          <w:i/>
          <w:iCs/>
          <w:noProof/>
          <w:lang w:val="en-IE"/>
        </w:rPr>
      </w:pPr>
      <w:r>
        <w:rPr>
          <w:rFonts w:ascii="Times New Roman" w:hAnsi="Times New Roman" w:cs="Times New Roman"/>
          <w:i/>
          <w:iCs/>
          <w:noProof/>
          <w:lang w:val="en-IE"/>
        </w:rPr>
        <w:lastRenderedPageBreak/>
        <w:t>HAVE AGREED AS FOLLOWS:</w:t>
      </w:r>
    </w:p>
    <w:p>
      <w:pPr>
        <w:pStyle w:val="Heading1"/>
        <w:rPr>
          <w:rFonts w:ascii="Times New Roman" w:hAnsi="Times New Roman" w:cs="Times New Roman"/>
          <w:noProof/>
          <w:lang w:val="en-IE"/>
        </w:rPr>
      </w:pPr>
      <w:bookmarkStart w:id="3" w:name="_Toc231459327"/>
      <w:r>
        <w:rPr>
          <w:rFonts w:ascii="Times New Roman" w:hAnsi="Times New Roman" w:cs="Times New Roman"/>
          <w:noProof/>
          <w:lang w:val="en-IE"/>
        </w:rPr>
        <w:lastRenderedPageBreak/>
        <w:t xml:space="preserve">PART ONE </w:t>
      </w:r>
      <w:r>
        <w:rPr>
          <w:rFonts w:ascii="Times New Roman" w:hAnsi="Times New Roman" w:cs="Times New Roman"/>
          <w:noProof/>
          <w:lang w:val="en-IE"/>
        </w:rPr>
        <w:br/>
        <w:t>INSTITUTIONAL PROVISIONS</w:t>
      </w:r>
      <w:bookmarkEnd w:id="3"/>
      <w:r>
        <w:rPr>
          <w:rFonts w:ascii="Times New Roman" w:hAnsi="Times New Roman" w:cs="Times New Roman"/>
          <w:noProof/>
          <w:lang w:val="en-IE"/>
        </w:rPr>
        <w:t xml:space="preserve"> </w:t>
      </w:r>
    </w:p>
    <w:p>
      <w:pPr>
        <w:pStyle w:val="Heading2"/>
        <w:rPr>
          <w:rFonts w:ascii="Times New Roman" w:hAnsi="Times New Roman" w:cs="Times New Roman"/>
          <w:noProof/>
          <w:lang w:val="en-IE"/>
        </w:rPr>
      </w:pPr>
      <w:bookmarkStart w:id="4" w:name="_Toc231459328"/>
      <w:r>
        <w:rPr>
          <w:rFonts w:ascii="Times New Roman" w:hAnsi="Times New Roman" w:cs="Times New Roman"/>
          <w:noProof/>
          <w:lang w:val="en-IE"/>
        </w:rPr>
        <w:t xml:space="preserve">TITLE I </w:t>
      </w:r>
      <w:r>
        <w:rPr>
          <w:rFonts w:ascii="Times New Roman" w:hAnsi="Times New Roman" w:cs="Times New Roman"/>
          <w:noProof/>
          <w:lang w:val="en-IE"/>
        </w:rPr>
        <w:br/>
        <w:t>GENERAL PROVISIONS</w:t>
      </w:r>
      <w:bookmarkEnd w:id="4"/>
    </w:p>
    <w:p>
      <w:pPr>
        <w:pStyle w:val="Heading3"/>
        <w:rPr>
          <w:rFonts w:ascii="Times New Roman" w:hAnsi="Times New Roman" w:cs="Times New Roman"/>
          <w:noProof/>
          <w:color w:val="auto"/>
          <w:lang w:val="en-IE"/>
        </w:rPr>
      </w:pPr>
      <w:bookmarkStart w:id="5" w:name="_Toc231459329"/>
      <w:r>
        <w:rPr>
          <w:rFonts w:ascii="Times New Roman" w:hAnsi="Times New Roman" w:cs="Times New Roman"/>
          <w:noProof/>
          <w:color w:val="auto"/>
          <w:lang w:val="en-IE"/>
        </w:rPr>
        <w:t xml:space="preserve">Article 1 </w:t>
      </w:r>
      <w:r>
        <w:rPr>
          <w:rFonts w:ascii="Times New Roman" w:hAnsi="Times New Roman" w:cs="Times New Roman"/>
          <w:noProof/>
          <w:color w:val="auto"/>
          <w:lang w:val="en-IE"/>
        </w:rPr>
        <w:br/>
        <w:t>Subject matter</w:t>
      </w:r>
      <w:bookmarkEnd w:id="5"/>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This Agreement establishes the basis for a relationship </w:t>
      </w:r>
      <w:r>
        <w:rPr>
          <w:rFonts w:ascii="Times New Roman" w:hAnsi="Times New Roman" w:cs="Times New Roman"/>
          <w:noProof/>
        </w:rPr>
        <w:t xml:space="preserve">on several aspects in the field of border management </w:t>
      </w:r>
      <w:r>
        <w:rPr>
          <w:rFonts w:ascii="Times New Roman" w:hAnsi="Times New Roman" w:cs="Times New Roman"/>
          <w:noProof/>
          <w:lang w:val="en-IE"/>
        </w:rPr>
        <w:t xml:space="preserve">between the European Union and States which have acceded to this Agreement pursuant to Article 52, of the one part, and the Principality of Andorra, of the other part, in view of the geographical proximity of the Principality of Andorra to, and economic interdependence with the European Union and with the States which have acceded to this Agreement pursuant to Article 52. </w:t>
      </w:r>
    </w:p>
    <w:p>
      <w:pPr>
        <w:spacing w:line="360" w:lineRule="auto"/>
        <w:rPr>
          <w:rFonts w:ascii="Times New Roman" w:hAnsi="Times New Roman" w:cs="Times New Roman"/>
          <w:noProof/>
        </w:rPr>
      </w:pPr>
      <w:r>
        <w:rPr>
          <w:rFonts w:ascii="Times New Roman" w:hAnsi="Times New Roman" w:cs="Times New Roman"/>
          <w:noProof/>
          <w:lang w:val="en-IE"/>
        </w:rPr>
        <w:t>2. The Agreement lays down provisions on the absence of border controls on persons, on the operation of the Entry/Exit System (EES)</w:t>
      </w:r>
      <w:r>
        <w:rPr>
          <w:rStyle w:val="FootnoteReference"/>
          <w:rFonts w:ascii="Times New Roman" w:hAnsi="Times New Roman" w:cs="Times New Roman"/>
          <w:noProof/>
          <w:lang w:val="en-IE"/>
        </w:rPr>
        <w:footnoteReference w:id="5"/>
      </w:r>
      <w:r>
        <w:rPr>
          <w:rFonts w:ascii="Times New Roman" w:hAnsi="Times New Roman" w:cs="Times New Roman"/>
          <w:noProof/>
          <w:lang w:val="en-IE"/>
        </w:rPr>
        <w:t xml:space="preserve"> and the European Travel Information and Authorisation System (ETIAS)</w:t>
      </w:r>
      <w:r>
        <w:rPr>
          <w:rStyle w:val="FootnoteReference"/>
          <w:rFonts w:ascii="Times New Roman" w:hAnsi="Times New Roman" w:cs="Times New Roman"/>
          <w:noProof/>
          <w:lang w:val="en-IE"/>
        </w:rPr>
        <w:footnoteReference w:id="6"/>
      </w:r>
      <w:r>
        <w:rPr>
          <w:rFonts w:ascii="Times New Roman" w:hAnsi="Times New Roman" w:cs="Times New Roman"/>
          <w:noProof/>
          <w:lang w:val="en-IE"/>
        </w:rPr>
        <w:t xml:space="preserve">, on </w:t>
      </w:r>
      <w:r>
        <w:rPr>
          <w:rFonts w:ascii="Times New Roman" w:hAnsi="Times New Roman" w:cs="Times New Roman"/>
          <w:noProof/>
        </w:rPr>
        <w:t xml:space="preserve">security as regards the residence permits issued by the Principality of Andorra to third-country nationals and on other compensatory measures. </w:t>
      </w:r>
    </w:p>
    <w:p>
      <w:pPr>
        <w:spacing w:line="360" w:lineRule="auto"/>
        <w:rPr>
          <w:rFonts w:ascii="Times New Roman" w:hAnsi="Times New Roman" w:cs="Times New Roman"/>
          <w:noProof/>
        </w:rPr>
      </w:pPr>
      <w:r>
        <w:rPr>
          <w:rFonts w:ascii="Times New Roman" w:hAnsi="Times New Roman" w:cs="Times New Roman"/>
          <w:noProof/>
        </w:rPr>
        <w:t>3. Nothing in this Agreement shall prevent checks on persons, including in the border area, to be carried out for the purposes of addressing threats to public security or public policy, in particular to combat cross-border crime and illegal immigration.</w:t>
      </w:r>
    </w:p>
    <w:p>
      <w:pPr>
        <w:pStyle w:val="Heading3"/>
        <w:rPr>
          <w:rFonts w:ascii="Times New Roman" w:hAnsi="Times New Roman" w:cs="Times New Roman"/>
          <w:noProof/>
          <w:color w:val="auto"/>
          <w:lang w:val="en-IE"/>
        </w:rPr>
      </w:pPr>
      <w:bookmarkStart w:id="6" w:name="_Toc231459330"/>
      <w:r>
        <w:rPr>
          <w:rFonts w:ascii="Times New Roman" w:hAnsi="Times New Roman" w:cs="Times New Roman"/>
          <w:noProof/>
          <w:color w:val="auto"/>
          <w:lang w:val="en-IE"/>
        </w:rPr>
        <w:t xml:space="preserve">Article 2 </w:t>
      </w:r>
      <w:r>
        <w:rPr>
          <w:rFonts w:ascii="Times New Roman" w:hAnsi="Times New Roman" w:cs="Times New Roman"/>
          <w:noProof/>
          <w:color w:val="auto"/>
        </w:rPr>
        <w:br/>
      </w:r>
      <w:r>
        <w:rPr>
          <w:rFonts w:ascii="Times New Roman" w:hAnsi="Times New Roman" w:cs="Times New Roman"/>
          <w:noProof/>
          <w:color w:val="auto"/>
          <w:lang w:val="en-IE"/>
        </w:rPr>
        <w:t>Supplementing agreements</w:t>
      </w:r>
      <w:bookmarkEnd w:id="6"/>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Where the European Union or States which have acceded to this Agreement pursuant to Article 52, on the one hand, and the Principality of Andorra, on the other, conclude other agreements between them </w:t>
      </w:r>
      <w:r>
        <w:rPr>
          <w:rFonts w:ascii="Times New Roman" w:hAnsi="Times New Roman" w:cs="Times New Roman"/>
          <w:noProof/>
        </w:rPr>
        <w:t>on matters falling under the scope of this Agreement,</w:t>
      </w:r>
      <w:r>
        <w:rPr>
          <w:rFonts w:ascii="Times New Roman" w:hAnsi="Times New Roman" w:cs="Times New Roman"/>
          <w:noProof/>
          <w:lang w:val="en-IE"/>
        </w:rPr>
        <w:t xml:space="preserve"> such agreements shall constitute supplementing agreements to this Agreement, unless otherwise provided for in those agreements. </w:t>
      </w:r>
    </w:p>
    <w:p>
      <w:pPr>
        <w:spacing w:line="360" w:lineRule="auto"/>
        <w:rPr>
          <w:rFonts w:ascii="Times New Roman" w:hAnsi="Times New Roman" w:cs="Times New Roman"/>
          <w:noProof/>
          <w:lang w:val="en-IE"/>
        </w:rPr>
      </w:pPr>
      <w:r>
        <w:rPr>
          <w:rFonts w:ascii="Times New Roman" w:hAnsi="Times New Roman" w:cs="Times New Roman"/>
          <w:noProof/>
          <w:lang w:val="en-IE"/>
        </w:rPr>
        <w:lastRenderedPageBreak/>
        <w:t xml:space="preserve">2.  Paragraph 1 also applies to any agreements between the European Union and its Member States, of the one part, and the Principality of Andorra, of the other part, concerning </w:t>
      </w:r>
      <w:r>
        <w:rPr>
          <w:rFonts w:ascii="Times New Roman" w:hAnsi="Times New Roman" w:cs="Times New Roman"/>
          <w:noProof/>
        </w:rPr>
        <w:t>matters falling under the scope of this Agreement</w:t>
      </w:r>
      <w:r>
        <w:rPr>
          <w:rFonts w:ascii="Times New Roman" w:hAnsi="Times New Roman" w:cs="Times New Roman"/>
          <w:noProof/>
          <w:lang w:val="en-IE"/>
        </w:rPr>
        <w:t>.</w:t>
      </w:r>
    </w:p>
    <w:p>
      <w:pPr>
        <w:pStyle w:val="Heading3"/>
        <w:rPr>
          <w:rFonts w:ascii="Times New Roman" w:hAnsi="Times New Roman" w:cs="Times New Roman"/>
          <w:noProof/>
          <w:color w:val="auto"/>
          <w:lang w:val="en-IE"/>
        </w:rPr>
      </w:pPr>
      <w:bookmarkStart w:id="7" w:name="_Toc231459331"/>
      <w:r>
        <w:rPr>
          <w:rFonts w:ascii="Times New Roman" w:hAnsi="Times New Roman" w:cs="Times New Roman"/>
          <w:noProof/>
          <w:color w:val="auto"/>
          <w:lang w:val="en-IE"/>
        </w:rPr>
        <w:t xml:space="preserve">Article 3 </w:t>
      </w:r>
      <w:r>
        <w:rPr>
          <w:rFonts w:ascii="Times New Roman" w:hAnsi="Times New Roman" w:cs="Times New Roman"/>
          <w:noProof/>
          <w:color w:val="auto"/>
          <w:lang w:val="en-IE"/>
        </w:rPr>
        <w:br/>
        <w:t>Good faith</w:t>
      </w:r>
      <w:bookmarkEnd w:id="7"/>
    </w:p>
    <w:p>
      <w:pPr>
        <w:spacing w:line="360" w:lineRule="auto"/>
        <w:rPr>
          <w:rFonts w:ascii="Times New Roman" w:hAnsi="Times New Roman" w:cs="Times New Roman"/>
          <w:noProof/>
          <w:lang w:val="en-IE"/>
        </w:rPr>
      </w:pPr>
      <w:r>
        <w:rPr>
          <w:rFonts w:ascii="Times New Roman" w:hAnsi="Times New Roman" w:cs="Times New Roman"/>
          <w:noProof/>
          <w:lang w:val="en-IE"/>
        </w:rPr>
        <w:t>1.   The Parties shall, in mutual respect and good faith, assist each other in carrying out tasks that flow from this Agreement and any supplementing agreement.</w:t>
      </w:r>
    </w:p>
    <w:p>
      <w:pPr>
        <w:spacing w:line="360" w:lineRule="auto"/>
        <w:rPr>
          <w:rFonts w:ascii="Times New Roman" w:hAnsi="Times New Roman" w:cs="Times New Roman"/>
          <w:noProof/>
          <w:lang w:val="en-IE"/>
        </w:rPr>
      </w:pPr>
      <w:r>
        <w:rPr>
          <w:rFonts w:ascii="Times New Roman" w:hAnsi="Times New Roman" w:cs="Times New Roman"/>
          <w:noProof/>
          <w:lang w:val="en-IE"/>
        </w:rPr>
        <w:t>2.   They shall take all appropriate measures, to ensure the fulfilment of the obligations arising from this Agreement and from any supplementing agreement, and shall refrain from any measures which could jeopardise the attainment of the objectives of this Agreement or any supplementing agreement.</w:t>
      </w:r>
    </w:p>
    <w:p>
      <w:pPr>
        <w:pStyle w:val="Heading3"/>
        <w:rPr>
          <w:rFonts w:ascii="Times New Roman" w:eastAsia="Times New Roman" w:hAnsi="Times New Roman" w:cs="Times New Roman"/>
          <w:noProof/>
          <w:color w:val="auto"/>
          <w:lang w:eastAsia="en-GB"/>
        </w:rPr>
      </w:pPr>
      <w:bookmarkStart w:id="8" w:name="_Toc231459332"/>
      <w:r>
        <w:rPr>
          <w:rFonts w:ascii="Times New Roman" w:eastAsia="Times New Roman" w:hAnsi="Times New Roman" w:cs="Times New Roman"/>
          <w:noProof/>
          <w:color w:val="auto"/>
          <w:lang w:eastAsia="en-GB"/>
        </w:rPr>
        <w:t xml:space="preserve">Article 4 </w:t>
      </w:r>
      <w:r>
        <w:rPr>
          <w:rFonts w:ascii="Times New Roman" w:eastAsia="Times New Roman" w:hAnsi="Times New Roman" w:cs="Times New Roman"/>
          <w:noProof/>
          <w:color w:val="auto"/>
          <w:lang w:eastAsia="en-GB"/>
        </w:rPr>
        <w:br/>
        <w:t>General Principles</w:t>
      </w:r>
      <w:bookmarkEnd w:id="8"/>
    </w:p>
    <w:p>
      <w:pPr>
        <w:spacing w:before="100" w:beforeAutospacing="1" w:after="100" w:afterAutospacing="1" w:line="36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1.   The Parties shall continue to uphold the shared values and principles of democracy, the rule of law, and respect for human rights, which underpin their domestic and international policies. In that regard, the Parties reaffirm their respect for the Universal Declaration of Human Rights and the international human rights treaties to which they are parties, including the European Convention on Human Rights.</w:t>
      </w:r>
    </w:p>
    <w:p>
      <w:pPr>
        <w:spacing w:before="100" w:beforeAutospacing="1" w:after="100" w:afterAutospacing="1" w:line="360" w:lineRule="auto"/>
        <w:rPr>
          <w:rFonts w:ascii="Times New Roman" w:hAnsi="Times New Roman" w:cs="Times New Roman"/>
          <w:noProof/>
        </w:rPr>
      </w:pPr>
      <w:r>
        <w:rPr>
          <w:rFonts w:ascii="Times New Roman" w:eastAsia="Times New Roman" w:hAnsi="Times New Roman" w:cs="Times New Roman"/>
          <w:noProof/>
          <w:lang w:eastAsia="en-GB"/>
        </w:rPr>
        <w:t xml:space="preserve">2. </w:t>
      </w:r>
      <w:r>
        <w:rPr>
          <w:rFonts w:ascii="Times New Roman" w:hAnsi="Times New Roman" w:cs="Times New Roman"/>
          <w:noProof/>
        </w:rPr>
        <w:t xml:space="preserve">This Agreement is without prejudice to the sovereignty, jurisdiction, and territorial integrity of the Principality of Andorra and the Member States of the European Union as well as of the </w:t>
      </w:r>
      <w:r>
        <w:rPr>
          <w:rFonts w:ascii="Times New Roman" w:hAnsi="Times New Roman" w:cs="Times New Roman"/>
          <w:noProof/>
          <w:lang w:val="en-IE"/>
        </w:rPr>
        <w:t>States which have acceded to this Agreement pursuant to Article 52</w:t>
      </w:r>
      <w:r>
        <w:rPr>
          <w:rFonts w:ascii="Times New Roman" w:hAnsi="Times New Roman" w:cs="Times New Roman"/>
          <w:noProof/>
        </w:rPr>
        <w:t>.</w:t>
      </w:r>
    </w:p>
    <w:p>
      <w:pPr>
        <w:pStyle w:val="Heading3"/>
        <w:rPr>
          <w:rFonts w:ascii="Times New Roman" w:eastAsia="Times New Roman" w:hAnsi="Times New Roman" w:cs="Times New Roman"/>
          <w:noProof/>
          <w:color w:val="auto"/>
          <w:lang w:val="en-US" w:eastAsia="nl-NL"/>
        </w:rPr>
      </w:pPr>
      <w:bookmarkStart w:id="9" w:name="_Toc231459333"/>
      <w:r>
        <w:rPr>
          <w:rFonts w:ascii="Times New Roman" w:eastAsia="Times New Roman" w:hAnsi="Times New Roman" w:cs="Times New Roman"/>
          <w:noProof/>
          <w:color w:val="auto"/>
          <w:lang w:val="en-US" w:eastAsia="nl-NL"/>
        </w:rPr>
        <w:t xml:space="preserve">Article </w:t>
      </w:r>
      <w:r>
        <w:rPr>
          <w:rFonts w:ascii="Times New Roman" w:eastAsia="Times New Roman" w:hAnsi="Times New Roman" w:cs="Times New Roman"/>
          <w:noProof/>
          <w:color w:val="auto"/>
          <w:lang w:eastAsia="nl-NL"/>
        </w:rPr>
        <w:t>5</w:t>
      </w:r>
      <w:r>
        <w:rPr>
          <w:rFonts w:ascii="Times New Roman" w:eastAsia="Times New Roman" w:hAnsi="Times New Roman" w:cs="Times New Roman"/>
          <w:noProof/>
          <w:color w:val="auto"/>
          <w:lang w:val="en-US" w:eastAsia="nl-NL"/>
        </w:rPr>
        <w:t xml:space="preserve"> </w:t>
      </w:r>
      <w:r>
        <w:rPr>
          <w:rFonts w:ascii="Times New Roman" w:eastAsia="Times New Roman" w:hAnsi="Times New Roman" w:cs="Times New Roman"/>
          <w:noProof/>
          <w:color w:val="auto"/>
          <w:lang w:val="en-US" w:eastAsia="nl-NL"/>
        </w:rPr>
        <w:br/>
        <w:t>Personal data protection</w:t>
      </w:r>
      <w:bookmarkEnd w:id="9"/>
    </w:p>
    <w:p>
      <w:pPr>
        <w:spacing w:before="100" w:beforeAutospacing="1" w:after="100" w:afterAutospacing="1" w:line="36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In view of the importance of data flows, for the application of this agreement, the Parties’ affirm their commitment to ensuring a high level of personal data protection. The Principality of Andorra</w:t>
      </w:r>
      <w:r>
        <w:rPr>
          <w:rFonts w:ascii="Times New Roman" w:eastAsia="Times New Roman" w:hAnsi="Times New Roman" w:cs="Times New Roman"/>
          <w:b/>
          <w:bCs/>
          <w:noProof/>
          <w:lang w:eastAsia="en-GB"/>
        </w:rPr>
        <w:t xml:space="preserve"> </w:t>
      </w:r>
      <w:r>
        <w:rPr>
          <w:rFonts w:ascii="Times New Roman" w:eastAsia="Times New Roman" w:hAnsi="Times New Roman" w:cs="Times New Roman"/>
          <w:noProof/>
          <w:lang w:eastAsia="en-GB"/>
        </w:rPr>
        <w:t>affirms its commitment to fully respect, on a dynamic alignment basis, the European Union’s personal data protection rules, including Regulation (EU) 2016/679 on the protection of natural persons with regard to the processing of personal data and on the free movement of such data and Directive (EU) 2016/680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the interpretation thereof by the Court of Justice of the European Union and relevant acts of the European Data Protection Board.</w:t>
      </w:r>
    </w:p>
    <w:p>
      <w:pPr>
        <w:pStyle w:val="Heading3"/>
        <w:spacing w:before="240"/>
        <w:rPr>
          <w:rFonts w:ascii="Times New Roman" w:eastAsia="Times New Roman" w:hAnsi="Times New Roman" w:cs="Times New Roman"/>
          <w:noProof/>
          <w:color w:val="auto"/>
          <w:lang w:eastAsia="en-GB"/>
        </w:rPr>
      </w:pPr>
      <w:bookmarkStart w:id="10" w:name="_Toc231459334"/>
      <w:r>
        <w:rPr>
          <w:rFonts w:ascii="Times New Roman" w:eastAsia="Times New Roman" w:hAnsi="Times New Roman" w:cs="Times New Roman"/>
          <w:noProof/>
          <w:color w:val="auto"/>
          <w:lang w:val="en-US" w:eastAsia="nl-NL"/>
        </w:rPr>
        <w:lastRenderedPageBreak/>
        <w:t>Article</w:t>
      </w:r>
      <w:r>
        <w:rPr>
          <w:rFonts w:ascii="Times New Roman" w:eastAsia="Times New Roman" w:hAnsi="Times New Roman" w:cs="Times New Roman"/>
          <w:noProof/>
          <w:color w:val="auto"/>
          <w:lang w:eastAsia="en-GB"/>
        </w:rPr>
        <w:t xml:space="preserve"> </w:t>
      </w:r>
      <w:r>
        <w:rPr>
          <w:rFonts w:ascii="Times New Roman" w:hAnsi="Times New Roman" w:cs="Times New Roman"/>
          <w:noProof/>
          <w:color w:val="auto"/>
        </w:rPr>
        <w:t>6</w:t>
      </w:r>
      <w:r>
        <w:rPr>
          <w:rFonts w:ascii="Times New Roman" w:eastAsia="Times New Roman" w:hAnsi="Times New Roman" w:cs="Times New Roman"/>
          <w:noProof/>
          <w:color w:val="auto"/>
          <w:lang w:eastAsia="en-GB"/>
        </w:rPr>
        <w:br/>
        <w:t>Essential elements</w:t>
      </w:r>
      <w:bookmarkEnd w:id="10"/>
    </w:p>
    <w:p>
      <w:pPr>
        <w:spacing w:before="100" w:beforeAutospacing="1" w:after="100" w:afterAutospacing="1" w:line="36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Articles </w:t>
      </w:r>
      <w:r>
        <w:rPr>
          <w:rFonts w:ascii="Times New Roman" w:hAnsi="Times New Roman" w:cs="Times New Roman"/>
          <w:noProof/>
          <w:lang w:val="en-IE"/>
        </w:rPr>
        <w:t>4</w:t>
      </w:r>
      <w:r>
        <w:rPr>
          <w:rFonts w:ascii="Times New Roman" w:eastAsia="Times New Roman" w:hAnsi="Times New Roman" w:cs="Times New Roman"/>
          <w:noProof/>
          <w:lang w:eastAsia="en-GB"/>
        </w:rPr>
        <w:t xml:space="preserve"> and </w:t>
      </w:r>
      <w:r>
        <w:rPr>
          <w:rFonts w:ascii="Times New Roman" w:eastAsia="Times New Roman" w:hAnsi="Times New Roman" w:cs="Times New Roman"/>
          <w:noProof/>
          <w:lang w:val="en-IE" w:eastAsia="en-GB"/>
        </w:rPr>
        <w:t>5</w:t>
      </w:r>
      <w:r>
        <w:rPr>
          <w:rFonts w:ascii="Times New Roman" w:eastAsia="Times New Roman" w:hAnsi="Times New Roman" w:cs="Times New Roman"/>
          <w:noProof/>
          <w:lang w:eastAsia="en-GB"/>
        </w:rPr>
        <w:t xml:space="preserve"> constitute essential elements of the cooperation established by this Agreement and any supplementing agreement.</w:t>
      </w:r>
    </w:p>
    <w:p>
      <w:pPr>
        <w:pStyle w:val="Heading2"/>
        <w:rPr>
          <w:rFonts w:ascii="Times New Roman" w:hAnsi="Times New Roman" w:cs="Times New Roman"/>
          <w:noProof/>
          <w:lang w:val="en-IE"/>
        </w:rPr>
      </w:pPr>
      <w:bookmarkStart w:id="11" w:name="_Toc231459335"/>
      <w:r>
        <w:rPr>
          <w:rFonts w:ascii="Times New Roman" w:hAnsi="Times New Roman" w:cs="Times New Roman"/>
          <w:noProof/>
          <w:lang w:val="en-IE"/>
        </w:rPr>
        <w:t>TITLE II</w:t>
      </w:r>
      <w:r>
        <w:rPr>
          <w:rFonts w:ascii="Times New Roman" w:hAnsi="Times New Roman" w:cs="Times New Roman"/>
          <w:noProof/>
          <w:lang w:val="en-IE"/>
        </w:rPr>
        <w:br/>
        <w:t>PRINCIPLES OF INTERPRETATION AND DEFINITIONS</w:t>
      </w:r>
      <w:bookmarkEnd w:id="11"/>
    </w:p>
    <w:p>
      <w:pPr>
        <w:pStyle w:val="Heading3"/>
        <w:rPr>
          <w:rFonts w:ascii="Times New Roman" w:hAnsi="Times New Roman" w:cs="Times New Roman"/>
          <w:noProof/>
          <w:color w:val="auto"/>
          <w:lang w:val="en-IE"/>
        </w:rPr>
      </w:pPr>
      <w:bookmarkStart w:id="12" w:name="_Toc231459336"/>
      <w:r>
        <w:rPr>
          <w:rFonts w:ascii="Times New Roman" w:hAnsi="Times New Roman" w:cs="Times New Roman"/>
          <w:noProof/>
          <w:color w:val="auto"/>
          <w:lang w:val="en-IE"/>
        </w:rPr>
        <w:t xml:space="preserve">Article 7 </w:t>
      </w:r>
      <w:r>
        <w:rPr>
          <w:rFonts w:ascii="Times New Roman" w:hAnsi="Times New Roman" w:cs="Times New Roman"/>
          <w:noProof/>
          <w:color w:val="auto"/>
          <w:lang w:val="en-IE"/>
        </w:rPr>
        <w:br/>
        <w:t>European Union law</w:t>
      </w:r>
      <w:bookmarkEnd w:id="12"/>
    </w:p>
    <w:p>
      <w:pPr>
        <w:spacing w:line="360" w:lineRule="auto"/>
        <w:rPr>
          <w:rFonts w:ascii="Times New Roman" w:hAnsi="Times New Roman" w:cs="Times New Roman"/>
          <w:b/>
          <w:bCs/>
          <w:noProof/>
          <w:u w:val="single"/>
          <w:lang w:val="en-IE"/>
        </w:rPr>
      </w:pPr>
      <w:r>
        <w:rPr>
          <w:rFonts w:ascii="Times New Roman" w:hAnsi="Times New Roman" w:cs="Times New Roman"/>
          <w:noProof/>
        </w:rPr>
        <w:t>To the extent that their application involves concepts of European Union law, the provisions of this Agreement and the legal acts of the European Union to which reference is made in this Agreement shall be interpreted and applied in accordance with the case law of the Court of Justice of the European Union, prior or subsequent to the signature of the Agreement</w:t>
      </w:r>
      <w:r>
        <w:rPr>
          <w:rFonts w:ascii="Times New Roman" w:hAnsi="Times New Roman" w:cs="Times New Roman"/>
          <w:noProof/>
          <w:lang w:val="en-IE"/>
        </w:rPr>
        <w:t>.</w:t>
      </w:r>
    </w:p>
    <w:p>
      <w:pPr>
        <w:pStyle w:val="Heading3"/>
        <w:rPr>
          <w:rFonts w:ascii="Times New Roman" w:hAnsi="Times New Roman" w:cs="Times New Roman"/>
          <w:noProof/>
          <w:color w:val="auto"/>
          <w:lang w:val="en-IE"/>
        </w:rPr>
      </w:pPr>
      <w:bookmarkStart w:id="13" w:name="_Toc231459337"/>
      <w:r>
        <w:rPr>
          <w:rFonts w:ascii="Times New Roman" w:hAnsi="Times New Roman" w:cs="Times New Roman"/>
          <w:noProof/>
          <w:color w:val="auto"/>
          <w:lang w:val="en-IE"/>
        </w:rPr>
        <w:t xml:space="preserve">Article </w:t>
      </w:r>
      <w:r>
        <w:rPr>
          <w:rFonts w:ascii="Times New Roman" w:hAnsi="Times New Roman" w:cs="Times New Roman"/>
          <w:noProof/>
          <w:color w:val="auto"/>
        </w:rPr>
        <w:t xml:space="preserve">8 </w:t>
      </w:r>
      <w:r>
        <w:rPr>
          <w:rFonts w:ascii="Times New Roman" w:hAnsi="Times New Roman" w:cs="Times New Roman"/>
          <w:noProof/>
          <w:color w:val="auto"/>
          <w:lang w:val="en-IE"/>
        </w:rPr>
        <w:br/>
        <w:t>Private rights</w:t>
      </w:r>
      <w:bookmarkEnd w:id="13"/>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w:t>
      </w:r>
      <w:r>
        <w:rPr>
          <w:rFonts w:ascii="Times New Roman" w:hAnsi="Times New Roman" w:cs="Times New Roman"/>
          <w:noProof/>
        </w:rPr>
        <w:t>N</w:t>
      </w:r>
      <w:r>
        <w:rPr>
          <w:rFonts w:ascii="Times New Roman" w:hAnsi="Times New Roman" w:cs="Times New Roman"/>
          <w:noProof/>
          <w:lang w:val="en-IE"/>
        </w:rPr>
        <w:t>othing in this Agreement or any supplementing agreement shall be construed as conferring rights or imposing obligations on persons other than those created between the Parties under public international law, nor as permitting this Agreement or any supplementing agreement to be directly invoked in the domestic legal systems of the Parties.</w:t>
      </w:r>
    </w:p>
    <w:p>
      <w:pPr>
        <w:spacing w:line="360" w:lineRule="auto"/>
        <w:rPr>
          <w:rFonts w:ascii="Times New Roman" w:hAnsi="Times New Roman" w:cs="Times New Roman"/>
          <w:noProof/>
          <w:lang w:val="en-IE"/>
        </w:rPr>
      </w:pPr>
      <w:r>
        <w:rPr>
          <w:rFonts w:ascii="Times New Roman" w:hAnsi="Times New Roman" w:cs="Times New Roman"/>
          <w:noProof/>
          <w:lang w:val="en-IE"/>
        </w:rPr>
        <w:t>2.   A Party shall not provide for a right of action under its law against the other Party on the ground that the other Party has acted in breach of this Agreement or any supplementing agreement.</w:t>
      </w:r>
    </w:p>
    <w:p>
      <w:pPr>
        <w:pStyle w:val="Heading3"/>
        <w:rPr>
          <w:rFonts w:ascii="Times New Roman" w:hAnsi="Times New Roman" w:cs="Times New Roman"/>
          <w:noProof/>
          <w:color w:val="auto"/>
          <w:lang w:val="en-IE"/>
        </w:rPr>
      </w:pPr>
      <w:bookmarkStart w:id="14" w:name="_Toc231459338"/>
      <w:r>
        <w:rPr>
          <w:rFonts w:ascii="Times New Roman" w:hAnsi="Times New Roman" w:cs="Times New Roman"/>
          <w:noProof/>
          <w:color w:val="auto"/>
          <w:lang w:val="en-IE"/>
        </w:rPr>
        <w:t xml:space="preserve">Article 9 </w:t>
      </w:r>
      <w:r>
        <w:rPr>
          <w:rFonts w:ascii="Times New Roman" w:hAnsi="Times New Roman" w:cs="Times New Roman"/>
          <w:noProof/>
          <w:color w:val="auto"/>
          <w:lang w:val="en-IE"/>
        </w:rPr>
        <w:br/>
        <w:t>Definitions</w:t>
      </w:r>
      <w:bookmarkEnd w:id="14"/>
    </w:p>
    <w:p>
      <w:pPr>
        <w:spacing w:line="360" w:lineRule="auto"/>
        <w:rPr>
          <w:rFonts w:ascii="Times New Roman" w:hAnsi="Times New Roman" w:cs="Times New Roman"/>
          <w:noProof/>
          <w:lang w:val="en-IE"/>
        </w:rPr>
      </w:pPr>
      <w:r>
        <w:rPr>
          <w:rFonts w:ascii="Times New Roman" w:hAnsi="Times New Roman" w:cs="Times New Roman"/>
          <w:noProof/>
          <w:lang w:val="en-IE"/>
        </w:rPr>
        <w:t>For the purposes of this Agreement and of any supplementing agreement, and unless otherwise specified, the following definitions apply:</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t>“the Parties” means</w:t>
      </w:r>
      <w:r>
        <w:rPr>
          <w:rFonts w:ascii="Times New Roman" w:hAnsi="Times New Roman" w:cs="Times New Roman"/>
          <w:noProof/>
        </w:rPr>
        <w:t xml:space="preserve"> the European Union and a State which has acceded to this Agreement pursuant to Article 52, on the one hand, and the Principality of Andorra, on the other;</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t>"data subject" means an identified or identifiable natural person; an identifiable person being a person who can be identified, directly or indirectly, in particular by reference to an identifier such as a name, an identification number, location data or an online identifier, or to one or more factors specific to the physical, physiological, genetic, mental, economic, cultural or social identity of that natural person;</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t>"day" means a calendar day;</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lastRenderedPageBreak/>
        <w:t>"Member State" means a Member State of the European Union;</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t>"</w:t>
      </w:r>
      <w:r>
        <w:rPr>
          <w:rFonts w:ascii="Times New Roman" w:eastAsia="Calibri" w:hAnsi="Times New Roman" w:cs="Times New Roman"/>
          <w:noProof/>
        </w:rPr>
        <w:t xml:space="preserve">States applying the Schengen </w:t>
      </w:r>
      <w:r>
        <w:rPr>
          <w:rFonts w:ascii="Times New Roman" w:eastAsia="Calibri" w:hAnsi="Times New Roman" w:cs="Times New Roman"/>
          <w:i/>
          <w:noProof/>
        </w:rPr>
        <w:t>acquis</w:t>
      </w:r>
      <w:r>
        <w:rPr>
          <w:rFonts w:ascii="Times New Roman" w:eastAsia="Calibri" w:hAnsi="Times New Roman" w:cs="Times New Roman"/>
          <w:noProof/>
        </w:rPr>
        <w:t xml:space="preserve"> in full</w:t>
      </w:r>
      <w:r>
        <w:rPr>
          <w:rFonts w:ascii="Times New Roman" w:hAnsi="Times New Roman" w:cs="Times New Roman"/>
          <w:noProof/>
          <w:lang w:val="en-IE"/>
        </w:rPr>
        <w:t xml:space="preserve">" means </w:t>
      </w:r>
      <w:r>
        <w:rPr>
          <w:rFonts w:ascii="Times New Roman" w:eastAsia="Calibri" w:hAnsi="Times New Roman" w:cs="Times New Roman"/>
          <w:noProof/>
        </w:rPr>
        <w:t xml:space="preserve">the EU Member States applying the Schengen </w:t>
      </w:r>
      <w:r>
        <w:rPr>
          <w:rFonts w:ascii="Times New Roman" w:eastAsia="Calibri" w:hAnsi="Times New Roman" w:cs="Times New Roman"/>
          <w:i/>
          <w:noProof/>
        </w:rPr>
        <w:t>acquis</w:t>
      </w:r>
      <w:r>
        <w:rPr>
          <w:rFonts w:ascii="Times New Roman" w:eastAsia="Calibri" w:hAnsi="Times New Roman" w:cs="Times New Roman"/>
          <w:noProof/>
        </w:rPr>
        <w:t xml:space="preserve"> in full under European Union law as well as an EU Member State or non-EU States applying the Schengen </w:t>
      </w:r>
      <w:r>
        <w:rPr>
          <w:rFonts w:ascii="Times New Roman" w:eastAsia="Calibri" w:hAnsi="Times New Roman" w:cs="Times New Roman"/>
          <w:i/>
          <w:noProof/>
        </w:rPr>
        <w:t xml:space="preserve">acquis </w:t>
      </w:r>
      <w:r>
        <w:rPr>
          <w:rFonts w:ascii="Times New Roman" w:eastAsia="Calibri" w:hAnsi="Times New Roman" w:cs="Times New Roman"/>
          <w:noProof/>
        </w:rPr>
        <w:t xml:space="preserve">in full under international law; </w:t>
      </w:r>
    </w:p>
    <w:p>
      <w:pPr>
        <w:pStyle w:val="ListParagraph"/>
        <w:numPr>
          <w:ilvl w:val="0"/>
          <w:numId w:val="6"/>
        </w:numPr>
        <w:spacing w:after="0" w:line="360" w:lineRule="auto"/>
        <w:rPr>
          <w:rFonts w:ascii="Times New Roman" w:eastAsia="Calibri" w:hAnsi="Times New Roman" w:cs="Times New Roman"/>
          <w:noProof/>
          <w:lang w:val="en-IE"/>
        </w:rPr>
      </w:pPr>
      <w:r>
        <w:rPr>
          <w:rFonts w:ascii="Times New Roman" w:eastAsia="Calibri" w:hAnsi="Times New Roman" w:cs="Times New Roman"/>
          <w:noProof/>
        </w:rPr>
        <w:t xml:space="preserve"> “Schengen States” means the EU Member States applying the Schengen </w:t>
      </w:r>
      <w:r>
        <w:rPr>
          <w:rFonts w:ascii="Times New Roman" w:eastAsia="Calibri" w:hAnsi="Times New Roman" w:cs="Times New Roman"/>
          <w:i/>
          <w:noProof/>
        </w:rPr>
        <w:t>acquis</w:t>
      </w:r>
      <w:r>
        <w:rPr>
          <w:rFonts w:ascii="Times New Roman" w:eastAsia="Calibri" w:hAnsi="Times New Roman" w:cs="Times New Roman"/>
          <w:noProof/>
        </w:rPr>
        <w:t xml:space="preserve"> in full under European Union law as well as an EU Member State or non-EU States applying the Schengen </w:t>
      </w:r>
      <w:r>
        <w:rPr>
          <w:rFonts w:ascii="Times New Roman" w:eastAsia="Calibri" w:hAnsi="Times New Roman" w:cs="Times New Roman"/>
          <w:i/>
          <w:noProof/>
        </w:rPr>
        <w:t xml:space="preserve">acquis </w:t>
      </w:r>
      <w:r>
        <w:rPr>
          <w:rFonts w:ascii="Times New Roman" w:eastAsia="Calibri" w:hAnsi="Times New Roman" w:cs="Times New Roman"/>
          <w:noProof/>
        </w:rPr>
        <w:t>in full under international law once they have acceded to this Agreement pursuant to Article 52;</w:t>
      </w:r>
    </w:p>
    <w:p>
      <w:pPr>
        <w:pStyle w:val="ListParagraph"/>
        <w:numPr>
          <w:ilvl w:val="0"/>
          <w:numId w:val="6"/>
        </w:numPr>
        <w:spacing w:line="360" w:lineRule="auto"/>
        <w:rPr>
          <w:rFonts w:ascii="Times New Roman" w:hAnsi="Times New Roman" w:cs="Times New Roman"/>
          <w:noProof/>
          <w:lang w:val="en-IE"/>
        </w:rPr>
      </w:pPr>
      <w:r>
        <w:rPr>
          <w:rFonts w:ascii="Times New Roman" w:eastAsia="Calibri" w:hAnsi="Times New Roman" w:cs="Times New Roman"/>
          <w:noProof/>
        </w:rPr>
        <w:t>“</w:t>
      </w:r>
      <w:r>
        <w:rPr>
          <w:rFonts w:ascii="Times New Roman" w:hAnsi="Times New Roman" w:cs="Times New Roman"/>
          <w:noProof/>
          <w:lang w:val="en-IE"/>
        </w:rPr>
        <w:t>personal data</w:t>
      </w:r>
      <w:r>
        <w:rPr>
          <w:rFonts w:ascii="Times New Roman" w:eastAsia="Calibri" w:hAnsi="Times New Roman" w:cs="Times New Roman"/>
          <w:noProof/>
        </w:rPr>
        <w:t>”</w:t>
      </w:r>
      <w:r>
        <w:rPr>
          <w:rFonts w:ascii="Times New Roman" w:hAnsi="Times New Roman" w:cs="Times New Roman"/>
          <w:noProof/>
          <w:lang w:val="en-IE"/>
        </w:rPr>
        <w:t xml:space="preserve"> means any information relating to a data subject;</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“Schengen Borders Code” means Regulation (EU) 2016/399 of the European Parliament and of the Council of 9 March 2016</w:t>
      </w:r>
      <w:r>
        <w:rPr>
          <w:rStyle w:val="FootnoteReference"/>
          <w:rFonts w:ascii="Times New Roman" w:eastAsia="Calibri" w:hAnsi="Times New Roman" w:cs="Times New Roman"/>
          <w:noProof/>
        </w:rPr>
        <w:footnoteReference w:id="7"/>
      </w:r>
      <w:r>
        <w:rPr>
          <w:rFonts w:ascii="Times New Roman" w:eastAsia="Calibri" w:hAnsi="Times New Roman" w:cs="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“Entry/Exit System” means the Entry/Exit System established by Regulation (EU) 2017/2226 of the European Parliament and of the Council of 30 November 2017</w:t>
      </w:r>
      <w:r>
        <w:rPr>
          <w:rStyle w:val="FootnoteReference"/>
          <w:rFonts w:ascii="Times New Roman" w:eastAsia="Calibri" w:hAnsi="Times New Roman" w:cs="Times New Roman"/>
          <w:noProof/>
        </w:rPr>
        <w:footnoteReference w:id="8"/>
      </w:r>
      <w:r>
        <w:rPr>
          <w:rFonts w:ascii="Times New Roman" w:eastAsia="Calibri" w:hAnsi="Times New Roman" w:cs="Times New Roman"/>
          <w:noProof/>
        </w:rPr>
        <w:t xml:space="preserve">;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“States operating the Entry/Exit System” means States which operate the Entry/Exit System under Regulation (EU) 2017/2226 of the European Parliament and of the Council of 30 November 2017;</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“Border control” means the activity carried out at a border, in accordance with and for the purposes of this agreement, in response exclusively to an intention to cross or the act of crossing that border, regardless of any other consideration, consisting of border checks and border surveillance;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“Border checks” means the checks carried out at border crossing points, to ensure that persons, including their means of transport and the objects in their possession, may be authorised to enter the territory of the States applying the Schengen </w:t>
      </w:r>
      <w:r>
        <w:rPr>
          <w:rFonts w:ascii="Times New Roman" w:eastAsia="Calibri" w:hAnsi="Times New Roman" w:cs="Times New Roman"/>
          <w:i/>
          <w:iCs/>
          <w:noProof/>
        </w:rPr>
        <w:t>acquis</w:t>
      </w:r>
      <w:r>
        <w:rPr>
          <w:rFonts w:ascii="Times New Roman" w:eastAsia="Calibri" w:hAnsi="Times New Roman" w:cs="Times New Roman"/>
          <w:noProof/>
        </w:rPr>
        <w:t xml:space="preserve"> in full and </w:t>
      </w:r>
      <w:r>
        <w:rPr>
          <w:rFonts w:ascii="Times New Roman" w:hAnsi="Times New Roman" w:cs="Times New Roman"/>
          <w:noProof/>
          <w:lang w:val="en-IE"/>
        </w:rPr>
        <w:t>the Principality of Andorra</w:t>
      </w:r>
      <w:r>
        <w:rPr>
          <w:rFonts w:ascii="Times New Roman" w:eastAsia="Calibri" w:hAnsi="Times New Roman" w:cs="Times New Roman"/>
          <w:noProof/>
        </w:rPr>
        <w:t xml:space="preserve"> or authorised to leave it;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“Border surveillance” means the surveillance of borders between border crossing points and the surveillance of border crossing points outside fixed opening hours, including preventative measures, to prevent or detect unauthorised border crossings or the circumvention of border checks, to contribute to raising situational awareness, to counter cross-border criminality and to take measures against persons who have crossed the border illegally;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“Joint operations” means law enforcement operations, including joint patrols and other joint operations, in the field of public order, public security and crime prevention, carried out jointly by officers of the </w:t>
      </w:r>
      <w:r>
        <w:rPr>
          <w:rFonts w:ascii="Times New Roman" w:eastAsia="Calibri" w:hAnsi="Times New Roman" w:cs="Times New Roman"/>
          <w:noProof/>
        </w:rPr>
        <w:lastRenderedPageBreak/>
        <w:t>law enforcement authorities of two or more States, whereby officers from one State operate on the territory of another State;</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“Union citizen” means any person having the nationality of a Member State;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“Third-country national” means any person who is not a Union citizen, a national of the Principality of Andorra, Iceland, Liechtenstein, Norway, Switzerland, San Marino or Monaco, or who is not covered by point 18 of this Article;</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“Third-country national legally residing in the Prinicipality of Andorra” means a third-country national as defined in point 16 having the legal right to reside in the Principality of Andorra;</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cs="Times New Roman"/>
          <w:noProof/>
        </w:rPr>
        <w:t>“Persons enjoying the right of free movement” means:</w:t>
      </w:r>
    </w:p>
    <w:p>
      <w:pPr>
        <w:pStyle w:val="ListParagraph"/>
        <w:numPr>
          <w:ilvl w:val="1"/>
          <w:numId w:val="6"/>
        </w:numPr>
        <w:spacing w:after="0" w:line="360" w:lineRule="auto"/>
        <w:rPr>
          <w:rFonts w:ascii="Times New Roman" w:hAnsi="Times New Roman" w:cs="Times New Roman"/>
          <w:noProof/>
        </w:rPr>
      </w:pPr>
      <w:r>
        <w:rPr>
          <w:rFonts w:ascii="Times New Roman" w:hAnsi="Times New Roman" w:cs="Times New Roman"/>
          <w:noProof/>
        </w:rPr>
        <w:t>Union citizens and their family members, irrespective of their nationality, who, enjoy a right to free movement under an Agreement establishing an association between the European Union and its Member States, of the one part, and the Principality of Andorra and the Republic of San Marino, each as a separate Party, of the other part;</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cs="Times New Roman"/>
          <w:noProof/>
        </w:rPr>
        <w:t xml:space="preserve">Nationals of </w:t>
      </w:r>
      <w:r>
        <w:rPr>
          <w:rFonts w:ascii="Times New Roman" w:eastAsia="Calibri" w:hAnsi="Times New Roman" w:cs="Times New Roman"/>
          <w:noProof/>
        </w:rPr>
        <w:t xml:space="preserve">the </w:t>
      </w:r>
      <w:r>
        <w:rPr>
          <w:rFonts w:ascii="Times New Roman" w:hAnsi="Times New Roman" w:cs="Times New Roman"/>
          <w:noProof/>
          <w:lang w:val="en-IE"/>
        </w:rPr>
        <w:t xml:space="preserve">Principality of Andorra </w:t>
      </w:r>
      <w:r>
        <w:rPr>
          <w:rFonts w:ascii="Times New Roman" w:hAnsi="Times New Roman" w:cs="Times New Roman"/>
          <w:noProof/>
        </w:rPr>
        <w:t>and their family members, irrespective of their nationality, who, enjoy a right to free movement under an Agreement establishing an association between the European Union and its Member States, of the one part,and the Principality of Andorra and the Republic of San Marino, each as separate Party, of the other part;</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cs="Times New Roman"/>
          <w:noProof/>
          <w:lang w:val="en-IE"/>
        </w:rPr>
        <w:t>Nationals</w:t>
      </w:r>
      <w:r>
        <w:rPr>
          <w:rFonts w:ascii="Times New Roman" w:eastAsia="Calibri" w:hAnsi="Times New Roman" w:cs="Times New Roman"/>
          <w:noProof/>
        </w:rPr>
        <w:t xml:space="preserve"> of Iceland, Liechtenstein, Norway, the Republic of San Marino or </w:t>
      </w:r>
      <w:r>
        <w:rPr>
          <w:rFonts w:ascii="Times New Roman" w:hAnsi="Times New Roman" w:cs="Times New Roman"/>
          <w:noProof/>
        </w:rPr>
        <w:t>Switzerland and their family members, irrespective of their natio</w:t>
      </w:r>
      <w:r>
        <w:rPr>
          <w:rFonts w:ascii="Times New Roman" w:eastAsia="Calibri" w:hAnsi="Times New Roman" w:cs="Times New Roman"/>
          <w:noProof/>
        </w:rPr>
        <w:t>nality, who, under agreements</w:t>
      </w:r>
      <w:r>
        <w:rPr>
          <w:rFonts w:ascii="Times New Roman" w:hAnsi="Times New Roman" w:cs="Times New Roman"/>
          <w:noProof/>
        </w:rPr>
        <w:t xml:space="preserve"> between those countries and the Principality of Andorra, enjoy rights of free movement equivalent to those referred to in points (a) and (b).</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“Family member” means the persons referred to in Article 2(2) and Article 3(2) of Directive 2004/38/EC</w:t>
      </w:r>
      <w:r>
        <w:rPr>
          <w:rStyle w:val="FootnoteReference"/>
          <w:rFonts w:ascii="Times New Roman" w:eastAsia="Calibri" w:hAnsi="Times New Roman" w:cs="Times New Roman"/>
          <w:noProof/>
        </w:rPr>
        <w:footnoteReference w:id="9"/>
      </w:r>
      <w:r>
        <w:rPr>
          <w:rFonts w:ascii="Times New Roman" w:eastAsia="Calibri" w:hAnsi="Times New Roman" w:cs="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“Residence permit” means a </w:t>
      </w:r>
      <w:r>
        <w:rPr>
          <w:rFonts w:ascii="Times New Roman" w:hAnsi="Times New Roman" w:cs="Times New Roman"/>
          <w:noProof/>
          <w:lang w:val="en-IE"/>
        </w:rPr>
        <w:t>document authorising residence in the Principality of Andorra</w:t>
      </w:r>
      <w:r>
        <w:rPr>
          <w:rFonts w:ascii="Times New Roman" w:eastAsia="Calibri" w:hAnsi="Times New Roman" w:cs="Times New Roman"/>
          <w:noProof/>
        </w:rPr>
        <w:t xml:space="preserve">;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“Member State carrying out the security assessment” means the French Republic or the Kingdom of </w:t>
      </w:r>
      <w:r>
        <w:rPr>
          <w:rFonts w:ascii="Times New Roman" w:eastAsia="Calibri" w:hAnsi="Times New Roman" w:cs="Times New Roman"/>
          <w:noProof/>
          <w:lang w:val="en-IE"/>
        </w:rPr>
        <w:t>Spain</w:t>
      </w:r>
      <w:r>
        <w:rPr>
          <w:rFonts w:ascii="Times New Roman" w:eastAsia="Calibri" w:hAnsi="Times New Roman" w:cs="Times New Roman"/>
          <w:noProof/>
        </w:rPr>
        <w:t xml:space="preserve"> depending on to which the application for the issuance or renewal of a residence permit was notified to by the Principality of Andorra according to a predetermined distribution key, established in the operational arrangements referred to in Article 16.</w:t>
      </w:r>
    </w:p>
    <w:p>
      <w:pPr>
        <w:pStyle w:val="Heading2"/>
        <w:rPr>
          <w:rFonts w:ascii="Times New Roman" w:hAnsi="Times New Roman" w:cs="Times New Roman"/>
          <w:noProof/>
          <w:lang w:val="en-IE"/>
        </w:rPr>
      </w:pPr>
      <w:bookmarkStart w:id="15" w:name="_Toc231459339"/>
      <w:r>
        <w:rPr>
          <w:rFonts w:ascii="Times New Roman" w:hAnsi="Times New Roman" w:cs="Times New Roman"/>
          <w:noProof/>
          <w:lang w:val="en-IE"/>
        </w:rPr>
        <w:lastRenderedPageBreak/>
        <w:t>TITLE III</w:t>
      </w:r>
      <w:r>
        <w:rPr>
          <w:rFonts w:ascii="Times New Roman" w:hAnsi="Times New Roman" w:cs="Times New Roman"/>
          <w:noProof/>
        </w:rPr>
        <w:br/>
      </w:r>
      <w:r>
        <w:rPr>
          <w:rFonts w:ascii="Times New Roman" w:hAnsi="Times New Roman" w:cs="Times New Roman"/>
          <w:noProof/>
          <w:lang w:val="en-IE"/>
        </w:rPr>
        <w:t>INSTITUTIONAL FRAMEWORK</w:t>
      </w:r>
      <w:bookmarkEnd w:id="15"/>
    </w:p>
    <w:p>
      <w:pPr>
        <w:pStyle w:val="Heading3"/>
        <w:rPr>
          <w:rFonts w:ascii="Times New Roman" w:hAnsi="Times New Roman" w:cs="Times New Roman"/>
          <w:noProof/>
          <w:color w:val="auto"/>
          <w:lang w:val="en-IE"/>
        </w:rPr>
      </w:pPr>
      <w:bookmarkStart w:id="16" w:name="_Toc231459340"/>
      <w:r>
        <w:rPr>
          <w:rFonts w:ascii="Times New Roman" w:hAnsi="Times New Roman" w:cs="Times New Roman"/>
          <w:noProof/>
          <w:color w:val="auto"/>
          <w:lang w:val="en-IE"/>
        </w:rPr>
        <w:t xml:space="preserve">Article 10 </w:t>
      </w:r>
      <w:r>
        <w:rPr>
          <w:rFonts w:ascii="Times New Roman" w:hAnsi="Times New Roman" w:cs="Times New Roman"/>
          <w:noProof/>
          <w:color w:val="auto"/>
        </w:rPr>
        <w:br/>
      </w:r>
      <w:r>
        <w:rPr>
          <w:rFonts w:ascii="Times New Roman" w:hAnsi="Times New Roman" w:cs="Times New Roman"/>
          <w:noProof/>
          <w:color w:val="auto"/>
          <w:lang w:val="en-IE"/>
        </w:rPr>
        <w:t>Joint Committee</w:t>
      </w:r>
      <w:bookmarkEnd w:id="16"/>
    </w:p>
    <w:p>
      <w:pPr>
        <w:spacing w:line="360" w:lineRule="auto"/>
        <w:rPr>
          <w:rFonts w:ascii="Times New Roman" w:hAnsi="Times New Roman" w:cs="Times New Roman"/>
          <w:noProof/>
        </w:rPr>
      </w:pPr>
      <w:r>
        <w:rPr>
          <w:rFonts w:ascii="Times New Roman" w:hAnsi="Times New Roman" w:cs="Times New Roman"/>
          <w:noProof/>
        </w:rPr>
        <w:t xml:space="preserve">1. A Joint Committee is hereby established. It shall be composed of the representatives of the Principality of Andorra and the European Union. </w:t>
      </w:r>
    </w:p>
    <w:p>
      <w:pPr>
        <w:spacing w:line="360" w:lineRule="auto"/>
        <w:rPr>
          <w:rFonts w:ascii="Times New Roman" w:hAnsi="Times New Roman" w:cs="Times New Roman"/>
          <w:noProof/>
        </w:rPr>
      </w:pPr>
      <w:r>
        <w:rPr>
          <w:rFonts w:ascii="Times New Roman" w:hAnsi="Times New Roman" w:cs="Times New Roman"/>
          <w:noProof/>
        </w:rPr>
        <w:t xml:space="preserve">2. The Joint Committee shall be chaired alternately by a representative of the European Commission and a representative of the Principality of Andorra. </w:t>
      </w:r>
    </w:p>
    <w:p>
      <w:pPr>
        <w:spacing w:line="360" w:lineRule="auto"/>
        <w:rPr>
          <w:rFonts w:ascii="Times New Roman" w:hAnsi="Times New Roman" w:cs="Times New Roman"/>
          <w:noProof/>
        </w:rPr>
      </w:pPr>
      <w:bookmarkStart w:id="17" w:name="_Hlk183010175"/>
      <w:r>
        <w:rPr>
          <w:rFonts w:ascii="Times New Roman" w:hAnsi="Times New Roman" w:cs="Times New Roman"/>
          <w:noProof/>
        </w:rPr>
        <w:t xml:space="preserve">3. The Joint Committee shall: </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 xml:space="preserve">ensure the proper functioning and the effective implementation of this Agreement; </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 xml:space="preserve">endeavour to resolve any dispute arising from the interpretation, implementation or application of this Agreement; </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 xml:space="preserve">make recommendations and adopt decisions, where appropriate, and facilitate specific aspects of cooperation based on this Agreement. </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amend Annex I in order to reflect amendments, replacements or supplements to European Union legal acts listed therein,</w:t>
      </w:r>
      <w:r>
        <w:rPr>
          <w:rFonts w:ascii="Times New Roman" w:hAnsi="Times New Roman" w:cs="Times New Roman"/>
          <w:noProof/>
        </w:rPr>
        <w:t xml:space="preserve"> in the terms referred to in Article 39.</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advise on any proposal to amend or modify the Agreement, including its Annex.</w:t>
      </w:r>
    </w:p>
    <w:bookmarkEnd w:id="17"/>
    <w:p>
      <w:pPr>
        <w:spacing w:line="360" w:lineRule="auto"/>
        <w:rPr>
          <w:rFonts w:ascii="Times New Roman" w:hAnsi="Times New Roman" w:cs="Times New Roman"/>
          <w:noProof/>
        </w:rPr>
      </w:pPr>
      <w:r>
        <w:rPr>
          <w:rFonts w:ascii="Times New Roman" w:hAnsi="Times New Roman" w:cs="Times New Roman"/>
          <w:noProof/>
        </w:rPr>
        <w:t>4. The Joint Committee shall take decisions by consensus. The decisions shall be binding on the Parties, which shall take all the necessary measures to implement them.</w:t>
      </w:r>
    </w:p>
    <w:p>
      <w:pPr>
        <w:spacing w:line="360" w:lineRule="auto"/>
        <w:rPr>
          <w:rFonts w:ascii="Times New Roman" w:hAnsi="Times New Roman" w:cs="Times New Roman"/>
          <w:noProof/>
        </w:rPr>
      </w:pPr>
      <w:r>
        <w:rPr>
          <w:rFonts w:ascii="Times New Roman" w:hAnsi="Times New Roman" w:cs="Times New Roman"/>
          <w:noProof/>
        </w:rPr>
        <w:t xml:space="preserve">5. The Joint Committee shall meet once a year or more often if necessary. It shall also meet at the request of a representative of one of the Parties. </w:t>
      </w:r>
    </w:p>
    <w:p>
      <w:pPr>
        <w:spacing w:line="360" w:lineRule="auto"/>
        <w:rPr>
          <w:rFonts w:ascii="Times New Roman" w:hAnsi="Times New Roman" w:cs="Times New Roman"/>
          <w:noProof/>
          <w:lang w:val="en-IE"/>
        </w:rPr>
      </w:pPr>
      <w:r>
        <w:rPr>
          <w:rFonts w:ascii="Times New Roman" w:hAnsi="Times New Roman" w:cs="Times New Roman"/>
          <w:noProof/>
          <w:lang w:val="en-IE"/>
        </w:rPr>
        <w:t>6. Schengen States may attend meetings of the Joint Committee.</w:t>
      </w:r>
    </w:p>
    <w:p>
      <w:pPr>
        <w:spacing w:line="360" w:lineRule="auto"/>
        <w:rPr>
          <w:rFonts w:ascii="Times New Roman" w:hAnsi="Times New Roman" w:cs="Times New Roman"/>
          <w:noProof/>
        </w:rPr>
      </w:pPr>
      <w:r>
        <w:rPr>
          <w:rFonts w:ascii="Times New Roman" w:hAnsi="Times New Roman" w:cs="Times New Roman"/>
          <w:noProof/>
        </w:rPr>
        <w:t>7. The Joint Committee shall adopt its rules of procedure.</w:t>
      </w:r>
    </w:p>
    <w:p>
      <w:pPr>
        <w:rPr>
          <w:rFonts w:ascii="Times New Roman" w:hAnsi="Times New Roman" w:cs="Times New Roman"/>
          <w:noProof/>
        </w:rPr>
      </w:pPr>
    </w:p>
    <w:p>
      <w:pPr>
        <w:pStyle w:val="Heading1"/>
        <w:rPr>
          <w:rFonts w:ascii="Times New Roman" w:hAnsi="Times New Roman" w:cs="Times New Roman"/>
          <w:noProof/>
        </w:rPr>
      </w:pPr>
      <w:bookmarkStart w:id="18" w:name="_Toc231459341"/>
      <w:r>
        <w:rPr>
          <w:rFonts w:ascii="Times New Roman" w:hAnsi="Times New Roman" w:cs="Times New Roman"/>
          <w:noProof/>
        </w:rPr>
        <w:lastRenderedPageBreak/>
        <w:t>PART TWO: CIRCULATION OF PERSONS</w:t>
      </w:r>
      <w:bookmarkEnd w:id="18"/>
    </w:p>
    <w:p>
      <w:pPr>
        <w:pStyle w:val="Heading2"/>
        <w:rPr>
          <w:rFonts w:ascii="Times New Roman" w:hAnsi="Times New Roman" w:cs="Times New Roman"/>
          <w:noProof/>
          <w:lang w:val="en-IE"/>
        </w:rPr>
      </w:pPr>
      <w:bookmarkStart w:id="19" w:name="_Toc231459342"/>
      <w:r>
        <w:rPr>
          <w:rFonts w:ascii="Times New Roman" w:hAnsi="Times New Roman" w:cs="Times New Roman"/>
          <w:noProof/>
          <w:lang w:val="en-IE"/>
        </w:rPr>
        <w:t xml:space="preserve">TITLE I </w:t>
      </w:r>
      <w:r>
        <w:rPr>
          <w:rFonts w:ascii="Times New Roman" w:hAnsi="Times New Roman" w:cs="Times New Roman"/>
          <w:noProof/>
          <w:lang w:val="en-IE"/>
        </w:rPr>
        <w:br/>
        <w:t>GENERAL PRINCIPLES AND OBJECTIVES</w:t>
      </w:r>
      <w:bookmarkEnd w:id="19"/>
    </w:p>
    <w:p>
      <w:pPr>
        <w:pStyle w:val="Heading3"/>
        <w:rPr>
          <w:rFonts w:ascii="Times New Roman" w:hAnsi="Times New Roman" w:cs="Times New Roman"/>
          <w:noProof/>
          <w:color w:val="auto"/>
          <w:lang w:val="en-IE"/>
        </w:rPr>
      </w:pPr>
      <w:bookmarkStart w:id="20" w:name="_Toc231459343"/>
      <w:r>
        <w:rPr>
          <w:rFonts w:ascii="Times New Roman" w:hAnsi="Times New Roman" w:cs="Times New Roman"/>
          <w:noProof/>
          <w:color w:val="auto"/>
          <w:lang w:val="en-IE"/>
        </w:rPr>
        <w:t>Article 11</w:t>
      </w:r>
      <w:r>
        <w:rPr>
          <w:rFonts w:ascii="Times New Roman" w:hAnsi="Times New Roman" w:cs="Times New Roman"/>
          <w:noProof/>
          <w:color w:val="auto"/>
          <w:lang w:val="en-IE"/>
        </w:rPr>
        <w:br/>
        <w:t>Border checks</w:t>
      </w:r>
      <w:bookmarkEnd w:id="20"/>
    </w:p>
    <w:p>
      <w:pPr>
        <w:spacing w:line="360" w:lineRule="auto"/>
        <w:rPr>
          <w:rFonts w:ascii="Times New Roman" w:hAnsi="Times New Roman" w:cs="Times New Roman"/>
          <w:noProof/>
          <w:lang w:val="en-IE"/>
        </w:rPr>
      </w:pPr>
      <w:r>
        <w:rPr>
          <w:rFonts w:ascii="Times New Roman" w:hAnsi="Times New Roman" w:cs="Times New Roman"/>
          <w:noProof/>
        </w:rPr>
        <w:t>1</w:t>
      </w:r>
      <w:r>
        <w:rPr>
          <w:rFonts w:ascii="Times New Roman" w:hAnsi="Times New Roman" w:cs="Times New Roman"/>
          <w:noProof/>
          <w:lang w:val="en-IE"/>
        </w:rPr>
        <w:t xml:space="preserve">. The Parties shall ensure that persons may cross the borders at any crossing point between the </w:t>
      </w:r>
      <w:r>
        <w:rPr>
          <w:rStyle w:val="normaltextrun"/>
          <w:rFonts w:ascii="Times New Roman" w:hAnsi="Times New Roman" w:cs="Times New Roman"/>
          <w:noProof/>
          <w:lang w:val="en-IE"/>
        </w:rPr>
        <w:t>Principality of Andorra</w:t>
      </w:r>
      <w:r>
        <w:rPr>
          <w:rFonts w:ascii="Times New Roman" w:hAnsi="Times New Roman" w:cs="Times New Roman"/>
          <w:noProof/>
          <w:lang w:val="en-IE"/>
        </w:rPr>
        <w:t xml:space="preserve"> and the Schengen States without border checks being carried out, irrespective of their nationality.</w:t>
      </w:r>
    </w:p>
    <w:p>
      <w:pPr>
        <w:spacing w:line="360" w:lineRule="auto"/>
        <w:rPr>
          <w:rFonts w:ascii="Times New Roman" w:hAnsi="Times New Roman" w:cs="Times New Roman"/>
          <w:noProof/>
          <w:lang w:val="en-IE"/>
        </w:rPr>
      </w:pPr>
      <w:r>
        <w:rPr>
          <w:rFonts w:ascii="Times New Roman" w:hAnsi="Times New Roman" w:cs="Times New Roman"/>
          <w:noProof/>
          <w:lang w:val="en-IE"/>
        </w:rPr>
        <w:t>2. The provisions of paragraph 1 are without prejudice to Article 12 on checks on persons other than border checks carried out within the territories of the Parties, including in their border areas.</w:t>
      </w:r>
    </w:p>
    <w:p>
      <w:pPr>
        <w:spacing w:line="360" w:lineRule="auto"/>
        <w:rPr>
          <w:rFonts w:ascii="Times New Roman" w:hAnsi="Times New Roman" w:cs="Times New Roman"/>
          <w:noProof/>
          <w:lang w:val="en-IE"/>
        </w:rPr>
      </w:pPr>
      <w:r>
        <w:rPr>
          <w:rFonts w:ascii="Times New Roman" w:hAnsi="Times New Roman" w:cs="Times New Roman"/>
          <w:noProof/>
        </w:rPr>
        <w:t>3</w:t>
      </w:r>
      <w:r>
        <w:rPr>
          <w:rFonts w:ascii="Times New Roman" w:hAnsi="Times New Roman" w:cs="Times New Roman"/>
          <w:noProof/>
          <w:lang w:val="en-IE"/>
        </w:rPr>
        <w:t xml:space="preserve">. </w:t>
      </w:r>
      <w:r>
        <w:rPr>
          <w:rFonts w:ascii="Times New Roman" w:hAnsi="Times New Roman" w:cs="Times New Roman"/>
          <w:noProof/>
        </w:rPr>
        <w:t>I</w:t>
      </w:r>
      <w:r>
        <w:rPr>
          <w:rFonts w:ascii="Times New Roman" w:hAnsi="Times New Roman" w:cs="Times New Roman"/>
          <w:noProof/>
          <w:lang w:val="en-IE"/>
        </w:rPr>
        <w:t xml:space="preserve">n the event that border controls are reintroduced, the </w:t>
      </w:r>
      <w:r>
        <w:rPr>
          <w:rStyle w:val="normaltextrun"/>
          <w:rFonts w:ascii="Times New Roman" w:hAnsi="Times New Roman" w:cs="Times New Roman"/>
          <w:noProof/>
          <w:lang w:val="en-IE"/>
        </w:rPr>
        <w:t xml:space="preserve">Principality of Andorra </w:t>
      </w:r>
      <w:r>
        <w:rPr>
          <w:rFonts w:ascii="Times New Roman" w:hAnsi="Times New Roman" w:cs="Times New Roman"/>
          <w:noProof/>
          <w:lang w:val="en-IE"/>
        </w:rPr>
        <w:t>and the Schengen States shall provide the facilities for checks.</w:t>
      </w:r>
    </w:p>
    <w:p>
      <w:pPr>
        <w:pStyle w:val="Heading3"/>
        <w:rPr>
          <w:rFonts w:ascii="Times New Roman" w:hAnsi="Times New Roman" w:cs="Times New Roman"/>
          <w:noProof/>
          <w:color w:val="auto"/>
          <w:lang w:val="en-IE"/>
        </w:rPr>
      </w:pPr>
      <w:bookmarkStart w:id="21" w:name="_Toc231459344"/>
      <w:r>
        <w:rPr>
          <w:rFonts w:ascii="Times New Roman" w:hAnsi="Times New Roman" w:cs="Times New Roman"/>
          <w:noProof/>
          <w:color w:val="auto"/>
          <w:lang w:val="en-IE"/>
        </w:rPr>
        <w:t xml:space="preserve">Article </w:t>
      </w:r>
      <w:r>
        <w:rPr>
          <w:rFonts w:ascii="Times New Roman" w:hAnsi="Times New Roman" w:cs="Times New Roman"/>
          <w:noProof/>
          <w:color w:val="auto"/>
        </w:rPr>
        <w:t>12</w:t>
      </w:r>
      <w:r>
        <w:rPr>
          <w:rFonts w:ascii="Times New Roman" w:hAnsi="Times New Roman" w:cs="Times New Roman"/>
          <w:noProof/>
          <w:color w:val="auto"/>
          <w:lang w:val="en-IE"/>
        </w:rPr>
        <w:t xml:space="preserve"> </w:t>
      </w:r>
      <w:r>
        <w:rPr>
          <w:rFonts w:ascii="Times New Roman" w:hAnsi="Times New Roman" w:cs="Times New Roman"/>
          <w:noProof/>
          <w:color w:val="auto"/>
        </w:rPr>
        <w:br/>
        <w:t xml:space="preserve">Checks within the territory and the border areas between the Principality of Andorra and the </w:t>
      </w:r>
      <w:r>
        <w:rPr>
          <w:rFonts w:ascii="Times New Roman" w:eastAsiaTheme="minorHAnsi" w:hAnsi="Times New Roman" w:cs="Times New Roman"/>
          <w:noProof/>
          <w:color w:val="auto"/>
          <w:szCs w:val="22"/>
          <w:lang w:val="en-IE"/>
        </w:rPr>
        <w:t>Schengen States</w:t>
      </w:r>
      <w:bookmarkEnd w:id="21"/>
      <w:r>
        <w:rPr>
          <w:rFonts w:ascii="Times New Roman" w:hAnsi="Times New Roman" w:cs="Times New Roman"/>
          <w:noProof/>
          <w:color w:val="auto"/>
        </w:rPr>
        <w:t xml:space="preserve"> </w:t>
      </w:r>
    </w:p>
    <w:p>
      <w:pPr>
        <w:spacing w:line="360" w:lineRule="auto"/>
        <w:rPr>
          <w:rFonts w:ascii="Times New Roman" w:hAnsi="Times New Roman" w:cs="Times New Roman"/>
          <w:noProof/>
        </w:rPr>
      </w:pPr>
      <w:r>
        <w:rPr>
          <w:rFonts w:ascii="Times New Roman" w:hAnsi="Times New Roman" w:cs="Times New Roman"/>
          <w:noProof/>
          <w:lang w:val="en-IE"/>
        </w:rPr>
        <w:t xml:space="preserve">1. The absence of border control </w:t>
      </w:r>
      <w:r>
        <w:rPr>
          <w:rFonts w:ascii="Times New Roman" w:hAnsi="Times New Roman" w:cs="Times New Roman"/>
          <w:noProof/>
        </w:rPr>
        <w:t xml:space="preserve">of </w:t>
      </w:r>
      <w:r>
        <w:rPr>
          <w:rFonts w:ascii="Times New Roman" w:hAnsi="Times New Roman" w:cs="Times New Roman"/>
          <w:noProof/>
          <w:lang w:val="en-IE"/>
        </w:rPr>
        <w:t>persons between the Principality of Andorra and the Schengen States shall not affect</w:t>
      </w:r>
      <w:r>
        <w:rPr>
          <w:rFonts w:ascii="Times New Roman" w:hAnsi="Times New Roman" w:cs="Times New Roman"/>
          <w:noProof/>
        </w:rPr>
        <w:t xml:space="preserve"> the exercise of police or other public powers by the competent authorities of the </w:t>
      </w:r>
      <w:r>
        <w:rPr>
          <w:rFonts w:ascii="Times New Roman" w:hAnsi="Times New Roman" w:cs="Times New Roman"/>
          <w:noProof/>
          <w:lang w:val="en-IE"/>
        </w:rPr>
        <w:t>Schengen States</w:t>
      </w:r>
      <w:r>
        <w:rPr>
          <w:rFonts w:ascii="Times New Roman" w:hAnsi="Times New Roman" w:cs="Times New Roman"/>
          <w:noProof/>
        </w:rPr>
        <w:t xml:space="preserve"> and the competent authorities of the Principality of Andorra in their respective territory, including in their border areas, as conferred on them by national law, insofar as the exercise of those powers does not have an effect equivalent to border checks. </w:t>
      </w:r>
    </w:p>
    <w:p>
      <w:pPr>
        <w:spacing w:line="360" w:lineRule="auto"/>
        <w:rPr>
          <w:rFonts w:ascii="Times New Roman" w:hAnsi="Times New Roman" w:cs="Times New Roman"/>
          <w:noProof/>
        </w:rPr>
      </w:pPr>
      <w:r>
        <w:rPr>
          <w:rFonts w:ascii="Times New Roman" w:hAnsi="Times New Roman" w:cs="Times New Roman"/>
          <w:noProof/>
        </w:rPr>
        <w:t xml:space="preserve">2. </w:t>
      </w:r>
      <w:r>
        <w:rPr>
          <w:rFonts w:ascii="Times New Roman" w:hAnsi="Times New Roman" w:cs="Times New Roman"/>
          <w:noProof/>
          <w:lang w:val="en-IE"/>
        </w:rPr>
        <w:t xml:space="preserve">The absence of border control </w:t>
      </w:r>
      <w:r>
        <w:rPr>
          <w:rFonts w:ascii="Times New Roman" w:hAnsi="Times New Roman" w:cs="Times New Roman"/>
          <w:noProof/>
        </w:rPr>
        <w:t xml:space="preserve">of </w:t>
      </w:r>
      <w:r>
        <w:rPr>
          <w:rFonts w:ascii="Times New Roman" w:hAnsi="Times New Roman" w:cs="Times New Roman"/>
          <w:noProof/>
          <w:lang w:val="en-IE"/>
        </w:rPr>
        <w:t>persons between the Principality of Andorra and the  Schengen States shall not affect</w:t>
      </w:r>
      <w:r>
        <w:rPr>
          <w:rFonts w:ascii="Times New Roman" w:hAnsi="Times New Roman" w:cs="Times New Roman"/>
          <w:noProof/>
        </w:rPr>
        <w:t xml:space="preserve"> the possibility to provide by law for an obligation to hold or carry papers and documents.</w:t>
      </w:r>
    </w:p>
    <w:p>
      <w:pPr>
        <w:spacing w:line="360" w:lineRule="auto"/>
        <w:rPr>
          <w:rFonts w:ascii="Times New Roman" w:hAnsi="Times New Roman" w:cs="Times New Roman"/>
          <w:noProof/>
        </w:rPr>
      </w:pPr>
      <w:r>
        <w:rPr>
          <w:rFonts w:ascii="Times New Roman" w:hAnsi="Times New Roman" w:cs="Times New Roman"/>
          <w:noProof/>
        </w:rPr>
        <w:t>3. The exercise by competent authorities of their powers mentioned in paragraph 1 shall not, in particular, be considered equivalent to the exercise of border checks when the measures fulfil each of the following conditions:</w:t>
      </w:r>
    </w:p>
    <w:p>
      <w:pPr>
        <w:spacing w:line="360" w:lineRule="auto"/>
        <w:rPr>
          <w:rFonts w:ascii="Times New Roman" w:hAnsi="Times New Roman" w:cs="Times New Roman"/>
          <w:noProof/>
        </w:rPr>
      </w:pPr>
      <w:r>
        <w:rPr>
          <w:rFonts w:ascii="Times New Roman" w:hAnsi="Times New Roman" w:cs="Times New Roman"/>
          <w:noProof/>
        </w:rPr>
        <w:t>(i) do not have border control as an objective;</w:t>
      </w:r>
    </w:p>
    <w:p>
      <w:pPr>
        <w:spacing w:line="360" w:lineRule="auto"/>
        <w:rPr>
          <w:rFonts w:ascii="Times New Roman" w:hAnsi="Times New Roman" w:cs="Times New Roman"/>
          <w:noProof/>
        </w:rPr>
      </w:pPr>
      <w:r>
        <w:rPr>
          <w:rFonts w:ascii="Times New Roman" w:hAnsi="Times New Roman" w:cs="Times New Roman"/>
          <w:noProof/>
        </w:rPr>
        <w:t>(ii) are based on general police information or, where the aim is to contain the spread of an infectious disease, on public health information, and the experience of the competent authorities regarding possible threats to public security or public policy and aim, in particular, to:</w:t>
      </w:r>
    </w:p>
    <w:p>
      <w:pPr>
        <w:pStyle w:val="ListParagraph"/>
        <w:numPr>
          <w:ilvl w:val="0"/>
          <w:numId w:val="7"/>
        </w:numPr>
        <w:spacing w:line="360" w:lineRule="auto"/>
        <w:rPr>
          <w:rFonts w:ascii="Times New Roman" w:hAnsi="Times New Roman" w:cs="Times New Roman"/>
          <w:noProof/>
        </w:rPr>
      </w:pPr>
      <w:r>
        <w:rPr>
          <w:rFonts w:ascii="Times New Roman" w:hAnsi="Times New Roman" w:cs="Times New Roman"/>
          <w:noProof/>
        </w:rPr>
        <w:t>combat cross-border crime,</w:t>
      </w:r>
    </w:p>
    <w:p>
      <w:pPr>
        <w:pStyle w:val="ListParagraph"/>
        <w:numPr>
          <w:ilvl w:val="0"/>
          <w:numId w:val="7"/>
        </w:numPr>
        <w:spacing w:line="360" w:lineRule="auto"/>
        <w:rPr>
          <w:rFonts w:ascii="Times New Roman" w:hAnsi="Times New Roman" w:cs="Times New Roman"/>
          <w:noProof/>
        </w:rPr>
      </w:pPr>
      <w:r>
        <w:rPr>
          <w:rFonts w:ascii="Times New Roman" w:hAnsi="Times New Roman" w:cs="Times New Roman"/>
          <w:noProof/>
        </w:rPr>
        <w:lastRenderedPageBreak/>
        <w:t>reduce illegal immigration, or</w:t>
      </w:r>
    </w:p>
    <w:p>
      <w:pPr>
        <w:pStyle w:val="ListParagraph"/>
        <w:numPr>
          <w:ilvl w:val="0"/>
          <w:numId w:val="7"/>
        </w:numPr>
        <w:spacing w:line="360" w:lineRule="auto"/>
        <w:rPr>
          <w:rFonts w:ascii="Times New Roman" w:hAnsi="Times New Roman" w:cs="Times New Roman"/>
          <w:noProof/>
        </w:rPr>
      </w:pPr>
      <w:r>
        <w:rPr>
          <w:rFonts w:ascii="Times New Roman" w:hAnsi="Times New Roman" w:cs="Times New Roman"/>
          <w:noProof/>
        </w:rPr>
        <w:t>contain the spread of an infectious disease with epidemic potential;</w:t>
      </w:r>
    </w:p>
    <w:p>
      <w:pPr>
        <w:spacing w:line="360" w:lineRule="auto"/>
        <w:rPr>
          <w:rFonts w:ascii="Times New Roman" w:hAnsi="Times New Roman" w:cs="Times New Roman"/>
          <w:noProof/>
        </w:rPr>
      </w:pPr>
      <w:r>
        <w:rPr>
          <w:rFonts w:ascii="Times New Roman" w:hAnsi="Times New Roman" w:cs="Times New Roman"/>
          <w:noProof/>
        </w:rPr>
        <w:t>(iii) are devised and executed in a manner that is clearly distinct from systematic checks on persons at borders, including where they are conducted at transport hubs or directly on board of passenger transport services and provided that they are based on a risk assessment.</w:t>
      </w:r>
    </w:p>
    <w:p>
      <w:pPr>
        <w:spacing w:line="360" w:lineRule="auto"/>
        <w:rPr>
          <w:rFonts w:ascii="Times New Roman" w:hAnsi="Times New Roman" w:cs="Times New Roman"/>
          <w:noProof/>
        </w:rPr>
      </w:pPr>
      <w:r>
        <w:rPr>
          <w:rFonts w:ascii="Times New Roman" w:hAnsi="Times New Roman" w:cs="Times New Roman"/>
          <w:noProof/>
        </w:rPr>
        <w:t xml:space="preserve">3. The exercise of powers mentioned in paragraph 1 may include, where appropriate, the use of monitoring and surveillance technologies generally used in the territory for the purposes of addressing threats to public security or public policy. </w:t>
      </w:r>
    </w:p>
    <w:p>
      <w:pPr>
        <w:pStyle w:val="Heading3"/>
        <w:rPr>
          <w:rFonts w:ascii="Times New Roman" w:hAnsi="Times New Roman" w:cs="Times New Roman"/>
          <w:noProof/>
          <w:color w:val="auto"/>
          <w:lang w:val="en-IE"/>
        </w:rPr>
      </w:pPr>
      <w:bookmarkStart w:id="22" w:name="_Toc231459345"/>
      <w:r>
        <w:rPr>
          <w:rFonts w:ascii="Times New Roman" w:hAnsi="Times New Roman" w:cs="Times New Roman"/>
          <w:noProof/>
          <w:color w:val="auto"/>
          <w:lang w:val="en-IE"/>
        </w:rPr>
        <w:t xml:space="preserve">Article </w:t>
      </w:r>
      <w:r>
        <w:rPr>
          <w:rFonts w:ascii="Times New Roman" w:hAnsi="Times New Roman" w:cs="Times New Roman"/>
          <w:noProof/>
          <w:color w:val="auto"/>
        </w:rPr>
        <w:t>13</w:t>
      </w:r>
      <w:r>
        <w:rPr>
          <w:rFonts w:ascii="Times New Roman" w:hAnsi="Times New Roman" w:cs="Times New Roman"/>
          <w:noProof/>
          <w:color w:val="auto"/>
          <w:lang w:val="en-IE"/>
        </w:rPr>
        <w:t xml:space="preserve"> </w:t>
      </w:r>
      <w:r>
        <w:rPr>
          <w:rFonts w:ascii="Times New Roman" w:hAnsi="Times New Roman" w:cs="Times New Roman"/>
          <w:noProof/>
          <w:color w:val="auto"/>
        </w:rPr>
        <w:br/>
        <w:t>Introduction of border control</w:t>
      </w:r>
      <w:bookmarkEnd w:id="22"/>
    </w:p>
    <w:p>
      <w:pPr>
        <w:spacing w:line="360" w:lineRule="auto"/>
        <w:rPr>
          <w:rFonts w:ascii="Times New Roman" w:hAnsi="Times New Roman" w:cs="Times New Roman"/>
          <w:noProof/>
          <w:lang w:val="en-IE"/>
        </w:rPr>
      </w:pPr>
      <w:r>
        <w:rPr>
          <w:rFonts w:ascii="Times New Roman" w:hAnsi="Times New Roman" w:cs="Times New Roman"/>
          <w:noProof/>
        </w:rPr>
        <w:t xml:space="preserve">1. </w:t>
      </w:r>
      <w:r>
        <w:rPr>
          <w:rFonts w:ascii="Times New Roman" w:hAnsi="Times New Roman" w:cs="Times New Roman"/>
          <w:noProof/>
          <w:lang w:val="en-IE"/>
        </w:rPr>
        <w:t xml:space="preserve">Notwithstanding </w:t>
      </w:r>
      <w:r>
        <w:rPr>
          <w:rFonts w:ascii="Times New Roman" w:hAnsi="Times New Roman" w:cs="Times New Roman"/>
          <w:noProof/>
        </w:rPr>
        <w:t>Article 11</w:t>
      </w:r>
      <w:r>
        <w:rPr>
          <w:rFonts w:ascii="Times New Roman" w:hAnsi="Times New Roman" w:cs="Times New Roman"/>
          <w:noProof/>
          <w:lang w:val="en-IE"/>
        </w:rPr>
        <w:t xml:space="preserve">, where there is a serious threat to the public policy, public health or internal security, the </w:t>
      </w:r>
      <w:r>
        <w:rPr>
          <w:rFonts w:ascii="Times New Roman" w:hAnsi="Times New Roman" w:cs="Times New Roman"/>
          <w:noProof/>
        </w:rPr>
        <w:t>Schengen States</w:t>
      </w:r>
      <w:r>
        <w:rPr>
          <w:rFonts w:ascii="Times New Roman" w:hAnsi="Times New Roman" w:cs="Times New Roman"/>
          <w:noProof/>
          <w:lang w:val="en-IE"/>
        </w:rPr>
        <w:t xml:space="preserve"> or the </w:t>
      </w:r>
      <w:r>
        <w:rPr>
          <w:rStyle w:val="normaltextrun"/>
          <w:rFonts w:ascii="Times New Roman" w:hAnsi="Times New Roman" w:cs="Times New Roman"/>
          <w:noProof/>
          <w:lang w:val="en-IE"/>
        </w:rPr>
        <w:t>Principality of Andorra</w:t>
      </w:r>
      <w:r>
        <w:rPr>
          <w:rFonts w:ascii="Times New Roman" w:hAnsi="Times New Roman" w:cs="Times New Roman"/>
          <w:noProof/>
          <w:lang w:val="en-IE"/>
        </w:rPr>
        <w:t xml:space="preserve">, as the case may be, may exceptionally reintroduce border control between </w:t>
      </w:r>
      <w:r>
        <w:rPr>
          <w:rFonts w:ascii="Times New Roman" w:hAnsi="Times New Roman" w:cs="Times New Roman"/>
          <w:noProof/>
        </w:rPr>
        <w:t xml:space="preserve">the </w:t>
      </w:r>
      <w:r>
        <w:rPr>
          <w:rStyle w:val="normaltextrun"/>
          <w:rFonts w:ascii="Times New Roman" w:hAnsi="Times New Roman" w:cs="Times New Roman"/>
          <w:noProof/>
          <w:lang w:val="en-IE"/>
        </w:rPr>
        <w:t>Principality of Andorra</w:t>
      </w:r>
      <w:r>
        <w:rPr>
          <w:rFonts w:ascii="Times New Roman" w:hAnsi="Times New Roman" w:cs="Times New Roman"/>
          <w:noProof/>
          <w:lang w:val="en-IE"/>
        </w:rPr>
        <w:t xml:space="preserve"> and the territory of the </w:t>
      </w:r>
      <w:r>
        <w:rPr>
          <w:rFonts w:ascii="Times New Roman" w:hAnsi="Times New Roman" w:cs="Times New Roman"/>
          <w:noProof/>
        </w:rPr>
        <w:t>Schengen States</w:t>
      </w:r>
      <w:r>
        <w:rPr>
          <w:rFonts w:ascii="Times New Roman" w:hAnsi="Times New Roman" w:cs="Times New Roman"/>
          <w:noProof/>
          <w:lang w:val="en-IE"/>
        </w:rPr>
        <w:t xml:space="preserve"> for a limited period </w:t>
      </w:r>
      <w:r>
        <w:rPr>
          <w:rFonts w:ascii="Times New Roman" w:hAnsi="Times New Roman" w:cs="Times New Roman"/>
          <w:noProof/>
        </w:rPr>
        <w:t xml:space="preserve">of </w:t>
      </w:r>
      <w:r>
        <w:rPr>
          <w:rFonts w:ascii="Times New Roman" w:hAnsi="Times New Roman" w:cs="Times New Roman"/>
          <w:noProof/>
          <w:lang w:val="en-IE"/>
        </w:rPr>
        <w:t>no longer than 1 month. Where the serious threat to public policy or internal security persists beyond that period, the Party that introduced border control may prolong the border control for renewable periods of up to 6 months.</w:t>
      </w:r>
    </w:p>
    <w:p>
      <w:pPr>
        <w:spacing w:line="360" w:lineRule="auto"/>
        <w:rPr>
          <w:rFonts w:ascii="Times New Roman" w:hAnsi="Times New Roman" w:cs="Times New Roman"/>
          <w:noProof/>
          <w:lang w:val="en-IE"/>
        </w:rPr>
      </w:pPr>
      <w:r>
        <w:rPr>
          <w:rFonts w:ascii="Times New Roman" w:hAnsi="Times New Roman" w:cs="Times New Roman"/>
          <w:noProof/>
        </w:rPr>
        <w:t xml:space="preserve">2. </w:t>
      </w:r>
      <w:r>
        <w:rPr>
          <w:rFonts w:ascii="Times New Roman" w:hAnsi="Times New Roman" w:cs="Times New Roman"/>
          <w:noProof/>
          <w:lang w:val="en-IE"/>
        </w:rPr>
        <w:t xml:space="preserve">Where any of the </w:t>
      </w:r>
      <w:r>
        <w:rPr>
          <w:rFonts w:ascii="Times New Roman" w:hAnsi="Times New Roman" w:cs="Times New Roman"/>
          <w:noProof/>
        </w:rPr>
        <w:t>Schengen States</w:t>
      </w:r>
      <w:r>
        <w:rPr>
          <w:rFonts w:ascii="Times New Roman" w:hAnsi="Times New Roman" w:cs="Times New Roman"/>
          <w:noProof/>
          <w:lang w:val="en-IE"/>
        </w:rPr>
        <w:t xml:space="preserve"> or </w:t>
      </w:r>
      <w:r>
        <w:rPr>
          <w:rFonts w:ascii="Times New Roman" w:hAnsi="Times New Roman" w:cs="Times New Roman"/>
          <w:noProof/>
        </w:rPr>
        <w:t xml:space="preserve">the </w:t>
      </w:r>
      <w:r>
        <w:rPr>
          <w:rStyle w:val="normaltextrun"/>
          <w:rFonts w:ascii="Times New Roman" w:hAnsi="Times New Roman" w:cs="Times New Roman"/>
          <w:noProof/>
          <w:lang w:val="en-IE"/>
        </w:rPr>
        <w:t>Principality of Andorra</w:t>
      </w:r>
      <w:r>
        <w:rPr>
          <w:rFonts w:ascii="Times New Roman" w:hAnsi="Times New Roman" w:cs="Times New Roman"/>
          <w:noProof/>
          <w:lang w:val="en-IE"/>
        </w:rPr>
        <w:t xml:space="preserve"> decide to reintroduce or prolong border control between </w:t>
      </w:r>
      <w:r>
        <w:rPr>
          <w:rFonts w:ascii="Times New Roman" w:hAnsi="Times New Roman" w:cs="Times New Roman"/>
          <w:noProof/>
        </w:rPr>
        <w:t xml:space="preserve">the </w:t>
      </w:r>
      <w:r>
        <w:rPr>
          <w:rStyle w:val="normaltextrun"/>
          <w:rFonts w:ascii="Times New Roman" w:hAnsi="Times New Roman" w:cs="Times New Roman"/>
          <w:noProof/>
          <w:lang w:val="en-IE"/>
        </w:rPr>
        <w:t>Principality of Andorra</w:t>
      </w:r>
      <w:r>
        <w:rPr>
          <w:rFonts w:ascii="Times New Roman" w:hAnsi="Times New Roman" w:cs="Times New Roman"/>
          <w:noProof/>
          <w:lang w:val="en-IE"/>
        </w:rPr>
        <w:t xml:space="preserve"> and the territory of that </w:t>
      </w:r>
      <w:r>
        <w:rPr>
          <w:rFonts w:ascii="Times New Roman" w:hAnsi="Times New Roman" w:cs="Times New Roman"/>
          <w:noProof/>
        </w:rPr>
        <w:t>Schengen State</w:t>
      </w:r>
      <w:r>
        <w:rPr>
          <w:rFonts w:ascii="Times New Roman" w:hAnsi="Times New Roman" w:cs="Times New Roman"/>
          <w:noProof/>
          <w:lang w:val="en-IE"/>
        </w:rPr>
        <w:t xml:space="preserve"> in accordance with paragraph </w:t>
      </w:r>
      <w:r>
        <w:rPr>
          <w:rFonts w:ascii="Times New Roman" w:hAnsi="Times New Roman" w:cs="Times New Roman"/>
          <w:noProof/>
        </w:rPr>
        <w:t>1</w:t>
      </w:r>
      <w:r>
        <w:rPr>
          <w:rFonts w:ascii="Times New Roman" w:hAnsi="Times New Roman" w:cs="Times New Roman"/>
          <w:noProof/>
          <w:lang w:val="en-IE"/>
        </w:rPr>
        <w:t>, th</w:t>
      </w:r>
      <w:r>
        <w:rPr>
          <w:rFonts w:ascii="Times New Roman" w:hAnsi="Times New Roman" w:cs="Times New Roman"/>
          <w:noProof/>
        </w:rPr>
        <w:t>at</w:t>
      </w:r>
      <w:r>
        <w:rPr>
          <w:rFonts w:ascii="Times New Roman" w:hAnsi="Times New Roman" w:cs="Times New Roman"/>
          <w:noProof/>
          <w:lang w:val="en-IE"/>
        </w:rPr>
        <w:t xml:space="preserve"> </w:t>
      </w:r>
      <w:r>
        <w:rPr>
          <w:rFonts w:ascii="Times New Roman" w:hAnsi="Times New Roman" w:cs="Times New Roman"/>
          <w:noProof/>
        </w:rPr>
        <w:t>Schengen State</w:t>
      </w:r>
      <w:r>
        <w:rPr>
          <w:rFonts w:ascii="Times New Roman" w:hAnsi="Times New Roman" w:cs="Times New Roman"/>
          <w:noProof/>
          <w:lang w:val="en-IE"/>
        </w:rPr>
        <w:t xml:space="preserve"> or </w:t>
      </w:r>
      <w:r>
        <w:rPr>
          <w:rFonts w:ascii="Times New Roman" w:hAnsi="Times New Roman" w:cs="Times New Roman"/>
          <w:noProof/>
        </w:rPr>
        <w:t xml:space="preserve">the </w:t>
      </w:r>
      <w:r>
        <w:rPr>
          <w:rStyle w:val="normaltextrun"/>
          <w:rFonts w:ascii="Times New Roman" w:hAnsi="Times New Roman" w:cs="Times New Roman"/>
          <w:noProof/>
          <w:lang w:val="en-IE"/>
        </w:rPr>
        <w:t>Principality of Andorra</w:t>
      </w:r>
      <w:r>
        <w:rPr>
          <w:rFonts w:ascii="Times New Roman" w:hAnsi="Times New Roman" w:cs="Times New Roman"/>
          <w:noProof/>
          <w:lang w:val="en-IE"/>
        </w:rPr>
        <w:t xml:space="preserve"> shall inform the other Party </w:t>
      </w:r>
      <w:r>
        <w:rPr>
          <w:rFonts w:ascii="Times New Roman" w:hAnsi="Times New Roman" w:cs="Times New Roman"/>
          <w:noProof/>
        </w:rPr>
        <w:t xml:space="preserve">as well as the European Commission </w:t>
      </w:r>
      <w:r>
        <w:rPr>
          <w:rFonts w:ascii="Times New Roman" w:hAnsi="Times New Roman" w:cs="Times New Roman"/>
          <w:noProof/>
          <w:lang w:val="en-IE"/>
        </w:rPr>
        <w:t>thereof:</w:t>
      </w:r>
    </w:p>
    <w:p>
      <w:pPr>
        <w:pStyle w:val="ListParagraph"/>
        <w:numPr>
          <w:ilvl w:val="0"/>
          <w:numId w:val="2"/>
        </w:numPr>
        <w:spacing w:after="0" w:line="360" w:lineRule="auto"/>
        <w:rPr>
          <w:rFonts w:ascii="Times New Roman" w:eastAsia="Calibri" w:hAnsi="Times New Roman" w:cs="Times New Roman"/>
          <w:noProof/>
          <w:lang w:val="en-IE"/>
        </w:rPr>
      </w:pPr>
      <w:r>
        <w:rPr>
          <w:rFonts w:ascii="Times New Roman" w:eastAsia="Calibri" w:hAnsi="Times New Roman" w:cs="Times New Roman"/>
          <w:noProof/>
        </w:rPr>
        <w:t>a</w:t>
      </w:r>
      <w:r>
        <w:rPr>
          <w:rFonts w:ascii="Times New Roman" w:eastAsia="Calibri" w:hAnsi="Times New Roman" w:cs="Times New Roman"/>
          <w:noProof/>
          <w:lang w:val="en-IE"/>
        </w:rPr>
        <w:t xml:space="preserve">t the latest four weeks before a planned </w:t>
      </w:r>
      <w:r>
        <w:rPr>
          <w:rFonts w:ascii="Times New Roman" w:hAnsi="Times New Roman" w:cs="Times New Roman"/>
          <w:noProof/>
        </w:rPr>
        <w:t xml:space="preserve">reintroduction </w:t>
      </w:r>
      <w:r>
        <w:rPr>
          <w:rFonts w:ascii="Times New Roman" w:eastAsia="Calibri" w:hAnsi="Times New Roman" w:cs="Times New Roman"/>
          <w:noProof/>
          <w:lang w:val="en-IE"/>
        </w:rPr>
        <w:t xml:space="preserve">or prolongation or as soon as possible where the circumstances giving rise to the need to </w:t>
      </w:r>
      <w:r>
        <w:rPr>
          <w:rFonts w:ascii="Times New Roman" w:hAnsi="Times New Roman" w:cs="Times New Roman"/>
          <w:noProof/>
          <w:lang w:val="en-IE"/>
        </w:rPr>
        <w:t>reintroduce</w:t>
      </w:r>
      <w:r>
        <w:rPr>
          <w:rFonts w:ascii="Times New Roman" w:eastAsia="Calibri" w:hAnsi="Times New Roman" w:cs="Times New Roman"/>
          <w:noProof/>
          <w:lang w:val="en-IE"/>
        </w:rPr>
        <w:t xml:space="preserve"> or prolong border controls become known less than four weeks before a planned </w:t>
      </w:r>
      <w:r>
        <w:rPr>
          <w:rFonts w:ascii="Times New Roman" w:hAnsi="Times New Roman" w:cs="Times New Roman"/>
          <w:noProof/>
        </w:rPr>
        <w:t xml:space="preserve">reintroduction </w:t>
      </w:r>
      <w:r>
        <w:rPr>
          <w:rFonts w:ascii="Times New Roman" w:eastAsia="Calibri" w:hAnsi="Times New Roman" w:cs="Times New Roman"/>
          <w:noProof/>
          <w:lang w:val="en-IE"/>
        </w:rPr>
        <w:t xml:space="preserve"> or prolongation;</w:t>
      </w:r>
    </w:p>
    <w:p>
      <w:pPr>
        <w:pStyle w:val="ListParagraph"/>
        <w:numPr>
          <w:ilvl w:val="0"/>
          <w:numId w:val="2"/>
        </w:numPr>
        <w:spacing w:after="0" w:line="360" w:lineRule="auto"/>
        <w:rPr>
          <w:rFonts w:ascii="Times New Roman" w:eastAsia="Calibri" w:hAnsi="Times New Roman" w:cs="Times New Roman"/>
          <w:noProof/>
          <w:lang w:val="en-IE"/>
        </w:rPr>
      </w:pPr>
      <w:r>
        <w:rPr>
          <w:rFonts w:ascii="Times New Roman" w:eastAsia="Calibri" w:hAnsi="Times New Roman" w:cs="Times New Roman"/>
          <w:noProof/>
        </w:rPr>
        <w:t>i</w:t>
      </w:r>
      <w:r>
        <w:rPr>
          <w:rFonts w:ascii="Times New Roman" w:eastAsia="Calibri" w:hAnsi="Times New Roman" w:cs="Times New Roman"/>
          <w:noProof/>
          <w:lang w:val="en-IE"/>
        </w:rPr>
        <w:t xml:space="preserve">mmediately and not later than 48 hours after a decision to </w:t>
      </w:r>
      <w:r>
        <w:rPr>
          <w:rFonts w:ascii="Times New Roman" w:hAnsi="Times New Roman" w:cs="Times New Roman"/>
          <w:noProof/>
          <w:lang w:val="en-IE"/>
        </w:rPr>
        <w:t>reintroduce</w:t>
      </w:r>
      <w:r>
        <w:rPr>
          <w:rFonts w:ascii="Times New Roman" w:eastAsia="Calibri" w:hAnsi="Times New Roman" w:cs="Times New Roman"/>
          <w:noProof/>
          <w:lang w:val="en-IE"/>
        </w:rPr>
        <w:t xml:space="preserve"> or prolong border control in response to a serious threat requiring immediate action to be taken.</w:t>
      </w:r>
    </w:p>
    <w:p>
      <w:pPr>
        <w:spacing w:after="0" w:line="360" w:lineRule="auto"/>
        <w:ind w:left="142"/>
        <w:rPr>
          <w:rFonts w:ascii="Times New Roman" w:eastAsia="Calibri" w:hAnsi="Times New Roman" w:cs="Times New Roman"/>
          <w:noProof/>
          <w:lang w:val="en-IE"/>
        </w:rPr>
      </w:pPr>
      <w:r>
        <w:rPr>
          <w:rFonts w:ascii="Times New Roman" w:eastAsia="Calibri" w:hAnsi="Times New Roman" w:cs="Times New Roman"/>
          <w:noProof/>
        </w:rPr>
        <w:t xml:space="preserve">3. </w:t>
      </w:r>
      <w:r>
        <w:rPr>
          <w:rFonts w:ascii="Times New Roman" w:eastAsia="Calibri" w:hAnsi="Times New Roman" w:cs="Times New Roman"/>
          <w:noProof/>
          <w:lang w:val="en-IE"/>
        </w:rPr>
        <w:t xml:space="preserve">When informing the other Party of a decision to </w:t>
      </w:r>
      <w:r>
        <w:rPr>
          <w:rFonts w:ascii="Times New Roman" w:hAnsi="Times New Roman" w:cs="Times New Roman"/>
          <w:noProof/>
          <w:lang w:val="en-IE"/>
        </w:rPr>
        <w:t>reintroduce</w:t>
      </w:r>
      <w:r>
        <w:rPr>
          <w:rFonts w:ascii="Times New Roman" w:eastAsia="Calibri" w:hAnsi="Times New Roman" w:cs="Times New Roman"/>
          <w:noProof/>
          <w:lang w:val="en-IE"/>
        </w:rPr>
        <w:t xml:space="preserve"> or prolong border control</w:t>
      </w:r>
      <w:r>
        <w:rPr>
          <w:rFonts w:ascii="Times New Roman" w:eastAsia="Calibri" w:hAnsi="Times New Roman" w:cs="Times New Roman"/>
          <w:noProof/>
        </w:rPr>
        <w:t xml:space="preserve">, a </w:t>
      </w:r>
      <w:r>
        <w:rPr>
          <w:rFonts w:ascii="Times New Roman" w:hAnsi="Times New Roman" w:cs="Times New Roman"/>
          <w:noProof/>
        </w:rPr>
        <w:t>Schengen State</w:t>
      </w:r>
      <w:r>
        <w:rPr>
          <w:rFonts w:ascii="Times New Roman" w:eastAsia="Calibri" w:hAnsi="Times New Roman" w:cs="Times New Roman"/>
          <w:noProof/>
        </w:rPr>
        <w:t xml:space="preserve"> or the Principality of Andorra </w:t>
      </w:r>
      <w:r>
        <w:rPr>
          <w:rFonts w:ascii="Times New Roman" w:hAnsi="Times New Roman" w:cs="Times New Roman"/>
          <w:noProof/>
          <w:lang w:val="en-IE"/>
        </w:rPr>
        <w:t>reintroducing</w:t>
      </w:r>
      <w:r>
        <w:rPr>
          <w:rFonts w:ascii="Times New Roman" w:eastAsia="Calibri" w:hAnsi="Times New Roman" w:cs="Times New Roman"/>
          <w:noProof/>
        </w:rPr>
        <w:t xml:space="preserve"> or prolonging border control shall </w:t>
      </w:r>
      <w:r>
        <w:rPr>
          <w:rFonts w:ascii="Times New Roman" w:eastAsia="Calibri" w:hAnsi="Times New Roman" w:cs="Times New Roman"/>
          <w:noProof/>
          <w:lang w:val="en-IE"/>
        </w:rPr>
        <w:t xml:space="preserve">provide the other Party </w:t>
      </w:r>
      <w:r>
        <w:rPr>
          <w:rFonts w:ascii="Times New Roman" w:eastAsia="Calibri" w:hAnsi="Times New Roman" w:cs="Times New Roman"/>
          <w:noProof/>
        </w:rPr>
        <w:t xml:space="preserve">and the European Commission </w:t>
      </w:r>
      <w:r>
        <w:rPr>
          <w:rFonts w:ascii="Times New Roman" w:eastAsia="Calibri" w:hAnsi="Times New Roman" w:cs="Times New Roman"/>
          <w:noProof/>
          <w:lang w:val="en-IE"/>
        </w:rPr>
        <w:t>with the following information:</w:t>
      </w:r>
    </w:p>
    <w:p>
      <w:pPr>
        <w:pStyle w:val="ListParagraph"/>
        <w:numPr>
          <w:ilvl w:val="1"/>
          <w:numId w:val="3"/>
        </w:numPr>
        <w:spacing w:after="0" w:line="360" w:lineRule="auto"/>
        <w:rPr>
          <w:rFonts w:ascii="Times New Roman" w:hAnsi="Times New Roman" w:cs="Times New Roman"/>
          <w:noProof/>
          <w:lang w:val="en-IE"/>
        </w:rPr>
      </w:pPr>
      <w:r>
        <w:rPr>
          <w:rFonts w:ascii="Times New Roman" w:eastAsia="Calibri" w:hAnsi="Times New Roman" w:cs="Times New Roman"/>
          <w:noProof/>
        </w:rPr>
        <w:t>w</w:t>
      </w:r>
      <w:r>
        <w:rPr>
          <w:rFonts w:ascii="Times New Roman" w:eastAsia="Calibri" w:hAnsi="Times New Roman" w:cs="Times New Roman"/>
          <w:noProof/>
          <w:lang w:val="en-IE"/>
        </w:rPr>
        <w:t xml:space="preserve">hether the </w:t>
      </w:r>
      <w:r>
        <w:rPr>
          <w:rFonts w:ascii="Times New Roman" w:hAnsi="Times New Roman" w:cs="Times New Roman"/>
          <w:noProof/>
        </w:rPr>
        <w:t xml:space="preserve">reintroduction </w:t>
      </w:r>
      <w:r>
        <w:rPr>
          <w:rFonts w:ascii="Times New Roman" w:eastAsia="Calibri" w:hAnsi="Times New Roman" w:cs="Times New Roman"/>
          <w:noProof/>
          <w:lang w:val="en-IE"/>
        </w:rPr>
        <w:t xml:space="preserve"> or prolongation takes place on the ground of a serious threat to its public policy, public health or internal security; </w:t>
      </w:r>
    </w:p>
    <w:p>
      <w:pPr>
        <w:pStyle w:val="ListParagraph"/>
        <w:numPr>
          <w:ilvl w:val="1"/>
          <w:numId w:val="3"/>
        </w:numPr>
        <w:spacing w:after="0" w:line="360" w:lineRule="auto"/>
        <w:rPr>
          <w:rFonts w:ascii="Times New Roman" w:hAnsi="Times New Roman" w:cs="Times New Roman"/>
          <w:noProof/>
        </w:rPr>
      </w:pPr>
      <w:r>
        <w:rPr>
          <w:rFonts w:ascii="Times New Roman" w:eastAsia="Calibri" w:hAnsi="Times New Roman" w:cs="Times New Roman"/>
          <w:noProof/>
        </w:rPr>
        <w:lastRenderedPageBreak/>
        <w:t>relevant details of the ground or grounds unless there are overriding security or confidentiality reasons for not doing so.</w:t>
      </w:r>
    </w:p>
    <w:p>
      <w:pPr>
        <w:pStyle w:val="ListParagraph"/>
        <w:numPr>
          <w:ilvl w:val="1"/>
          <w:numId w:val="3"/>
        </w:numPr>
        <w:spacing w:after="0" w:line="360" w:lineRule="auto"/>
        <w:jc w:val="left"/>
        <w:rPr>
          <w:rFonts w:ascii="Times New Roman" w:eastAsia="Calibri" w:hAnsi="Times New Roman" w:cs="Times New Roman"/>
          <w:noProof/>
          <w:lang w:val="en-IE"/>
        </w:rPr>
      </w:pPr>
      <w:r>
        <w:rPr>
          <w:rFonts w:ascii="Times New Roman" w:eastAsia="Calibri" w:hAnsi="Times New Roman" w:cs="Times New Roman"/>
          <w:noProof/>
        </w:rPr>
        <w:t>t</w:t>
      </w:r>
      <w:r>
        <w:rPr>
          <w:rFonts w:ascii="Times New Roman" w:eastAsia="Calibri" w:hAnsi="Times New Roman" w:cs="Times New Roman"/>
          <w:noProof/>
          <w:lang w:val="en-IE"/>
        </w:rPr>
        <w:t>he names of the authorised border crossing points;</w:t>
      </w:r>
    </w:p>
    <w:p>
      <w:pPr>
        <w:pStyle w:val="ListParagraph"/>
        <w:numPr>
          <w:ilvl w:val="1"/>
          <w:numId w:val="3"/>
        </w:numPr>
        <w:spacing w:after="0" w:line="360" w:lineRule="auto"/>
        <w:rPr>
          <w:rFonts w:ascii="Times New Roman" w:eastAsia="Calibri" w:hAnsi="Times New Roman" w:cs="Times New Roman"/>
          <w:noProof/>
          <w:lang w:val="en-IE"/>
        </w:rPr>
      </w:pPr>
      <w:r>
        <w:rPr>
          <w:rFonts w:ascii="Times New Roman" w:eastAsia="Calibri" w:hAnsi="Times New Roman" w:cs="Times New Roman"/>
          <w:noProof/>
        </w:rPr>
        <w:t>t</w:t>
      </w:r>
      <w:r>
        <w:rPr>
          <w:rFonts w:ascii="Times New Roman" w:eastAsia="Calibri" w:hAnsi="Times New Roman" w:cs="Times New Roman"/>
          <w:noProof/>
          <w:lang w:val="en-IE"/>
        </w:rPr>
        <w:t xml:space="preserve">he starting date and duration of the </w:t>
      </w:r>
      <w:r>
        <w:rPr>
          <w:rFonts w:ascii="Times New Roman" w:hAnsi="Times New Roman" w:cs="Times New Roman"/>
          <w:noProof/>
        </w:rPr>
        <w:t xml:space="preserve">reintroduction </w:t>
      </w:r>
      <w:r>
        <w:rPr>
          <w:rFonts w:ascii="Times New Roman" w:eastAsia="Calibri" w:hAnsi="Times New Roman" w:cs="Times New Roman"/>
          <w:noProof/>
          <w:lang w:val="en-IE"/>
        </w:rPr>
        <w:t xml:space="preserve"> or prolongation; and</w:t>
      </w:r>
    </w:p>
    <w:p>
      <w:pPr>
        <w:pStyle w:val="ListParagraph"/>
        <w:numPr>
          <w:ilvl w:val="1"/>
          <w:numId w:val="3"/>
        </w:numPr>
        <w:spacing w:after="0" w:line="360" w:lineRule="auto"/>
        <w:jc w:val="left"/>
        <w:rPr>
          <w:rFonts w:ascii="Times New Roman" w:eastAsia="Calibri" w:hAnsi="Times New Roman" w:cs="Times New Roman"/>
          <w:noProof/>
          <w:lang w:val="en-IE"/>
        </w:rPr>
      </w:pPr>
      <w:r>
        <w:rPr>
          <w:rFonts w:ascii="Times New Roman" w:eastAsia="Calibri" w:hAnsi="Times New Roman" w:cs="Times New Roman"/>
          <w:noProof/>
        </w:rPr>
        <w:t>w</w:t>
      </w:r>
      <w:r>
        <w:rPr>
          <w:rFonts w:ascii="Times New Roman" w:eastAsia="Calibri" w:hAnsi="Times New Roman" w:cs="Times New Roman"/>
          <w:noProof/>
          <w:lang w:val="en-IE"/>
        </w:rPr>
        <w:t>here appropriate, the measures that could be taken by the other Party.</w:t>
      </w:r>
    </w:p>
    <w:p>
      <w:pPr>
        <w:pStyle w:val="Heading3"/>
        <w:rPr>
          <w:rFonts w:ascii="Times New Roman" w:hAnsi="Times New Roman" w:cs="Times New Roman"/>
          <w:noProof/>
          <w:color w:val="auto"/>
        </w:rPr>
      </w:pPr>
      <w:bookmarkStart w:id="23" w:name="_Toc231459346"/>
      <w:r>
        <w:rPr>
          <w:rFonts w:ascii="Times New Roman" w:hAnsi="Times New Roman" w:cs="Times New Roman"/>
          <w:noProof/>
          <w:color w:val="auto"/>
          <w:lang w:val="en-IE"/>
        </w:rPr>
        <w:t xml:space="preserve">Article </w:t>
      </w:r>
      <w:r>
        <w:rPr>
          <w:rFonts w:ascii="Times New Roman" w:hAnsi="Times New Roman" w:cs="Times New Roman"/>
          <w:noProof/>
          <w:color w:val="auto"/>
        </w:rPr>
        <w:t>14</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European Union databases</w:t>
      </w:r>
      <w:bookmarkEnd w:id="23"/>
    </w:p>
    <w:p>
      <w:pPr>
        <w:spacing w:line="360" w:lineRule="auto"/>
        <w:rPr>
          <w:rFonts w:ascii="Times New Roman" w:hAnsi="Times New Roman" w:cs="Times New Roman"/>
          <w:noProof/>
          <w:lang w:val="en-IE"/>
        </w:rPr>
      </w:pPr>
      <w:r>
        <w:rPr>
          <w:rFonts w:ascii="Times New Roman" w:hAnsi="Times New Roman" w:cs="Times New Roman"/>
          <w:noProof/>
          <w:lang w:val="en-IE"/>
        </w:rPr>
        <w:t>Nothing in this Agreement shall be construed</w:t>
      </w:r>
      <w:r>
        <w:rPr>
          <w:rFonts w:ascii="Times New Roman" w:hAnsi="Times New Roman" w:cs="Times New Roman"/>
          <w:noProof/>
        </w:rPr>
        <w:t xml:space="preserve"> as providing a legal basis for the </w:t>
      </w:r>
      <w:r>
        <w:rPr>
          <w:rFonts w:ascii="Times New Roman" w:hAnsi="Times New Roman" w:cs="Times New Roman"/>
          <w:noProof/>
          <w:lang w:val="en-IE"/>
        </w:rPr>
        <w:t xml:space="preserve">authorities of the Principality of Andorra </w:t>
      </w:r>
      <w:r>
        <w:rPr>
          <w:rFonts w:ascii="Times New Roman" w:hAnsi="Times New Roman" w:cs="Times New Roman"/>
          <w:noProof/>
        </w:rPr>
        <w:t>to have the right of</w:t>
      </w:r>
      <w:r>
        <w:rPr>
          <w:rFonts w:ascii="Times New Roman" w:hAnsi="Times New Roman" w:cs="Times New Roman"/>
          <w:noProof/>
          <w:lang w:val="en-IE"/>
        </w:rPr>
        <w:t xml:space="preserve"> access to information systems and databases established on the basis of European Union law.</w:t>
      </w:r>
    </w:p>
    <w:p>
      <w:pPr>
        <w:pStyle w:val="Heading3"/>
        <w:rPr>
          <w:rFonts w:ascii="Times New Roman" w:hAnsi="Times New Roman" w:cs="Times New Roman"/>
          <w:noProof/>
          <w:color w:val="auto"/>
        </w:rPr>
      </w:pPr>
      <w:bookmarkStart w:id="24" w:name="_Toc231459347"/>
      <w:r>
        <w:rPr>
          <w:rFonts w:ascii="Times New Roman" w:hAnsi="Times New Roman" w:cs="Times New Roman"/>
          <w:noProof/>
          <w:color w:val="auto"/>
          <w:lang w:val="en-IE"/>
        </w:rPr>
        <w:t xml:space="preserve">Article </w:t>
      </w:r>
      <w:r>
        <w:rPr>
          <w:rFonts w:ascii="Times New Roman" w:hAnsi="Times New Roman" w:cs="Times New Roman"/>
          <w:noProof/>
          <w:color w:val="auto"/>
        </w:rPr>
        <w:t>1</w:t>
      </w:r>
      <w:r>
        <w:rPr>
          <w:rFonts w:ascii="Times New Roman" w:hAnsi="Times New Roman" w:cs="Times New Roman"/>
          <w:noProof/>
          <w:color w:val="auto"/>
          <w:lang w:val="en-IE"/>
        </w:rPr>
        <w:t xml:space="preserve">5 </w:t>
      </w:r>
      <w:r>
        <w:rPr>
          <w:rFonts w:ascii="Times New Roman" w:hAnsi="Times New Roman" w:cs="Times New Roman"/>
          <w:noProof/>
          <w:color w:val="auto"/>
          <w:lang w:val="en-IE"/>
        </w:rPr>
        <w:br/>
        <w:t>Calculation of authorised stay</w:t>
      </w:r>
      <w:bookmarkEnd w:id="24"/>
    </w:p>
    <w:p>
      <w:pPr>
        <w:spacing w:line="360" w:lineRule="auto"/>
        <w:rPr>
          <w:rFonts w:ascii="Times New Roman" w:hAnsi="Times New Roman" w:cs="Times New Roman"/>
          <w:noProof/>
          <w:lang w:val="en-IE"/>
        </w:rPr>
      </w:pPr>
      <w:r>
        <w:rPr>
          <w:rFonts w:ascii="Times New Roman" w:hAnsi="Times New Roman" w:cs="Times New Roman"/>
          <w:noProof/>
          <w:lang w:val="en-IE"/>
        </w:rPr>
        <w:t>For the purpose of the calculation of the duration of authorised stay</w:t>
      </w:r>
      <w:r>
        <w:rPr>
          <w:rFonts w:ascii="Times New Roman" w:hAnsi="Times New Roman" w:cs="Times New Roman"/>
          <w:noProof/>
        </w:rPr>
        <w:t xml:space="preserve"> in the territory of the Schengen States </w:t>
      </w:r>
      <w:r>
        <w:rPr>
          <w:rFonts w:ascii="Times New Roman" w:hAnsi="Times New Roman" w:cs="Times New Roman"/>
          <w:noProof/>
          <w:lang w:val="en-IE"/>
        </w:rPr>
        <w:t xml:space="preserve">operating the Entry/Exit System, time spent in the Principality of Andorra by third-country nationals, except those who are legally residing in the Principality of Andorra, shall be deemed to be time spent in the territory of the </w:t>
      </w:r>
      <w:r>
        <w:rPr>
          <w:rFonts w:ascii="Times New Roman" w:hAnsi="Times New Roman" w:cs="Times New Roman"/>
          <w:noProof/>
        </w:rPr>
        <w:t>Schengen States</w:t>
      </w:r>
      <w:r>
        <w:rPr>
          <w:rFonts w:ascii="Times New Roman" w:hAnsi="Times New Roman" w:cs="Times New Roman"/>
          <w:noProof/>
          <w:lang w:val="en-IE"/>
        </w:rPr>
        <w:t xml:space="preserve"> operating the Entry/Exit System and shall be calculated in accordance with Article 6(1) point a) of the Schengen Borders Code. </w:t>
      </w:r>
    </w:p>
    <w:p>
      <w:pPr>
        <w:pStyle w:val="Heading3"/>
        <w:rPr>
          <w:rFonts w:ascii="Times New Roman" w:hAnsi="Times New Roman" w:cs="Times New Roman"/>
          <w:noProof/>
          <w:color w:val="auto"/>
        </w:rPr>
      </w:pPr>
      <w:bookmarkStart w:id="25" w:name="_Toc231459348"/>
      <w:r>
        <w:rPr>
          <w:rFonts w:ascii="Times New Roman" w:hAnsi="Times New Roman" w:cs="Times New Roman"/>
          <w:noProof/>
          <w:color w:val="auto"/>
          <w:lang w:val="en-IE"/>
        </w:rPr>
        <w:t xml:space="preserve">Article </w:t>
      </w:r>
      <w:r>
        <w:rPr>
          <w:rFonts w:ascii="Times New Roman" w:hAnsi="Times New Roman" w:cs="Times New Roman"/>
          <w:noProof/>
          <w:color w:val="auto"/>
        </w:rPr>
        <w:t>16</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r>
      <w:r>
        <w:rPr>
          <w:rFonts w:ascii="Times New Roman" w:eastAsia="Calibri" w:hAnsi="Times New Roman" w:cs="Times New Roman"/>
          <w:noProof/>
          <w:color w:val="auto"/>
          <w:szCs w:val="22"/>
        </w:rPr>
        <w:t>Operational arrangements</w:t>
      </w:r>
      <w:bookmarkEnd w:id="25"/>
    </w:p>
    <w:p>
      <w:pPr>
        <w:spacing w:line="360" w:lineRule="auto"/>
        <w:rPr>
          <w:rFonts w:ascii="Times New Roman" w:hAnsi="Times New Roman" w:cs="Times New Roman"/>
          <w:noProof/>
        </w:rPr>
      </w:pPr>
      <w:r>
        <w:rPr>
          <w:rFonts w:ascii="Times New Roman" w:hAnsi="Times New Roman" w:cs="Times New Roman"/>
          <w:noProof/>
          <w:lang w:val="en-IE"/>
        </w:rPr>
        <w:t xml:space="preserve">1. Operational arrangements shall be concluded between </w:t>
      </w:r>
      <w:r>
        <w:rPr>
          <w:rFonts w:ascii="Times New Roman" w:hAnsi="Times New Roman" w:cs="Times New Roman"/>
          <w:noProof/>
        </w:rPr>
        <w:t xml:space="preserve">the Principality of Andorra, the Kingdom of </w:t>
      </w:r>
      <w:r>
        <w:rPr>
          <w:rFonts w:ascii="Times New Roman" w:hAnsi="Times New Roman" w:cs="Times New Roman"/>
          <w:noProof/>
          <w:lang w:val="en-IE"/>
        </w:rPr>
        <w:t>Spain</w:t>
      </w:r>
      <w:r>
        <w:rPr>
          <w:rFonts w:ascii="Times New Roman" w:hAnsi="Times New Roman" w:cs="Times New Roman"/>
          <w:noProof/>
        </w:rPr>
        <w:t>, and the French Republic jointly</w:t>
      </w:r>
      <w:r>
        <w:rPr>
          <w:rFonts w:ascii="Times New Roman" w:hAnsi="Times New Roman" w:cs="Times New Roman"/>
          <w:noProof/>
          <w:lang w:val="en-IE"/>
        </w:rPr>
        <w:t xml:space="preserve">, or </w:t>
      </w:r>
      <w:r>
        <w:rPr>
          <w:rFonts w:ascii="Times New Roman" w:hAnsi="Times New Roman" w:cs="Times New Roman"/>
          <w:noProof/>
        </w:rPr>
        <w:t xml:space="preserve">between the Principality of Andorra and either the Kingdom of Spain or the French Republic individually, </w:t>
      </w:r>
      <w:r>
        <w:rPr>
          <w:rFonts w:ascii="Times New Roman" w:hAnsi="Times New Roman" w:cs="Times New Roman"/>
          <w:noProof/>
          <w:lang w:val="en-IE"/>
        </w:rPr>
        <w:t xml:space="preserve">setting out the practical arrangements concerning </w:t>
      </w:r>
      <w:r>
        <w:rPr>
          <w:rFonts w:ascii="Times New Roman" w:hAnsi="Times New Roman" w:cs="Times New Roman"/>
          <w:noProof/>
        </w:rPr>
        <w:t>the performance of the duties of the competent authorities and laying down operational aspects relating</w:t>
      </w:r>
      <w:r>
        <w:rPr>
          <w:rFonts w:ascii="Times New Roman" w:hAnsi="Times New Roman" w:cs="Times New Roman"/>
          <w:noProof/>
          <w:lang w:val="en-IE"/>
        </w:rPr>
        <w:t xml:space="preserve"> to </w:t>
      </w:r>
      <w:r>
        <w:rPr>
          <w:rFonts w:ascii="Times New Roman" w:hAnsi="Times New Roman" w:cs="Times New Roman"/>
          <w:noProof/>
        </w:rPr>
        <w:t>the implementation of PART TWO of this Agreement, provided that such arrangements are compatible with this Agreement.</w:t>
      </w:r>
    </w:p>
    <w:p>
      <w:pPr>
        <w:spacing w:line="360" w:lineRule="auto"/>
        <w:rPr>
          <w:rFonts w:ascii="Times New Roman" w:hAnsi="Times New Roman" w:cs="Times New Roman"/>
          <w:noProof/>
          <w:lang w:val="en-IE"/>
        </w:rPr>
      </w:pPr>
      <w:r>
        <w:rPr>
          <w:rFonts w:ascii="Times New Roman" w:hAnsi="Times New Roman" w:cs="Times New Roman"/>
          <w:noProof/>
        </w:rPr>
        <w:t xml:space="preserve">2. </w:t>
      </w:r>
      <w:r>
        <w:rPr>
          <w:rFonts w:ascii="Times New Roman" w:hAnsi="Times New Roman" w:cs="Times New Roman"/>
          <w:noProof/>
          <w:lang w:val="en-IE"/>
        </w:rPr>
        <w:t xml:space="preserve">Operational arrangements may be concluded between </w:t>
      </w:r>
      <w:r>
        <w:rPr>
          <w:rFonts w:ascii="Times New Roman" w:hAnsi="Times New Roman" w:cs="Times New Roman"/>
          <w:noProof/>
        </w:rPr>
        <w:t xml:space="preserve">the Principality of Andorra and any of the Schengen States </w:t>
      </w:r>
      <w:r>
        <w:rPr>
          <w:rFonts w:ascii="Times New Roman" w:hAnsi="Times New Roman" w:cs="Times New Roman"/>
          <w:noProof/>
          <w:lang w:val="en-IE"/>
        </w:rPr>
        <w:t xml:space="preserve">setting out the practical arrangements concerning the performance of the duties of the competent authorities and lay down operational aspects relating to </w:t>
      </w:r>
      <w:r>
        <w:rPr>
          <w:rFonts w:ascii="Times New Roman" w:hAnsi="Times New Roman" w:cs="Times New Roman"/>
          <w:noProof/>
        </w:rPr>
        <w:t>the implementation of Chapter 2 Readmission and return of third-country nationals and Chapter 3 Security of PART TWO of this Agreement, provided that such arrangements are compatible with this Agreement</w:t>
      </w:r>
      <w:r>
        <w:rPr>
          <w:rFonts w:ascii="Times New Roman" w:hAnsi="Times New Roman" w:cs="Times New Roman"/>
          <w:noProof/>
          <w:lang w:val="en-IE"/>
        </w:rPr>
        <w:t>.</w:t>
      </w:r>
    </w:p>
    <w:p>
      <w:pPr>
        <w:pStyle w:val="Heading2"/>
        <w:rPr>
          <w:rFonts w:ascii="Times New Roman" w:hAnsi="Times New Roman" w:cs="Times New Roman"/>
          <w:noProof/>
          <w:szCs w:val="22"/>
          <w:lang w:val="en-IE"/>
        </w:rPr>
      </w:pPr>
      <w:bookmarkStart w:id="26" w:name="_Toc231459349"/>
      <w:r>
        <w:rPr>
          <w:rFonts w:ascii="Times New Roman" w:hAnsi="Times New Roman" w:cs="Times New Roman"/>
          <w:noProof/>
          <w:lang w:val="en-IE"/>
        </w:rPr>
        <w:lastRenderedPageBreak/>
        <w:t xml:space="preserve">TITLE II </w:t>
      </w:r>
      <w:r>
        <w:rPr>
          <w:rFonts w:ascii="Times New Roman" w:hAnsi="Times New Roman" w:cs="Times New Roman"/>
          <w:noProof/>
          <w:lang w:val="en-IE"/>
        </w:rPr>
        <w:br/>
        <w:t>SAFEGUARD/COMPENSATORY MEASURES</w:t>
      </w:r>
      <w:bookmarkEnd w:id="26"/>
    </w:p>
    <w:p>
      <w:pPr>
        <w:pStyle w:val="Heading3"/>
        <w:rPr>
          <w:rFonts w:ascii="Times New Roman" w:hAnsi="Times New Roman" w:cs="Times New Roman"/>
          <w:noProof/>
          <w:color w:val="auto"/>
        </w:rPr>
      </w:pPr>
      <w:bookmarkStart w:id="27" w:name="_Toc231459350"/>
      <w:r>
        <w:rPr>
          <w:rFonts w:ascii="Times New Roman" w:hAnsi="Times New Roman" w:cs="Times New Roman"/>
          <w:noProof/>
          <w:color w:val="auto"/>
          <w:lang w:val="en-IE"/>
        </w:rPr>
        <w:t xml:space="preserve">Article </w:t>
      </w:r>
      <w:r>
        <w:rPr>
          <w:rFonts w:ascii="Times New Roman" w:hAnsi="Times New Roman" w:cs="Times New Roman"/>
          <w:noProof/>
          <w:color w:val="auto"/>
        </w:rPr>
        <w:t>17</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r>
      <w:r>
        <w:rPr>
          <w:rFonts w:ascii="Times New Roman" w:hAnsi="Times New Roman" w:cs="Times New Roman"/>
          <w:noProof/>
          <w:color w:val="auto"/>
        </w:rPr>
        <w:t>Scope</w:t>
      </w:r>
      <w:bookmarkEnd w:id="27"/>
    </w:p>
    <w:p>
      <w:pPr>
        <w:spacing w:after="0" w:line="360" w:lineRule="auto"/>
        <w:rPr>
          <w:rFonts w:ascii="Times New Roman" w:eastAsia="Calibri" w:hAnsi="Times New Roman" w:cs="Times New Roman"/>
          <w:bCs/>
          <w:noProof/>
        </w:rPr>
      </w:pPr>
      <w:r>
        <w:rPr>
          <w:rFonts w:ascii="Times New Roman" w:eastAsia="Calibri" w:hAnsi="Times New Roman" w:cs="Times New Roman"/>
          <w:bCs/>
          <w:noProof/>
        </w:rPr>
        <w:t xml:space="preserve">For the purpose of Chapters 1 and 2 of this Title, references to the Member States shall be understood as references to </w:t>
      </w:r>
      <w:r>
        <w:rPr>
          <w:rFonts w:ascii="Times New Roman" w:eastAsia="Calibri" w:hAnsi="Times New Roman" w:cs="Times New Roman"/>
          <w:noProof/>
        </w:rPr>
        <w:t xml:space="preserve">all Member States except Ireland. </w:t>
      </w:r>
    </w:p>
    <w:p>
      <w:pPr>
        <w:pStyle w:val="Heading3"/>
        <w:rPr>
          <w:rFonts w:ascii="Times New Roman" w:hAnsi="Times New Roman" w:cs="Times New Roman"/>
          <w:noProof/>
          <w:color w:val="auto"/>
        </w:rPr>
      </w:pPr>
      <w:bookmarkStart w:id="28" w:name="_Toc231459351"/>
      <w:r>
        <w:rPr>
          <w:rFonts w:ascii="Times New Roman" w:hAnsi="Times New Roman" w:cs="Times New Roman"/>
          <w:noProof/>
          <w:color w:val="auto"/>
          <w:lang w:val="en-IE"/>
        </w:rPr>
        <w:t xml:space="preserve">Article </w:t>
      </w:r>
      <w:r>
        <w:rPr>
          <w:rFonts w:ascii="Times New Roman" w:hAnsi="Times New Roman" w:cs="Times New Roman"/>
          <w:noProof/>
          <w:color w:val="auto"/>
        </w:rPr>
        <w:t>18</w:t>
      </w:r>
      <w:r>
        <w:rPr>
          <w:rFonts w:ascii="Times New Roman" w:hAnsi="Times New Roman" w:cs="Times New Roman"/>
          <w:noProof/>
          <w:color w:val="auto"/>
          <w:lang w:val="en-IE"/>
        </w:rPr>
        <w:t xml:space="preserve"> </w:t>
      </w:r>
      <w:r>
        <w:rPr>
          <w:rFonts w:ascii="Times New Roman" w:hAnsi="Times New Roman" w:cs="Times New Roman"/>
          <w:noProof/>
          <w:color w:val="auto"/>
        </w:rPr>
        <w:br/>
        <w:t>Relation with European Union law</w:t>
      </w:r>
      <w:bookmarkEnd w:id="28"/>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This Agreement shall be without prejudice to rights or obligations which persons resident in the Principality of Andorra may have under </w:t>
      </w:r>
      <w:r>
        <w:rPr>
          <w:rFonts w:ascii="Times New Roman" w:hAnsi="Times New Roman" w:cs="Times New Roman"/>
          <w:noProof/>
        </w:rPr>
        <w:t xml:space="preserve">European Union </w:t>
      </w:r>
      <w:r>
        <w:rPr>
          <w:rFonts w:ascii="Times New Roman" w:eastAsia="Calibri" w:hAnsi="Times New Roman" w:cs="Times New Roman"/>
          <w:noProof/>
        </w:rPr>
        <w:t xml:space="preserve">law. </w:t>
      </w:r>
    </w:p>
    <w:p>
      <w:pPr>
        <w:pStyle w:val="Heading3"/>
        <w:rPr>
          <w:rFonts w:ascii="Times New Roman" w:hAnsi="Times New Roman" w:cs="Times New Roman"/>
          <w:noProof/>
          <w:color w:val="auto"/>
        </w:rPr>
      </w:pPr>
      <w:bookmarkStart w:id="29" w:name="_Toc231459352"/>
      <w:r>
        <w:rPr>
          <w:rFonts w:ascii="Times New Roman" w:hAnsi="Times New Roman" w:cs="Times New Roman"/>
          <w:noProof/>
          <w:color w:val="auto"/>
          <w:lang w:val="en-IE"/>
        </w:rPr>
        <w:t xml:space="preserve">Article </w:t>
      </w:r>
      <w:r>
        <w:rPr>
          <w:rFonts w:ascii="Times New Roman" w:hAnsi="Times New Roman" w:cs="Times New Roman"/>
          <w:noProof/>
          <w:color w:val="auto"/>
        </w:rPr>
        <w:t>19</w:t>
      </w:r>
      <w:r>
        <w:rPr>
          <w:rFonts w:ascii="Times New Roman" w:hAnsi="Times New Roman" w:cs="Times New Roman"/>
          <w:noProof/>
          <w:color w:val="auto"/>
          <w:lang w:val="en-IE"/>
        </w:rPr>
        <w:t xml:space="preserve"> </w:t>
      </w:r>
      <w:r>
        <w:rPr>
          <w:rFonts w:ascii="Times New Roman" w:hAnsi="Times New Roman" w:cs="Times New Roman"/>
          <w:noProof/>
          <w:color w:val="auto"/>
        </w:rPr>
        <w:br/>
        <w:t>Border control in case of arrivals directly in the territory of the Principality of Andorra from outside the Schengen area</w:t>
      </w:r>
      <w:bookmarkEnd w:id="29"/>
    </w:p>
    <w:p>
      <w:pPr>
        <w:spacing w:line="360" w:lineRule="auto"/>
        <w:rPr>
          <w:rFonts w:ascii="Times New Roman" w:hAnsi="Times New Roman" w:cs="Times New Roman"/>
          <w:noProof/>
        </w:rPr>
      </w:pPr>
      <w:bookmarkStart w:id="30" w:name="_Hlk174042894"/>
      <w:bookmarkStart w:id="31" w:name="_Hlk174043608"/>
      <w:r>
        <w:rPr>
          <w:rFonts w:ascii="Times New Roman" w:hAnsi="Times New Roman" w:cs="Times New Roman"/>
          <w:noProof/>
        </w:rPr>
        <w:t xml:space="preserve">In case a person has entered the territory of the Principality of Andorra directly from outside the Schengen area, without having been subject to border checks pursuant to the Schengen Borders Code, the Principality of Andorra shall immediately notify either the French Republic or the Kingdom of Spain. </w:t>
      </w:r>
    </w:p>
    <w:p>
      <w:pPr>
        <w:spacing w:line="360" w:lineRule="auto"/>
        <w:rPr>
          <w:rFonts w:ascii="Times New Roman" w:hAnsi="Times New Roman" w:cs="Times New Roman"/>
          <w:noProof/>
        </w:rPr>
      </w:pPr>
      <w:r>
        <w:rPr>
          <w:rFonts w:ascii="Times New Roman" w:hAnsi="Times New Roman" w:cs="Times New Roman"/>
          <w:noProof/>
        </w:rPr>
        <w:t>The Principality of Andorra shall ensure that this person is subject to border control by the authorities of the French Republic or the Kingdom of Spain to be carried out in accordance with the Schengen Borders Code and, if applicable, with Regulation (EU) 2024/1356 of the European Parliament and of the Council of 14 May 2024 introducing the screening of third-country nationals at the external borders.</w:t>
      </w:r>
      <w:bookmarkEnd w:id="30"/>
    </w:p>
    <w:p>
      <w:pPr>
        <w:spacing w:line="360" w:lineRule="auto"/>
        <w:rPr>
          <w:rFonts w:ascii="Times New Roman" w:eastAsia="Calibri" w:hAnsi="Times New Roman" w:cs="Times New Roman"/>
          <w:noProof/>
        </w:rPr>
      </w:pPr>
    </w:p>
    <w:p>
      <w:pPr>
        <w:pStyle w:val="Heading2"/>
        <w:rPr>
          <w:rFonts w:ascii="Times New Roman" w:hAnsi="Times New Roman" w:cs="Times New Roman"/>
          <w:noProof/>
        </w:rPr>
      </w:pPr>
      <w:bookmarkStart w:id="32" w:name="_Toc231459353"/>
      <w:bookmarkEnd w:id="31"/>
      <w:r>
        <w:rPr>
          <w:rFonts w:ascii="Times New Roman" w:hAnsi="Times New Roman" w:cs="Times New Roman"/>
          <w:noProof/>
        </w:rPr>
        <w:t xml:space="preserve">Chapter 1 </w:t>
      </w:r>
      <w:r>
        <w:rPr>
          <w:rFonts w:ascii="Times New Roman" w:hAnsi="Times New Roman" w:cs="Times New Roman"/>
          <w:noProof/>
        </w:rPr>
        <w:br/>
      </w:r>
      <w:r>
        <w:rPr>
          <w:rFonts w:ascii="Times New Roman" w:hAnsi="Times New Roman" w:cs="Times New Roman"/>
          <w:noProof/>
          <w:szCs w:val="22"/>
        </w:rPr>
        <w:t xml:space="preserve">ENTRY, STAY AND </w:t>
      </w:r>
      <w:r>
        <w:rPr>
          <w:rFonts w:ascii="Times New Roman" w:hAnsi="Times New Roman" w:cs="Times New Roman"/>
          <w:noProof/>
        </w:rPr>
        <w:t>RESIDENCE – SPECIAL RULES, ISSUANCE OF RESIDENCE PERMITS AND VISAS</w:t>
      </w:r>
      <w:bookmarkEnd w:id="32"/>
    </w:p>
    <w:p>
      <w:pPr>
        <w:pStyle w:val="Heading3"/>
        <w:rPr>
          <w:rFonts w:ascii="Times New Roman" w:hAnsi="Times New Roman" w:cs="Times New Roman"/>
          <w:noProof/>
          <w:color w:val="auto"/>
          <w:lang w:val="en-IE"/>
        </w:rPr>
      </w:pPr>
      <w:bookmarkStart w:id="33" w:name="_Toc231459354"/>
      <w:bookmarkStart w:id="34" w:name="_Hlk183011422"/>
      <w:r>
        <w:rPr>
          <w:rFonts w:ascii="Times New Roman" w:hAnsi="Times New Roman" w:cs="Times New Roman"/>
          <w:noProof/>
          <w:color w:val="auto"/>
        </w:rPr>
        <w:t xml:space="preserve">Article </w:t>
      </w:r>
      <w:r>
        <w:rPr>
          <w:rFonts w:ascii="Times New Roman" w:hAnsi="Times New Roman" w:cs="Times New Roman"/>
          <w:noProof/>
          <w:color w:val="auto"/>
          <w:lang w:val="en-IE"/>
        </w:rPr>
        <w:t>20</w:t>
      </w:r>
      <w:r>
        <w:rPr>
          <w:rFonts w:ascii="Times New Roman" w:hAnsi="Times New Roman" w:cs="Times New Roman"/>
          <w:noProof/>
          <w:color w:val="auto"/>
          <w:u w:val="single"/>
          <w:lang w:val="en-IE"/>
        </w:rPr>
        <w:t xml:space="preserve"> </w:t>
      </w:r>
      <w:r>
        <w:rPr>
          <w:rFonts w:ascii="Times New Roman" w:hAnsi="Times New Roman" w:cs="Times New Roman"/>
          <w:noProof/>
          <w:color w:val="auto"/>
        </w:rPr>
        <w:br/>
      </w:r>
      <w:r>
        <w:rPr>
          <w:rFonts w:ascii="Times New Roman" w:hAnsi="Times New Roman" w:cs="Times New Roman"/>
          <w:noProof/>
          <w:color w:val="auto"/>
          <w:lang w:val="en-IE"/>
        </w:rPr>
        <w:t>Right of entry, stay and residence</w:t>
      </w:r>
      <w:bookmarkEnd w:id="33"/>
      <w:r>
        <w:rPr>
          <w:rFonts w:ascii="Times New Roman" w:hAnsi="Times New Roman" w:cs="Times New Roman"/>
          <w:noProof/>
          <w:color w:val="auto"/>
          <w:lang w:val="en-IE"/>
        </w:rPr>
        <w:t xml:space="preserve"> </w:t>
      </w:r>
    </w:p>
    <w:bookmarkEnd w:id="34"/>
    <w:p>
      <w:pPr>
        <w:spacing w:line="360" w:lineRule="auto"/>
        <w:rPr>
          <w:rFonts w:ascii="Times New Roman" w:eastAsia="Calibri" w:hAnsi="Times New Roman" w:cs="Times New Roman"/>
          <w:noProof/>
        </w:rPr>
      </w:pPr>
      <w:r>
        <w:rPr>
          <w:rFonts w:ascii="Times New Roman" w:hAnsi="Times New Roman" w:cs="Times New Roman"/>
          <w:noProof/>
        </w:rPr>
        <w:t>1. Upon entry into force of an agreement referred to in point 18 of Article 9, that agreement shall govern the entry, stay and residence of persons enjoying the right of free movement and shall prevail over the provisions of this Chapter.</w:t>
      </w:r>
    </w:p>
    <w:p>
      <w:pPr>
        <w:spacing w:after="0" w:line="360" w:lineRule="auto"/>
        <w:rPr>
          <w:rFonts w:ascii="Times New Roman" w:hAnsi="Times New Roman" w:cs="Times New Roman"/>
          <w:noProof/>
          <w:lang w:val="en-IE"/>
        </w:rPr>
      </w:pPr>
      <w:bookmarkStart w:id="35" w:name="_Hlk214634929"/>
      <w:r>
        <w:rPr>
          <w:rFonts w:ascii="Times New Roman" w:hAnsi="Times New Roman" w:cs="Times New Roman"/>
          <w:noProof/>
        </w:rPr>
        <w:t xml:space="preserve">2. In the absence of an agreement as referred to in paragraph 1, Union citizens, </w:t>
      </w:r>
      <w:r>
        <w:rPr>
          <w:rFonts w:ascii="Times New Roman" w:hAnsi="Times New Roman" w:cs="Times New Roman"/>
          <w:noProof/>
          <w:lang w:val="en-IE"/>
        </w:rPr>
        <w:t xml:space="preserve">and nationals of a non-EU State which has acceded to this Agreement pursuant to Article 52, </w:t>
      </w:r>
      <w:r>
        <w:rPr>
          <w:rFonts w:ascii="Times New Roman" w:hAnsi="Times New Roman" w:cs="Times New Roman"/>
          <w:noProof/>
        </w:rPr>
        <w:t xml:space="preserve">shall have the right, subject to limitations </w:t>
      </w:r>
      <w:r>
        <w:rPr>
          <w:rFonts w:ascii="Times New Roman" w:hAnsi="Times New Roman" w:cs="Times New Roman"/>
          <w:noProof/>
        </w:rPr>
        <w:lastRenderedPageBreak/>
        <w:t xml:space="preserve">justified on grounds of public policy, public security or public health, to enter and stay in the Principality of Andorra for a period of up to 90 days in any 180-day period without a visa, residence permit or equivalent formality on the basis of a valid identity card or passport. Where those persons wish to carry out a paid activity during that period, they may be required by national law to obtain a residence permit or equivalent formality for that purpose. </w:t>
      </w:r>
    </w:p>
    <w:p>
      <w:pPr>
        <w:spacing w:after="0" w:line="360" w:lineRule="auto"/>
        <w:rPr>
          <w:rFonts w:ascii="Times New Roman" w:hAnsi="Times New Roman" w:cs="Times New Roman"/>
          <w:noProof/>
        </w:rPr>
      </w:pPr>
      <w:r>
        <w:rPr>
          <w:rFonts w:ascii="Times New Roman" w:hAnsi="Times New Roman" w:cs="Times New Roman"/>
          <w:noProof/>
        </w:rPr>
        <w:t xml:space="preserve">The right of residence of Union citizens, </w:t>
      </w:r>
      <w:r>
        <w:rPr>
          <w:rFonts w:ascii="Times New Roman" w:hAnsi="Times New Roman" w:cs="Times New Roman"/>
          <w:noProof/>
          <w:lang w:val="en-IE"/>
        </w:rPr>
        <w:t xml:space="preserve">and nationals of a non-EU State which has acceded to this Agreement pursuant to Article 52, </w:t>
      </w:r>
      <w:r>
        <w:rPr>
          <w:rFonts w:ascii="Times New Roman" w:hAnsi="Times New Roman" w:cs="Times New Roman"/>
          <w:noProof/>
        </w:rPr>
        <w:t>in the Principality of Andorra for periods of more than 90 days in any 180-day period shall be subject to the conditions set out in the law applicable in the Principality of Andorra and shall be evidenced by the issuing of a residence permit by the Principality of Andorra.</w:t>
      </w:r>
    </w:p>
    <w:p>
      <w:pPr>
        <w:spacing w:after="0" w:line="360" w:lineRule="auto"/>
        <w:rPr>
          <w:rFonts w:ascii="Times New Roman" w:hAnsi="Times New Roman" w:cs="Times New Roman"/>
          <w:noProof/>
          <w:u w:val="single"/>
        </w:rPr>
      </w:pPr>
      <w:bookmarkStart w:id="36" w:name="_Hlk214634894"/>
      <w:bookmarkEnd w:id="35"/>
      <w:r>
        <w:rPr>
          <w:rFonts w:ascii="Times New Roman" w:eastAsia="Calibri" w:hAnsi="Times New Roman" w:cs="Times New Roman"/>
          <w:noProof/>
        </w:rPr>
        <w:t>3. In the absence of an agreement as referred to in paragraph 1, nationals of the Principality of Andorra shall have the right, subject to limitations on grounds of public policy, public security or public health, to enter and stay in the territory of the Schengen States for a period of up to 90 days in any 180-day period without a visa, residence permit or equivalent formality on the basis of a valid passport. Nationals of the Principality of Andorra wishing to carry out a paid activity during that period may be required by national law to obtain a residence permit or equivalent formality for that purpose.</w:t>
      </w:r>
    </w:p>
    <w:p>
      <w:pPr>
        <w:spacing w:after="0" w:line="360" w:lineRule="auto"/>
        <w:rPr>
          <w:rFonts w:ascii="Times New Roman" w:eastAsia="Calibri" w:hAnsi="Times New Roman" w:cs="Times New Roman"/>
          <w:noProof/>
          <w:u w:val="single"/>
        </w:rPr>
      </w:pPr>
      <w:r>
        <w:rPr>
          <w:rFonts w:ascii="Times New Roman" w:eastAsia="Calibri" w:hAnsi="Times New Roman" w:cs="Times New Roman"/>
          <w:noProof/>
        </w:rPr>
        <w:t>The right of residence of nationals of the Principality of Andorra in the territory of the Schengen States for periods of more than 90 days in any 180-day period shall be subject to the conditions set out in the law applicable in the Schengen State and shall be evidenced by the issuing of a long-stay visa or residence permit by that State</w:t>
      </w:r>
      <w:bookmarkEnd w:id="36"/>
      <w:r>
        <w:rPr>
          <w:rFonts w:ascii="Times New Roman" w:eastAsia="Calibri" w:hAnsi="Times New Roman" w:cs="Times New Roman"/>
          <w:noProof/>
        </w:rPr>
        <w:t>.</w:t>
      </w:r>
    </w:p>
    <w:p>
      <w:pPr>
        <w:pStyle w:val="Heading3"/>
        <w:rPr>
          <w:rFonts w:ascii="Times New Roman" w:hAnsi="Times New Roman" w:cs="Times New Roman"/>
          <w:noProof/>
          <w:color w:val="auto"/>
          <w:lang w:val="en-IE"/>
        </w:rPr>
      </w:pPr>
      <w:bookmarkStart w:id="37" w:name="_Toc231459355"/>
      <w:bookmarkStart w:id="38" w:name="_Hlk183011849"/>
      <w:r>
        <w:rPr>
          <w:rFonts w:ascii="Times New Roman" w:hAnsi="Times New Roman" w:cs="Times New Roman"/>
          <w:noProof/>
          <w:color w:val="auto"/>
          <w:lang w:val="en-IE"/>
        </w:rPr>
        <w:t xml:space="preserve">Article 21 </w:t>
      </w:r>
      <w:r>
        <w:rPr>
          <w:rFonts w:ascii="Times New Roman" w:hAnsi="Times New Roman" w:cs="Times New Roman"/>
          <w:noProof/>
          <w:color w:val="auto"/>
          <w:lang w:val="en-IE"/>
        </w:rPr>
        <w:br/>
        <w:t>Visa free travel</w:t>
      </w:r>
      <w:bookmarkEnd w:id="37"/>
    </w:p>
    <w:bookmarkEnd w:id="38"/>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1. Third-country nationals legally residing in a Schengen State, may, </w:t>
      </w:r>
      <w:r>
        <w:rPr>
          <w:rFonts w:ascii="Times New Roman" w:hAnsi="Times New Roman" w:cs="Times New Roman"/>
          <w:noProof/>
        </w:rPr>
        <w:t>subject to limitations justified on grounds of public policy, public security or public health,</w:t>
      </w:r>
      <w:r>
        <w:rPr>
          <w:rFonts w:ascii="Times New Roman" w:eastAsia="Calibri" w:hAnsi="Times New Roman" w:cs="Times New Roman"/>
          <w:noProof/>
        </w:rPr>
        <w:t xml:space="preserve"> enter and stay in </w:t>
      </w:r>
      <w:r>
        <w:rPr>
          <w:rFonts w:ascii="Times New Roman" w:hAnsi="Times New Roman" w:cs="Times New Roman"/>
          <w:noProof/>
          <w:lang w:val="en-IE"/>
        </w:rPr>
        <w:t xml:space="preserve">the Principality of Andorra </w:t>
      </w:r>
      <w:r>
        <w:rPr>
          <w:rFonts w:ascii="Times New Roman" w:eastAsia="Calibri" w:hAnsi="Times New Roman" w:cs="Times New Roman"/>
          <w:noProof/>
        </w:rPr>
        <w:t xml:space="preserve">without a visa, </w:t>
      </w:r>
      <w:r>
        <w:rPr>
          <w:rFonts w:ascii="Times New Roman" w:hAnsi="Times New Roman" w:cs="Times New Roman"/>
          <w:noProof/>
        </w:rPr>
        <w:t xml:space="preserve">on the basis of a valid travel document and a valid residence permit, residence card or long-stay visa issued by </w:t>
      </w:r>
      <w:r>
        <w:rPr>
          <w:rFonts w:ascii="Times New Roman" w:eastAsia="Calibri" w:hAnsi="Times New Roman" w:cs="Times New Roman"/>
          <w:noProof/>
        </w:rPr>
        <w:t>that Schengen State</w:t>
      </w:r>
      <w:r>
        <w:rPr>
          <w:rFonts w:ascii="Times New Roman" w:hAnsi="Times New Roman" w:cs="Times New Roman"/>
          <w:noProof/>
        </w:rPr>
        <w:t xml:space="preserve">, </w:t>
      </w:r>
      <w:r>
        <w:rPr>
          <w:rFonts w:ascii="Times New Roman" w:eastAsia="Calibri" w:hAnsi="Times New Roman" w:cs="Times New Roman"/>
          <w:noProof/>
        </w:rPr>
        <w:t>for a maximum period of 90 days in any 180-day period.</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2. Third-country nationals legally residing in the Principality of Andorra may, </w:t>
      </w:r>
      <w:r>
        <w:rPr>
          <w:rFonts w:ascii="Times New Roman" w:hAnsi="Times New Roman" w:cs="Times New Roman"/>
          <w:noProof/>
        </w:rPr>
        <w:t>subject to limitations justified on grounds of public policy, public security or public health,</w:t>
      </w:r>
      <w:r>
        <w:rPr>
          <w:rFonts w:ascii="Times New Roman" w:eastAsia="Calibri" w:hAnsi="Times New Roman" w:cs="Times New Roman"/>
          <w:noProof/>
        </w:rPr>
        <w:t xml:space="preserve">  enter and stay, without a visa, on the basis of </w:t>
      </w:r>
      <w:r>
        <w:rPr>
          <w:rFonts w:ascii="Times New Roman" w:hAnsi="Times New Roman" w:cs="Times New Roman"/>
          <w:noProof/>
        </w:rPr>
        <w:t>a valid travel document and a valid residence permit issued by the Principality of Andorra</w:t>
      </w:r>
      <w:r>
        <w:rPr>
          <w:rFonts w:ascii="Times New Roman" w:eastAsia="Calibri" w:hAnsi="Times New Roman" w:cs="Times New Roman"/>
          <w:noProof/>
        </w:rPr>
        <w:t xml:space="preserve">, in the territory of Schengen States, for a maximum period of 90 days in any 180-day period. </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For entry and stay without a visa for a maximum period of 90 days in any 180-day period in the territory of Member States other than those applying the Schengen </w:t>
      </w:r>
      <w:r>
        <w:rPr>
          <w:rFonts w:ascii="Times New Roman" w:eastAsia="Calibri" w:hAnsi="Times New Roman" w:cs="Times New Roman"/>
          <w:i/>
          <w:iCs/>
          <w:noProof/>
        </w:rPr>
        <w:t>acquis</w:t>
      </w:r>
      <w:r>
        <w:rPr>
          <w:rFonts w:ascii="Times New Roman" w:eastAsia="Calibri" w:hAnsi="Times New Roman" w:cs="Times New Roman"/>
          <w:noProof/>
        </w:rPr>
        <w:t xml:space="preserve"> in full, the authorised period of stay shall be calculated separately for each of these Member States on the basis of stamps affixed in the travel documents or their equivalent. </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lastRenderedPageBreak/>
        <w:t xml:space="preserve">3. Notwithstanding paragraph 2, each Schengen State, may, in accordance with the requirements laid down in European Union law, decide to impose a visa requirement </w:t>
      </w:r>
      <w:r>
        <w:rPr>
          <w:rFonts w:ascii="Times New Roman" w:hAnsi="Times New Roman" w:cs="Times New Roman"/>
          <w:noProof/>
        </w:rPr>
        <w:t>or an equivalent formality on third-country nationals legally residing in</w:t>
      </w:r>
      <w:r>
        <w:rPr>
          <w:rFonts w:ascii="Times New Roman" w:eastAsia="Calibri" w:hAnsi="Times New Roman" w:cs="Times New Roman"/>
          <w:noProof/>
        </w:rPr>
        <w:t xml:space="preserve"> the Principality of Andorra travelling for the purpose of carrying out a paid activity. </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Notwithstanding paragraph 1, for persons referred to in that paragraph, the </w:t>
      </w:r>
      <w:r>
        <w:rPr>
          <w:rFonts w:ascii="Times New Roman" w:hAnsi="Times New Roman" w:cs="Times New Roman"/>
          <w:noProof/>
          <w:lang w:val="en-IE"/>
        </w:rPr>
        <w:t>Principality of Andorra</w:t>
      </w:r>
      <w:r>
        <w:rPr>
          <w:rFonts w:ascii="Times New Roman" w:eastAsia="Calibri" w:hAnsi="Times New Roman" w:cs="Times New Roman"/>
          <w:noProof/>
        </w:rPr>
        <w:t xml:space="preserve"> may decide to impose a visa requirement </w:t>
      </w:r>
      <w:r>
        <w:rPr>
          <w:rFonts w:ascii="Times New Roman" w:hAnsi="Times New Roman" w:cs="Times New Roman"/>
          <w:noProof/>
        </w:rPr>
        <w:t xml:space="preserve">or an equivalent formality </w:t>
      </w:r>
      <w:r>
        <w:rPr>
          <w:rFonts w:ascii="Times New Roman" w:eastAsia="Calibri" w:hAnsi="Times New Roman" w:cs="Times New Roman"/>
          <w:noProof/>
        </w:rPr>
        <w:t xml:space="preserve">on these persons travelling for the purposes of carrying out a paid activity. </w:t>
      </w:r>
    </w:p>
    <w:p>
      <w:pPr>
        <w:pStyle w:val="Heading3"/>
        <w:rPr>
          <w:rFonts w:ascii="Times New Roman" w:hAnsi="Times New Roman" w:cs="Times New Roman"/>
          <w:noProof/>
          <w:color w:val="auto"/>
          <w:lang w:val="en-IE"/>
        </w:rPr>
      </w:pPr>
      <w:bookmarkStart w:id="39" w:name="_Toc231459356"/>
      <w:bookmarkStart w:id="40" w:name="_Hlk183011881"/>
      <w:r>
        <w:rPr>
          <w:rFonts w:ascii="Times New Roman" w:hAnsi="Times New Roman" w:cs="Times New Roman"/>
          <w:noProof/>
          <w:color w:val="auto"/>
          <w:lang w:val="en-IE"/>
        </w:rPr>
        <w:t xml:space="preserve">Article </w:t>
      </w:r>
      <w:r>
        <w:rPr>
          <w:rFonts w:ascii="Times New Roman" w:hAnsi="Times New Roman" w:cs="Times New Roman"/>
          <w:noProof/>
          <w:color w:val="auto"/>
        </w:rPr>
        <w:t>22</w:t>
      </w:r>
      <w:r>
        <w:rPr>
          <w:rFonts w:ascii="Times New Roman" w:hAnsi="Times New Roman" w:cs="Times New Roman"/>
          <w:noProof/>
          <w:color w:val="auto"/>
          <w:lang w:val="en-IE"/>
        </w:rPr>
        <w:br/>
        <w:t>Facilitations at the external borders</w:t>
      </w:r>
      <w:bookmarkEnd w:id="39"/>
    </w:p>
    <w:bookmarkEnd w:id="40"/>
    <w:p>
      <w:pPr>
        <w:spacing w:line="360" w:lineRule="auto"/>
        <w:rPr>
          <w:rFonts w:ascii="Times New Roman" w:hAnsi="Times New Roman" w:cs="Times New Roman"/>
          <w:noProof/>
        </w:rPr>
      </w:pPr>
      <w:r>
        <w:rPr>
          <w:rFonts w:ascii="Times New Roman" w:hAnsi="Times New Roman" w:cs="Times New Roman"/>
          <w:noProof/>
          <w:lang w:val="en-IE"/>
        </w:rPr>
        <w:t xml:space="preserve">1. When crossing the external borders of a </w:t>
      </w:r>
      <w:r>
        <w:rPr>
          <w:rFonts w:ascii="Times New Roman" w:eastAsia="Calibri" w:hAnsi="Times New Roman" w:cs="Times New Roman"/>
          <w:noProof/>
        </w:rPr>
        <w:t>Schengen State</w:t>
      </w:r>
      <w:r>
        <w:rPr>
          <w:rFonts w:ascii="Times New Roman" w:hAnsi="Times New Roman" w:cs="Times New Roman"/>
          <w:noProof/>
          <w:lang w:val="en-IE"/>
        </w:rPr>
        <w:t xml:space="preserve"> </w:t>
      </w:r>
      <w:r>
        <w:rPr>
          <w:rFonts w:ascii="Times New Roman" w:hAnsi="Times New Roman" w:cs="Times New Roman"/>
          <w:noProof/>
        </w:rPr>
        <w:t xml:space="preserve">, </w:t>
      </w:r>
      <w:r>
        <w:rPr>
          <w:rFonts w:ascii="Times New Roman" w:hAnsi="Times New Roman" w:cs="Times New Roman"/>
          <w:noProof/>
          <w:lang w:val="en-IE"/>
        </w:rPr>
        <w:t xml:space="preserve">no entry or exit stamp shall be affixed to the travel documents of nationals of the Principality of Andorra and third-country nationals legally residing in the Principality of Andorra. Nationals of the Principality of Andorra and third-country nationals legally residing in the Principality of Andorra </w:t>
      </w:r>
      <w:r>
        <w:rPr>
          <w:rFonts w:ascii="Times New Roman" w:hAnsi="Times New Roman" w:cs="Times New Roman"/>
          <w:noProof/>
        </w:rPr>
        <w:t xml:space="preserve">shall be exempt from the requirements of the Entry/Exit System.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2. When crossing the external borders of a </w:t>
      </w:r>
      <w:r>
        <w:rPr>
          <w:rFonts w:ascii="Times New Roman" w:eastAsia="Calibri" w:hAnsi="Times New Roman" w:cs="Times New Roman"/>
          <w:noProof/>
        </w:rPr>
        <w:t>Schengen State</w:t>
      </w:r>
      <w:r>
        <w:rPr>
          <w:rFonts w:ascii="Times New Roman" w:hAnsi="Times New Roman" w:cs="Times New Roman"/>
          <w:noProof/>
        </w:rPr>
        <w:t xml:space="preserve">, </w:t>
      </w:r>
      <w:r>
        <w:rPr>
          <w:rFonts w:ascii="Times New Roman" w:hAnsi="Times New Roman" w:cs="Times New Roman"/>
          <w:noProof/>
          <w:lang w:val="en-IE"/>
        </w:rPr>
        <w:t xml:space="preserve">nationals of the Principality of Andorra and  third-country nationals legally residing in the Principality of Andorra </w:t>
      </w:r>
      <w:r>
        <w:rPr>
          <w:rFonts w:ascii="Times New Roman" w:hAnsi="Times New Roman" w:cs="Times New Roman"/>
          <w:noProof/>
        </w:rPr>
        <w:t>shall be exempt from the requirement to be in possession of a valid travel authorisation</w:t>
      </w:r>
      <w:r>
        <w:rPr>
          <w:rFonts w:ascii="Times New Roman" w:hAnsi="Times New Roman" w:cs="Times New Roman"/>
          <w:noProof/>
          <w:lang w:val="en-IE"/>
        </w:rPr>
        <w:t xml:space="preserve"> pursuant to Regulation (EU) 2018/1240 of the European Parliament and of the Council of 12 September 2018.</w:t>
      </w:r>
    </w:p>
    <w:p>
      <w:pPr>
        <w:spacing w:line="360" w:lineRule="auto"/>
        <w:rPr>
          <w:rFonts w:ascii="Times New Roman" w:hAnsi="Times New Roman" w:cs="Times New Roman"/>
          <w:noProof/>
        </w:rPr>
      </w:pPr>
      <w:r>
        <w:rPr>
          <w:rFonts w:ascii="Times New Roman" w:hAnsi="Times New Roman" w:cs="Times New Roman"/>
          <w:noProof/>
        </w:rPr>
        <w:t xml:space="preserve">3. Nationals of the Principality of Andorra shall be able to use the lanes </w:t>
      </w:r>
      <w:r>
        <w:rPr>
          <w:rFonts w:ascii="Times New Roman" w:eastAsia="Calibri" w:hAnsi="Times New Roman" w:cs="Times New Roman"/>
          <w:noProof/>
        </w:rPr>
        <w:t>indicated by the sign shown in Part A (´EU, EEA, CH`) of Annex III</w:t>
      </w:r>
      <w:r>
        <w:rPr>
          <w:rFonts w:ascii="Times New Roman" w:hAnsi="Times New Roman" w:cs="Times New Roman"/>
          <w:noProof/>
        </w:rPr>
        <w:t xml:space="preserve"> of the Schengen Borders Code at </w:t>
      </w:r>
      <w:r>
        <w:rPr>
          <w:rFonts w:ascii="Times New Roman" w:eastAsia="Calibri" w:hAnsi="Times New Roman" w:cs="Times New Roman"/>
          <w:noProof/>
        </w:rPr>
        <w:t>border crossing points</w:t>
      </w:r>
      <w:r>
        <w:rPr>
          <w:rFonts w:ascii="Times New Roman" w:hAnsi="Times New Roman" w:cs="Times New Roman"/>
          <w:noProof/>
        </w:rPr>
        <w:t>. This is without prejudice to the application of the Schengen Borders Code to the nationals of the Principality of Andorra as third-country nationals as defined in the Schengen Borders Code.</w:t>
      </w:r>
    </w:p>
    <w:p>
      <w:pPr>
        <w:pStyle w:val="Heading3"/>
        <w:rPr>
          <w:rFonts w:ascii="Times New Roman" w:hAnsi="Times New Roman" w:cs="Times New Roman"/>
          <w:noProof/>
          <w:color w:val="auto"/>
          <w:lang w:val="en-IE"/>
        </w:rPr>
      </w:pPr>
      <w:bookmarkStart w:id="41" w:name="_Toc231459357"/>
      <w:bookmarkStart w:id="42" w:name="_Hlk183012108"/>
      <w:r>
        <w:rPr>
          <w:rFonts w:ascii="Times New Roman" w:hAnsi="Times New Roman" w:cs="Times New Roman"/>
          <w:noProof/>
          <w:color w:val="auto"/>
          <w:lang w:val="en-IE"/>
        </w:rPr>
        <w:t xml:space="preserve">Article </w:t>
      </w:r>
      <w:r>
        <w:rPr>
          <w:rFonts w:ascii="Times New Roman" w:hAnsi="Times New Roman" w:cs="Times New Roman"/>
          <w:noProof/>
          <w:color w:val="auto"/>
        </w:rPr>
        <w:t>23</w:t>
      </w:r>
      <w:r>
        <w:rPr>
          <w:rFonts w:ascii="Times New Roman" w:hAnsi="Times New Roman" w:cs="Times New Roman"/>
          <w:noProof/>
          <w:color w:val="auto"/>
        </w:rPr>
        <w:br/>
      </w:r>
      <w:r>
        <w:rPr>
          <w:rFonts w:ascii="Times New Roman" w:hAnsi="Times New Roman" w:cs="Times New Roman"/>
          <w:noProof/>
          <w:color w:val="auto"/>
          <w:lang w:val="en-IE"/>
        </w:rPr>
        <w:t>Entry in the territory of the Schengen States for transit purposes</w:t>
      </w:r>
      <w:bookmarkEnd w:id="41"/>
    </w:p>
    <w:bookmarkEnd w:id="42"/>
    <w:p>
      <w:pPr>
        <w:spacing w:line="360" w:lineRule="auto"/>
        <w:rPr>
          <w:rFonts w:ascii="Times New Roman" w:hAnsi="Times New Roman" w:cs="Times New Roman"/>
          <w:noProof/>
          <w:lang w:val="en-IE"/>
        </w:rPr>
      </w:pPr>
      <w:r>
        <w:rPr>
          <w:rFonts w:ascii="Times New Roman" w:hAnsi="Times New Roman" w:cs="Times New Roman"/>
          <w:noProof/>
          <w:lang w:val="en-IE"/>
        </w:rPr>
        <w:t>1. Third-country nationals legally residing in the Principality of Andorra</w:t>
      </w:r>
      <w:r>
        <w:rPr>
          <w:rFonts w:ascii="Times New Roman" w:hAnsi="Times New Roman" w:cs="Times New Roman"/>
          <w:noProof/>
        </w:rPr>
        <w:t xml:space="preserve"> </w:t>
      </w:r>
      <w:r>
        <w:rPr>
          <w:rFonts w:ascii="Times New Roman" w:hAnsi="Times New Roman" w:cs="Times New Roman"/>
          <w:noProof/>
          <w:lang w:val="en-IE"/>
        </w:rPr>
        <w:t xml:space="preserve">who do not fulfil all the entry conditions laid down in Article 6(1) of the Schengen Borders Code, but hold a valid residence permit issued by the Principality of Andorra, shall be authorised to enter the territory of the </w:t>
      </w:r>
      <w:r>
        <w:rPr>
          <w:rFonts w:ascii="Times New Roman" w:eastAsia="Calibri" w:hAnsi="Times New Roman" w:cs="Times New Roman"/>
          <w:noProof/>
        </w:rPr>
        <w:t>Schengen States</w:t>
      </w:r>
      <w:r>
        <w:rPr>
          <w:rFonts w:ascii="Times New Roman" w:hAnsi="Times New Roman" w:cs="Times New Roman"/>
          <w:noProof/>
          <w:lang w:val="en-IE"/>
        </w:rPr>
        <w:t xml:space="preserve"> for transit purposes so that they may reach the territory of the Principality of Andorra, unless they are subject to an alert on the national list of alerts of the </w:t>
      </w:r>
      <w:r>
        <w:rPr>
          <w:rFonts w:ascii="Times New Roman" w:eastAsia="Calibri" w:hAnsi="Times New Roman" w:cs="Times New Roman"/>
          <w:noProof/>
        </w:rPr>
        <w:t>Schengen State</w:t>
      </w:r>
      <w:r>
        <w:rPr>
          <w:rFonts w:ascii="Times New Roman" w:hAnsi="Times New Roman" w:cs="Times New Roman"/>
          <w:noProof/>
          <w:lang w:val="en-IE"/>
        </w:rPr>
        <w:t xml:space="preserve"> whose external borders they are seeking to cross and the alert is accompanied by instructions to refuse entry or transit. </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2. The first paragraph shall also apply to persons falling within the scope of Article 9, point 18, who do not fulfil all the entry conditions laid down in Article 6(1) of the Schengen Borders Code, but who hold a valid </w:t>
      </w:r>
      <w:r>
        <w:rPr>
          <w:rFonts w:ascii="Times New Roman" w:eastAsia="Calibri" w:hAnsi="Times New Roman" w:cs="Times New Roman"/>
          <w:noProof/>
          <w:lang w:val="en-IE"/>
        </w:rPr>
        <w:lastRenderedPageBreak/>
        <w:t>residence permit or a valid residence card or can establish a right to have their entry facilitated in accordance with Article 5(4) of Directive 2004/38.</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3. Third-country nationals who no longer have the right to reside in the Principality of Andorra and do not fulfil </w:t>
      </w:r>
      <w:r>
        <w:rPr>
          <w:rFonts w:ascii="Times New Roman" w:hAnsi="Times New Roman" w:cs="Times New Roman"/>
          <w:noProof/>
        </w:rPr>
        <w:t xml:space="preserve">all the entry conditions laid down in Article 6(1) of the Schengen Borders Code shall be authorised to enter the territory of the </w:t>
      </w:r>
      <w:r>
        <w:rPr>
          <w:rFonts w:ascii="Times New Roman" w:eastAsia="Calibri" w:hAnsi="Times New Roman" w:cs="Times New Roman"/>
          <w:noProof/>
        </w:rPr>
        <w:t>Schengen States</w:t>
      </w:r>
      <w:r>
        <w:rPr>
          <w:rFonts w:ascii="Times New Roman" w:hAnsi="Times New Roman" w:cs="Times New Roman"/>
          <w:noProof/>
        </w:rPr>
        <w:t xml:space="preserve"> for transit purposes so that they may return to their country of origin, either voluntarily or following an expulsion procedure, when their residence permit has expired or when it has been withdrawn or not renewed in accordance with the procedures of Article 25, or as a result of a national procedure. The detailed procedures for the implementation of this paragraph shall be established in the operational arrangements referred to in Article 16.</w:t>
      </w:r>
    </w:p>
    <w:p>
      <w:pPr>
        <w:pStyle w:val="Heading3"/>
        <w:rPr>
          <w:rFonts w:ascii="Times New Roman" w:hAnsi="Times New Roman" w:cs="Times New Roman"/>
          <w:noProof/>
          <w:color w:val="auto"/>
          <w:lang w:val="en-IE"/>
        </w:rPr>
      </w:pPr>
      <w:bookmarkStart w:id="43" w:name="_Toc231459358"/>
      <w:bookmarkStart w:id="44" w:name="_Hlk183012431"/>
      <w:r>
        <w:rPr>
          <w:rFonts w:ascii="Times New Roman" w:hAnsi="Times New Roman" w:cs="Times New Roman"/>
          <w:noProof/>
          <w:color w:val="auto"/>
          <w:lang w:val="en-IE"/>
        </w:rPr>
        <w:t xml:space="preserve">Article </w:t>
      </w:r>
      <w:r>
        <w:rPr>
          <w:rFonts w:ascii="Times New Roman" w:hAnsi="Times New Roman" w:cs="Times New Roman"/>
          <w:noProof/>
          <w:color w:val="auto"/>
        </w:rPr>
        <w:t>24</w:t>
      </w:r>
      <w:r>
        <w:rPr>
          <w:rFonts w:ascii="Times New Roman" w:hAnsi="Times New Roman" w:cs="Times New Roman"/>
          <w:noProof/>
          <w:color w:val="auto"/>
          <w:lang w:val="en-IE"/>
        </w:rPr>
        <w:t xml:space="preserve"> </w:t>
      </w:r>
      <w:r>
        <w:rPr>
          <w:rFonts w:ascii="Times New Roman" w:hAnsi="Times New Roman" w:cs="Times New Roman"/>
          <w:noProof/>
          <w:color w:val="auto"/>
        </w:rPr>
        <w:br/>
      </w:r>
      <w:r>
        <w:rPr>
          <w:rFonts w:ascii="Times New Roman" w:hAnsi="Times New Roman" w:cs="Times New Roman"/>
          <w:noProof/>
          <w:color w:val="auto"/>
          <w:lang w:val="en-IE"/>
        </w:rPr>
        <w:t>Right of residence in the Principality of Andorra</w:t>
      </w:r>
      <w:bookmarkEnd w:id="43"/>
    </w:p>
    <w:bookmarkEnd w:id="44"/>
    <w:p>
      <w:pPr>
        <w:spacing w:after="0" w:line="360" w:lineRule="auto"/>
        <w:rPr>
          <w:rFonts w:ascii="Times New Roman" w:hAnsi="Times New Roman" w:cs="Times New Roman"/>
          <w:noProof/>
        </w:rPr>
      </w:pPr>
      <w:r>
        <w:rPr>
          <w:rFonts w:ascii="Times New Roman" w:hAnsi="Times New Roman" w:cs="Times New Roman"/>
          <w:noProof/>
        </w:rPr>
        <w:t xml:space="preserve">1. The right to reside of third-country nationals in the Principality of Andorra shall be established on the basis of a valid residence permit issued by the Principality of Andorra and subject to the conditions set out in this Article and the conditions laid down in the law applicable in the Principality of Andorra. </w:t>
      </w:r>
    </w:p>
    <w:p>
      <w:pPr>
        <w:spacing w:after="0" w:line="360" w:lineRule="auto"/>
        <w:rPr>
          <w:rFonts w:ascii="Times New Roman" w:hAnsi="Times New Roman" w:cs="Times New Roman"/>
          <w:noProof/>
        </w:rPr>
      </w:pPr>
      <w:r>
        <w:rPr>
          <w:rFonts w:ascii="Times New Roman" w:hAnsi="Times New Roman" w:cs="Times New Roman"/>
          <w:noProof/>
        </w:rPr>
        <w:t xml:space="preserve">2. The Principality of Andorra shall ensure that third-country nationals acquire and maintain the right to reside in the Principality of Andorra on the condition of having a genuine connection with the Principality of Andorra. This condition shall be established on the basis of actual and regular physical presence over an appropriate period of time and of other objective and verifiable criteria. The condition of genuine connection shall not be considered fulfilled on the basis of predetermined investments having been made in the Principality of Andorra’s economy or real estate or any predetermined financial payments having been made to the authorities of the Principality of Andorra. </w:t>
      </w:r>
    </w:p>
    <w:p>
      <w:pPr>
        <w:spacing w:after="0" w:line="360" w:lineRule="auto"/>
        <w:rPr>
          <w:rFonts w:ascii="Times New Roman" w:hAnsi="Times New Roman" w:cs="Times New Roman"/>
          <w:noProof/>
        </w:rPr>
      </w:pPr>
      <w:r>
        <w:rPr>
          <w:rFonts w:ascii="Times New Roman" w:hAnsi="Times New Roman" w:cs="Times New Roman"/>
          <w:noProof/>
        </w:rPr>
        <w:t>3. The Principality of Andorra shall ensure that resident permits are issued only to third-country nationals who meet the conditions for entitlement set out in paragraph 2.</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4. Subject to Article 26, the Principality of </w:t>
      </w:r>
      <w:r>
        <w:rPr>
          <w:rFonts w:ascii="Times New Roman" w:hAnsi="Times New Roman" w:cs="Times New Roman"/>
          <w:noProof/>
        </w:rPr>
        <w:t>Andorra</w:t>
      </w:r>
      <w:r>
        <w:rPr>
          <w:rFonts w:ascii="Times New Roman" w:eastAsia="Calibri" w:hAnsi="Times New Roman" w:cs="Times New Roman"/>
          <w:noProof/>
        </w:rPr>
        <w:t xml:space="preserve"> shall ensure that residence permits of third-country nationals are issued or renewed only in accordance with the procedure set out in Article 25.</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5. Residence permits issued to third-country nationals who no longer meet the conditions in paragraph 2 shall be withdrawn in accordance with national law.</w:t>
      </w:r>
      <w:bookmarkStart w:id="45" w:name="_Hlk184050119"/>
    </w:p>
    <w:p>
      <w:pPr>
        <w:pStyle w:val="Heading3"/>
        <w:rPr>
          <w:rFonts w:ascii="Times New Roman" w:hAnsi="Times New Roman" w:cs="Times New Roman"/>
          <w:noProof/>
          <w:color w:val="auto"/>
          <w:lang w:val="en-IE"/>
        </w:rPr>
      </w:pPr>
      <w:bookmarkStart w:id="46" w:name="_Toc231459359"/>
      <w:bookmarkStart w:id="47" w:name="_Hlk183012558"/>
      <w:bookmarkEnd w:id="45"/>
      <w:r>
        <w:rPr>
          <w:rFonts w:ascii="Times New Roman" w:hAnsi="Times New Roman" w:cs="Times New Roman"/>
          <w:noProof/>
          <w:color w:val="auto"/>
          <w:lang w:val="en-IE"/>
        </w:rPr>
        <w:t xml:space="preserve">Article </w:t>
      </w:r>
      <w:r>
        <w:rPr>
          <w:rFonts w:ascii="Times New Roman" w:hAnsi="Times New Roman" w:cs="Times New Roman"/>
          <w:noProof/>
          <w:color w:val="auto"/>
        </w:rPr>
        <w:t>25</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Residence permits issued or renewed by the Principality of Andorra</w:t>
      </w:r>
      <w:bookmarkEnd w:id="46"/>
    </w:p>
    <w:bookmarkEnd w:id="47"/>
    <w:p>
      <w:pPr>
        <w:spacing w:line="360" w:lineRule="auto"/>
        <w:rPr>
          <w:rFonts w:ascii="Times New Roman" w:hAnsi="Times New Roman" w:cs="Times New Roman"/>
          <w:noProof/>
        </w:rPr>
      </w:pPr>
      <w:r>
        <w:rPr>
          <w:rFonts w:ascii="Times New Roman" w:hAnsi="Times New Roman" w:cs="Times New Roman"/>
          <w:noProof/>
          <w:lang w:val="en-IE"/>
        </w:rPr>
        <w:t xml:space="preserve">1. </w:t>
      </w:r>
      <w:r>
        <w:rPr>
          <w:rFonts w:ascii="Times New Roman" w:hAnsi="Times New Roman" w:cs="Times New Roman"/>
          <w:noProof/>
        </w:rPr>
        <w:t xml:space="preserve">The authorities of the Principality of Andorra shall issue or renew residence permits to third-country nationals where the relevant conditions under </w:t>
      </w:r>
      <w:r>
        <w:rPr>
          <w:rFonts w:ascii="Times New Roman" w:hAnsi="Times New Roman" w:cs="Times New Roman"/>
          <w:noProof/>
          <w:lang w:val="en-IE"/>
        </w:rPr>
        <w:t xml:space="preserve">Article </w:t>
      </w:r>
      <w:r>
        <w:rPr>
          <w:rFonts w:ascii="Times New Roman" w:hAnsi="Times New Roman" w:cs="Times New Roman"/>
          <w:noProof/>
        </w:rPr>
        <w:t>24</w:t>
      </w:r>
      <w:r>
        <w:rPr>
          <w:rFonts w:ascii="Times New Roman" w:hAnsi="Times New Roman" w:cs="Times New Roman"/>
          <w:noProof/>
          <w:lang w:val="en-IE"/>
        </w:rPr>
        <w:t xml:space="preserve"> </w:t>
      </w:r>
      <w:r>
        <w:rPr>
          <w:rFonts w:ascii="Times New Roman" w:hAnsi="Times New Roman" w:cs="Times New Roman"/>
          <w:noProof/>
        </w:rPr>
        <w:t xml:space="preserve">and the law applicable in the Principality of Andorra are fulfilled. </w:t>
      </w:r>
    </w:p>
    <w:p>
      <w:pPr>
        <w:spacing w:line="360" w:lineRule="auto"/>
        <w:rPr>
          <w:rFonts w:ascii="Times New Roman" w:hAnsi="Times New Roman" w:cs="Times New Roman"/>
          <w:noProof/>
        </w:rPr>
      </w:pPr>
      <w:r>
        <w:rPr>
          <w:rFonts w:ascii="Times New Roman" w:hAnsi="Times New Roman" w:cs="Times New Roman"/>
          <w:noProof/>
        </w:rPr>
        <w:lastRenderedPageBreak/>
        <w:t xml:space="preserve">2. The </w:t>
      </w:r>
      <w:r>
        <w:rPr>
          <w:rFonts w:ascii="Times New Roman" w:hAnsi="Times New Roman" w:cs="Times New Roman"/>
          <w:noProof/>
          <w:lang w:val="en-IE"/>
        </w:rPr>
        <w:t xml:space="preserve">format, security features and the technical specifications of </w:t>
      </w:r>
      <w:r>
        <w:rPr>
          <w:rFonts w:ascii="Times New Roman" w:hAnsi="Times New Roman" w:cs="Times New Roman"/>
          <w:noProof/>
        </w:rPr>
        <w:t>residence permits issued by the Principality of Andorra shall comply with the</w:t>
      </w:r>
      <w:r>
        <w:rPr>
          <w:rFonts w:ascii="Times New Roman" w:hAnsi="Times New Roman" w:cs="Times New Roman"/>
          <w:noProof/>
          <w:lang w:val="en-IE"/>
        </w:rPr>
        <w:t xml:space="preserve"> relevant provisions of Council Regulation (EC) No 1030/2002 of 13 June 2002 laying down a uniform format for residence permits for third-country nationals</w:t>
      </w:r>
      <w:r>
        <w:rPr>
          <w:rFonts w:ascii="Times New Roman" w:hAnsi="Times New Roman" w:cs="Times New Roman"/>
          <w:noProof/>
        </w:rPr>
        <w:t>, and shall bear clear indications that it is valid for the Principality of Andorra, within one year from the entry into force of this agreement.</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The </w:t>
      </w:r>
      <w:r>
        <w:rPr>
          <w:rFonts w:ascii="Times New Roman" w:hAnsi="Times New Roman" w:cs="Times New Roman"/>
          <w:noProof/>
        </w:rPr>
        <w:t xml:space="preserve">Principality of Andorra </w:t>
      </w:r>
      <w:r>
        <w:rPr>
          <w:rFonts w:ascii="Times New Roman" w:eastAsia="Calibri" w:hAnsi="Times New Roman" w:cs="Times New Roman"/>
          <w:noProof/>
          <w:lang w:val="en-IE"/>
        </w:rPr>
        <w:t>shall provide the French Republic</w:t>
      </w:r>
      <w:r>
        <w:rPr>
          <w:rFonts w:ascii="Times New Roman" w:eastAsia="Calibri" w:hAnsi="Times New Roman" w:cs="Times New Roman"/>
          <w:noProof/>
        </w:rPr>
        <w:t xml:space="preserve"> and the Kingdom of </w:t>
      </w:r>
      <w:r>
        <w:rPr>
          <w:rFonts w:ascii="Times New Roman" w:eastAsia="Calibri" w:hAnsi="Times New Roman" w:cs="Times New Roman"/>
          <w:noProof/>
          <w:lang w:val="en-IE"/>
        </w:rPr>
        <w:t xml:space="preserve">Spain with specimens of </w:t>
      </w:r>
      <w:r>
        <w:rPr>
          <w:rFonts w:ascii="Times New Roman" w:eastAsia="Calibri" w:hAnsi="Times New Roman" w:cs="Times New Roman"/>
          <w:noProof/>
        </w:rPr>
        <w:t xml:space="preserve">residence </w:t>
      </w:r>
      <w:r>
        <w:rPr>
          <w:rFonts w:ascii="Times New Roman" w:eastAsia="Calibri" w:hAnsi="Times New Roman" w:cs="Times New Roman"/>
          <w:noProof/>
          <w:lang w:val="en-IE"/>
        </w:rPr>
        <w:t>permits and any subsequent modification thereto for the purpose of the French Republic</w:t>
      </w:r>
      <w:r>
        <w:rPr>
          <w:rFonts w:ascii="Times New Roman" w:eastAsia="Calibri" w:hAnsi="Times New Roman" w:cs="Times New Roman"/>
          <w:noProof/>
        </w:rPr>
        <w:t xml:space="preserve"> and </w:t>
      </w:r>
      <w:r>
        <w:rPr>
          <w:rFonts w:ascii="Times New Roman" w:eastAsia="Calibri" w:hAnsi="Times New Roman" w:cs="Times New Roman"/>
          <w:noProof/>
          <w:lang w:val="en-IE"/>
        </w:rPr>
        <w:t>the Kingdom of Spain notifying these specimens to the Commission in accordance with Article 39(1)(a) of the Schengen Borders Code.</w:t>
      </w:r>
    </w:p>
    <w:p>
      <w:pPr>
        <w:spacing w:line="360" w:lineRule="auto"/>
        <w:rPr>
          <w:rFonts w:ascii="Times New Roman" w:hAnsi="Times New Roman" w:cs="Times New Roman"/>
          <w:noProof/>
        </w:rPr>
      </w:pPr>
      <w:r>
        <w:rPr>
          <w:rFonts w:ascii="Times New Roman" w:hAnsi="Times New Roman" w:cs="Times New Roman"/>
          <w:noProof/>
        </w:rPr>
        <w:t>3. Specimens of residence permits issued by the Principality of Andorra and notified to the European Commission by the French Republic and the Kingdom of Spain in accordance with Article 39(1)(a) of the Schengen Borders Code are subject to provisions of Regulation (EC) No 767/2008 of the European Parliament and of the Council of 9 July 2008 concerning the Visa Information System (VIS) and the exchange of data between Member States on short-stay visas, long-stay visas and residence permits (VIS Regulation).</w:t>
      </w:r>
    </w:p>
    <w:p>
      <w:pPr>
        <w:spacing w:line="360" w:lineRule="auto"/>
        <w:rPr>
          <w:rFonts w:ascii="Times New Roman" w:hAnsi="Times New Roman" w:cs="Times New Roman"/>
          <w:noProof/>
        </w:rPr>
      </w:pPr>
      <w:r>
        <w:rPr>
          <w:rFonts w:ascii="Times New Roman" w:hAnsi="Times New Roman" w:cs="Times New Roman"/>
          <w:noProof/>
        </w:rPr>
        <w:t>4. Before issuing or renewing a residence permit to third-country nationals, the Principality of Andorra shall notify the French Republic or the Kingdom of Spain according to a predetermined distribution key, established in the operational arrangements referred to in Article 16 in order to enable the security assessment of the applicant by one of these Member States. The notification shall include all data available in the application for the residence permit.</w:t>
      </w:r>
    </w:p>
    <w:p>
      <w:pPr>
        <w:spacing w:line="360" w:lineRule="auto"/>
        <w:rPr>
          <w:rFonts w:ascii="Times New Roman" w:hAnsi="Times New Roman" w:cs="Times New Roman"/>
          <w:noProof/>
        </w:rPr>
      </w:pPr>
      <w:r>
        <w:rPr>
          <w:rFonts w:ascii="Times New Roman" w:hAnsi="Times New Roman" w:cs="Times New Roman"/>
          <w:noProof/>
        </w:rPr>
        <w:t xml:space="preserve">5. Where the third-country national applying for a residence permit is considered to be a threat to public policy, internal security, public health or the international relations of any of the Schengen States, including on the basis of an alert issued in the Schengen Information System, the Member State carrying out the security assessment shall inform the authorities of the Principality of Andorra within 28 calendar days of being notified under paragraph 4 of its objection. </w:t>
      </w:r>
    </w:p>
    <w:p>
      <w:pPr>
        <w:spacing w:line="360" w:lineRule="auto"/>
        <w:rPr>
          <w:rFonts w:ascii="Times New Roman" w:eastAsia="Calibri" w:hAnsi="Times New Roman" w:cs="Times New Roman"/>
          <w:b/>
          <w:bCs/>
          <w:noProof/>
        </w:rPr>
      </w:pPr>
      <w:bookmarkStart w:id="48" w:name="_Hlk183014937"/>
      <w:r>
        <w:rPr>
          <w:rFonts w:ascii="Times New Roman" w:eastAsia="Calibri" w:hAnsi="Times New Roman" w:cs="Times New Roman"/>
          <w:noProof/>
          <w:lang w:val="en-IE"/>
        </w:rPr>
        <w:t xml:space="preserve">In </w:t>
      </w:r>
      <w:r>
        <w:rPr>
          <w:rFonts w:ascii="Times New Roman" w:hAnsi="Times New Roman" w:cs="Times New Roman"/>
          <w:noProof/>
        </w:rPr>
        <w:t>that</w:t>
      </w:r>
      <w:r>
        <w:rPr>
          <w:rFonts w:ascii="Times New Roman" w:eastAsia="Calibri" w:hAnsi="Times New Roman" w:cs="Times New Roman"/>
          <w:noProof/>
          <w:lang w:val="en-IE"/>
        </w:rPr>
        <w:t xml:space="preserve"> case, the authorities of the </w:t>
      </w:r>
      <w:r>
        <w:rPr>
          <w:rFonts w:ascii="Times New Roman" w:hAnsi="Times New Roman" w:cs="Times New Roman"/>
          <w:noProof/>
        </w:rPr>
        <w:t xml:space="preserve">Principality of Andorra </w:t>
      </w:r>
      <w:r>
        <w:rPr>
          <w:rFonts w:ascii="Times New Roman" w:eastAsia="Calibri" w:hAnsi="Times New Roman" w:cs="Times New Roman"/>
          <w:noProof/>
          <w:lang w:val="en-IE"/>
        </w:rPr>
        <w:t>shall refrain from issuing or renewing the residence permit and shall inform the applicant of the objection and provide to the applicant the contact details of the competent authorities of the Member State carrying out the security assessment.</w:t>
      </w:r>
    </w:p>
    <w:p>
      <w:pPr>
        <w:spacing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Upon request of the applicant, the Member State carrying out the security assessment shall, </w:t>
      </w:r>
      <w:r>
        <w:rPr>
          <w:rStyle w:val="normaltextrun"/>
          <w:rFonts w:ascii="Times New Roman" w:hAnsi="Times New Roman" w:cs="Times New Roman"/>
          <w:noProof/>
        </w:rPr>
        <w:t>with due regard to its obligations under national and Union law,</w:t>
      </w:r>
      <w:r>
        <w:rPr>
          <w:rFonts w:ascii="Times New Roman" w:eastAsia="Calibri" w:hAnsi="Times New Roman" w:cs="Times New Roman"/>
          <w:noProof/>
          <w:lang w:val="en-IE"/>
        </w:rPr>
        <w:t xml:space="preserve"> inform the applicant of </w:t>
      </w:r>
    </w:p>
    <w:p>
      <w:pPr>
        <w:pStyle w:val="ListParagraph"/>
        <w:numPr>
          <w:ilvl w:val="0"/>
          <w:numId w:val="8"/>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its objection to the issuing or renewing of a residence permit, </w:t>
      </w:r>
    </w:p>
    <w:p>
      <w:pPr>
        <w:pStyle w:val="ListParagraph"/>
        <w:numPr>
          <w:ilvl w:val="0"/>
          <w:numId w:val="8"/>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lastRenderedPageBreak/>
        <w:t xml:space="preserve">the grounds for considering the applicant to be a threat to public policy, internal security, public health or the international relations, accompanied, where appropriate, by the summary of the reasons, and </w:t>
      </w:r>
    </w:p>
    <w:p>
      <w:pPr>
        <w:pStyle w:val="ListParagraph"/>
        <w:numPr>
          <w:ilvl w:val="0"/>
          <w:numId w:val="8"/>
        </w:numPr>
        <w:spacing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the applicable judicial remedies in accordance with national and Union law.  </w:t>
      </w:r>
    </w:p>
    <w:bookmarkEnd w:id="48"/>
    <w:p>
      <w:pPr>
        <w:spacing w:line="360" w:lineRule="auto"/>
        <w:rPr>
          <w:rFonts w:ascii="Times New Roman" w:eastAsia="Calibri" w:hAnsi="Times New Roman" w:cs="Times New Roman"/>
          <w:noProof/>
          <w:lang w:val="en-IE"/>
        </w:rPr>
      </w:pPr>
      <w:r>
        <w:rPr>
          <w:rFonts w:ascii="Times New Roman" w:eastAsia="Calibri" w:hAnsi="Times New Roman" w:cs="Times New Roman"/>
          <w:noProof/>
        </w:rPr>
        <w:t xml:space="preserve">6. The Member State carrying out the security assessment </w:t>
      </w:r>
      <w:r>
        <w:rPr>
          <w:rFonts w:ascii="Times New Roman" w:eastAsia="Calibri" w:hAnsi="Times New Roman" w:cs="Times New Roman"/>
          <w:noProof/>
          <w:lang w:val="en-IE"/>
        </w:rPr>
        <w:t xml:space="preserve">may notify the </w:t>
      </w:r>
      <w:r>
        <w:rPr>
          <w:rFonts w:ascii="Times New Roman" w:hAnsi="Times New Roman" w:cs="Times New Roman"/>
          <w:noProof/>
        </w:rPr>
        <w:t>Principality of Andorra</w:t>
      </w:r>
      <w:r>
        <w:rPr>
          <w:rFonts w:ascii="Times New Roman" w:eastAsia="Calibri" w:hAnsi="Times New Roman" w:cs="Times New Roman"/>
          <w:noProof/>
          <w:lang w:val="en-IE"/>
        </w:rPr>
        <w:t xml:space="preserve"> that the period of 28 calendar days referred to in paragraph 5 is extended by a maximum of 14 calendar days. The absence of a response or the absence of the notification on the extension by the </w:t>
      </w:r>
      <w:r>
        <w:rPr>
          <w:rFonts w:ascii="Times New Roman" w:eastAsia="Calibri" w:hAnsi="Times New Roman" w:cs="Times New Roman"/>
          <w:noProof/>
        </w:rPr>
        <w:t xml:space="preserve">Member State carrying out the security assessment following </w:t>
      </w:r>
      <w:r>
        <w:rPr>
          <w:rFonts w:ascii="Times New Roman" w:eastAsia="Calibri" w:hAnsi="Times New Roman" w:cs="Times New Roman"/>
          <w:noProof/>
          <w:lang w:val="en-IE"/>
        </w:rPr>
        <w:t xml:space="preserve">the expiry of the 28 calendar days or, in the case of an extension, the expiry of the 42 calendar days, shall be considered as an absence of objection to the application. The </w:t>
      </w:r>
      <w:r>
        <w:rPr>
          <w:rFonts w:ascii="Times New Roman" w:hAnsi="Times New Roman" w:cs="Times New Roman"/>
          <w:noProof/>
        </w:rPr>
        <w:t>Principality of Andorra</w:t>
      </w:r>
      <w:r>
        <w:rPr>
          <w:rFonts w:ascii="Times New Roman" w:eastAsia="Calibri" w:hAnsi="Times New Roman" w:cs="Times New Roman"/>
          <w:noProof/>
          <w:lang w:val="en-IE"/>
        </w:rPr>
        <w:t xml:space="preserve"> </w:t>
      </w:r>
      <w:r>
        <w:rPr>
          <w:rFonts w:ascii="Times New Roman" w:hAnsi="Times New Roman" w:cs="Times New Roman"/>
          <w:noProof/>
        </w:rPr>
        <w:t>shall</w:t>
      </w:r>
      <w:r>
        <w:rPr>
          <w:rFonts w:ascii="Times New Roman" w:eastAsia="Calibri" w:hAnsi="Times New Roman" w:cs="Times New Roman"/>
          <w:noProof/>
          <w:lang w:val="en-IE"/>
        </w:rPr>
        <w:t xml:space="preserve"> refrain from issuing or renewing a residence permit before the end of that period. </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7. The Member State carrying out the security assessment shall carry out checks in particular in national, international and Union databases, including in the Schengen Information System, and EU restrictive measures. </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Where the third-country national applying for a residence permit is subject of an alert entered in the Schengen Information System for the purposes of refusing entry or for the purposes of a return, the Member State carrying out the security assessment shall first consult the State applying the Schengen </w:t>
      </w:r>
      <w:r>
        <w:rPr>
          <w:rFonts w:ascii="Times New Roman" w:eastAsia="Calibri" w:hAnsi="Times New Roman" w:cs="Times New Roman"/>
          <w:i/>
          <w:noProof/>
          <w:lang w:val="en-IE"/>
        </w:rPr>
        <w:t xml:space="preserve">acquis </w:t>
      </w:r>
      <w:r>
        <w:rPr>
          <w:rFonts w:ascii="Times New Roman" w:eastAsia="Calibri" w:hAnsi="Times New Roman" w:cs="Times New Roman"/>
          <w:noProof/>
          <w:lang w:val="en-IE"/>
        </w:rPr>
        <w:t>in full that issued the alert and shall take into account its reasons for issuing the alert. T</w:t>
      </w:r>
      <w:r>
        <w:rPr>
          <w:rFonts w:ascii="Times New Roman" w:eastAsia="Calibri" w:hAnsi="Times New Roman" w:cs="Times New Roman"/>
          <w:noProof/>
        </w:rPr>
        <w:t xml:space="preserve">he alert issuing State shall reply to the consultation request within 10 calendar days. The absence of a reply by that deadline shall mean that the alert issuing State does not object to the granting of the residence permit. </w:t>
      </w:r>
      <w:r>
        <w:rPr>
          <w:rFonts w:ascii="Times New Roman" w:eastAsia="Calibri" w:hAnsi="Times New Roman" w:cs="Times New Roman"/>
          <w:noProof/>
          <w:lang w:val="en-IE"/>
        </w:rPr>
        <w:t>If the Member State carrying out the security assessment decides not to request the authorities of the Principality of Andorra to refrain from issuing or renewing the residence permit, despite the objections raised by the Member State that issued the alert, it shall communicate its reasons to that Member State.</w:t>
      </w:r>
    </w:p>
    <w:p>
      <w:pPr>
        <w:spacing w:after="0" w:line="360" w:lineRule="auto"/>
        <w:rPr>
          <w:rFonts w:ascii="Times New Roman" w:hAnsi="Times New Roman" w:cs="Times New Roman"/>
          <w:noProof/>
        </w:rPr>
      </w:pPr>
      <w:r>
        <w:rPr>
          <w:rFonts w:ascii="Times New Roman" w:eastAsia="Calibri" w:hAnsi="Times New Roman" w:cs="Times New Roman"/>
          <w:noProof/>
          <w:lang w:val="en-IE"/>
        </w:rPr>
        <w:t xml:space="preserve">8. Where a third-country national holding a residence permit issued by the Principality of Andorra is considered to be a threat to public policy, internal security, public health or the international relations by any of the Schengen States, including on the basis of an alert issued in the Schengen Information System, </w:t>
      </w:r>
      <w:r>
        <w:rPr>
          <w:rFonts w:ascii="Times New Roman" w:hAnsi="Times New Roman" w:cs="Times New Roman"/>
          <w:noProof/>
        </w:rPr>
        <w:t xml:space="preserve">the French Republic or the Kingdom of Spain shall request the authorities of the Principality of Andorra to withdraw the residence permit. </w:t>
      </w:r>
    </w:p>
    <w:p>
      <w:pPr>
        <w:spacing w:after="0" w:line="360" w:lineRule="auto"/>
        <w:rPr>
          <w:rFonts w:ascii="Times New Roman" w:eastAsia="Calibri" w:hAnsi="Times New Roman" w:cs="Times New Roman"/>
          <w:noProof/>
          <w:lang w:val="en-IE"/>
        </w:rPr>
      </w:pPr>
      <w:r>
        <w:rPr>
          <w:rFonts w:ascii="Times New Roman" w:hAnsi="Times New Roman" w:cs="Times New Roman"/>
          <w:noProof/>
        </w:rPr>
        <w:t xml:space="preserve">Upon receiving such a request, the authorities of the Principality of Andorra shall withdraw the residence permit without delay and </w:t>
      </w:r>
      <w:r>
        <w:rPr>
          <w:rFonts w:ascii="Times New Roman" w:eastAsia="Calibri" w:hAnsi="Times New Roman" w:cs="Times New Roman"/>
          <w:noProof/>
          <w:lang w:val="en-IE"/>
        </w:rPr>
        <w:t>inform the person concerned of that decision and provide to that person the contact details of the competent authority of the French Republic or of the Kingdom of Spain that requested the withdrawal.</w:t>
      </w:r>
    </w:p>
    <w:p>
      <w:p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lastRenderedPageBreak/>
        <w:t xml:space="preserve">In addition, upon request of the person concerned, that Schengen State shall, </w:t>
      </w:r>
      <w:r>
        <w:rPr>
          <w:rStyle w:val="normaltextrun"/>
          <w:rFonts w:ascii="Times New Roman" w:hAnsi="Times New Roman" w:cs="Times New Roman"/>
          <w:noProof/>
        </w:rPr>
        <w:t>with due regard to its obligations under national and Union law,</w:t>
      </w:r>
      <w:r>
        <w:rPr>
          <w:rFonts w:ascii="Times New Roman" w:eastAsia="Calibri" w:hAnsi="Times New Roman" w:cs="Times New Roman"/>
          <w:noProof/>
          <w:lang w:val="en-IE"/>
        </w:rPr>
        <w:t xml:space="preserve"> inform the applicant of:</w:t>
      </w:r>
    </w:p>
    <w:p>
      <w:pPr>
        <w:pStyle w:val="ListParagraph"/>
        <w:numPr>
          <w:ilvl w:val="0"/>
          <w:numId w:val="9"/>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its objection to the issuing or renewing of a residence permit, </w:t>
      </w:r>
    </w:p>
    <w:p>
      <w:pPr>
        <w:pStyle w:val="ListParagraph"/>
        <w:numPr>
          <w:ilvl w:val="0"/>
          <w:numId w:val="9"/>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the grounds for considering the applicant to be a threat to public policy, internal security, public health or the international relations, accompanied, where appropriate, by the summary of the reasons, and </w:t>
      </w:r>
    </w:p>
    <w:p>
      <w:pPr>
        <w:pStyle w:val="ListParagraph"/>
        <w:numPr>
          <w:ilvl w:val="0"/>
          <w:numId w:val="9"/>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the applicable judicial remedies in accordance with national and Union law.  </w:t>
      </w:r>
    </w:p>
    <w:p>
      <w:pPr>
        <w:spacing w:line="360" w:lineRule="auto"/>
        <w:rPr>
          <w:rFonts w:ascii="Times New Roman" w:hAnsi="Times New Roman" w:cs="Times New Roman"/>
          <w:noProof/>
        </w:rPr>
      </w:pPr>
      <w:r>
        <w:rPr>
          <w:rFonts w:ascii="Times New Roman" w:hAnsi="Times New Roman" w:cs="Times New Roman"/>
          <w:noProof/>
        </w:rPr>
        <w:t xml:space="preserve">9. If an alert in the Schengen Information System has been issued </w:t>
      </w:r>
      <w:r>
        <w:rPr>
          <w:rFonts w:ascii="Times New Roman" w:eastAsia="Calibri" w:hAnsi="Times New Roman" w:cs="Times New Roman"/>
          <w:noProof/>
          <w:lang w:val="en-IE"/>
        </w:rPr>
        <w:t>for the purposes of refusing entry or for the purposes of return</w:t>
      </w:r>
      <w:r>
        <w:rPr>
          <w:rFonts w:ascii="Times New Roman" w:eastAsia="Calibri" w:hAnsi="Times New Roman" w:cs="Times New Roman"/>
          <w:b/>
          <w:bCs/>
          <w:noProof/>
          <w:lang w:val="en-IE"/>
        </w:rPr>
        <w:t xml:space="preserve"> </w:t>
      </w:r>
      <w:r>
        <w:rPr>
          <w:rFonts w:ascii="Times New Roman" w:hAnsi="Times New Roman" w:cs="Times New Roman"/>
          <w:noProof/>
        </w:rPr>
        <w:t xml:space="preserve">for a third-country national holding a residence permit issued by the Principality of Andorra, the Member State that issued the alert shall consult the French Republic or the Kingdom of Spain to assess whether sufficient grounds exist to withdraw the residence permit. Those grounds may include the third-country national being considered a </w:t>
      </w:r>
      <w:r>
        <w:rPr>
          <w:rFonts w:ascii="Times New Roman" w:eastAsia="Calibri" w:hAnsi="Times New Roman" w:cs="Times New Roman"/>
          <w:noProof/>
          <w:lang w:val="en-IE"/>
        </w:rPr>
        <w:t xml:space="preserve">threat to public policy, internal security, public health or the international relations of the </w:t>
      </w:r>
      <w:r>
        <w:rPr>
          <w:rFonts w:ascii="Times New Roman" w:hAnsi="Times New Roman" w:cs="Times New Roman"/>
          <w:noProof/>
        </w:rPr>
        <w:t xml:space="preserve">Schengen States. </w:t>
      </w:r>
    </w:p>
    <w:p>
      <w:pPr>
        <w:spacing w:line="360" w:lineRule="auto"/>
        <w:rPr>
          <w:rFonts w:ascii="Times New Roman" w:hAnsi="Times New Roman" w:cs="Times New Roman"/>
          <w:noProof/>
        </w:rPr>
      </w:pPr>
      <w:r>
        <w:rPr>
          <w:rFonts w:ascii="Times New Roman" w:hAnsi="Times New Roman" w:cs="Times New Roman"/>
          <w:noProof/>
        </w:rPr>
        <w:t>10. Where the French Republic or the Kingdom of Spain does not object to the issuance or the renewal of a residence permit to a third-country national, or does not request its withdrawal, despite the existence of an alert in the Schengen Information System for the purposes of refusing entry or for the purposes of return for the person concerned, the Schengen State that issued the alert shall not be required to delete it.</w:t>
      </w:r>
    </w:p>
    <w:p>
      <w:pPr>
        <w:spacing w:line="360" w:lineRule="auto"/>
        <w:rPr>
          <w:rFonts w:ascii="Times New Roman" w:eastAsia="Calibri" w:hAnsi="Times New Roman" w:cs="Times New Roman"/>
          <w:noProof/>
        </w:rPr>
      </w:pPr>
      <w:r>
        <w:rPr>
          <w:rFonts w:ascii="Times New Roman" w:eastAsia="Calibri" w:hAnsi="Times New Roman" w:cs="Times New Roman"/>
          <w:noProof/>
        </w:rPr>
        <w:t>11. T</w:t>
      </w:r>
      <w:r>
        <w:rPr>
          <w:rFonts w:ascii="Times New Roman" w:eastAsia="Calibri" w:hAnsi="Times New Roman" w:cs="Times New Roman"/>
          <w:noProof/>
          <w:lang w:val="en-IE"/>
        </w:rPr>
        <w:t xml:space="preserve">he </w:t>
      </w:r>
      <w:r>
        <w:rPr>
          <w:rFonts w:ascii="Times New Roman" w:hAnsi="Times New Roman" w:cs="Times New Roman"/>
          <w:noProof/>
        </w:rPr>
        <w:t>Principality of Andorra</w:t>
      </w:r>
      <w:r>
        <w:rPr>
          <w:rFonts w:ascii="Times New Roman" w:eastAsia="Calibri" w:hAnsi="Times New Roman" w:cs="Times New Roman"/>
          <w:noProof/>
          <w:lang w:val="en-IE"/>
        </w:rPr>
        <w:t xml:space="preserve"> </w:t>
      </w:r>
      <w:r>
        <w:rPr>
          <w:rFonts w:ascii="Times New Roman" w:eastAsia="Calibri" w:hAnsi="Times New Roman" w:cs="Times New Roman"/>
          <w:noProof/>
        </w:rPr>
        <w:t xml:space="preserve">shall notify the Member State carrying out the security assessment about the refusal of the application for a residence permit, the issuance, renewal and the withdrawal of a residence </w:t>
      </w:r>
      <w:r>
        <w:rPr>
          <w:rFonts w:ascii="Times New Roman" w:hAnsi="Times New Roman" w:cs="Times New Roman"/>
          <w:noProof/>
          <w:lang w:val="en-IE"/>
        </w:rPr>
        <w:t>permit</w:t>
      </w:r>
      <w:r>
        <w:rPr>
          <w:rFonts w:ascii="Times New Roman" w:eastAsia="Calibri" w:hAnsi="Times New Roman" w:cs="Times New Roman"/>
          <w:noProof/>
        </w:rPr>
        <w:t xml:space="preserve"> of a third-country national within 5 calendar days </w:t>
      </w:r>
      <w:r>
        <w:rPr>
          <w:rFonts w:ascii="Times New Roman" w:hAnsi="Times New Roman" w:cs="Times New Roman"/>
          <w:noProof/>
        </w:rPr>
        <w:t>from the date of the decision of the competent national authority to issue, renew, or withdraw the residence permit</w:t>
      </w:r>
      <w:r>
        <w:rPr>
          <w:rFonts w:ascii="Times New Roman" w:eastAsia="Calibri" w:hAnsi="Times New Roman" w:cs="Times New Roman"/>
          <w:noProof/>
        </w:rPr>
        <w:t>. The Principality of Andorra shall also notify the Member State carrying out the security assessment within 5 calendar days from the date of the decision of its competent national authority</w:t>
      </w:r>
      <w:r>
        <w:rPr>
          <w:rFonts w:ascii="Times New Roman" w:hAnsi="Times New Roman" w:cs="Times New Roman"/>
          <w:noProof/>
        </w:rPr>
        <w:t xml:space="preserve">, </w:t>
      </w:r>
      <w:r>
        <w:rPr>
          <w:rFonts w:ascii="Times New Roman" w:eastAsia="Calibri" w:hAnsi="Times New Roman" w:cs="Times New Roman"/>
          <w:noProof/>
        </w:rPr>
        <w:t xml:space="preserve">about the refusal of an application or the withdrawal of a residence </w:t>
      </w:r>
      <w:r>
        <w:rPr>
          <w:rFonts w:ascii="Times New Roman" w:hAnsi="Times New Roman" w:cs="Times New Roman"/>
          <w:noProof/>
          <w:lang w:val="en-IE"/>
        </w:rPr>
        <w:t>permit</w:t>
      </w:r>
      <w:r>
        <w:rPr>
          <w:rFonts w:ascii="Times New Roman" w:eastAsia="Calibri" w:hAnsi="Times New Roman" w:cs="Times New Roman"/>
          <w:noProof/>
        </w:rPr>
        <w:t xml:space="preserve"> of a third-country national where the refusal or the withdrawal is not based on the provisions of this Agreement.</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12. Where, pursuant to paragraph 10, a residence permit is issued or renewed to the </w:t>
      </w:r>
      <w:bookmarkStart w:id="49" w:name="_Hlk205367705"/>
      <w:r>
        <w:rPr>
          <w:rFonts w:ascii="Times New Roman" w:eastAsia="Calibri" w:hAnsi="Times New Roman" w:cs="Times New Roman"/>
          <w:noProof/>
          <w:lang w:val="en-IE"/>
        </w:rPr>
        <w:t>third-country national</w:t>
      </w:r>
      <w:bookmarkEnd w:id="49"/>
      <w:r>
        <w:rPr>
          <w:rFonts w:ascii="Times New Roman" w:eastAsia="Calibri" w:hAnsi="Times New Roman" w:cs="Times New Roman"/>
          <w:noProof/>
          <w:lang w:val="en-IE"/>
        </w:rPr>
        <w:t xml:space="preserve"> concerned, or is not withdrawn despite the existence of an alert in the Schengen Information System for the purpose of refusing entry or return, and a residence permit has been issued for the person concerned, that residence permit shall not give the </w:t>
      </w:r>
      <w:r>
        <w:rPr>
          <w:rFonts w:ascii="Times New Roman" w:eastAsia="Calibri" w:hAnsi="Times New Roman" w:cs="Times New Roman"/>
          <w:noProof/>
        </w:rPr>
        <w:t>holder</w:t>
      </w:r>
      <w:r>
        <w:rPr>
          <w:rFonts w:ascii="Times New Roman" w:eastAsia="Calibri" w:hAnsi="Times New Roman" w:cs="Times New Roman"/>
          <w:noProof/>
          <w:lang w:val="en-IE"/>
        </w:rPr>
        <w:t xml:space="preserve"> the right to enter the territory of the States applying the Schengen </w:t>
      </w:r>
      <w:r>
        <w:rPr>
          <w:rFonts w:ascii="Times New Roman" w:eastAsia="Calibri" w:hAnsi="Times New Roman" w:cs="Times New Roman"/>
          <w:i/>
          <w:noProof/>
          <w:lang w:val="en-IE"/>
        </w:rPr>
        <w:t xml:space="preserve">acquis </w:t>
      </w:r>
      <w:r>
        <w:rPr>
          <w:rFonts w:ascii="Times New Roman" w:eastAsia="Calibri" w:hAnsi="Times New Roman" w:cs="Times New Roman"/>
          <w:noProof/>
          <w:lang w:val="en-IE"/>
        </w:rPr>
        <w:t xml:space="preserve">in full, except for transit purposes in line with Article 23. </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13. The Commission shall inform the </w:t>
      </w:r>
      <w:r>
        <w:rPr>
          <w:rFonts w:ascii="Times New Roman" w:hAnsi="Times New Roman" w:cs="Times New Roman"/>
          <w:noProof/>
        </w:rPr>
        <w:t>Principality of Andorra</w:t>
      </w:r>
      <w:r>
        <w:rPr>
          <w:rFonts w:ascii="Times New Roman" w:eastAsia="Calibri" w:hAnsi="Times New Roman" w:cs="Times New Roman"/>
          <w:noProof/>
          <w:lang w:val="en-IE"/>
        </w:rPr>
        <w:t xml:space="preserve"> of the date on which the Visa Information System (VIS) operations start pursuant to Regulation (EU) 2021/1134.</w:t>
      </w:r>
      <w:r>
        <w:rPr>
          <w:rFonts w:ascii="Times New Roman" w:eastAsia="Calibri" w:hAnsi="Times New Roman" w:cs="Times New Roman"/>
          <w:noProof/>
        </w:rPr>
        <w:t xml:space="preserve"> </w:t>
      </w:r>
    </w:p>
    <w:p>
      <w:pPr>
        <w:spacing w:line="360" w:lineRule="auto"/>
        <w:rPr>
          <w:rFonts w:ascii="Times New Roman" w:hAnsi="Times New Roman" w:cs="Times New Roman"/>
          <w:noProof/>
        </w:rPr>
      </w:pPr>
      <w:r>
        <w:rPr>
          <w:rFonts w:ascii="Times New Roman" w:hAnsi="Times New Roman" w:cs="Times New Roman"/>
          <w:noProof/>
        </w:rPr>
        <w:lastRenderedPageBreak/>
        <w:t xml:space="preserve">14. Paragraphs 1 to 3 of this Article shall apply to family members of Union citizens or of nationals of Iceland, Liechtenstein, Norway or Switzerland who are third-country nationals accompanying them to or joining them in the Principality of Andorra in the absence of an agreement referred to in paragraph 1 of Article 20. Paragraphs 4 to 13 of this Article shall not apply to the family members referred to in the previous sentence. </w:t>
      </w:r>
    </w:p>
    <w:p>
      <w:pPr>
        <w:pStyle w:val="Heading3"/>
        <w:rPr>
          <w:rFonts w:ascii="Times New Roman" w:hAnsi="Times New Roman" w:cs="Times New Roman"/>
          <w:noProof/>
          <w:color w:val="auto"/>
          <w:lang w:val="en-IE"/>
        </w:rPr>
      </w:pPr>
      <w:bookmarkStart w:id="50" w:name="_Toc231459360"/>
      <w:bookmarkStart w:id="51" w:name="_Hlk183013910"/>
      <w:r>
        <w:rPr>
          <w:rFonts w:ascii="Times New Roman" w:hAnsi="Times New Roman" w:cs="Times New Roman"/>
          <w:noProof/>
          <w:color w:val="auto"/>
          <w:lang w:val="en-IE"/>
        </w:rPr>
        <w:t xml:space="preserve">Article </w:t>
      </w:r>
      <w:r>
        <w:rPr>
          <w:rFonts w:ascii="Times New Roman" w:hAnsi="Times New Roman" w:cs="Times New Roman"/>
          <w:noProof/>
          <w:color w:val="auto"/>
        </w:rPr>
        <w:t>26</w:t>
      </w:r>
      <w:r>
        <w:rPr>
          <w:rFonts w:ascii="Times New Roman" w:hAnsi="Times New Roman" w:cs="Times New Roman"/>
          <w:noProof/>
          <w:color w:val="auto"/>
          <w:lang w:val="en-IE"/>
        </w:rPr>
        <w:br/>
        <w:t>Transitional rule for residence permits</w:t>
      </w:r>
      <w:bookmarkEnd w:id="50"/>
    </w:p>
    <w:bookmarkEnd w:id="51"/>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Residence permits issued by the authorities of the Principality of Andorra to third-country nationals prior to the entry into force of this Agreement shall remain valid for a maximum period of two calendar years after the entry into force of this Agreement or until their expiration date, whichever comes first.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2. The French Republic and the Kingdom of Spain shall </w:t>
      </w:r>
      <w:r>
        <w:rPr>
          <w:rFonts w:ascii="Times New Roman" w:hAnsi="Times New Roman" w:cs="Times New Roman"/>
          <w:noProof/>
        </w:rPr>
        <w:t xml:space="preserve">in cooperation  </w:t>
      </w:r>
      <w:r>
        <w:rPr>
          <w:rFonts w:ascii="Times New Roman" w:hAnsi="Times New Roman" w:cs="Times New Roman"/>
          <w:noProof/>
          <w:lang w:val="en-IE"/>
        </w:rPr>
        <w:t>notify specimens of such residence permits to the Commission in accordance with Article 39(1)(a) of the Schengen Borders Code.</w:t>
      </w:r>
    </w:p>
    <w:p>
      <w:pPr>
        <w:spacing w:line="360" w:lineRule="auto"/>
        <w:rPr>
          <w:rFonts w:ascii="Times New Roman" w:hAnsi="Times New Roman" w:cs="Times New Roman"/>
          <w:noProof/>
          <w:lang w:val="en-IE"/>
        </w:rPr>
      </w:pPr>
      <w:r>
        <w:rPr>
          <w:rFonts w:ascii="Times New Roman" w:hAnsi="Times New Roman" w:cs="Times New Roman"/>
          <w:noProof/>
          <w:lang w:val="en-IE"/>
        </w:rPr>
        <w:t>3. Residence permits referred to paragraph 1 may be replaced before their expiration provided they fulfil the conditions set out in Article 25.</w:t>
      </w:r>
    </w:p>
    <w:p>
      <w:pPr>
        <w:spacing w:line="360" w:lineRule="auto"/>
        <w:rPr>
          <w:rFonts w:ascii="Times New Roman" w:hAnsi="Times New Roman" w:cs="Times New Roman"/>
          <w:noProof/>
          <w:lang w:val="en-IE"/>
        </w:rPr>
      </w:pPr>
      <w:r>
        <w:rPr>
          <w:rFonts w:ascii="Times New Roman" w:hAnsi="Times New Roman" w:cs="Times New Roman"/>
          <w:noProof/>
          <w:lang w:val="en-IE"/>
        </w:rPr>
        <w:t>4. The authorities of the Principality of Andorra shall inform the French Republic  or the Kingdom of Spain, in accordance with a predetermined distribution key, of residence permits of third-country nationals in force, including the personal data of the holders of such residence permits at the time of the entry into force of this Agreement. The French Republic or the Kingdom of Spain may carry out checks in the relevant national, international and Union databases, including the Schengen Information System and EU restrictive measures, and may request that the authorities of the Principality of Andorra withdraw these residence permits on grounds of public policy or internal security. Upon receipt of such a request, the authorities of the Principality of Andorra shall withdraw the residence permit.</w:t>
      </w:r>
    </w:p>
    <w:p>
      <w:pPr>
        <w:spacing w:line="360" w:lineRule="auto"/>
        <w:rPr>
          <w:rFonts w:ascii="Times New Roman" w:hAnsi="Times New Roman" w:cs="Times New Roman"/>
          <w:noProof/>
          <w:lang w:val="en-IE"/>
        </w:rPr>
      </w:pPr>
      <w:r>
        <w:rPr>
          <w:rFonts w:ascii="Times New Roman" w:hAnsi="Times New Roman" w:cs="Times New Roman"/>
          <w:noProof/>
          <w:lang w:val="en-IE"/>
        </w:rPr>
        <w:t>5. The Principality of Andorra shall notify the Member State carrying out the security assessment about the withdrawal of a residence permit in accordance with paragraph 4 within 5 calendar days from the date of the decision</w:t>
      </w:r>
      <w:r>
        <w:rPr>
          <w:rFonts w:ascii="Times New Roman" w:hAnsi="Times New Roman" w:cs="Times New Roman"/>
          <w:noProof/>
        </w:rPr>
        <w:t xml:space="preserve"> of the competent national authority to issue, renew, or withdraw the residence permit</w:t>
      </w:r>
      <w:r>
        <w:rPr>
          <w:rFonts w:ascii="Times New Roman" w:hAnsi="Times New Roman" w:cs="Times New Roman"/>
          <w:noProof/>
          <w:lang w:val="en-IE"/>
        </w:rPr>
        <w:t>. The Principality of Andorra shall also notify the Member State carrying out the security assessment within 5 calendar days from the date of the decision</w:t>
      </w:r>
      <w:r>
        <w:rPr>
          <w:rFonts w:ascii="Times New Roman" w:hAnsi="Times New Roman" w:cs="Times New Roman"/>
          <w:noProof/>
        </w:rPr>
        <w:t xml:space="preserve"> of the competent national authority to issue, renew, or withdraw the residence permit</w:t>
      </w:r>
      <w:r>
        <w:rPr>
          <w:rFonts w:ascii="Times New Roman" w:hAnsi="Times New Roman" w:cs="Times New Roman"/>
          <w:noProof/>
          <w:lang w:val="en-IE"/>
        </w:rPr>
        <w:t xml:space="preserve"> about the withdrawal of a residence permit where the withdrawal is not based on the provisions of this Agreement.</w:t>
      </w:r>
    </w:p>
    <w:p>
      <w:pPr>
        <w:spacing w:line="360" w:lineRule="auto"/>
        <w:rPr>
          <w:rFonts w:ascii="Times New Roman" w:hAnsi="Times New Roman" w:cs="Times New Roman"/>
          <w:noProof/>
        </w:rPr>
      </w:pPr>
      <w:r>
        <w:rPr>
          <w:rFonts w:ascii="Times New Roman" w:hAnsi="Times New Roman" w:cs="Times New Roman"/>
          <w:noProof/>
        </w:rPr>
        <w:t xml:space="preserve">6. Paragraphs 1 to 3 of this Article shall apply to family members of Union citizens or of nationals of Iceland, Liechtenstein, Norway or Switzerland who are third-country nationals accompanying them to or </w:t>
      </w:r>
      <w:r>
        <w:rPr>
          <w:rFonts w:ascii="Times New Roman" w:hAnsi="Times New Roman" w:cs="Times New Roman"/>
          <w:noProof/>
        </w:rPr>
        <w:lastRenderedPageBreak/>
        <w:t>joining them in the Principality of Andorra in the absence of an agreement referred to in paragraph 1 of Article 20. Paragraphs 4 and 5 of this Article shall not apply to the family members referred to in the previous sentence.</w:t>
      </w:r>
    </w:p>
    <w:p>
      <w:pPr>
        <w:pStyle w:val="Heading2"/>
        <w:rPr>
          <w:rFonts w:ascii="Times New Roman" w:hAnsi="Times New Roman" w:cs="Times New Roman"/>
          <w:noProof/>
          <w:lang w:val="en-IE"/>
        </w:rPr>
      </w:pPr>
      <w:bookmarkStart w:id="52" w:name="_Toc231459361"/>
      <w:bookmarkStart w:id="53" w:name="_Hlk197516158"/>
      <w:r>
        <w:rPr>
          <w:rFonts w:ascii="Times New Roman" w:hAnsi="Times New Roman" w:cs="Times New Roman"/>
          <w:noProof/>
        </w:rPr>
        <w:t>Chapter</w:t>
      </w:r>
      <w:r>
        <w:rPr>
          <w:rFonts w:ascii="Times New Roman" w:hAnsi="Times New Roman" w:cs="Times New Roman"/>
          <w:noProof/>
          <w:lang w:val="en-IE"/>
        </w:rPr>
        <w:t xml:space="preserve"> 2 </w:t>
      </w:r>
      <w:r>
        <w:rPr>
          <w:rFonts w:ascii="Times New Roman" w:hAnsi="Times New Roman" w:cs="Times New Roman"/>
          <w:noProof/>
          <w:lang w:val="en-IE"/>
        </w:rPr>
        <w:br/>
        <w:t>READMISSION AND RETURN OF THIRD-COUNTRY NATIONALS</w:t>
      </w:r>
      <w:bookmarkEnd w:id="52"/>
    </w:p>
    <w:p>
      <w:pPr>
        <w:pStyle w:val="Heading3"/>
        <w:rPr>
          <w:rFonts w:ascii="Times New Roman" w:hAnsi="Times New Roman" w:cs="Times New Roman"/>
          <w:noProof/>
          <w:color w:val="auto"/>
          <w:lang w:val="en-IE"/>
        </w:rPr>
      </w:pPr>
      <w:bookmarkStart w:id="54" w:name="_Toc231459362"/>
      <w:bookmarkStart w:id="55" w:name="_Hlk183013948"/>
      <w:r>
        <w:rPr>
          <w:rFonts w:ascii="Times New Roman" w:hAnsi="Times New Roman" w:cs="Times New Roman"/>
          <w:noProof/>
          <w:color w:val="auto"/>
          <w:lang w:val="en-IE"/>
        </w:rPr>
        <w:t xml:space="preserve">Article </w:t>
      </w:r>
      <w:r>
        <w:rPr>
          <w:rFonts w:ascii="Times New Roman" w:hAnsi="Times New Roman" w:cs="Times New Roman"/>
          <w:noProof/>
          <w:color w:val="auto"/>
        </w:rPr>
        <w:t>27</w:t>
      </w:r>
      <w:r>
        <w:rPr>
          <w:rFonts w:ascii="Times New Roman" w:hAnsi="Times New Roman" w:cs="Times New Roman"/>
          <w:noProof/>
          <w:color w:val="auto"/>
        </w:rPr>
        <w:br/>
      </w:r>
      <w:bookmarkStart w:id="56" w:name="_Hlk183012264"/>
      <w:r>
        <w:rPr>
          <w:rFonts w:ascii="Times New Roman" w:hAnsi="Times New Roman" w:cs="Times New Roman"/>
          <w:noProof/>
          <w:color w:val="auto"/>
          <w:lang w:val="en-IE"/>
        </w:rPr>
        <w:t>Responsibility for the return of persons with no right to enter or stay</w:t>
      </w:r>
      <w:bookmarkEnd w:id="54"/>
      <w:r>
        <w:rPr>
          <w:rFonts w:ascii="Times New Roman" w:hAnsi="Times New Roman" w:cs="Times New Roman"/>
          <w:noProof/>
          <w:color w:val="auto"/>
          <w:lang w:val="en-IE"/>
        </w:rPr>
        <w:t xml:space="preserve"> </w:t>
      </w:r>
    </w:p>
    <w:bookmarkEnd w:id="55"/>
    <w:bookmarkEnd w:id="56"/>
    <w:p>
      <w:pPr>
        <w:spacing w:line="360" w:lineRule="auto"/>
        <w:rPr>
          <w:rFonts w:ascii="Times New Roman" w:hAnsi="Times New Roman" w:cs="Times New Roman"/>
          <w:noProof/>
        </w:rPr>
      </w:pPr>
      <w:r>
        <w:rPr>
          <w:rFonts w:ascii="Times New Roman" w:hAnsi="Times New Roman" w:cs="Times New Roman"/>
          <w:noProof/>
        </w:rPr>
        <w:t xml:space="preserve">1. The Principality of Andorra shall readmit all third-country nationals or stateless persons who do not, or who no longer, </w:t>
      </w:r>
      <w:bookmarkStart w:id="57" w:name="_Hlk196413818"/>
      <w:r>
        <w:rPr>
          <w:rFonts w:ascii="Times New Roman" w:hAnsi="Times New Roman" w:cs="Times New Roman"/>
          <w:noProof/>
        </w:rPr>
        <w:t>meet the conditions for entry and stay in the territory of a Schengen State provided it is proven, or may be reasonably assumed, that these persons either hold or,</w:t>
      </w:r>
      <w:bookmarkEnd w:id="57"/>
      <w:r>
        <w:rPr>
          <w:rFonts w:ascii="Times New Roman" w:hAnsi="Times New Roman" w:cs="Times New Roman"/>
          <w:noProof/>
        </w:rPr>
        <w:t xml:space="preserve"> at the time of entry held, a residence permit issued by the Principality of Andorra, </w:t>
      </w:r>
      <w:bookmarkStart w:id="58" w:name="_Hlk196413899"/>
      <w:r>
        <w:rPr>
          <w:rFonts w:ascii="Times New Roman" w:hAnsi="Times New Roman" w:cs="Times New Roman"/>
          <w:noProof/>
        </w:rPr>
        <w:t>even if that permit is no longer valid</w:t>
      </w:r>
      <w:bookmarkEnd w:id="58"/>
      <w:r>
        <w:rPr>
          <w:rFonts w:ascii="Times New Roman" w:hAnsi="Times New Roman" w:cs="Times New Roman"/>
          <w:noProof/>
        </w:rPr>
        <w:t xml:space="preserve"> unless these persons received a residence permit, a visa or an ETIAS travel authorisation from the Schengen State submitting a readmission application during the validity or after the expiry of the residence permit issued by the Principality of Andorra.</w:t>
      </w:r>
    </w:p>
    <w:p>
      <w:pPr>
        <w:spacing w:line="360" w:lineRule="auto"/>
        <w:rPr>
          <w:rFonts w:ascii="Times New Roman" w:hAnsi="Times New Roman" w:cs="Times New Roman"/>
          <w:noProof/>
        </w:rPr>
      </w:pPr>
      <w:r>
        <w:rPr>
          <w:rFonts w:ascii="Times New Roman" w:hAnsi="Times New Roman" w:cs="Times New Roman"/>
          <w:noProof/>
        </w:rPr>
        <w:t xml:space="preserve">2. When the person to be readmitted is in possession of a valid or expired residence permit issued by the Principality of Andorra, no further formalities shall be needed for the readmission of the person. </w:t>
      </w:r>
    </w:p>
    <w:p>
      <w:pPr>
        <w:spacing w:line="360" w:lineRule="auto"/>
        <w:rPr>
          <w:rFonts w:ascii="Times New Roman" w:hAnsi="Times New Roman" w:cs="Times New Roman"/>
          <w:noProof/>
        </w:rPr>
      </w:pPr>
      <w:r>
        <w:rPr>
          <w:rFonts w:ascii="Times New Roman" w:hAnsi="Times New Roman" w:cs="Times New Roman"/>
          <w:noProof/>
        </w:rPr>
        <w:t xml:space="preserve">3. When the person to be readmitted is not in possession of a valid or expired residence permit issued by the Principality of Andorra, the Schengen State shall submit a readmission request. The readmission request shall contain the information on the basis of which it may </w:t>
      </w:r>
      <w:bookmarkStart w:id="59" w:name="_Hlk196413764"/>
      <w:r>
        <w:rPr>
          <w:rFonts w:ascii="Times New Roman" w:hAnsi="Times New Roman" w:cs="Times New Roman"/>
          <w:noProof/>
        </w:rPr>
        <w:t xml:space="preserve">be </w:t>
      </w:r>
      <w:bookmarkStart w:id="60" w:name="_Hlk183014108"/>
      <w:r>
        <w:rPr>
          <w:rFonts w:ascii="Times New Roman" w:hAnsi="Times New Roman" w:cs="Times New Roman"/>
          <w:noProof/>
        </w:rPr>
        <w:t>reasonably assumed that the person either holds, or, at the time of entry held</w:t>
      </w:r>
      <w:bookmarkEnd w:id="59"/>
      <w:r>
        <w:rPr>
          <w:rFonts w:ascii="Times New Roman" w:hAnsi="Times New Roman" w:cs="Times New Roman"/>
          <w:noProof/>
        </w:rPr>
        <w:t>, a residence permit issued by the Principality of Andorra</w:t>
      </w:r>
      <w:bookmarkEnd w:id="60"/>
      <w:r>
        <w:rPr>
          <w:rFonts w:ascii="Times New Roman" w:hAnsi="Times New Roman" w:cs="Times New Roman"/>
          <w:noProof/>
        </w:rPr>
        <w:t xml:space="preserve">. The request may be submitted by any means of communication including electronic means. The Principality of Andorra shall respond to the readmission request as soon as possible and </w:t>
      </w:r>
      <w:bookmarkStart w:id="61" w:name="_Hlk196413701"/>
      <w:r>
        <w:rPr>
          <w:rFonts w:ascii="Times New Roman" w:hAnsi="Times New Roman" w:cs="Times New Roman"/>
          <w:noProof/>
        </w:rPr>
        <w:t>no later than twenty-four hours after the request is submitted. If no response is provided within this period, the request shall be deemed to be accepted</w:t>
      </w:r>
      <w:bookmarkEnd w:id="61"/>
      <w:r>
        <w:rPr>
          <w:rFonts w:ascii="Times New Roman" w:hAnsi="Times New Roman" w:cs="Times New Roman"/>
          <w:noProof/>
        </w:rPr>
        <w:t xml:space="preserve">.  </w:t>
      </w:r>
    </w:p>
    <w:p>
      <w:pPr>
        <w:spacing w:line="360" w:lineRule="auto"/>
        <w:rPr>
          <w:rFonts w:ascii="Times New Roman" w:hAnsi="Times New Roman" w:cs="Times New Roman"/>
          <w:noProof/>
        </w:rPr>
      </w:pPr>
      <w:r>
        <w:rPr>
          <w:rFonts w:ascii="Times New Roman" w:hAnsi="Times New Roman" w:cs="Times New Roman"/>
          <w:noProof/>
        </w:rPr>
        <w:t>4. The Principality of Andorra shall accept the use of the European travel document for return of illegally staying third</w:t>
      </w:r>
      <w:r>
        <w:rPr>
          <w:rFonts w:ascii="Times New Roman" w:hAnsi="Times New Roman" w:cs="Times New Roman"/>
          <w:noProof/>
        </w:rPr>
        <w:noBreakHyphen/>
        <w:t>country nationals in the form set out in Regulation (EU) 2016/1953 of the European Parliament and of the Council</w:t>
      </w:r>
      <w:r>
        <w:rPr>
          <w:rStyle w:val="FootnoteReference"/>
          <w:rFonts w:ascii="Times New Roman" w:hAnsi="Times New Roman" w:cs="Times New Roman"/>
          <w:noProof/>
        </w:rPr>
        <w:footnoteReference w:id="10"/>
      </w:r>
      <w:r>
        <w:rPr>
          <w:rFonts w:ascii="Times New Roman" w:hAnsi="Times New Roman" w:cs="Times New Roman"/>
          <w:noProof/>
        </w:rPr>
        <w:t xml:space="preserve"> (“European travel document for return”).</w:t>
      </w:r>
    </w:p>
    <w:p>
      <w:pPr>
        <w:pStyle w:val="Heading2"/>
        <w:rPr>
          <w:rFonts w:ascii="Times New Roman" w:hAnsi="Times New Roman" w:cs="Times New Roman"/>
          <w:noProof/>
          <w:lang w:val="en-IE"/>
        </w:rPr>
      </w:pPr>
      <w:bookmarkStart w:id="62" w:name="_Toc231459363"/>
      <w:bookmarkEnd w:id="53"/>
      <w:r>
        <w:rPr>
          <w:rFonts w:ascii="Times New Roman" w:hAnsi="Times New Roman" w:cs="Times New Roman"/>
          <w:noProof/>
          <w:lang w:val="en-IE"/>
        </w:rPr>
        <w:lastRenderedPageBreak/>
        <w:t xml:space="preserve">Chapter 3 </w:t>
      </w:r>
      <w:r>
        <w:rPr>
          <w:rFonts w:ascii="Times New Roman" w:hAnsi="Times New Roman" w:cs="Times New Roman"/>
          <w:noProof/>
        </w:rPr>
        <w:br/>
      </w:r>
      <w:r>
        <w:rPr>
          <w:rFonts w:ascii="Times New Roman" w:hAnsi="Times New Roman" w:cs="Times New Roman"/>
          <w:noProof/>
          <w:lang w:val="en-IE"/>
        </w:rPr>
        <w:t>SECURITY</w:t>
      </w:r>
      <w:bookmarkEnd w:id="62"/>
    </w:p>
    <w:p>
      <w:pPr>
        <w:pStyle w:val="Heading3"/>
        <w:rPr>
          <w:rFonts w:ascii="Times New Roman" w:hAnsi="Times New Roman" w:cs="Times New Roman"/>
          <w:noProof/>
          <w:color w:val="auto"/>
          <w:lang w:val="en-IE"/>
        </w:rPr>
      </w:pPr>
      <w:bookmarkStart w:id="63" w:name="_Toc231459364"/>
      <w:r>
        <w:rPr>
          <w:rFonts w:ascii="Times New Roman" w:hAnsi="Times New Roman" w:cs="Times New Roman"/>
          <w:noProof/>
          <w:color w:val="auto"/>
          <w:lang w:val="en-IE"/>
        </w:rPr>
        <w:t xml:space="preserve">Article </w:t>
      </w:r>
      <w:r>
        <w:rPr>
          <w:rFonts w:ascii="Times New Roman" w:hAnsi="Times New Roman" w:cs="Times New Roman"/>
          <w:noProof/>
          <w:color w:val="auto"/>
        </w:rPr>
        <w:t>28</w:t>
      </w:r>
      <w:r>
        <w:rPr>
          <w:rFonts w:ascii="Times New Roman" w:hAnsi="Times New Roman" w:cs="Times New Roman"/>
          <w:noProof/>
          <w:color w:val="auto"/>
          <w:lang w:val="en-IE"/>
        </w:rPr>
        <w:br/>
        <w:t>Cooperating States</w:t>
      </w:r>
      <w:bookmarkEnd w:id="63"/>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For the purposes of this Chapter, “State” </w:t>
      </w:r>
      <w:r>
        <w:rPr>
          <w:rFonts w:ascii="Times New Roman" w:eastAsia="Calibri" w:hAnsi="Times New Roman" w:cs="Times New Roman"/>
          <w:noProof/>
          <w:lang w:val="en-IE"/>
        </w:rPr>
        <w:t xml:space="preserve">means either one of the Schengen States or the Principality of Andorra. </w:t>
      </w:r>
    </w:p>
    <w:p>
      <w:pPr>
        <w:pStyle w:val="Heading3"/>
        <w:rPr>
          <w:rFonts w:ascii="Times New Roman" w:hAnsi="Times New Roman" w:cs="Times New Roman"/>
          <w:noProof/>
          <w:color w:val="auto"/>
          <w:lang w:val="en-IE"/>
        </w:rPr>
      </w:pPr>
      <w:bookmarkStart w:id="64" w:name="_Toc231459365"/>
      <w:r>
        <w:rPr>
          <w:rFonts w:ascii="Times New Roman" w:hAnsi="Times New Roman" w:cs="Times New Roman"/>
          <w:noProof/>
          <w:color w:val="auto"/>
          <w:lang w:val="en-IE"/>
        </w:rPr>
        <w:t xml:space="preserve">Article </w:t>
      </w:r>
      <w:r>
        <w:rPr>
          <w:rFonts w:ascii="Times New Roman" w:hAnsi="Times New Roman" w:cs="Times New Roman"/>
          <w:noProof/>
          <w:color w:val="auto"/>
        </w:rPr>
        <w:t>29</w:t>
      </w:r>
      <w:r>
        <w:rPr>
          <w:rFonts w:ascii="Times New Roman" w:hAnsi="Times New Roman" w:cs="Times New Roman"/>
          <w:noProof/>
          <w:color w:val="auto"/>
          <w:lang w:val="en-IE"/>
        </w:rPr>
        <w:br/>
        <w:t>Information exchange</w:t>
      </w:r>
      <w:bookmarkEnd w:id="64"/>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The competent authorities of the Principality of Andorra and of the Schengen States </w:t>
      </w:r>
      <w:bookmarkStart w:id="65" w:name="_Hlk196413997"/>
      <w:r>
        <w:rPr>
          <w:rFonts w:ascii="Times New Roman" w:hAnsi="Times New Roman" w:cs="Times New Roman"/>
          <w:noProof/>
          <w:lang w:val="en-IE"/>
        </w:rPr>
        <w:t xml:space="preserve">shall be </w:t>
      </w:r>
      <w:bookmarkEnd w:id="65"/>
      <w:r>
        <w:rPr>
          <w:rFonts w:ascii="Times New Roman" w:hAnsi="Times New Roman" w:cs="Times New Roman"/>
          <w:noProof/>
          <w:lang w:val="en-IE"/>
        </w:rPr>
        <w:t xml:space="preserve">able, subject to the conditions of their respective national laws, and within </w:t>
      </w:r>
      <w:bookmarkStart w:id="66" w:name="_Hlk196414009"/>
      <w:r>
        <w:rPr>
          <w:rFonts w:ascii="Times New Roman" w:hAnsi="Times New Roman" w:cs="Times New Roman"/>
          <w:noProof/>
          <w:lang w:val="en-IE"/>
        </w:rPr>
        <w:t>the scope of their powers</w:t>
      </w:r>
      <w:bookmarkEnd w:id="66"/>
      <w:r>
        <w:rPr>
          <w:rFonts w:ascii="Times New Roman" w:hAnsi="Times New Roman" w:cs="Times New Roman"/>
          <w:noProof/>
          <w:lang w:val="en-IE"/>
        </w:rPr>
        <w:t xml:space="preserve">, and to the extent that this is not provided for in this Chapter, to assist each other through the provision of relevant information for the purposes of: </w:t>
      </w:r>
    </w:p>
    <w:p>
      <w:pPr>
        <w:spacing w:line="360" w:lineRule="auto"/>
        <w:ind w:left="720"/>
        <w:rPr>
          <w:rFonts w:ascii="Times New Roman" w:hAnsi="Times New Roman" w:cs="Times New Roman"/>
          <w:noProof/>
          <w:lang w:val="en-IE"/>
        </w:rPr>
      </w:pPr>
      <w:r>
        <w:rPr>
          <w:rFonts w:ascii="Times New Roman" w:hAnsi="Times New Roman" w:cs="Times New Roman"/>
          <w:noProof/>
          <w:lang w:val="en-IE"/>
        </w:rPr>
        <w:t>(a) the prevention, investigation or detection of criminal offences; and</w:t>
      </w:r>
    </w:p>
    <w:p>
      <w:pPr>
        <w:spacing w:line="360" w:lineRule="auto"/>
        <w:ind w:left="720"/>
        <w:rPr>
          <w:rFonts w:ascii="Times New Roman" w:hAnsi="Times New Roman" w:cs="Times New Roman"/>
          <w:noProof/>
          <w:lang w:val="en-IE"/>
        </w:rPr>
      </w:pPr>
      <w:r>
        <w:rPr>
          <w:rFonts w:ascii="Times New Roman" w:hAnsi="Times New Roman" w:cs="Times New Roman"/>
          <w:noProof/>
          <w:lang w:val="en-IE"/>
        </w:rPr>
        <w:t>(b) safeguarding against, and the prevention of, threats to public safety.</w:t>
      </w:r>
    </w:p>
    <w:p>
      <w:pPr>
        <w:spacing w:line="360" w:lineRule="auto"/>
        <w:rPr>
          <w:rFonts w:ascii="Times New Roman" w:hAnsi="Times New Roman" w:cs="Times New Roman"/>
          <w:noProof/>
          <w:lang w:val="en-IE"/>
        </w:rPr>
      </w:pPr>
      <w:bookmarkStart w:id="67" w:name="_Hlk196414048"/>
      <w:r>
        <w:rPr>
          <w:rFonts w:ascii="Times New Roman" w:hAnsi="Times New Roman" w:cs="Times New Roman"/>
          <w:noProof/>
        </w:rPr>
        <w:t xml:space="preserve">2. </w:t>
      </w:r>
      <w:r>
        <w:rPr>
          <w:rFonts w:ascii="Times New Roman" w:hAnsi="Times New Roman" w:cs="Times New Roman"/>
          <w:noProof/>
          <w:lang w:val="en-IE"/>
        </w:rPr>
        <w:t>For the purposes of this Article:</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 – “competent authority” means any national police, customs or other authority authorised under national law to carry out activities specified in paragraph 1;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 – </w:t>
      </w:r>
      <w:bookmarkEnd w:id="67"/>
      <w:r>
        <w:rPr>
          <w:rFonts w:ascii="Times New Roman" w:hAnsi="Times New Roman" w:cs="Times New Roman"/>
          <w:noProof/>
          <w:lang w:val="en-IE"/>
        </w:rPr>
        <w:t>“criminal offence” means any conduct punishable under the criminal law of the Principality of Andorra or the Schengen State providing or receiving the information.</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3. Competent authorities of a Schengen State </w:t>
      </w:r>
      <w:bookmarkStart w:id="68" w:name="_Hlk196414141"/>
      <w:r>
        <w:rPr>
          <w:rFonts w:ascii="Times New Roman" w:hAnsi="Times New Roman" w:cs="Times New Roman"/>
          <w:noProof/>
          <w:lang w:val="en-IE"/>
        </w:rPr>
        <w:t xml:space="preserve">or of the </w:t>
      </w:r>
      <w:bookmarkEnd w:id="68"/>
      <w:r>
        <w:rPr>
          <w:rFonts w:ascii="Times New Roman" w:hAnsi="Times New Roman" w:cs="Times New Roman"/>
          <w:noProof/>
          <w:lang w:val="en-IE"/>
        </w:rPr>
        <w:t xml:space="preserve">Principality of Andorra may request information, including information on wanted and missing persons as well as objects, from each other. Information </w:t>
      </w:r>
      <w:bookmarkStart w:id="69" w:name="_Hlk196414150"/>
      <w:r>
        <w:rPr>
          <w:rFonts w:ascii="Times New Roman" w:hAnsi="Times New Roman" w:cs="Times New Roman"/>
          <w:noProof/>
          <w:lang w:val="en-IE"/>
        </w:rPr>
        <w:t>shall be provided upon request</w:t>
      </w:r>
      <w:bookmarkEnd w:id="69"/>
      <w:r>
        <w:rPr>
          <w:rFonts w:ascii="Times New Roman" w:hAnsi="Times New Roman" w:cs="Times New Roman"/>
          <w:noProof/>
          <w:lang w:val="en-IE"/>
        </w:rPr>
        <w:t xml:space="preserve">, subject to the conditions of the national law which applies to the providing competent authority and within the scope of its powers.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4. Competent authorities of a Schengen State or of the Principality of Andorra may, subject to the conditions of their respective national laws and within the scope of their powers, provide information on their own initiative to each other, where there are objective reasons to believe that such information could be relevant to the receiving State for the purposes of preventing, detecting or investigating criminal offences, in particular if there are objective reasons to believe that an applicant for a residence permit is considered to represent a threat to public security </w:t>
      </w:r>
      <w:bookmarkStart w:id="70" w:name="_Hlk196414162"/>
      <w:r>
        <w:rPr>
          <w:rFonts w:ascii="Times New Roman" w:hAnsi="Times New Roman" w:cs="Times New Roman"/>
          <w:noProof/>
          <w:lang w:val="en-IE"/>
        </w:rPr>
        <w:t>and public order</w:t>
      </w:r>
      <w:bookmarkEnd w:id="70"/>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lastRenderedPageBreak/>
        <w:t xml:space="preserve">5. </w:t>
      </w:r>
      <w:bookmarkStart w:id="71" w:name="_Hlk196414704"/>
      <w:r>
        <w:rPr>
          <w:rFonts w:ascii="Times New Roman" w:hAnsi="Times New Roman" w:cs="Times New Roman"/>
          <w:noProof/>
          <w:lang w:val="en-IE"/>
        </w:rPr>
        <w:t>Information may be requested and provided under the condition that the national law applicable to the providing or receiving competent authority does not require that such requests or the provision be routed through judicial authorities</w:t>
      </w:r>
      <w:bookmarkEnd w:id="71"/>
      <w:r>
        <w:rPr>
          <w:rFonts w:ascii="Times New Roman" w:hAnsi="Times New Roman" w:cs="Times New Roman"/>
          <w:noProof/>
          <w:lang w:val="en-IE"/>
        </w:rPr>
        <w:t xml:space="preserve">.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6. In urgent cases, the providing competent authority shall respond to a request, or provide information on its own initiative, as soon as possible.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7. Information provided under this Article may not be used for evidential purposes in proceedings before a judicial authority without the prior written consent from the providing competent authority of a Schengen State or of the Principality of Andorra. The providing competent authority of a Schengen State or of the Principality of Andorra, may, subject to the conditions of the national law which applies to it, including, where necessary under national law, through the use of bilateral or multilateral agreements on mutual legal assistance, consent to the information being used for evidential purposes before a judicial authority in the receiving Schengen State or the Principality of Andorra. Equally, where information is provided on its own initiative, the providing competent authority may consent to the information being used for evidential purposes in proceedings before a judicial authority in the receiving Schengen State or the Principality of Andorra, subject to the conditions of the national law which applies to it, including, where necessary under national law, through the use of bilateral or multilateral agreements on mutual legal assistance.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8. The providing competent authority may, under relevant national law, impose conditions on the use of the information provided.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9. A competent authority of a Schengen State or of the Principality of Andorra may provide any type of information it holds, subject to the conditions of the national law applicable to it and within the scope of its powers. This may include information obtained from other sources, only if the onward transfer of that information is permitted in the framework under which it was obtained by the providing competent authority. </w:t>
      </w:r>
    </w:p>
    <w:p>
      <w:pPr>
        <w:spacing w:line="360" w:lineRule="auto"/>
        <w:rPr>
          <w:rFonts w:ascii="Times New Roman" w:hAnsi="Times New Roman" w:cs="Times New Roman"/>
          <w:noProof/>
        </w:rPr>
      </w:pPr>
      <w:r>
        <w:rPr>
          <w:rFonts w:ascii="Times New Roman" w:hAnsi="Times New Roman" w:cs="Times New Roman"/>
          <w:noProof/>
          <w:lang w:val="en-IE"/>
        </w:rPr>
        <w:t xml:space="preserve">10. Information may be provided via Europol’s Secure Information Exchange Network Application (SIENA). </w:t>
      </w:r>
    </w:p>
    <w:p>
      <w:pPr>
        <w:pStyle w:val="Heading3"/>
        <w:rPr>
          <w:rFonts w:ascii="Times New Roman" w:hAnsi="Times New Roman" w:cs="Times New Roman"/>
          <w:noProof/>
          <w:color w:val="auto"/>
          <w:lang w:val="en-IE"/>
        </w:rPr>
      </w:pPr>
      <w:bookmarkStart w:id="72" w:name="_Toc231459366"/>
      <w:r>
        <w:rPr>
          <w:rFonts w:ascii="Times New Roman" w:hAnsi="Times New Roman" w:cs="Times New Roman"/>
          <w:noProof/>
          <w:color w:val="auto"/>
          <w:lang w:val="en-IE"/>
        </w:rPr>
        <w:t xml:space="preserve">Article </w:t>
      </w:r>
      <w:r>
        <w:rPr>
          <w:rFonts w:ascii="Times New Roman" w:hAnsi="Times New Roman" w:cs="Times New Roman"/>
          <w:noProof/>
          <w:color w:val="auto"/>
        </w:rPr>
        <w:t>30</w:t>
      </w:r>
      <w:r>
        <w:rPr>
          <w:rFonts w:ascii="Times New Roman" w:hAnsi="Times New Roman" w:cs="Times New Roman"/>
          <w:noProof/>
          <w:color w:val="auto"/>
        </w:rPr>
        <w:br/>
      </w:r>
      <w:r>
        <w:rPr>
          <w:rFonts w:ascii="Times New Roman" w:hAnsi="Times New Roman" w:cs="Times New Roman"/>
          <w:noProof/>
          <w:color w:val="auto"/>
          <w:lang w:val="en-IE"/>
        </w:rPr>
        <w:t>Criminal records</w:t>
      </w:r>
      <w:bookmarkEnd w:id="72"/>
    </w:p>
    <w:p>
      <w:pPr>
        <w:spacing w:line="360" w:lineRule="auto"/>
        <w:rPr>
          <w:rFonts w:ascii="Times New Roman" w:hAnsi="Times New Roman" w:cs="Times New Roman"/>
          <w:noProof/>
          <w:lang w:val="en-IE"/>
        </w:rPr>
      </w:pPr>
      <w:r>
        <w:rPr>
          <w:rFonts w:ascii="Times New Roman" w:hAnsi="Times New Roman" w:cs="Times New Roman"/>
          <w:noProof/>
          <w:lang w:val="en-IE"/>
        </w:rPr>
        <w:t>The Schengen States and the Principality of Andorra shall exchange information on criminal records in accordance with the relevant bilateral agreements and the European Convention on Mutual Assistance in Criminal Matters.</w:t>
      </w:r>
    </w:p>
    <w:p>
      <w:pPr>
        <w:pStyle w:val="Heading3"/>
        <w:rPr>
          <w:rFonts w:ascii="Times New Roman" w:hAnsi="Times New Roman" w:cs="Times New Roman"/>
          <w:noProof/>
          <w:color w:val="auto"/>
          <w:lang w:val="en-IE"/>
        </w:rPr>
      </w:pPr>
      <w:bookmarkStart w:id="73" w:name="_Toc231459367"/>
      <w:r>
        <w:rPr>
          <w:rFonts w:ascii="Times New Roman" w:hAnsi="Times New Roman" w:cs="Times New Roman"/>
          <w:noProof/>
          <w:color w:val="auto"/>
          <w:lang w:val="en-IE"/>
        </w:rPr>
        <w:lastRenderedPageBreak/>
        <w:t xml:space="preserve">Article </w:t>
      </w:r>
      <w:r>
        <w:rPr>
          <w:rFonts w:ascii="Times New Roman" w:hAnsi="Times New Roman" w:cs="Times New Roman"/>
          <w:noProof/>
          <w:color w:val="auto"/>
        </w:rPr>
        <w:t>31</w:t>
      </w:r>
      <w:r>
        <w:rPr>
          <w:rFonts w:ascii="Times New Roman" w:hAnsi="Times New Roman" w:cs="Times New Roman"/>
          <w:noProof/>
          <w:color w:val="auto"/>
          <w:lang w:val="en-IE"/>
        </w:rPr>
        <w:t xml:space="preserve"> </w:t>
      </w:r>
      <w:r>
        <w:rPr>
          <w:rFonts w:ascii="Times New Roman" w:hAnsi="Times New Roman" w:cs="Times New Roman"/>
          <w:noProof/>
          <w:color w:val="auto"/>
        </w:rPr>
        <w:br/>
      </w:r>
      <w:r>
        <w:rPr>
          <w:rFonts w:ascii="Times New Roman" w:hAnsi="Times New Roman" w:cs="Times New Roman"/>
          <w:noProof/>
          <w:color w:val="auto"/>
          <w:lang w:val="en-IE"/>
        </w:rPr>
        <w:t>Relevant databases</w:t>
      </w:r>
      <w:bookmarkEnd w:id="73"/>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The Principality of Andorra shall ensure that officers of </w:t>
      </w:r>
      <w:r>
        <w:rPr>
          <w:rFonts w:ascii="Times New Roman" w:hAnsi="Times New Roman" w:cs="Times New Roman"/>
          <w:noProof/>
          <w:lang w:val="en-US"/>
        </w:rPr>
        <w:t xml:space="preserve">the </w:t>
      </w:r>
      <w:r>
        <w:rPr>
          <w:rFonts w:ascii="Times New Roman" w:hAnsi="Times New Roman" w:cs="Times New Roman"/>
          <w:noProof/>
          <w:lang w:val="en-IE"/>
        </w:rPr>
        <w:t>Schengen States</w:t>
      </w:r>
      <w:r>
        <w:rPr>
          <w:rFonts w:ascii="Times New Roman" w:hAnsi="Times New Roman" w:cs="Times New Roman"/>
          <w:noProof/>
          <w:lang w:val="en-US"/>
        </w:rPr>
        <w:t xml:space="preserve"> </w:t>
      </w:r>
      <w:r>
        <w:rPr>
          <w:rFonts w:ascii="Times New Roman" w:hAnsi="Times New Roman" w:cs="Times New Roman"/>
          <w:noProof/>
          <w:lang w:val="en-IE"/>
        </w:rPr>
        <w:t xml:space="preserve">participating in joint operations referred to in Article </w:t>
      </w:r>
      <w:r>
        <w:rPr>
          <w:rFonts w:ascii="Times New Roman" w:hAnsi="Times New Roman" w:cs="Times New Roman"/>
          <w:noProof/>
          <w:lang w:val="en-US"/>
        </w:rPr>
        <w:t>35</w:t>
      </w:r>
      <w:r>
        <w:rPr>
          <w:rFonts w:ascii="Times New Roman" w:hAnsi="Times New Roman" w:cs="Times New Roman"/>
          <w:noProof/>
          <w:lang w:val="en-IE"/>
        </w:rPr>
        <w:t xml:space="preserve">, can use their own devices to consult their own relevant national, Union and international databases during the exercise of these tasks. The Schengen States shall ensure that officers of </w:t>
      </w:r>
      <w:r>
        <w:rPr>
          <w:rFonts w:ascii="Times New Roman" w:hAnsi="Times New Roman" w:cs="Times New Roman"/>
          <w:noProof/>
          <w:lang w:val="en-US"/>
        </w:rPr>
        <w:t xml:space="preserve">the Principality of Andorra </w:t>
      </w:r>
      <w:r>
        <w:rPr>
          <w:rFonts w:ascii="Times New Roman" w:hAnsi="Times New Roman" w:cs="Times New Roman"/>
          <w:noProof/>
          <w:lang w:val="en-IE"/>
        </w:rPr>
        <w:t xml:space="preserve">participating </w:t>
      </w:r>
      <w:bookmarkStart w:id="74" w:name="_Hlk196414809"/>
      <w:r>
        <w:rPr>
          <w:rFonts w:ascii="Times New Roman" w:hAnsi="Times New Roman" w:cs="Times New Roman"/>
          <w:noProof/>
          <w:lang w:val="en-IE"/>
        </w:rPr>
        <w:t>in those joint operations, can use their own devices to consult their own relevant national and international databases during the exercise of these tasks</w:t>
      </w:r>
      <w:bookmarkEnd w:id="74"/>
      <w:r>
        <w:rPr>
          <w:rFonts w:ascii="Times New Roman" w:hAnsi="Times New Roman" w:cs="Times New Roman"/>
          <w:noProof/>
          <w:lang w:val="en-IE"/>
        </w:rPr>
        <w:t xml:space="preserve">. </w:t>
      </w:r>
    </w:p>
    <w:p>
      <w:pPr>
        <w:pStyle w:val="Heading3"/>
        <w:rPr>
          <w:rFonts w:ascii="Times New Roman" w:hAnsi="Times New Roman" w:cs="Times New Roman"/>
          <w:noProof/>
          <w:color w:val="auto"/>
          <w:lang w:val="en-IE"/>
        </w:rPr>
      </w:pPr>
      <w:bookmarkStart w:id="75" w:name="_Toc231459368"/>
      <w:r>
        <w:rPr>
          <w:rFonts w:ascii="Times New Roman" w:hAnsi="Times New Roman" w:cs="Times New Roman"/>
          <w:noProof/>
          <w:color w:val="auto"/>
          <w:lang w:val="en-IE"/>
        </w:rPr>
        <w:t>Article 32</w:t>
      </w:r>
      <w:r>
        <w:rPr>
          <w:rFonts w:ascii="Times New Roman" w:hAnsi="Times New Roman" w:cs="Times New Roman"/>
          <w:noProof/>
          <w:color w:val="auto"/>
          <w:lang w:val="en-IE"/>
        </w:rPr>
        <w:br/>
        <w:t>Cross-border surveillance</w:t>
      </w:r>
      <w:bookmarkEnd w:id="75"/>
    </w:p>
    <w:p>
      <w:pPr>
        <w:spacing w:line="360" w:lineRule="auto"/>
        <w:rPr>
          <w:rFonts w:ascii="Times New Roman" w:hAnsi="Times New Roman" w:cs="Times New Roman"/>
          <w:noProof/>
          <w:lang w:val="en-IE"/>
        </w:rPr>
      </w:pPr>
      <w:r>
        <w:rPr>
          <w:rFonts w:ascii="Times New Roman" w:hAnsi="Times New Roman" w:cs="Times New Roman"/>
          <w:noProof/>
          <w:lang w:val="en-IE"/>
        </w:rPr>
        <w:t>1. Cross-border surveillance shall be permitted to take place across land</w:t>
      </w:r>
      <w:r>
        <w:rPr>
          <w:rFonts w:ascii="Times New Roman" w:hAnsi="Times New Roman" w:cs="Times New Roman"/>
          <w:noProof/>
          <w:lang w:val="en-US"/>
        </w:rPr>
        <w:t xml:space="preserve"> and</w:t>
      </w:r>
      <w:r>
        <w:rPr>
          <w:rFonts w:ascii="Times New Roman" w:hAnsi="Times New Roman" w:cs="Times New Roman"/>
          <w:noProof/>
          <w:lang w:val="en-IE"/>
        </w:rPr>
        <w:t xml:space="preserve"> air borders, and in accordance with the provisions of this Article.</w:t>
      </w:r>
    </w:p>
    <w:p>
      <w:pPr>
        <w:spacing w:line="360" w:lineRule="auto"/>
        <w:rPr>
          <w:rFonts w:ascii="Times New Roman" w:hAnsi="Times New Roman" w:cs="Times New Roman"/>
          <w:noProof/>
          <w:lang w:val="en-IE"/>
        </w:rPr>
      </w:pPr>
      <w:r>
        <w:rPr>
          <w:rFonts w:ascii="Times New Roman" w:hAnsi="Times New Roman" w:cs="Times New Roman"/>
          <w:noProof/>
          <w:lang w:val="en-US"/>
        </w:rPr>
        <w:t xml:space="preserve">2. </w:t>
      </w:r>
      <w:r>
        <w:rPr>
          <w:rFonts w:ascii="Times New Roman" w:hAnsi="Times New Roman" w:cs="Times New Roman"/>
          <w:noProof/>
        </w:rPr>
        <w:t>For the purpose of this Article, "cross-border surveillance" is t</w:t>
      </w:r>
      <w:r>
        <w:rPr>
          <w:rFonts w:ascii="Times New Roman" w:hAnsi="Times New Roman" w:cs="Times New Roman"/>
          <w:noProof/>
          <w:lang w:val="en-IE"/>
        </w:rPr>
        <w:t xml:space="preserve">he continuation of surveillance by the competent authorities of one of the Schengen States or of the Principality of Andorra, who, as part of a criminal investigation, are keeping under surveillance in their </w:t>
      </w:r>
      <w:r>
        <w:rPr>
          <w:rFonts w:ascii="Times New Roman" w:hAnsi="Times New Roman" w:cs="Times New Roman"/>
          <w:noProof/>
          <w:lang w:val="en-US"/>
        </w:rPr>
        <w:t>territory</w:t>
      </w:r>
      <w:r>
        <w:rPr>
          <w:rFonts w:ascii="Times New Roman" w:hAnsi="Times New Roman" w:cs="Times New Roman"/>
          <w:noProof/>
          <w:lang w:val="en-IE"/>
        </w:rPr>
        <w:t xml:space="preserve"> a person who is presumed to have participated in a criminal offence</w:t>
      </w:r>
      <w:r>
        <w:rPr>
          <w:rFonts w:ascii="Times New Roman" w:hAnsi="Times New Roman" w:cs="Times New Roman"/>
          <w:b/>
          <w:noProof/>
          <w:lang w:val="en-IE"/>
        </w:rPr>
        <w:t xml:space="preserve">, </w:t>
      </w:r>
      <w:r>
        <w:rPr>
          <w:rFonts w:ascii="Times New Roman" w:hAnsi="Times New Roman" w:cs="Times New Roman"/>
          <w:noProof/>
          <w:lang w:val="en-IE"/>
        </w:rPr>
        <w:t xml:space="preserve">or a person under surveillance </w:t>
      </w:r>
      <w:r>
        <w:rPr>
          <w:rFonts w:ascii="Times New Roman" w:hAnsi="Times New Roman" w:cs="Times New Roman"/>
          <w:noProof/>
          <w:lang w:val="en-US"/>
        </w:rPr>
        <w:t xml:space="preserve">who may </w:t>
      </w:r>
      <w:r>
        <w:rPr>
          <w:rFonts w:ascii="Times New Roman" w:hAnsi="Times New Roman" w:cs="Times New Roman"/>
          <w:noProof/>
          <w:lang w:val="en-IE"/>
        </w:rPr>
        <w:t xml:space="preserve">assist in identifying or tracing such a person. The competent authorities of one of the Schengen States or of the Principality of Andorra may request to continue their surveillance in the Principality of Andorra </w:t>
      </w:r>
      <w:r>
        <w:rPr>
          <w:rFonts w:ascii="Times New Roman" w:hAnsi="Times New Roman" w:cs="Times New Roman"/>
          <w:noProof/>
          <w:lang w:val="en-US"/>
        </w:rPr>
        <w:t xml:space="preserve">or in the </w:t>
      </w:r>
      <w:r>
        <w:rPr>
          <w:rFonts w:ascii="Times New Roman" w:hAnsi="Times New Roman" w:cs="Times New Roman"/>
          <w:noProof/>
          <w:lang w:val="en-IE"/>
        </w:rPr>
        <w:t>Schengen States</w:t>
      </w:r>
      <w:bookmarkStart w:id="76" w:name="_Hlk196414847"/>
      <w:r>
        <w:rPr>
          <w:rFonts w:ascii="Times New Roman" w:hAnsi="Times New Roman" w:cs="Times New Roman"/>
          <w:noProof/>
          <w:lang w:val="en-IE"/>
        </w:rPr>
        <w:t>, respectively</w:t>
      </w:r>
      <w:bookmarkEnd w:id="76"/>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3. For the purposes of this Article, “criminal offence” means offences punishable under the laws of the requesting State and of the requested State by deprivation of liberty or under a detention order for a maximum period of at least one year, or by a more severe penalty.</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4. The competent authorities of the Schengen States or of the Principality of Andorra, </w:t>
      </w:r>
      <w:bookmarkStart w:id="77" w:name="_Hlk196414873"/>
      <w:r>
        <w:rPr>
          <w:rFonts w:ascii="Times New Roman" w:hAnsi="Times New Roman" w:cs="Times New Roman"/>
          <w:noProof/>
          <w:lang w:val="en-IE"/>
        </w:rPr>
        <w:t>shall reply to the request for cross-border surveillance within 8 hours following the receipt of the request. Where</w:t>
      </w:r>
      <w:bookmarkEnd w:id="77"/>
      <w:r>
        <w:rPr>
          <w:rFonts w:ascii="Times New Roman" w:hAnsi="Times New Roman" w:cs="Times New Roman"/>
          <w:noProof/>
          <w:lang w:val="en-IE"/>
        </w:rPr>
        <w:t>, for particularly urgent reasons, a reply is required within a shorter timeframe, the competent authorities of the Schengen States or of the Principality of Andorra, shall reply, at the latest, when the requesting officers are about to enter the territory of the Schengen States or of the Principality of Andorra, as the case may be. Where no reply has been given within the aforementioned timeframes, the authorisation to continue the cross-border surveillance shall be deemed to have been granted. The authorisation may be withdrawn at any time.</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5. The request shall be made in accordance with the procedure laid down in the operational arrangements pursuant to Article 16 and shall be sent to the competent authorities of the Schengen States or of the </w:t>
      </w:r>
      <w:r>
        <w:rPr>
          <w:rFonts w:ascii="Times New Roman" w:hAnsi="Times New Roman" w:cs="Times New Roman"/>
          <w:noProof/>
          <w:lang w:val="en-IE"/>
        </w:rPr>
        <w:lastRenderedPageBreak/>
        <w:t>Principality of Andorra, as designated in the operational arrangements as the case may be, and empowered to grant or to pass on the requested authorisation.</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6. Should the competent authorities of the Schengen States or of the Principality of Andorra decide not to authorise the cross-border surveillance to take place, or decide to withdraw the authorisation given under paragraph 4, </w:t>
      </w:r>
      <w:bookmarkStart w:id="78" w:name="_Hlk196414890"/>
      <w:r>
        <w:rPr>
          <w:rFonts w:ascii="Times New Roman" w:hAnsi="Times New Roman" w:cs="Times New Roman"/>
          <w:noProof/>
          <w:lang w:val="en-IE"/>
        </w:rPr>
        <w:t>they shall provide in writing  the reasons as soon as possible and, at request of the other side</w:t>
      </w:r>
      <w:bookmarkEnd w:id="78"/>
      <w:r>
        <w:rPr>
          <w:rFonts w:ascii="Times New Roman" w:hAnsi="Times New Roman" w:cs="Times New Roman"/>
          <w:noProof/>
          <w:lang w:val="en-IE"/>
        </w:rPr>
        <w:t xml:space="preserve">, take over the surveillance operation. </w:t>
      </w:r>
    </w:p>
    <w:p>
      <w:pPr>
        <w:spacing w:line="360" w:lineRule="auto"/>
        <w:rPr>
          <w:rFonts w:ascii="Times New Roman" w:hAnsi="Times New Roman" w:cs="Times New Roman"/>
          <w:noProof/>
          <w:lang w:val="en-IE"/>
        </w:rPr>
      </w:pPr>
      <w:r>
        <w:rPr>
          <w:rFonts w:ascii="Times New Roman" w:hAnsi="Times New Roman" w:cs="Times New Roman"/>
          <w:noProof/>
          <w:lang w:val="en-IE"/>
        </w:rPr>
        <w:t>7. Where, for particularly urgent reasons, prior authorisation cannot be requested from the other State, the competent authorities carrying out the cross-border surveillance shall be authorised to continue beyond the border the surveillance of a person presumed to have committed criminal offences or a person under surveillance who may assist in identifying or tracing such a person provided that the following conditions are met: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(a) </w:t>
      </w:r>
      <w:bookmarkStart w:id="79" w:name="_Hlk196414941"/>
      <w:r>
        <w:rPr>
          <w:rFonts w:ascii="Times New Roman" w:hAnsi="Times New Roman" w:cs="Times New Roman"/>
          <w:noProof/>
          <w:lang w:val="en-IE"/>
        </w:rPr>
        <w:t>the competent authority of the State in whose territory the surveillance is to be continued, shall be notified immediately, during the surveillance, that the border has been crossed</w:t>
      </w:r>
      <w:bookmarkEnd w:id="79"/>
      <w:r>
        <w:rPr>
          <w:rFonts w:ascii="Times New Roman" w:hAnsi="Times New Roman" w:cs="Times New Roman"/>
          <w:noProof/>
          <w:lang w:val="en-IE"/>
        </w:rPr>
        <w:t>; and,</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(b) </w:t>
      </w:r>
      <w:bookmarkStart w:id="80" w:name="_Hlk196414949"/>
      <w:r>
        <w:rPr>
          <w:rFonts w:ascii="Times New Roman" w:hAnsi="Times New Roman" w:cs="Times New Roman"/>
          <w:noProof/>
          <w:lang w:val="en-IE"/>
        </w:rPr>
        <w:t>a request for cross-border surveillance submitted in accordance with paragraph 5 and outlining the grounds for crossing the border without prior authorisation shall be submitted immediately</w:t>
      </w:r>
      <w:bookmarkEnd w:id="80"/>
      <w:r>
        <w:rPr>
          <w:rFonts w:ascii="Times New Roman" w:hAnsi="Times New Roman" w:cs="Times New Roman"/>
          <w:noProof/>
          <w:lang w:val="en-IE"/>
        </w:rPr>
        <w:t>.</w:t>
      </w:r>
    </w:p>
    <w:p>
      <w:pPr>
        <w:spacing w:line="360" w:lineRule="auto"/>
        <w:rPr>
          <w:rFonts w:ascii="Times New Roman" w:hAnsi="Times New Roman" w:cs="Times New Roman"/>
          <w:noProof/>
          <w:lang w:val="en-IE"/>
        </w:rPr>
      </w:pPr>
      <w:bookmarkStart w:id="81" w:name="_Hlk196414957"/>
      <w:r>
        <w:rPr>
          <w:rFonts w:ascii="Times New Roman" w:hAnsi="Times New Roman" w:cs="Times New Roman"/>
          <w:noProof/>
          <w:lang w:val="en-IE"/>
        </w:rPr>
        <w:t>Surveillance shall cease as soon as the State in whose territory it is taking place so requests, following the notification referred to in (a) or the request referred to in (b) or, where authorisation has not been obtained, five hours after the border was crossed</w:t>
      </w:r>
      <w:bookmarkEnd w:id="81"/>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8. </w:t>
      </w:r>
      <w:bookmarkStart w:id="82" w:name="_Hlk196414969"/>
      <w:r>
        <w:rPr>
          <w:rFonts w:ascii="Times New Roman" w:hAnsi="Times New Roman" w:cs="Times New Roman"/>
          <w:noProof/>
          <w:lang w:val="en-IE"/>
        </w:rPr>
        <w:t>Cross- border surveillance shall be carried out only under the following conditions</w:t>
      </w:r>
      <w:bookmarkEnd w:id="82"/>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(a) </w:t>
      </w:r>
      <w:bookmarkStart w:id="83" w:name="_Hlk196414977"/>
      <w:r>
        <w:rPr>
          <w:rFonts w:ascii="Times New Roman" w:hAnsi="Times New Roman" w:cs="Times New Roman"/>
          <w:noProof/>
          <w:lang w:val="en-IE"/>
        </w:rPr>
        <w:t>the officers of the competent authorities carrying out the cross-border surveillance shall comply with the provisions of this Article and with the law of the State in whose territory they are operating and shall obey the instructions of the competent local authorities</w:t>
      </w:r>
      <w:bookmarkEnd w:id="83"/>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(b) except in the situations outlined in paragraph 7, the officers of the competent authorities shall, during the cross-border surveillance, carry a document certifying that authorisation has been granted.</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(c) </w:t>
      </w:r>
      <w:bookmarkStart w:id="84" w:name="_Hlk196414986"/>
      <w:r>
        <w:rPr>
          <w:rFonts w:ascii="Times New Roman" w:hAnsi="Times New Roman" w:cs="Times New Roman"/>
          <w:noProof/>
          <w:lang w:val="en-IE"/>
        </w:rPr>
        <w:t>the officers of the competent authorities carrying out the cross-border surveillance shall at all times be able to prove that they are acting in an official capacity</w:t>
      </w:r>
      <w:bookmarkEnd w:id="84"/>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(d) </w:t>
      </w:r>
      <w:bookmarkStart w:id="85" w:name="_Hlk196414995"/>
      <w:r>
        <w:rPr>
          <w:rFonts w:ascii="Times New Roman" w:hAnsi="Times New Roman" w:cs="Times New Roman"/>
          <w:noProof/>
          <w:lang w:val="en-IE"/>
        </w:rPr>
        <w:t>the officers of the competent authorities carrying out the cross-border surveillance may carry their service weapons during the surveillance save where specifically otherwise decided by the requested State. Their use shall be prohibited except in cases of legitimate self-defence</w:t>
      </w:r>
      <w:bookmarkEnd w:id="85"/>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lastRenderedPageBreak/>
        <w:t>(e) entry into private homes and places not accessible to the public shall be prohibited.</w:t>
      </w:r>
    </w:p>
    <w:p>
      <w:pPr>
        <w:spacing w:line="360" w:lineRule="auto"/>
        <w:rPr>
          <w:rFonts w:ascii="Times New Roman" w:hAnsi="Times New Roman" w:cs="Times New Roman"/>
          <w:noProof/>
          <w:lang w:val="en-IE"/>
        </w:rPr>
      </w:pPr>
      <w:r>
        <w:rPr>
          <w:rFonts w:ascii="Times New Roman" w:hAnsi="Times New Roman" w:cs="Times New Roman"/>
          <w:noProof/>
          <w:lang w:val="en-IE"/>
        </w:rPr>
        <w:t>(f) the officers of the competent authorities carrying out the cross-border surveillance may neither challenge nor arrest the person under cross-border surveillance.</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(g) </w:t>
      </w:r>
      <w:bookmarkStart w:id="86" w:name="_Hlk196415006"/>
      <w:r>
        <w:rPr>
          <w:rFonts w:ascii="Times New Roman" w:hAnsi="Times New Roman" w:cs="Times New Roman"/>
          <w:noProof/>
          <w:lang w:val="en-IE"/>
        </w:rPr>
        <w:t>all operations shall be the subject of a report to the competent authorities of the State in whose territory they took place. The officers of the competent authorities carrying out the cross-border surveillance may be required to appear in person</w:t>
      </w:r>
      <w:bookmarkEnd w:id="86"/>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(h) </w:t>
      </w:r>
      <w:bookmarkStart w:id="87" w:name="_Hlk196415013"/>
      <w:r>
        <w:rPr>
          <w:rFonts w:ascii="Times New Roman" w:hAnsi="Times New Roman" w:cs="Times New Roman"/>
          <w:noProof/>
          <w:lang w:val="en-IE"/>
        </w:rPr>
        <w:t>when requested by the competent authorities of the State in whose territory the cross-border surveillance took place, the State from which the surveillance authorities have come shall assist the enquiry subsequent to the operation in which they took part, including judicial proceedings</w:t>
      </w:r>
      <w:bookmarkEnd w:id="87"/>
      <w:r>
        <w:rPr>
          <w:rFonts w:ascii="Times New Roman" w:hAnsi="Times New Roman" w:cs="Times New Roman"/>
          <w:noProof/>
          <w:lang w:val="en-IE"/>
        </w:rPr>
        <w:t>.</w:t>
      </w:r>
    </w:p>
    <w:p>
      <w:pPr>
        <w:pStyle w:val="Heading3"/>
        <w:rPr>
          <w:rFonts w:ascii="Times New Roman" w:hAnsi="Times New Roman" w:cs="Times New Roman"/>
          <w:noProof/>
          <w:color w:val="auto"/>
          <w:lang w:val="en-IE"/>
        </w:rPr>
      </w:pPr>
      <w:bookmarkStart w:id="88" w:name="_Toc231459369"/>
      <w:r>
        <w:rPr>
          <w:rFonts w:ascii="Times New Roman" w:hAnsi="Times New Roman" w:cs="Times New Roman"/>
          <w:noProof/>
          <w:color w:val="auto"/>
          <w:lang w:val="en-IE"/>
        </w:rPr>
        <w:t xml:space="preserve">Article </w:t>
      </w:r>
      <w:r>
        <w:rPr>
          <w:rFonts w:ascii="Times New Roman" w:hAnsi="Times New Roman" w:cs="Times New Roman"/>
          <w:noProof/>
          <w:color w:val="auto"/>
        </w:rPr>
        <w:t>3</w:t>
      </w:r>
      <w:r>
        <w:rPr>
          <w:rFonts w:ascii="Times New Roman" w:hAnsi="Times New Roman" w:cs="Times New Roman"/>
          <w:noProof/>
          <w:color w:val="auto"/>
          <w:lang w:val="en-IE"/>
        </w:rPr>
        <w:t xml:space="preserve">3 </w:t>
      </w:r>
      <w:r>
        <w:rPr>
          <w:rFonts w:ascii="Times New Roman" w:hAnsi="Times New Roman" w:cs="Times New Roman"/>
          <w:noProof/>
          <w:color w:val="auto"/>
          <w:lang w:val="en-IE"/>
        </w:rPr>
        <w:br/>
        <w:t>Hot pursuit</w:t>
      </w:r>
      <w:bookmarkEnd w:id="88"/>
    </w:p>
    <w:p>
      <w:pPr>
        <w:spacing w:line="360" w:lineRule="auto"/>
        <w:rPr>
          <w:rFonts w:ascii="Times New Roman" w:hAnsi="Times New Roman" w:cs="Times New Roman"/>
          <w:noProof/>
          <w:lang w:val="en-IE"/>
        </w:rPr>
      </w:pPr>
      <w:r>
        <w:rPr>
          <w:rFonts w:ascii="Times New Roman" w:hAnsi="Times New Roman" w:cs="Times New Roman"/>
          <w:noProof/>
          <w:lang w:val="en-IE"/>
        </w:rPr>
        <w:t>1. The competent authorities of the French Republic, the Kingdom of Spain or of the Principality of Andorra who are pursuing in their territory an individual caught in the act of committing or of participating in a criminal offence shall be authorised to continue pursuit in the territory of the other State without the latter's prior authorisation where, given the particular urgency of the situation, it is not possible to notify the competent authorities of the other State by one of the means provided for in Article 34 prior to entry into that territory or where these authorities are unable to reach the scene in time to take over the pursuit.</w:t>
      </w:r>
    </w:p>
    <w:p>
      <w:pPr>
        <w:spacing w:line="360" w:lineRule="auto"/>
        <w:rPr>
          <w:rFonts w:ascii="Times New Roman" w:hAnsi="Times New Roman" w:cs="Times New Roman"/>
          <w:noProof/>
          <w:lang w:val="en-IE"/>
        </w:rPr>
      </w:pPr>
      <w:r>
        <w:rPr>
          <w:rFonts w:ascii="Times New Roman" w:hAnsi="Times New Roman" w:cs="Times New Roman"/>
          <w:noProof/>
          <w:lang w:val="en-IE"/>
        </w:rPr>
        <w:t>The same shall apply where the person being pursued has escaped from provisional custody or while serving a sentence involving deprivation of liberty.</w:t>
      </w:r>
    </w:p>
    <w:p>
      <w:pPr>
        <w:spacing w:line="360" w:lineRule="auto"/>
        <w:rPr>
          <w:rFonts w:ascii="Times New Roman" w:hAnsi="Times New Roman" w:cs="Times New Roman"/>
          <w:noProof/>
          <w:lang w:val="en-IE"/>
        </w:rPr>
      </w:pPr>
      <w:r>
        <w:rPr>
          <w:rFonts w:ascii="Times New Roman" w:hAnsi="Times New Roman" w:cs="Times New Roman"/>
          <w:noProof/>
          <w:lang w:val="en-IE"/>
        </w:rPr>
        <w:t>The pursuing officers shall immediately and in any event no later than when they cross the border, contact the competent authorities of the State in whose territory the hot pursuit is to take place. The hot pursuit will cease as soon as the competent authorities of the State in whose territory the pursuit is taking place so requests. At the request of the pursuing officers, the local authorities shall establish the identity of the pursued person or detain the pursued person.</w:t>
      </w:r>
    </w:p>
    <w:p>
      <w:pPr>
        <w:spacing w:line="360" w:lineRule="auto"/>
        <w:rPr>
          <w:rFonts w:ascii="Times New Roman" w:hAnsi="Times New Roman" w:cs="Times New Roman"/>
          <w:noProof/>
          <w:lang w:val="en-IE"/>
        </w:rPr>
      </w:pPr>
      <w:r>
        <w:rPr>
          <w:rFonts w:ascii="Times New Roman" w:hAnsi="Times New Roman" w:cs="Times New Roman"/>
          <w:noProof/>
          <w:lang w:val="en-IE"/>
        </w:rPr>
        <w:t>2. For the purposes of this Article, “criminal offence” means offences punishable under the laws of the requesting State and of the requested State by deprivation of liberty or under a detention order for a maximum period of at least one year or by a more severe penalty. Where a conviction and prison sentence have occurred or a detention order has been made in the territory of the requesting State, the punishment awarded must have been for a period of at least four months.</w:t>
      </w:r>
    </w:p>
    <w:p>
      <w:pPr>
        <w:spacing w:line="360" w:lineRule="auto"/>
        <w:rPr>
          <w:rFonts w:ascii="Times New Roman" w:hAnsi="Times New Roman" w:cs="Times New Roman"/>
          <w:noProof/>
          <w:lang w:val="en-IE"/>
        </w:rPr>
      </w:pPr>
      <w:r>
        <w:rPr>
          <w:rFonts w:ascii="Times New Roman" w:hAnsi="Times New Roman" w:cs="Times New Roman"/>
          <w:noProof/>
          <w:lang w:val="en-IE"/>
        </w:rPr>
        <w:t>3. Hot pursuit shall be carried out in accordance with one of the following procedures, defined by the operational arrangements provided for in Article 16:</w:t>
      </w:r>
    </w:p>
    <w:p>
      <w:pPr>
        <w:spacing w:line="360" w:lineRule="auto"/>
        <w:rPr>
          <w:rFonts w:ascii="Times New Roman" w:hAnsi="Times New Roman" w:cs="Times New Roman"/>
          <w:noProof/>
          <w:lang w:val="en-IE"/>
        </w:rPr>
      </w:pPr>
      <w:r>
        <w:rPr>
          <w:rFonts w:ascii="Times New Roman" w:hAnsi="Times New Roman" w:cs="Times New Roman"/>
          <w:noProof/>
          <w:lang w:val="en-IE"/>
        </w:rPr>
        <w:lastRenderedPageBreak/>
        <w:t>(a) the pursuing officers shall not have the right to apprehend the pursued person; or</w:t>
      </w:r>
    </w:p>
    <w:p>
      <w:pPr>
        <w:spacing w:line="360" w:lineRule="auto"/>
        <w:rPr>
          <w:rFonts w:ascii="Times New Roman" w:hAnsi="Times New Roman" w:cs="Times New Roman"/>
          <w:noProof/>
          <w:lang w:val="en-IE"/>
        </w:rPr>
      </w:pPr>
      <w:r>
        <w:rPr>
          <w:rFonts w:ascii="Times New Roman" w:hAnsi="Times New Roman" w:cs="Times New Roman"/>
          <w:noProof/>
          <w:lang w:val="en-IE"/>
        </w:rPr>
        <w:t>(b) if no request to cease the hot pursuit is made and if the local authorities are unable to intervene quickly enough, the pursuing officers may detain the person pursued until the officers of the competent authorities of the State in whose territory the pursuit is taking place, who must be informed immediately, are able to establish the person's identity or make an arrest.</w:t>
      </w:r>
    </w:p>
    <w:p>
      <w:pPr>
        <w:spacing w:line="360" w:lineRule="auto"/>
        <w:rPr>
          <w:rFonts w:ascii="Times New Roman" w:hAnsi="Times New Roman" w:cs="Times New Roman"/>
          <w:noProof/>
          <w:lang w:val="en-IE"/>
        </w:rPr>
      </w:pPr>
      <w:r>
        <w:rPr>
          <w:rFonts w:ascii="Times New Roman" w:hAnsi="Times New Roman" w:cs="Times New Roman"/>
          <w:noProof/>
          <w:lang w:val="en-IE"/>
        </w:rPr>
        <w:t>4. Hot pursuit shall be carried out in accordance with paragraphs 1, 3 and 5 and in one of the following ways as defined by the operational arrangements provided for in Article 16:</w:t>
      </w:r>
    </w:p>
    <w:p>
      <w:pPr>
        <w:spacing w:line="360" w:lineRule="auto"/>
        <w:rPr>
          <w:rFonts w:ascii="Times New Roman" w:hAnsi="Times New Roman" w:cs="Times New Roman"/>
          <w:noProof/>
          <w:lang w:val="en-IE"/>
        </w:rPr>
      </w:pPr>
      <w:r>
        <w:rPr>
          <w:rFonts w:ascii="Times New Roman" w:hAnsi="Times New Roman" w:cs="Times New Roman"/>
          <w:noProof/>
          <w:lang w:val="en-IE"/>
        </w:rPr>
        <w:t>(a) in an area or during a period as from the crossing of the border, to be established in the operational arrangements or</w:t>
      </w:r>
    </w:p>
    <w:p>
      <w:pPr>
        <w:spacing w:line="360" w:lineRule="auto"/>
        <w:rPr>
          <w:rFonts w:ascii="Times New Roman" w:hAnsi="Times New Roman" w:cs="Times New Roman"/>
          <w:noProof/>
          <w:lang w:val="en-IE"/>
        </w:rPr>
      </w:pPr>
      <w:r>
        <w:rPr>
          <w:rFonts w:ascii="Times New Roman" w:hAnsi="Times New Roman" w:cs="Times New Roman"/>
          <w:noProof/>
          <w:lang w:val="en-IE"/>
        </w:rPr>
        <w:t>(b) without limit in space or time.</w:t>
      </w:r>
    </w:p>
    <w:p>
      <w:pPr>
        <w:spacing w:line="360" w:lineRule="auto"/>
        <w:rPr>
          <w:rFonts w:ascii="Times New Roman" w:hAnsi="Times New Roman" w:cs="Times New Roman"/>
          <w:noProof/>
          <w:lang w:val="en-IE"/>
        </w:rPr>
      </w:pPr>
      <w:r>
        <w:rPr>
          <w:rFonts w:ascii="Times New Roman" w:hAnsi="Times New Roman" w:cs="Times New Roman"/>
          <w:noProof/>
          <w:lang w:val="en-IE"/>
        </w:rPr>
        <w:t>5. Hot pursuit shall be carried out only under the following conditions:</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(a) the pursuing officers shall comply with the provisions of this Article and with the law of the competent authorities of the State in whose territory they are operating and shall obey the instructions issued by the competent local authorities. </w:t>
      </w:r>
    </w:p>
    <w:p>
      <w:pPr>
        <w:spacing w:line="360" w:lineRule="auto"/>
        <w:rPr>
          <w:rFonts w:ascii="Times New Roman" w:hAnsi="Times New Roman" w:cs="Times New Roman"/>
          <w:noProof/>
          <w:lang w:val="en-IE"/>
        </w:rPr>
      </w:pPr>
      <w:r>
        <w:rPr>
          <w:rFonts w:ascii="Times New Roman" w:hAnsi="Times New Roman" w:cs="Times New Roman"/>
          <w:noProof/>
          <w:lang w:val="en-IE"/>
        </w:rPr>
        <w:t>(b) pursuit may be carried out over land borders and in airspace.</w:t>
      </w:r>
    </w:p>
    <w:p>
      <w:pPr>
        <w:spacing w:line="360" w:lineRule="auto"/>
        <w:rPr>
          <w:rFonts w:ascii="Times New Roman" w:hAnsi="Times New Roman" w:cs="Times New Roman"/>
          <w:noProof/>
          <w:lang w:val="en-IE"/>
        </w:rPr>
      </w:pPr>
      <w:r>
        <w:rPr>
          <w:rFonts w:ascii="Times New Roman" w:hAnsi="Times New Roman" w:cs="Times New Roman"/>
          <w:noProof/>
          <w:lang w:val="en-IE"/>
        </w:rPr>
        <w:t>(c) entry into private homes and places not accessible to the public shall be prohibited.</w:t>
      </w:r>
    </w:p>
    <w:p>
      <w:pPr>
        <w:spacing w:line="360" w:lineRule="auto"/>
        <w:rPr>
          <w:rFonts w:ascii="Times New Roman" w:hAnsi="Times New Roman" w:cs="Times New Roman"/>
          <w:noProof/>
          <w:lang w:val="en-IE"/>
        </w:rPr>
      </w:pPr>
      <w:r>
        <w:rPr>
          <w:rFonts w:ascii="Times New Roman" w:hAnsi="Times New Roman" w:cs="Times New Roman"/>
          <w:noProof/>
          <w:lang w:val="en-IE"/>
        </w:rPr>
        <w:t>(d) the pursuing officers shall be easily identifiable, either by their uniform, by means of an armband or by accessories fitted to their vehicles. The use of civilian clothes combined with the use of unmarked vehicles without the aforementioned identification shall be prohibited. The pursuing officers shall at all times be able to prove that they are acting in an official capacity.</w:t>
      </w:r>
    </w:p>
    <w:p>
      <w:pPr>
        <w:spacing w:line="360" w:lineRule="auto"/>
        <w:rPr>
          <w:rFonts w:ascii="Times New Roman" w:hAnsi="Times New Roman" w:cs="Times New Roman"/>
          <w:noProof/>
          <w:lang w:val="en-IE"/>
        </w:rPr>
      </w:pPr>
      <w:r>
        <w:rPr>
          <w:rFonts w:ascii="Times New Roman" w:hAnsi="Times New Roman" w:cs="Times New Roman"/>
          <w:noProof/>
          <w:lang w:val="en-IE"/>
        </w:rPr>
        <w:t>(e) the pursuing officers may carry their service weapons whose use shall be prohibited save in cases of legitimate self-defence.</w:t>
      </w:r>
    </w:p>
    <w:p>
      <w:pPr>
        <w:spacing w:line="360" w:lineRule="auto"/>
        <w:rPr>
          <w:rFonts w:ascii="Times New Roman" w:hAnsi="Times New Roman" w:cs="Times New Roman"/>
          <w:noProof/>
          <w:lang w:val="en-IE"/>
        </w:rPr>
      </w:pPr>
      <w:r>
        <w:rPr>
          <w:rFonts w:ascii="Times New Roman" w:hAnsi="Times New Roman" w:cs="Times New Roman"/>
          <w:noProof/>
          <w:lang w:val="en-IE"/>
        </w:rPr>
        <w:t>(f) once the pursued person has been detained as provided for in paragraph 3(b), and is brought before the competent local authorities, that person may only be subjected to a security search. Handcuffs may be used during the transfer and any objects in his possession may be seized.</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(g) after a hot pursuit, the pursuing officers shall appear before the competent local authorities of the State in whose territory they were operating and shall report on their mission. At the request of those authorities, they shall remain at their disposal until the circumstances surrounding their action have been sufficiently </w:t>
      </w:r>
      <w:r>
        <w:rPr>
          <w:rFonts w:ascii="Times New Roman" w:hAnsi="Times New Roman" w:cs="Times New Roman"/>
          <w:noProof/>
          <w:lang w:val="en-IE"/>
        </w:rPr>
        <w:lastRenderedPageBreak/>
        <w:t>clarified; this condition shall apply even where the hot pursuit has not resulted in the arrest of the person pursued.</w:t>
      </w:r>
    </w:p>
    <w:p>
      <w:pPr>
        <w:pStyle w:val="Heading3"/>
        <w:rPr>
          <w:rFonts w:ascii="Times New Roman" w:hAnsi="Times New Roman" w:cs="Times New Roman"/>
          <w:noProof/>
          <w:color w:val="auto"/>
          <w:lang w:val="en-IE"/>
        </w:rPr>
      </w:pPr>
      <w:bookmarkStart w:id="89" w:name="_Toc231459370"/>
      <w:r>
        <w:rPr>
          <w:rFonts w:ascii="Times New Roman" w:hAnsi="Times New Roman" w:cs="Times New Roman"/>
          <w:noProof/>
          <w:color w:val="auto"/>
          <w:lang w:val="en-IE"/>
        </w:rPr>
        <w:t xml:space="preserve">Article </w:t>
      </w:r>
      <w:r>
        <w:rPr>
          <w:rFonts w:ascii="Times New Roman" w:hAnsi="Times New Roman" w:cs="Times New Roman"/>
          <w:noProof/>
          <w:color w:val="auto"/>
        </w:rPr>
        <w:t>34</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Communication</w:t>
      </w:r>
      <w:bookmarkEnd w:id="89"/>
    </w:p>
    <w:p>
      <w:pPr>
        <w:spacing w:line="360" w:lineRule="auto"/>
        <w:rPr>
          <w:rFonts w:ascii="Times New Roman" w:hAnsi="Times New Roman" w:cs="Times New Roman"/>
          <w:noProof/>
          <w:lang w:val="en-IE"/>
        </w:rPr>
      </w:pPr>
      <w:r>
        <w:rPr>
          <w:rFonts w:ascii="Times New Roman" w:hAnsi="Times New Roman" w:cs="Times New Roman"/>
          <w:noProof/>
          <w:lang w:val="en-IE"/>
        </w:rPr>
        <w:t>In accordance with the relevant international agreements and account being taken of local circumstances and technical possibilities, the French Republic, the Kingdom of Spain and the Principality of Andorra shall install communication lines and other direct links to facilitate police and customs cooperation, in particular for the timely transmission of information for the purposes of cross-border surveillance and hot pursuit.</w:t>
      </w:r>
    </w:p>
    <w:p>
      <w:pPr>
        <w:pStyle w:val="Heading3"/>
        <w:rPr>
          <w:rFonts w:ascii="Times New Roman" w:hAnsi="Times New Roman" w:cs="Times New Roman"/>
          <w:noProof/>
          <w:color w:val="auto"/>
          <w:lang w:val="en-IE"/>
        </w:rPr>
      </w:pPr>
      <w:bookmarkStart w:id="90" w:name="_Toc231459371"/>
      <w:r>
        <w:rPr>
          <w:rFonts w:ascii="Times New Roman" w:hAnsi="Times New Roman" w:cs="Times New Roman"/>
          <w:noProof/>
          <w:color w:val="auto"/>
          <w:lang w:val="en-IE"/>
        </w:rPr>
        <w:t xml:space="preserve">Article </w:t>
      </w:r>
      <w:r>
        <w:rPr>
          <w:rFonts w:ascii="Times New Roman" w:hAnsi="Times New Roman" w:cs="Times New Roman"/>
          <w:noProof/>
          <w:color w:val="auto"/>
        </w:rPr>
        <w:t>35</w:t>
      </w:r>
      <w:r>
        <w:rPr>
          <w:rFonts w:ascii="Times New Roman" w:hAnsi="Times New Roman" w:cs="Times New Roman"/>
          <w:noProof/>
          <w:color w:val="auto"/>
          <w:lang w:val="en-IE"/>
        </w:rPr>
        <w:br/>
        <w:t>Joint operations</w:t>
      </w:r>
      <w:bookmarkEnd w:id="90"/>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In order to step up police cooperation, the competent authorities of the Principality of Andorra and of a Schengen State, designated in the operational arrangements referred to in Article 16 may, for the purpose of maintaining public order and security and preventing criminal offences, introduce joint patrols and other joint operations in which designated officers from the one State participate in operations within the territory of the other </w:t>
      </w:r>
      <w:bookmarkStart w:id="91" w:name="_Hlk196415196"/>
      <w:r>
        <w:rPr>
          <w:rFonts w:ascii="Times New Roman" w:hAnsi="Times New Roman" w:cs="Times New Roman"/>
          <w:noProof/>
          <w:lang w:val="en-IE"/>
        </w:rPr>
        <w:t>State</w:t>
      </w:r>
      <w:bookmarkEnd w:id="91"/>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2. For the purposes of this Article, “criminal offence” means offences punishable under the laws of the requesting State and of the requested State by deprivation of liberty or under a detention order for a maximum period of at least one year or by a more severe penalty. Where a conviction and prison sentence have occurred or a detention order has been made in the territory of the requesting State, the punishment awarded must have been for a period of at least four months.</w:t>
      </w:r>
    </w:p>
    <w:p>
      <w:pPr>
        <w:spacing w:line="360" w:lineRule="auto"/>
        <w:rPr>
          <w:rFonts w:ascii="Times New Roman" w:hAnsi="Times New Roman" w:cs="Times New Roman"/>
          <w:noProof/>
          <w:lang w:val="en-IE"/>
        </w:rPr>
      </w:pPr>
      <w:r>
        <w:rPr>
          <w:rFonts w:ascii="Times New Roman" w:hAnsi="Times New Roman" w:cs="Times New Roman"/>
          <w:noProof/>
          <w:lang w:val="en-IE"/>
        </w:rPr>
        <w:t>3. The Principality of Andorra and a Schengen State may, as a host State, and in compliance with their respective national law, and with the consent of the seconding State, confer executive powers on officers of the seconding State involved in joint operations or, in so far as the law of the host State permits, allow the officers of the seconding State to exercise their executive powers in accordance with the national law of the seconding State. Such executive powers may be exercised only under the guidance and, as a rule, in the presence of officers from the host State. The officers of the seconding State shall be subject to the national law of the host State. The host State shall assume responsibility for their actions.</w:t>
      </w:r>
    </w:p>
    <w:p>
      <w:pPr>
        <w:spacing w:line="360" w:lineRule="auto"/>
        <w:rPr>
          <w:rFonts w:ascii="Times New Roman" w:hAnsi="Times New Roman" w:cs="Times New Roman"/>
          <w:noProof/>
          <w:lang w:val="en-IE"/>
        </w:rPr>
      </w:pPr>
      <w:r>
        <w:rPr>
          <w:rFonts w:ascii="Times New Roman" w:hAnsi="Times New Roman" w:cs="Times New Roman"/>
          <w:noProof/>
          <w:lang w:val="en-IE"/>
        </w:rPr>
        <w:t>4. The officers of the seconding State involved in joint operations shall be subject to the instructions given by the competent authorities of the host State.</w:t>
      </w:r>
    </w:p>
    <w:p>
      <w:pPr>
        <w:pStyle w:val="Heading3"/>
        <w:rPr>
          <w:rFonts w:ascii="Times New Roman" w:hAnsi="Times New Roman" w:cs="Times New Roman"/>
          <w:noProof/>
          <w:color w:val="auto"/>
          <w:lang w:val="en-IE"/>
        </w:rPr>
      </w:pPr>
      <w:bookmarkStart w:id="92" w:name="_Toc231459372"/>
      <w:r>
        <w:rPr>
          <w:rFonts w:ascii="Times New Roman" w:hAnsi="Times New Roman" w:cs="Times New Roman"/>
          <w:noProof/>
          <w:color w:val="auto"/>
          <w:lang w:val="en-IE"/>
        </w:rPr>
        <w:lastRenderedPageBreak/>
        <w:t xml:space="preserve">Article </w:t>
      </w:r>
      <w:r>
        <w:rPr>
          <w:rFonts w:ascii="Times New Roman" w:hAnsi="Times New Roman" w:cs="Times New Roman"/>
          <w:noProof/>
          <w:color w:val="auto"/>
        </w:rPr>
        <w:t>36</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Protection and assistance during joint operation</w:t>
      </w:r>
      <w:bookmarkEnd w:id="92"/>
    </w:p>
    <w:p>
      <w:pPr>
        <w:spacing w:line="360" w:lineRule="auto"/>
        <w:rPr>
          <w:rFonts w:ascii="Times New Roman" w:hAnsi="Times New Roman" w:cs="Times New Roman"/>
          <w:noProof/>
          <w:lang w:val="en-IE"/>
        </w:rPr>
      </w:pPr>
      <w:r>
        <w:rPr>
          <w:rFonts w:ascii="Times New Roman" w:hAnsi="Times New Roman" w:cs="Times New Roman"/>
          <w:noProof/>
          <w:lang w:val="en-IE"/>
        </w:rPr>
        <w:t>The competent authorities of the Principality of Andorra and of a Schengen State shall provide each others’ officers crossing borders with the same level of protection and assistance in the course of those officers' duties as is granted to their own officers.</w:t>
      </w:r>
    </w:p>
    <w:p>
      <w:pPr>
        <w:pStyle w:val="Heading3"/>
        <w:rPr>
          <w:rFonts w:ascii="Times New Roman" w:hAnsi="Times New Roman" w:cs="Times New Roman"/>
          <w:noProof/>
          <w:color w:val="auto"/>
          <w:lang w:val="en-IE"/>
        </w:rPr>
      </w:pPr>
      <w:bookmarkStart w:id="93" w:name="_Toc231459373"/>
      <w:r>
        <w:rPr>
          <w:rFonts w:ascii="Times New Roman" w:hAnsi="Times New Roman" w:cs="Times New Roman"/>
          <w:noProof/>
          <w:color w:val="auto"/>
          <w:lang w:val="en-IE"/>
        </w:rPr>
        <w:t xml:space="preserve">Article </w:t>
      </w:r>
      <w:r>
        <w:rPr>
          <w:rFonts w:ascii="Times New Roman" w:hAnsi="Times New Roman" w:cs="Times New Roman"/>
          <w:noProof/>
          <w:color w:val="auto"/>
        </w:rPr>
        <w:t>37</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Cross-border operations</w:t>
      </w:r>
      <w:bookmarkEnd w:id="93"/>
    </w:p>
    <w:p>
      <w:pPr>
        <w:spacing w:line="360" w:lineRule="auto"/>
        <w:rPr>
          <w:rFonts w:ascii="Times New Roman" w:hAnsi="Times New Roman" w:cs="Times New Roman"/>
          <w:noProof/>
          <w:lang w:val="en-IE"/>
        </w:rPr>
      </w:pPr>
      <w:r>
        <w:rPr>
          <w:rFonts w:ascii="Times New Roman" w:hAnsi="Times New Roman" w:cs="Times New Roman"/>
          <w:noProof/>
          <w:lang w:val="en-IE"/>
        </w:rPr>
        <w:t>1. During the operations referred to in Articles 32 and 33, officers from a Schengen State operating in the territory of the Principality of Andorra, or officers from the Principality of Andorra operating in the territory of a Schengen State (the “seconding State”) shall be regarded as officers of the State in whose territory they are operating (the “host State”) with respect to offences committed against them or by them in the host State.</w:t>
      </w:r>
    </w:p>
    <w:p>
      <w:pPr>
        <w:spacing w:line="360" w:lineRule="auto"/>
        <w:rPr>
          <w:rFonts w:ascii="Times New Roman" w:hAnsi="Times New Roman" w:cs="Times New Roman"/>
          <w:noProof/>
          <w:lang w:val="en-IE"/>
        </w:rPr>
      </w:pPr>
      <w:r>
        <w:rPr>
          <w:rFonts w:ascii="Times New Roman" w:hAnsi="Times New Roman" w:cs="Times New Roman"/>
          <w:noProof/>
          <w:lang w:val="en-IE"/>
        </w:rPr>
        <w:t>2. Where, in accordance with Articles 32 and 33, officers from a seconding State operate in the territory a host State, the seconding State shall be liable for any damage caused by their officers during their operations in the host State, in accordance with the law of the host State.</w:t>
      </w:r>
    </w:p>
    <w:p>
      <w:pPr>
        <w:spacing w:line="360" w:lineRule="auto"/>
        <w:rPr>
          <w:rFonts w:ascii="Times New Roman" w:hAnsi="Times New Roman" w:cs="Times New Roman"/>
          <w:noProof/>
          <w:lang w:val="en-IE"/>
        </w:rPr>
      </w:pPr>
      <w:r>
        <w:rPr>
          <w:rFonts w:ascii="Times New Roman" w:hAnsi="Times New Roman" w:cs="Times New Roman"/>
          <w:noProof/>
          <w:lang w:val="en-IE"/>
        </w:rPr>
        <w:t>3. The host State shall make good damage referred to in paragraph 2, under the conditions applicable to damage caused by its own officers.</w:t>
      </w:r>
    </w:p>
    <w:p>
      <w:pPr>
        <w:spacing w:line="360" w:lineRule="auto"/>
        <w:rPr>
          <w:rFonts w:ascii="Times New Roman" w:hAnsi="Times New Roman" w:cs="Times New Roman"/>
          <w:noProof/>
          <w:lang w:val="en-IE"/>
        </w:rPr>
      </w:pPr>
      <w:r>
        <w:rPr>
          <w:rFonts w:ascii="Times New Roman" w:hAnsi="Times New Roman" w:cs="Times New Roman"/>
          <w:noProof/>
          <w:lang w:val="en-IE"/>
        </w:rPr>
        <w:t>4. The seconding State whose officers have caused damage to any person in the territory of a host State shall reimburse the latter in full any sums it has paid to the victims or persons entitled on their behalf.</w:t>
      </w:r>
    </w:p>
    <w:p>
      <w:pPr>
        <w:spacing w:line="360" w:lineRule="auto"/>
        <w:rPr>
          <w:rFonts w:ascii="Times New Roman" w:hAnsi="Times New Roman" w:cs="Times New Roman"/>
          <w:noProof/>
          <w:lang w:val="en-IE"/>
        </w:rPr>
      </w:pPr>
      <w:r>
        <w:rPr>
          <w:rFonts w:ascii="Times New Roman" w:hAnsi="Times New Roman" w:cs="Times New Roman"/>
          <w:noProof/>
          <w:lang w:val="en-IE"/>
        </w:rPr>
        <w:t>5. Without prejudice to the exercise of its rights vis-à-vis third parties and with the exception of paragraph 4, the host State shall refrain in the case provided for in paragraph 2, from requesting reimbursement of damages it has sustained from the seconding State.</w:t>
      </w:r>
    </w:p>
    <w:p>
      <w:pPr>
        <w:pStyle w:val="Heading2"/>
        <w:rPr>
          <w:rFonts w:ascii="Times New Roman" w:hAnsi="Times New Roman" w:cs="Times New Roman"/>
          <w:noProof/>
          <w:lang w:val="en-IE"/>
        </w:rPr>
      </w:pPr>
      <w:bookmarkStart w:id="94" w:name="_Toc231459374"/>
      <w:r>
        <w:rPr>
          <w:rFonts w:ascii="Times New Roman" w:hAnsi="Times New Roman" w:cs="Times New Roman"/>
          <w:noProof/>
          <w:lang w:val="en-IE"/>
        </w:rPr>
        <w:t xml:space="preserve">TITLE III </w:t>
      </w:r>
      <w:r>
        <w:rPr>
          <w:rFonts w:ascii="Times New Roman" w:hAnsi="Times New Roman" w:cs="Times New Roman"/>
          <w:noProof/>
          <w:lang w:val="en-IE"/>
        </w:rPr>
        <w:br/>
        <w:t>IMPLEMENTATION, APPLICATIONAND ENFORCEMENT</w:t>
      </w:r>
      <w:bookmarkEnd w:id="94"/>
    </w:p>
    <w:p>
      <w:pPr>
        <w:pStyle w:val="Heading3"/>
        <w:rPr>
          <w:rFonts w:ascii="Times New Roman" w:hAnsi="Times New Roman" w:cs="Times New Roman"/>
          <w:noProof/>
          <w:color w:val="auto"/>
          <w:lang w:val="en-IE"/>
        </w:rPr>
      </w:pPr>
      <w:bookmarkStart w:id="95" w:name="_Toc231459375"/>
      <w:r>
        <w:rPr>
          <w:rFonts w:ascii="Times New Roman" w:hAnsi="Times New Roman" w:cs="Times New Roman"/>
          <w:noProof/>
          <w:color w:val="auto"/>
          <w:lang w:val="en-IE"/>
        </w:rPr>
        <w:t xml:space="preserve">Article </w:t>
      </w:r>
      <w:r>
        <w:rPr>
          <w:rFonts w:ascii="Times New Roman" w:hAnsi="Times New Roman" w:cs="Times New Roman"/>
          <w:noProof/>
          <w:color w:val="auto"/>
        </w:rPr>
        <w:t>38</w:t>
      </w:r>
      <w:r>
        <w:rPr>
          <w:rFonts w:ascii="Times New Roman" w:hAnsi="Times New Roman" w:cs="Times New Roman"/>
          <w:noProof/>
          <w:color w:val="auto"/>
        </w:rPr>
        <w:br/>
      </w:r>
      <w:r>
        <w:rPr>
          <w:rFonts w:ascii="Times New Roman" w:hAnsi="Times New Roman" w:cs="Times New Roman"/>
          <w:noProof/>
          <w:color w:val="auto"/>
          <w:lang w:val="en-IE"/>
        </w:rPr>
        <w:t>References to European Union law</w:t>
      </w:r>
      <w:bookmarkEnd w:id="95"/>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Unless specifically provided otherwise, all references in this </w:t>
      </w:r>
      <w:bookmarkStart w:id="96" w:name="_Hlk196415788"/>
      <w:r>
        <w:rPr>
          <w:rFonts w:ascii="Times New Roman" w:hAnsi="Times New Roman" w:cs="Times New Roman"/>
          <w:noProof/>
          <w:lang w:val="en-IE"/>
        </w:rPr>
        <w:t xml:space="preserve">Agreement </w:t>
      </w:r>
      <w:bookmarkEnd w:id="96"/>
      <w:r>
        <w:rPr>
          <w:rFonts w:ascii="Times New Roman" w:hAnsi="Times New Roman" w:cs="Times New Roman"/>
          <w:noProof/>
          <w:lang w:val="en-IE"/>
        </w:rPr>
        <w:t>to European Union law shall be understood as references to European Union law, including as amended or replaced.</w:t>
      </w:r>
    </w:p>
    <w:p>
      <w:pPr>
        <w:spacing w:line="360" w:lineRule="auto"/>
        <w:rPr>
          <w:rFonts w:ascii="Times New Roman" w:hAnsi="Times New Roman" w:cs="Times New Roman"/>
          <w:noProof/>
        </w:rPr>
      </w:pPr>
      <w:r>
        <w:rPr>
          <w:rFonts w:ascii="Times New Roman" w:hAnsi="Times New Roman" w:cs="Times New Roman"/>
          <w:noProof/>
        </w:rPr>
        <w:t xml:space="preserve">2. Where in this Agreement reference is made to </w:t>
      </w:r>
      <w:r>
        <w:rPr>
          <w:rFonts w:ascii="Times New Roman" w:hAnsi="Times New Roman" w:cs="Times New Roman"/>
          <w:noProof/>
          <w:lang w:val="en-IE"/>
        </w:rPr>
        <w:t xml:space="preserve">European Union </w:t>
      </w:r>
      <w:r>
        <w:rPr>
          <w:rFonts w:ascii="Times New Roman" w:hAnsi="Times New Roman" w:cs="Times New Roman"/>
          <w:noProof/>
        </w:rPr>
        <w:t xml:space="preserve">legal acts or provisions thereof, such reference shall, where relevant, be understood to include a reference to </w:t>
      </w:r>
      <w:r>
        <w:rPr>
          <w:rFonts w:ascii="Times New Roman" w:hAnsi="Times New Roman" w:cs="Times New Roman"/>
          <w:noProof/>
          <w:lang w:val="en-IE"/>
        </w:rPr>
        <w:t>European Union</w:t>
      </w:r>
      <w:r>
        <w:rPr>
          <w:rFonts w:ascii="Times New Roman" w:hAnsi="Times New Roman" w:cs="Times New Roman"/>
          <w:noProof/>
        </w:rPr>
        <w:t xml:space="preserve"> legal acts or </w:t>
      </w:r>
      <w:r>
        <w:rPr>
          <w:rFonts w:ascii="Times New Roman" w:hAnsi="Times New Roman" w:cs="Times New Roman"/>
          <w:noProof/>
        </w:rPr>
        <w:lastRenderedPageBreak/>
        <w:t xml:space="preserve">provisions thereof that, although replaced or superseded by the act referred to, continue to apply in accordance with that act. </w:t>
      </w:r>
    </w:p>
    <w:p>
      <w:pPr>
        <w:spacing w:line="360" w:lineRule="auto"/>
        <w:rPr>
          <w:rFonts w:ascii="Times New Roman" w:hAnsi="Times New Roman" w:cs="Times New Roman"/>
          <w:noProof/>
        </w:rPr>
      </w:pPr>
      <w:r>
        <w:rPr>
          <w:rFonts w:ascii="Times New Roman" w:hAnsi="Times New Roman" w:cs="Times New Roman"/>
          <w:noProof/>
        </w:rPr>
        <w:t xml:space="preserve">3. For the purposes of this Agreement, references to </w:t>
      </w:r>
      <w:r>
        <w:rPr>
          <w:rFonts w:ascii="Times New Roman" w:hAnsi="Times New Roman" w:cs="Times New Roman"/>
          <w:noProof/>
          <w:lang w:val="en-IE"/>
        </w:rPr>
        <w:t xml:space="preserve">European Union </w:t>
      </w:r>
      <w:r>
        <w:rPr>
          <w:rFonts w:ascii="Times New Roman" w:hAnsi="Times New Roman" w:cs="Times New Roman"/>
          <w:noProof/>
        </w:rPr>
        <w:t xml:space="preserve">legal acts made applicable by this Agreement shall be understood to include references to the relevant </w:t>
      </w:r>
      <w:r>
        <w:rPr>
          <w:rFonts w:ascii="Times New Roman" w:hAnsi="Times New Roman" w:cs="Times New Roman"/>
          <w:noProof/>
          <w:lang w:val="en-IE"/>
        </w:rPr>
        <w:t xml:space="preserve">European Union </w:t>
      </w:r>
      <w:r>
        <w:rPr>
          <w:rFonts w:ascii="Times New Roman" w:hAnsi="Times New Roman" w:cs="Times New Roman"/>
          <w:noProof/>
        </w:rPr>
        <w:t>legal acts supplementing or implementing those provisions.</w:t>
      </w:r>
    </w:p>
    <w:p>
      <w:pPr>
        <w:pStyle w:val="Heading3"/>
        <w:rPr>
          <w:rFonts w:ascii="Times New Roman" w:hAnsi="Times New Roman" w:cs="Times New Roman"/>
          <w:noProof/>
          <w:color w:val="auto"/>
          <w:lang w:val="en-IE"/>
        </w:rPr>
      </w:pPr>
      <w:bookmarkStart w:id="97" w:name="_Toc231459376"/>
      <w:r>
        <w:rPr>
          <w:rFonts w:ascii="Times New Roman" w:hAnsi="Times New Roman" w:cs="Times New Roman"/>
          <w:noProof/>
          <w:color w:val="auto"/>
          <w:lang w:val="en-IE"/>
        </w:rPr>
        <w:t>Article 3</w:t>
      </w:r>
      <w:r>
        <w:rPr>
          <w:rFonts w:ascii="Times New Roman" w:hAnsi="Times New Roman" w:cs="Times New Roman"/>
          <w:noProof/>
          <w:color w:val="auto"/>
        </w:rPr>
        <w:t>9</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E</w:t>
      </w:r>
      <w:r>
        <w:rPr>
          <w:rFonts w:ascii="Times New Roman" w:hAnsi="Times New Roman" w:cs="Times New Roman"/>
          <w:noProof/>
          <w:color w:val="auto"/>
        </w:rPr>
        <w:t>uropean Union legal acts to be implemented by the Principality of Andorra</w:t>
      </w:r>
      <w:bookmarkEnd w:id="97"/>
    </w:p>
    <w:p>
      <w:pPr>
        <w:spacing w:line="360" w:lineRule="auto"/>
        <w:rPr>
          <w:rFonts w:ascii="Times New Roman" w:hAnsi="Times New Roman" w:cs="Times New Roman"/>
          <w:noProof/>
        </w:rPr>
      </w:pPr>
      <w:r>
        <w:rPr>
          <w:rFonts w:ascii="Times New Roman" w:hAnsi="Times New Roman" w:cs="Times New Roman"/>
          <w:noProof/>
        </w:rPr>
        <w:t xml:space="preserve">1. The Principality of Andorra shall implement the European Union legal acts included in  Annex I to this Agreement by the deadlines and subject to the adaptations specified in that Annex. </w:t>
      </w:r>
    </w:p>
    <w:p>
      <w:pPr>
        <w:spacing w:line="360" w:lineRule="auto"/>
        <w:rPr>
          <w:rFonts w:ascii="Times New Roman" w:hAnsi="Times New Roman" w:cs="Times New Roman"/>
          <w:noProof/>
        </w:rPr>
      </w:pPr>
      <w:r>
        <w:rPr>
          <w:rFonts w:ascii="Times New Roman" w:hAnsi="Times New Roman" w:cs="Times New Roman"/>
          <w:noProof/>
        </w:rPr>
        <w:t xml:space="preserve">2. Where European Union legal acts included in Annex I are amended or replaced, references to them shall be understood as referring to European Union legal acts as amended or replaced. The Joint Committee shall revise Annex </w:t>
      </w:r>
      <w:r>
        <w:rPr>
          <w:rFonts w:ascii="Times New Roman" w:hAnsi="Times New Roman" w:cs="Times New Roman"/>
          <w:noProof/>
          <w:lang w:val="en-IE"/>
        </w:rPr>
        <w:t xml:space="preserve">I </w:t>
      </w:r>
      <w:r>
        <w:rPr>
          <w:rFonts w:ascii="Times New Roman" w:hAnsi="Times New Roman" w:cs="Times New Roman"/>
          <w:noProof/>
        </w:rPr>
        <w:t xml:space="preserve"> to this Agreement and align it to any European Union legal act amending, replacing or supplementing the European Union legal acts listed in Annex </w:t>
      </w:r>
      <w:r>
        <w:rPr>
          <w:rFonts w:ascii="Times New Roman" w:hAnsi="Times New Roman" w:cs="Times New Roman"/>
          <w:noProof/>
          <w:lang w:val="en-IE"/>
        </w:rPr>
        <w:t xml:space="preserve">I </w:t>
      </w:r>
      <w:r>
        <w:rPr>
          <w:rFonts w:ascii="Times New Roman" w:hAnsi="Times New Roman" w:cs="Times New Roman"/>
          <w:noProof/>
        </w:rPr>
        <w:t xml:space="preserve"> as soon as such an European Union legal act is adopted by the European Union. To that end, the European Union shall, as soon as possible after adoption, inform the Principality of Andorra within the Joint Committee of any act amending, replacing or supplementing European Union legal acts of Annex </w:t>
      </w:r>
      <w:r>
        <w:rPr>
          <w:rFonts w:ascii="Times New Roman" w:hAnsi="Times New Roman" w:cs="Times New Roman"/>
          <w:noProof/>
          <w:lang w:val="en-IE"/>
        </w:rPr>
        <w:t>I</w:t>
      </w:r>
      <w:r>
        <w:rPr>
          <w:rFonts w:ascii="Times New Roman" w:hAnsi="Times New Roman" w:cs="Times New Roman"/>
          <w:noProof/>
        </w:rPr>
        <w:t xml:space="preserve">. </w:t>
      </w:r>
    </w:p>
    <w:p>
      <w:pPr>
        <w:spacing w:line="360" w:lineRule="auto"/>
        <w:rPr>
          <w:rFonts w:ascii="Times New Roman" w:hAnsi="Times New Roman" w:cs="Times New Roman"/>
          <w:noProof/>
        </w:rPr>
      </w:pPr>
      <w:r>
        <w:rPr>
          <w:rFonts w:ascii="Times New Roman" w:hAnsi="Times New Roman" w:cs="Times New Roman"/>
          <w:noProof/>
        </w:rPr>
        <w:t>3. Without prejudice to Article 50, in cases where the Joint Committee fails to reach an agreement on the revision of Annex</w:t>
      </w:r>
      <w:r>
        <w:rPr>
          <w:rFonts w:ascii="Times New Roman" w:hAnsi="Times New Roman" w:cs="Times New Roman"/>
          <w:noProof/>
          <w:lang w:val="en-IE"/>
        </w:rPr>
        <w:t xml:space="preserve"> I </w:t>
      </w:r>
      <w:r>
        <w:rPr>
          <w:rFonts w:ascii="Times New Roman" w:hAnsi="Times New Roman" w:cs="Times New Roman"/>
          <w:noProof/>
        </w:rPr>
        <w:t>by aligning to any European Union legal act amending, replacing or supplementing European Union legal acts of this Annex within three months following the adoption of such amending, replacing or supplementing European Union legal acts, each Party may terminate cooperation under this Agreement by written notification through diplomatic channels. This part of the Agreement shall cease to be in force on the first day of the month following the date of notification.</w:t>
      </w:r>
    </w:p>
    <w:p>
      <w:pPr>
        <w:pStyle w:val="ListParagraph"/>
        <w:spacing w:line="360" w:lineRule="auto"/>
        <w:ind w:left="567"/>
        <w:rPr>
          <w:rFonts w:ascii="Times New Roman" w:hAnsi="Times New Roman" w:cs="Times New Roman"/>
          <w:noProof/>
        </w:rPr>
      </w:pPr>
      <w:r>
        <w:rPr>
          <w:rFonts w:ascii="Times New Roman" w:hAnsi="Times New Roman" w:cs="Times New Roman"/>
          <w:noProof/>
        </w:rPr>
        <w:br w:type="page"/>
      </w:r>
    </w:p>
    <w:p>
      <w:pPr>
        <w:pStyle w:val="Heading1"/>
        <w:rPr>
          <w:rFonts w:ascii="Times New Roman" w:hAnsi="Times New Roman" w:cs="Times New Roman"/>
          <w:noProof/>
        </w:rPr>
      </w:pPr>
      <w:bookmarkStart w:id="98" w:name="_Toc231459377"/>
      <w:r>
        <w:rPr>
          <w:rFonts w:ascii="Times New Roman" w:hAnsi="Times New Roman" w:cs="Times New Roman"/>
          <w:noProof/>
        </w:rPr>
        <w:lastRenderedPageBreak/>
        <w:t>PART THREE</w:t>
      </w:r>
      <w:r>
        <w:rPr>
          <w:rFonts w:ascii="Times New Roman" w:hAnsi="Times New Roman" w:cs="Times New Roman"/>
          <w:noProof/>
        </w:rPr>
        <w:br/>
        <w:t>DISPUTE SETTLEMENT AND HORIZONTAL PROVISIONS</w:t>
      </w:r>
      <w:bookmarkEnd w:id="98"/>
    </w:p>
    <w:p>
      <w:pPr>
        <w:pStyle w:val="Heading3"/>
        <w:rPr>
          <w:rFonts w:ascii="Times New Roman" w:eastAsia="Times New Roman" w:hAnsi="Times New Roman" w:cs="Times New Roman"/>
          <w:noProof/>
          <w:color w:val="auto"/>
          <w:lang w:val="en-US" w:eastAsia="nl-NL"/>
        </w:rPr>
      </w:pPr>
      <w:bookmarkStart w:id="99" w:name="_Toc231459378"/>
      <w:r>
        <w:rPr>
          <w:rFonts w:ascii="Times New Roman" w:eastAsia="Times New Roman" w:hAnsi="Times New Roman" w:cs="Times New Roman"/>
          <w:noProof/>
          <w:color w:val="auto"/>
          <w:lang w:val="en-US" w:eastAsia="nl-NL"/>
        </w:rPr>
        <w:t>Article 40</w:t>
      </w:r>
      <w:r>
        <w:rPr>
          <w:rFonts w:ascii="Times New Roman" w:hAnsi="Times New Roman" w:cs="Times New Roman"/>
          <w:noProof/>
          <w:color w:val="auto"/>
        </w:rPr>
        <w:br/>
      </w:r>
      <w:r>
        <w:rPr>
          <w:rFonts w:ascii="Times New Roman" w:eastAsia="Times New Roman" w:hAnsi="Times New Roman" w:cs="Times New Roman"/>
          <w:noProof/>
          <w:color w:val="auto"/>
          <w:lang w:val="en-US" w:eastAsia="nl-NL"/>
        </w:rPr>
        <w:t>Disputes</w:t>
      </w:r>
      <w:bookmarkEnd w:id="99"/>
    </w:p>
    <w:p>
      <w:pPr>
        <w:spacing w:line="360" w:lineRule="auto"/>
        <w:rPr>
          <w:rFonts w:ascii="Times New Roman" w:hAnsi="Times New Roman" w:cs="Times New Roman"/>
          <w:noProof/>
        </w:rPr>
      </w:pPr>
      <w:r>
        <w:rPr>
          <w:rFonts w:ascii="Times New Roman" w:hAnsi="Times New Roman" w:cs="Times New Roman"/>
          <w:noProof/>
        </w:rPr>
        <w:t>1. Any dispute regarding the interpretation or application of this Agreement shall be resolved by consultations between the Parties, and shall not be referred to any national or international tribunal or third party for settlement, unless the Parties decide otherwise as a result of the consultations.</w:t>
      </w:r>
    </w:p>
    <w:p>
      <w:pPr>
        <w:spacing w:line="360" w:lineRule="auto"/>
        <w:rPr>
          <w:rFonts w:ascii="Times New Roman" w:hAnsi="Times New Roman" w:cs="Times New Roman"/>
          <w:noProof/>
        </w:rPr>
      </w:pPr>
      <w:r>
        <w:rPr>
          <w:rFonts w:ascii="Times New Roman" w:hAnsi="Times New Roman" w:cs="Times New Roman"/>
          <w:noProof/>
        </w:rPr>
        <w:t>2. The consultations referred to in paragraph 1 shall be held in the framework of the Joint Committee.</w:t>
      </w:r>
    </w:p>
    <w:p>
      <w:pPr>
        <w:pStyle w:val="Heading3"/>
        <w:rPr>
          <w:rFonts w:ascii="Times New Roman" w:eastAsia="Times New Roman" w:hAnsi="Times New Roman" w:cs="Times New Roman"/>
          <w:noProof/>
          <w:color w:val="auto"/>
          <w:lang w:val="en-US" w:eastAsia="nl-NL"/>
        </w:rPr>
      </w:pPr>
      <w:bookmarkStart w:id="100" w:name="_Toc231459379"/>
      <w:bookmarkStart w:id="101" w:name="_Hlk183010662"/>
      <w:r>
        <w:rPr>
          <w:rFonts w:ascii="Times New Roman" w:eastAsia="Times New Roman" w:hAnsi="Times New Roman" w:cs="Times New Roman"/>
          <w:noProof/>
          <w:color w:val="auto"/>
          <w:lang w:val="en-US" w:eastAsia="nl-NL"/>
        </w:rPr>
        <w:t>Article 41</w:t>
      </w:r>
      <w:r>
        <w:rPr>
          <w:rFonts w:ascii="Times New Roman" w:hAnsi="Times New Roman" w:cs="Times New Roman"/>
          <w:noProof/>
          <w:color w:val="auto"/>
        </w:rPr>
        <w:br/>
        <w:t>Fulfilment of Obligations, Supervision and Enforcement</w:t>
      </w:r>
      <w:bookmarkEnd w:id="100"/>
    </w:p>
    <w:p>
      <w:pPr>
        <w:spacing w:line="360" w:lineRule="auto"/>
        <w:rPr>
          <w:rFonts w:ascii="Times New Roman" w:hAnsi="Times New Roman" w:cs="Times New Roman"/>
          <w:noProof/>
        </w:rPr>
      </w:pPr>
      <w:r>
        <w:rPr>
          <w:rFonts w:ascii="Times New Roman" w:hAnsi="Times New Roman" w:cs="Times New Roman"/>
          <w:noProof/>
        </w:rPr>
        <w:t xml:space="preserve">1. If a Party considers that the other Party has failed to fulfil any obligation under this Agreement, it shall notify the other Party. The Parties shall hold consultations referred to in Article 40 with a view to reaching a mutually acceptable solution. Where the Parties are unable to reach a mutually acceptable solution, the notifying Party may take appropriate measures. For the purpose of this paragraph, ‘appropriate measures’ may include the suspension or termination of this Agreement. </w:t>
      </w:r>
    </w:p>
    <w:p>
      <w:pPr>
        <w:spacing w:line="360" w:lineRule="auto"/>
        <w:rPr>
          <w:rFonts w:ascii="Times New Roman" w:hAnsi="Times New Roman" w:cs="Times New Roman"/>
          <w:noProof/>
        </w:rPr>
      </w:pPr>
      <w:r>
        <w:rPr>
          <w:rFonts w:ascii="Times New Roman" w:hAnsi="Times New Roman" w:cs="Times New Roman"/>
          <w:noProof/>
        </w:rPr>
        <w:t>2. If a Party considers that the other Party has failed to fulfil any of the obligations that are described as essential elements in Article 6, it shall notify the other Party and may take appropriate measures immediately, without the need to hold consultations referred to in Article 40. For the purpose of this paragraph, ‘appropriate measures’ may include the suspension, in part of in full, of this Agreement.</w:t>
      </w:r>
    </w:p>
    <w:p>
      <w:pPr>
        <w:spacing w:line="360" w:lineRule="auto"/>
        <w:rPr>
          <w:rFonts w:ascii="Times New Roman" w:hAnsi="Times New Roman" w:cs="Times New Roman"/>
          <w:noProof/>
        </w:rPr>
      </w:pPr>
      <w:r>
        <w:rPr>
          <w:rFonts w:ascii="Times New Roman" w:hAnsi="Times New Roman" w:cs="Times New Roman"/>
          <w:noProof/>
        </w:rPr>
        <w:t>3. If a Party considers that the other Party has failed to fulfil any of the obligations referred to in Articles 19, 24, 25 and 27, it shall notify the other Party and may suspend the application of Article 10, immediately, without the need to hold consultations referred to in Article 40.</w:t>
      </w:r>
    </w:p>
    <w:p>
      <w:pPr>
        <w:spacing w:line="360" w:lineRule="auto"/>
        <w:rPr>
          <w:rFonts w:ascii="Times New Roman" w:hAnsi="Times New Roman" w:cs="Times New Roman"/>
          <w:noProof/>
        </w:rPr>
      </w:pPr>
      <w:r>
        <w:rPr>
          <w:rFonts w:ascii="Times New Roman" w:hAnsi="Times New Roman" w:cs="Times New Roman"/>
          <w:noProof/>
        </w:rPr>
        <w:t>4. 'Appropriate measures' referred to in this Article shall be taken in full respect of international law and shall be proportionate to the failure to implement obligations under this Agreement, in particular the scope and duration of those measures shall be limited to what it is strictly necessary to remedy the situation. Priority must be given to those which least disturb the functioning of this Agreement.</w:t>
      </w:r>
    </w:p>
    <w:p>
      <w:pPr>
        <w:pStyle w:val="Heading3"/>
        <w:rPr>
          <w:rFonts w:ascii="Times New Roman" w:hAnsi="Times New Roman" w:cs="Times New Roman"/>
          <w:noProof/>
          <w:color w:val="auto"/>
          <w:szCs w:val="22"/>
          <w:lang w:val="en-IE"/>
        </w:rPr>
      </w:pPr>
      <w:bookmarkStart w:id="102" w:name="_Toc231459380"/>
      <w:bookmarkStart w:id="103" w:name="_Hlk183009748"/>
      <w:bookmarkStart w:id="104" w:name="_Hlk183010966"/>
      <w:r>
        <w:rPr>
          <w:rFonts w:ascii="Times New Roman" w:hAnsi="Times New Roman" w:cs="Times New Roman"/>
          <w:noProof/>
          <w:color w:val="auto"/>
        </w:rPr>
        <w:t xml:space="preserve">Article </w:t>
      </w:r>
      <w:r>
        <w:rPr>
          <w:rFonts w:ascii="Times New Roman" w:hAnsi="Times New Roman" w:cs="Times New Roman"/>
          <w:noProof/>
          <w:color w:val="auto"/>
          <w:lang w:val="en-IE"/>
        </w:rPr>
        <w:t>42</w:t>
      </w:r>
      <w:r>
        <w:rPr>
          <w:rFonts w:ascii="Times New Roman" w:hAnsi="Times New Roman" w:cs="Times New Roman"/>
          <w:noProof/>
          <w:color w:val="auto"/>
          <w:szCs w:val="22"/>
          <w:lang w:val="en-IE"/>
        </w:rPr>
        <w:br/>
      </w:r>
      <w:r>
        <w:rPr>
          <w:rFonts w:ascii="Times New Roman" w:hAnsi="Times New Roman" w:cs="Times New Roman"/>
          <w:noProof/>
          <w:color w:val="auto"/>
          <w:lang w:val="en-IE"/>
        </w:rPr>
        <w:t>Suspension of obligations based on security grounds</w:t>
      </w:r>
      <w:bookmarkEnd w:id="102"/>
    </w:p>
    <w:p>
      <w:pPr>
        <w:spacing w:line="360" w:lineRule="auto"/>
        <w:rPr>
          <w:rFonts w:ascii="Times New Roman" w:hAnsi="Times New Roman" w:cs="Times New Roman"/>
          <w:noProof/>
        </w:rPr>
      </w:pPr>
      <w:r>
        <w:rPr>
          <w:rFonts w:ascii="Times New Roman" w:hAnsi="Times New Roman" w:cs="Times New Roman"/>
          <w:noProof/>
        </w:rPr>
        <w:t xml:space="preserve">1. Notwithstanding Article 50, where a Party considers that it is exposed to a serious and persistent threat to internal security due to the absence of controls between the Schengen States and the Principality of </w:t>
      </w:r>
      <w:r>
        <w:rPr>
          <w:rFonts w:ascii="Times New Roman" w:hAnsi="Times New Roman" w:cs="Times New Roman"/>
          <w:noProof/>
        </w:rPr>
        <w:lastRenderedPageBreak/>
        <w:t xml:space="preserve">Andorra, a Party may temporarily suspend the implementation of its obligations in part or in whole under this Agreement.  </w:t>
      </w:r>
    </w:p>
    <w:p>
      <w:pPr>
        <w:spacing w:line="360" w:lineRule="auto"/>
        <w:rPr>
          <w:rFonts w:ascii="Times New Roman" w:hAnsi="Times New Roman" w:cs="Times New Roman"/>
          <w:noProof/>
        </w:rPr>
      </w:pPr>
      <w:r>
        <w:rPr>
          <w:rFonts w:ascii="Times New Roman" w:hAnsi="Times New Roman" w:cs="Times New Roman"/>
          <w:noProof/>
        </w:rPr>
        <w:t xml:space="preserve">Before the temporary suspension of the implementation of its obligations under this Agreement, the Union or, where applicable, a State which has acceded pursuant to Article 52, shall consult the French Republic and the Kingdom of Spain, and shall take the opinion of the French Republic and the Kingdom of Spain duly into account. </w:t>
      </w:r>
    </w:p>
    <w:p>
      <w:pPr>
        <w:spacing w:line="360" w:lineRule="auto"/>
        <w:rPr>
          <w:rFonts w:ascii="Times New Roman" w:hAnsi="Times New Roman" w:cs="Times New Roman"/>
          <w:noProof/>
        </w:rPr>
      </w:pPr>
      <w:r>
        <w:rPr>
          <w:rFonts w:ascii="Times New Roman" w:hAnsi="Times New Roman" w:cs="Times New Roman"/>
          <w:noProof/>
        </w:rPr>
        <w:t xml:space="preserve">2. Where a Party intends to suspend its obligations in accordance with paragraph 1, it shall notify the Joint Committee. Such notification shall indicate the period for which that Party intends the temporary suspension of its obligations to apply as well as the scope of the obligations to be suspended. The temporary suspension of the obligations of that Party shall take effect on the eighth day of the notification or on any later date as specified therein. On this basis, the French Republic and the Kingdom of Spain and the Principality of Andorra shall </w:t>
      </w:r>
      <w:bookmarkStart w:id="105" w:name="_Hlk196416399"/>
      <w:r>
        <w:rPr>
          <w:rFonts w:ascii="Times New Roman" w:hAnsi="Times New Roman" w:cs="Times New Roman"/>
          <w:noProof/>
        </w:rPr>
        <w:t>reintroduce</w:t>
      </w:r>
      <w:bookmarkEnd w:id="105"/>
      <w:r>
        <w:rPr>
          <w:rFonts w:ascii="Times New Roman" w:hAnsi="Times New Roman" w:cs="Times New Roman"/>
          <w:noProof/>
        </w:rPr>
        <w:t xml:space="preserve"> border checks between the Union and the Principality of Andorra. </w:t>
      </w:r>
    </w:p>
    <w:p>
      <w:pPr>
        <w:pStyle w:val="Heading3"/>
        <w:spacing w:after="120"/>
        <w:rPr>
          <w:rFonts w:ascii="Times New Roman" w:hAnsi="Times New Roman" w:cs="Times New Roman"/>
          <w:noProof/>
          <w:color w:val="auto"/>
        </w:rPr>
      </w:pPr>
      <w:bookmarkStart w:id="106" w:name="_Toc204949043"/>
      <w:bookmarkStart w:id="107" w:name="_Toc231459381"/>
      <w:bookmarkEnd w:id="103"/>
      <w:bookmarkEnd w:id="104"/>
      <w:r>
        <w:rPr>
          <w:rFonts w:ascii="Times New Roman" w:hAnsi="Times New Roman" w:cs="Times New Roman"/>
          <w:noProof/>
          <w:color w:val="auto"/>
        </w:rPr>
        <w:t xml:space="preserve">Article </w:t>
      </w:r>
      <w:bookmarkEnd w:id="106"/>
      <w:r>
        <w:rPr>
          <w:rFonts w:ascii="Times New Roman" w:hAnsi="Times New Roman" w:cs="Times New Roman"/>
          <w:noProof/>
          <w:color w:val="auto"/>
          <w:lang w:val="en-IE"/>
        </w:rPr>
        <w:t>43</w:t>
      </w:r>
      <w:bookmarkEnd w:id="107"/>
      <w:r>
        <w:rPr>
          <w:rFonts w:ascii="Times New Roman" w:hAnsi="Times New Roman" w:cs="Times New Roman"/>
          <w:noProof/>
          <w:color w:val="auto"/>
          <w:lang w:val="en-IE"/>
        </w:rPr>
        <w:t xml:space="preserve"> </w:t>
      </w:r>
    </w:p>
    <w:p>
      <w:pPr>
        <w:pStyle w:val="Heading3"/>
        <w:spacing w:after="120"/>
        <w:rPr>
          <w:rFonts w:ascii="Times New Roman" w:hAnsi="Times New Roman" w:cs="Times New Roman"/>
          <w:noProof/>
          <w:color w:val="auto"/>
          <w:szCs w:val="22"/>
          <w:lang w:val="en-IE"/>
        </w:rPr>
      </w:pPr>
      <w:bookmarkStart w:id="108" w:name="_Toc204949044"/>
      <w:bookmarkStart w:id="109" w:name="_Toc231459382"/>
      <w:r>
        <w:rPr>
          <w:rFonts w:ascii="Times New Roman" w:hAnsi="Times New Roman" w:cs="Times New Roman"/>
          <w:noProof/>
          <w:color w:val="auto"/>
          <w:lang w:val="en-IE"/>
        </w:rPr>
        <w:t xml:space="preserve">Suspension of obligations related to the visa-free status of Union citizens, nationals of a non-EU State which has acceded to this Agreement and the citizens of </w:t>
      </w:r>
      <w:bookmarkEnd w:id="108"/>
      <w:r>
        <w:rPr>
          <w:rFonts w:ascii="Times New Roman" w:hAnsi="Times New Roman" w:cs="Times New Roman"/>
          <w:noProof/>
          <w:color w:val="auto"/>
          <w:lang w:val="en-IE"/>
        </w:rPr>
        <w:t>the Principalty of Andorra</w:t>
      </w:r>
      <w:bookmarkEnd w:id="109"/>
    </w:p>
    <w:p>
      <w:pPr>
        <w:spacing w:line="360" w:lineRule="auto"/>
        <w:rPr>
          <w:rFonts w:ascii="Times New Roman" w:hAnsi="Times New Roman" w:cs="Times New Roman"/>
          <w:noProof/>
        </w:rPr>
      </w:pPr>
      <w:r>
        <w:rPr>
          <w:rFonts w:ascii="Times New Roman" w:hAnsi="Times New Roman" w:cs="Times New Roman"/>
          <w:noProof/>
        </w:rPr>
        <w:t>A Party may suspend paragraphs 2 and 3 of Article 20, in particular, for reasons of public policy, the protection of national security or the protection of public health, irregular immigration or upon the reintroduction of the visa requirement by the other Party. The decision on suspension shall be notified to the other Parties not later than two months before its planned entry into force. The Party that has suspended the application of paragraphs 2 and 3 of Article 20, shall immediately inform the other Party should the reasons for that suspension cease to exist and shall lift that suspension.</w:t>
      </w:r>
    </w:p>
    <w:p>
      <w:pPr>
        <w:spacing w:line="360" w:lineRule="auto"/>
        <w:rPr>
          <w:rFonts w:ascii="Times New Roman" w:hAnsi="Times New Roman" w:cs="Times New Roman"/>
          <w:noProof/>
          <w:lang w:val="en-IE"/>
        </w:rPr>
      </w:pPr>
    </w:p>
    <w:p>
      <w:pPr>
        <w:pStyle w:val="Heading1"/>
        <w:rPr>
          <w:rFonts w:ascii="Times New Roman" w:hAnsi="Times New Roman" w:cs="Times New Roman"/>
          <w:noProof/>
          <w:lang w:val="en-IE"/>
        </w:rPr>
      </w:pPr>
      <w:bookmarkStart w:id="110" w:name="_Toc231459383"/>
      <w:bookmarkEnd w:id="101"/>
      <w:r>
        <w:rPr>
          <w:rFonts w:ascii="Times New Roman" w:hAnsi="Times New Roman" w:cs="Times New Roman"/>
          <w:noProof/>
          <w:lang w:val="en-IE"/>
        </w:rPr>
        <w:lastRenderedPageBreak/>
        <w:t>PART FOUR</w:t>
      </w:r>
      <w:r>
        <w:rPr>
          <w:rFonts w:ascii="Times New Roman" w:hAnsi="Times New Roman" w:cs="Times New Roman"/>
          <w:noProof/>
          <w:lang w:val="en-IE"/>
        </w:rPr>
        <w:br/>
        <w:t>FINAL PROVISIONS</w:t>
      </w:r>
      <w:bookmarkEnd w:id="110"/>
    </w:p>
    <w:p>
      <w:pPr>
        <w:pStyle w:val="Heading3"/>
        <w:rPr>
          <w:rFonts w:ascii="Times New Roman" w:hAnsi="Times New Roman" w:cs="Times New Roman"/>
          <w:noProof/>
          <w:color w:val="auto"/>
          <w:lang w:val="en-IE"/>
        </w:rPr>
      </w:pPr>
      <w:bookmarkStart w:id="111" w:name="_Toc231459384"/>
      <w:r>
        <w:rPr>
          <w:rFonts w:ascii="Times New Roman" w:hAnsi="Times New Roman" w:cs="Times New Roman"/>
          <w:noProof/>
          <w:color w:val="auto"/>
          <w:lang w:val="en-IE"/>
        </w:rPr>
        <w:t>Article 44</w:t>
      </w:r>
      <w:r>
        <w:rPr>
          <w:rFonts w:ascii="Times New Roman" w:hAnsi="Times New Roman" w:cs="Times New Roman"/>
          <w:noProof/>
          <w:color w:val="auto"/>
        </w:rPr>
        <w:br/>
      </w:r>
      <w:r>
        <w:rPr>
          <w:rFonts w:ascii="Times New Roman" w:hAnsi="Times New Roman" w:cs="Times New Roman"/>
          <w:noProof/>
          <w:color w:val="auto"/>
          <w:lang w:val="en-IE"/>
        </w:rPr>
        <w:t>Relationship with other Agreements</w:t>
      </w:r>
      <w:bookmarkEnd w:id="111"/>
    </w:p>
    <w:p>
      <w:pPr>
        <w:spacing w:line="360" w:lineRule="auto"/>
        <w:rPr>
          <w:rFonts w:ascii="Times New Roman" w:hAnsi="Times New Roman" w:cs="Times New Roman"/>
          <w:noProof/>
          <w:lang w:val="en-IE"/>
        </w:rPr>
      </w:pPr>
      <w:r>
        <w:rPr>
          <w:rFonts w:ascii="Times New Roman" w:hAnsi="Times New Roman" w:cs="Times New Roman"/>
          <w:noProof/>
          <w:lang w:val="en-IE"/>
        </w:rPr>
        <w:t>This Agreement and any supplementing agreement shall apply without prejudice to any existing and future agreement between the Principality of Andorra on the one part and the Union or Schengen States, on the other part provided that they are not incompatible with this Agreement.</w:t>
      </w:r>
    </w:p>
    <w:p>
      <w:pPr>
        <w:pStyle w:val="Heading3"/>
        <w:rPr>
          <w:rFonts w:ascii="Times New Roman" w:eastAsia="Times New Roman" w:hAnsi="Times New Roman" w:cs="Times New Roman"/>
          <w:noProof/>
          <w:color w:val="auto"/>
          <w:lang w:val="en-US" w:eastAsia="nl-NL"/>
        </w:rPr>
      </w:pPr>
      <w:bookmarkStart w:id="112" w:name="_Toc231459385"/>
      <w:r>
        <w:rPr>
          <w:rFonts w:ascii="Times New Roman" w:eastAsia="Times New Roman" w:hAnsi="Times New Roman" w:cs="Times New Roman"/>
          <w:noProof/>
          <w:color w:val="auto"/>
          <w:lang w:val="en-US" w:eastAsia="nl-NL"/>
        </w:rPr>
        <w:t xml:space="preserve">Article </w:t>
      </w:r>
      <w:r>
        <w:rPr>
          <w:rFonts w:ascii="Times New Roman" w:hAnsi="Times New Roman" w:cs="Times New Roman"/>
          <w:noProof/>
          <w:color w:val="auto"/>
          <w:lang w:val="en-IE"/>
        </w:rPr>
        <w:t xml:space="preserve">45 </w:t>
      </w:r>
      <w:r>
        <w:rPr>
          <w:rFonts w:ascii="Times New Roman" w:hAnsi="Times New Roman" w:cs="Times New Roman"/>
          <w:noProof/>
          <w:color w:val="auto"/>
        </w:rPr>
        <w:br/>
      </w:r>
      <w:r>
        <w:rPr>
          <w:rFonts w:ascii="Times New Roman" w:eastAsia="Times New Roman" w:hAnsi="Times New Roman" w:cs="Times New Roman"/>
          <w:noProof/>
          <w:color w:val="auto"/>
          <w:lang w:val="en-US" w:eastAsia="nl-NL"/>
        </w:rPr>
        <w:t>Amendments</w:t>
      </w:r>
      <w:bookmarkEnd w:id="112"/>
    </w:p>
    <w:p>
      <w:pPr>
        <w:spacing w:line="360" w:lineRule="auto"/>
        <w:rPr>
          <w:rFonts w:ascii="Times New Roman" w:hAnsi="Times New Roman" w:cs="Times New Roman"/>
          <w:noProof/>
          <w:lang w:val="en-IE"/>
        </w:rPr>
      </w:pPr>
      <w:r>
        <w:rPr>
          <w:rFonts w:ascii="Times New Roman" w:hAnsi="Times New Roman" w:cs="Times New Roman"/>
          <w:noProof/>
          <w:lang w:val="en-IE"/>
        </w:rPr>
        <w:t>1. The Parties may agree, in writing, to amend this Agreement.</w:t>
      </w:r>
      <w:bookmarkStart w:id="113" w:name="_Hlk196416432"/>
      <w:r>
        <w:rPr>
          <w:rFonts w:ascii="Times New Roman" w:hAnsi="Times New Roman" w:cs="Times New Roman"/>
          <w:noProof/>
          <w:lang w:val="en-IE"/>
        </w:rPr>
        <w:t xml:space="preserve"> The amendments shall apply in accordance with Articles </w:t>
      </w:r>
      <w:bookmarkEnd w:id="113"/>
      <w:r>
        <w:rPr>
          <w:rFonts w:ascii="Times New Roman" w:hAnsi="Times New Roman" w:cs="Times New Roman"/>
          <w:noProof/>
          <w:lang w:val="en-IE"/>
        </w:rPr>
        <w:t>54 and 55.</w:t>
      </w:r>
    </w:p>
    <w:p>
      <w:pPr>
        <w:spacing w:line="360" w:lineRule="auto"/>
        <w:rPr>
          <w:rFonts w:ascii="Times New Roman" w:hAnsi="Times New Roman" w:cs="Times New Roman"/>
          <w:noProof/>
          <w:lang w:val="en-IE"/>
        </w:rPr>
      </w:pPr>
      <w:r>
        <w:rPr>
          <w:rFonts w:ascii="Times New Roman" w:hAnsi="Times New Roman" w:cs="Times New Roman"/>
          <w:noProof/>
          <w:lang w:val="en-IE"/>
        </w:rPr>
        <w:t>2. The Joint Committee may amend</w:t>
      </w:r>
      <w:r>
        <w:rPr>
          <w:rFonts w:ascii="Times New Roman" w:eastAsia="Times New Roman" w:hAnsi="Times New Roman" w:cs="Times New Roman"/>
          <w:noProof/>
          <w:lang w:val="en-US" w:eastAsia="nl-NL"/>
        </w:rPr>
        <w:t xml:space="preserve"> Annex I </w:t>
      </w:r>
      <w:r>
        <w:rPr>
          <w:rFonts w:ascii="Times New Roman" w:hAnsi="Times New Roman" w:cs="Times New Roman"/>
          <w:noProof/>
          <w:lang w:val="en-IE"/>
        </w:rPr>
        <w:t>to this Agreement in the terms referred to in Article 10.</w:t>
      </w:r>
    </w:p>
    <w:p>
      <w:pPr>
        <w:pStyle w:val="Heading3"/>
        <w:rPr>
          <w:rFonts w:ascii="Times New Roman" w:hAnsi="Times New Roman" w:cs="Times New Roman"/>
          <w:noProof/>
          <w:color w:val="auto"/>
          <w:lang w:val="en-IE"/>
        </w:rPr>
      </w:pPr>
      <w:bookmarkStart w:id="114" w:name="_Toc231459386"/>
      <w:r>
        <w:rPr>
          <w:rFonts w:ascii="Times New Roman" w:hAnsi="Times New Roman" w:cs="Times New Roman"/>
          <w:noProof/>
          <w:color w:val="auto"/>
          <w:lang w:val="en-IE"/>
        </w:rPr>
        <w:t>Article 46</w:t>
      </w:r>
      <w:r>
        <w:rPr>
          <w:rFonts w:ascii="Times New Roman" w:hAnsi="Times New Roman" w:cs="Times New Roman"/>
          <w:noProof/>
          <w:color w:val="auto"/>
          <w:lang w:val="en-IE"/>
        </w:rPr>
        <w:br/>
        <w:t>Review of the implementation</w:t>
      </w:r>
      <w:bookmarkEnd w:id="114"/>
    </w:p>
    <w:p>
      <w:pPr>
        <w:spacing w:line="360" w:lineRule="auto"/>
        <w:rPr>
          <w:rFonts w:ascii="Times New Roman" w:hAnsi="Times New Roman" w:cs="Times New Roman"/>
          <w:noProof/>
          <w:lang w:val="en-IE"/>
        </w:rPr>
      </w:pPr>
      <w:r>
        <w:rPr>
          <w:rFonts w:ascii="Times New Roman" w:hAnsi="Times New Roman" w:cs="Times New Roman"/>
          <w:noProof/>
          <w:lang w:val="en-IE"/>
        </w:rPr>
        <w:t>1. The Joint Committee shall review the implementation of this Agreement and supplementing agreements and any matters related thereto four years after the entry into force of this Agreement and regularly thereafter. That review shall set out the common assessment of the representatives of the Parties or, in the alternative, the assessment of the representatives of each Party.</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2. In case the Principality of Andorra </w:t>
      </w:r>
      <w:bookmarkStart w:id="115" w:name="_Hlk196416456"/>
      <w:r>
        <w:rPr>
          <w:rFonts w:ascii="Times New Roman" w:hAnsi="Times New Roman" w:cs="Times New Roman"/>
          <w:noProof/>
          <w:lang w:val="en-IE"/>
        </w:rPr>
        <w:t>decides to start issuing short-stay or long-stay visas to third-country nationals, the Parties shall jointly review the Agreement</w:t>
      </w:r>
      <w:bookmarkEnd w:id="115"/>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3. Upon completion of the review in paragraph 1, and without prejudice to Article 50, each Party may decide to terminate this Agreement by written notification through diplomatic channels. This Agreement and any supplementing agreement shall cease to be in force on the first day of the twelfth month following the date of notification.</w:t>
      </w:r>
    </w:p>
    <w:p>
      <w:pPr>
        <w:pStyle w:val="Heading3"/>
        <w:rPr>
          <w:rFonts w:ascii="Times New Roman" w:hAnsi="Times New Roman" w:cs="Times New Roman"/>
          <w:noProof/>
          <w:color w:val="auto"/>
        </w:rPr>
      </w:pPr>
      <w:bookmarkStart w:id="116" w:name="_Toc231459387"/>
      <w:r>
        <w:rPr>
          <w:rFonts w:ascii="Times New Roman" w:hAnsi="Times New Roman" w:cs="Times New Roman"/>
          <w:noProof/>
          <w:color w:val="auto"/>
          <w:lang w:val="en-IE"/>
        </w:rPr>
        <w:t>Article 47</w:t>
      </w:r>
      <w:r>
        <w:rPr>
          <w:rFonts w:ascii="Times New Roman" w:hAnsi="Times New Roman" w:cs="Times New Roman"/>
          <w:noProof/>
          <w:color w:val="auto"/>
        </w:rPr>
        <w:br/>
        <w:t>Confidential information</w:t>
      </w:r>
      <w:bookmarkEnd w:id="116"/>
    </w:p>
    <w:p>
      <w:pPr>
        <w:spacing w:line="360" w:lineRule="auto"/>
        <w:rPr>
          <w:rFonts w:ascii="Times New Roman" w:hAnsi="Times New Roman" w:cs="Times New Roman"/>
          <w:noProof/>
        </w:rPr>
      </w:pPr>
      <w:r>
        <w:rPr>
          <w:rFonts w:ascii="Times New Roman" w:hAnsi="Times New Roman" w:cs="Times New Roman"/>
          <w:noProof/>
        </w:rPr>
        <w:t xml:space="preserve">1. Nothing in this Agreement or in any supplementing agreement shall be construed as requiring a Party to make available confidential information, the disclosure of which would impede law enforcement, or otherwise be contrary to the public interest, or which would prejudice the legitimate commercial interests of particular enterprises, public or private. </w:t>
      </w:r>
    </w:p>
    <w:p>
      <w:pPr>
        <w:spacing w:line="360" w:lineRule="auto"/>
        <w:rPr>
          <w:rFonts w:ascii="Times New Roman" w:hAnsi="Times New Roman" w:cs="Times New Roman"/>
          <w:noProof/>
        </w:rPr>
      </w:pPr>
      <w:r>
        <w:rPr>
          <w:rFonts w:ascii="Times New Roman" w:hAnsi="Times New Roman" w:cs="Times New Roman"/>
          <w:noProof/>
        </w:rPr>
        <w:lastRenderedPageBreak/>
        <w:t>2. When a Party submits information to the Joint Committee that is considered as confidential under its laws and regulations, the other Party shall treat that information as confidential, unless the submitting Party agrees otherwise.</w:t>
      </w:r>
    </w:p>
    <w:p>
      <w:pPr>
        <w:pStyle w:val="Heading3"/>
        <w:rPr>
          <w:rFonts w:ascii="Times New Roman" w:hAnsi="Times New Roman" w:cs="Times New Roman"/>
          <w:noProof/>
          <w:color w:val="auto"/>
          <w:lang w:val="en-IE"/>
        </w:rPr>
      </w:pPr>
      <w:bookmarkStart w:id="117" w:name="_Toc231459388"/>
      <w:r>
        <w:rPr>
          <w:rFonts w:ascii="Times New Roman" w:hAnsi="Times New Roman" w:cs="Times New Roman"/>
          <w:noProof/>
          <w:color w:val="auto"/>
          <w:lang w:val="en-IE"/>
        </w:rPr>
        <w:t>Article 48</w:t>
      </w:r>
      <w:r>
        <w:rPr>
          <w:rFonts w:ascii="Times New Roman" w:hAnsi="Times New Roman" w:cs="Times New Roman"/>
          <w:noProof/>
          <w:color w:val="auto"/>
          <w:lang w:val="en-IE"/>
        </w:rPr>
        <w:br/>
        <w:t>Classified information and sensitive non-classified information</w:t>
      </w:r>
      <w:bookmarkEnd w:id="117"/>
      <w:r>
        <w:rPr>
          <w:rFonts w:ascii="Times New Roman" w:hAnsi="Times New Roman" w:cs="Times New Roman"/>
          <w:noProof/>
          <w:color w:val="auto"/>
          <w:lang w:val="en-IE"/>
        </w:rPr>
        <w:t xml:space="preserve"> </w:t>
      </w:r>
    </w:p>
    <w:p>
      <w:pPr>
        <w:spacing w:line="360" w:lineRule="auto"/>
        <w:rPr>
          <w:rFonts w:ascii="Times New Roman" w:hAnsi="Times New Roman" w:cs="Times New Roman"/>
          <w:noProof/>
          <w:lang w:val="en-IE"/>
        </w:rPr>
      </w:pPr>
      <w:r>
        <w:rPr>
          <w:rFonts w:ascii="Times New Roman" w:hAnsi="Times New Roman" w:cs="Times New Roman"/>
          <w:noProof/>
          <w:lang w:val="en-IE"/>
        </w:rPr>
        <w:t>Nothing in this Agreement or in any supplementing agreement shall be construed as requiring a Party to make available classified information.</w:t>
      </w:r>
    </w:p>
    <w:p>
      <w:pPr>
        <w:spacing w:line="360" w:lineRule="auto"/>
        <w:rPr>
          <w:rFonts w:ascii="Times New Roman" w:hAnsi="Times New Roman" w:cs="Times New Roman"/>
          <w:noProof/>
          <w:lang w:val="en-IE"/>
        </w:rPr>
      </w:pPr>
      <w:r>
        <w:rPr>
          <w:rFonts w:ascii="Times New Roman" w:hAnsi="Times New Roman" w:cs="Times New Roman"/>
          <w:noProof/>
          <w:lang w:val="en-IE"/>
        </w:rPr>
        <w:t>The Parties shall agree upon handling instructions to ensure the protection of sensitive non classified information exchanged between them.</w:t>
      </w:r>
    </w:p>
    <w:p>
      <w:pPr>
        <w:pStyle w:val="Heading3"/>
        <w:rPr>
          <w:rFonts w:ascii="Times New Roman" w:hAnsi="Times New Roman" w:cs="Times New Roman"/>
          <w:noProof/>
          <w:color w:val="auto"/>
          <w:lang w:val="en-IE"/>
        </w:rPr>
      </w:pPr>
      <w:bookmarkStart w:id="118" w:name="_Toc231459389"/>
      <w:r>
        <w:rPr>
          <w:rFonts w:ascii="Times New Roman" w:hAnsi="Times New Roman" w:cs="Times New Roman"/>
          <w:noProof/>
          <w:color w:val="auto"/>
          <w:lang w:val="en-IE"/>
        </w:rPr>
        <w:t>Article 49</w:t>
      </w:r>
      <w:r>
        <w:rPr>
          <w:rFonts w:ascii="Times New Roman" w:hAnsi="Times New Roman" w:cs="Times New Roman"/>
          <w:noProof/>
          <w:color w:val="auto"/>
          <w:lang w:val="en-IE"/>
        </w:rPr>
        <w:br/>
        <w:t>Integral parts of this Agreement</w:t>
      </w:r>
      <w:bookmarkEnd w:id="118"/>
      <w:r>
        <w:rPr>
          <w:rFonts w:ascii="Times New Roman" w:hAnsi="Times New Roman" w:cs="Times New Roman"/>
          <w:noProof/>
          <w:color w:val="auto"/>
          <w:lang w:val="en-IE"/>
        </w:rPr>
        <w:t xml:space="preserve"> </w:t>
      </w:r>
    </w:p>
    <w:p>
      <w:pPr>
        <w:spacing w:line="360" w:lineRule="auto"/>
        <w:rPr>
          <w:rFonts w:ascii="Times New Roman" w:hAnsi="Times New Roman" w:cs="Times New Roman"/>
          <w:noProof/>
          <w:lang w:val="en-IE"/>
        </w:rPr>
      </w:pPr>
      <w:r>
        <w:rPr>
          <w:rFonts w:ascii="Times New Roman" w:hAnsi="Times New Roman" w:cs="Times New Roman"/>
          <w:noProof/>
          <w:lang w:val="en-IE"/>
        </w:rPr>
        <w:t>The Annex and footnotes to this Agreement shall form an integral part of this Agreement.</w:t>
      </w:r>
    </w:p>
    <w:p>
      <w:pPr>
        <w:pStyle w:val="Heading3"/>
        <w:rPr>
          <w:rFonts w:ascii="Times New Roman" w:hAnsi="Times New Roman" w:cs="Times New Roman"/>
          <w:noProof/>
          <w:color w:val="auto"/>
          <w:lang w:val="en-IE"/>
        </w:rPr>
      </w:pPr>
      <w:bookmarkStart w:id="119" w:name="_Toc231459390"/>
      <w:r>
        <w:rPr>
          <w:rFonts w:ascii="Times New Roman" w:hAnsi="Times New Roman" w:cs="Times New Roman"/>
          <w:noProof/>
          <w:color w:val="auto"/>
          <w:lang w:val="en-IE"/>
        </w:rPr>
        <w:t>Article 50</w:t>
      </w:r>
      <w:r>
        <w:rPr>
          <w:rFonts w:ascii="Times New Roman" w:hAnsi="Times New Roman" w:cs="Times New Roman"/>
          <w:noProof/>
          <w:color w:val="auto"/>
          <w:lang w:val="en-IE"/>
        </w:rPr>
        <w:br/>
        <w:t>Termination</w:t>
      </w:r>
      <w:bookmarkEnd w:id="119"/>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The European Union and the Principality of Andorra may terminate this Agreement by written notification through diplomatic channels. This Agreement and any supplementing agreement shall cease to be in force on the first day of the </w:t>
      </w:r>
      <w:bookmarkStart w:id="120" w:name="_Hlk196416488"/>
      <w:r>
        <w:rPr>
          <w:rFonts w:ascii="Times New Roman" w:hAnsi="Times New Roman" w:cs="Times New Roman"/>
          <w:noProof/>
          <w:lang w:val="en-IE"/>
        </w:rPr>
        <w:t xml:space="preserve">twelfth </w:t>
      </w:r>
      <w:bookmarkEnd w:id="120"/>
      <w:r>
        <w:rPr>
          <w:rFonts w:ascii="Times New Roman" w:hAnsi="Times New Roman" w:cs="Times New Roman"/>
          <w:noProof/>
          <w:lang w:val="en-IE"/>
        </w:rPr>
        <w:t>month following the date of notification.</w:t>
      </w:r>
    </w:p>
    <w:p>
      <w:pPr>
        <w:pStyle w:val="Heading3"/>
        <w:rPr>
          <w:rFonts w:ascii="Times New Roman" w:hAnsi="Times New Roman" w:cs="Times New Roman"/>
          <w:noProof/>
          <w:color w:val="auto"/>
          <w:lang w:val="en-IE"/>
        </w:rPr>
      </w:pPr>
      <w:bookmarkStart w:id="121" w:name="_Toc231459391"/>
      <w:r>
        <w:rPr>
          <w:rFonts w:ascii="Times New Roman" w:hAnsi="Times New Roman" w:cs="Times New Roman"/>
          <w:noProof/>
          <w:color w:val="auto"/>
          <w:lang w:val="en-IE"/>
        </w:rPr>
        <w:t>Article 51</w:t>
      </w:r>
      <w:r>
        <w:rPr>
          <w:rFonts w:ascii="Times New Roman" w:hAnsi="Times New Roman" w:cs="Times New Roman"/>
          <w:noProof/>
          <w:color w:val="auto"/>
          <w:lang w:val="en-IE"/>
        </w:rPr>
        <w:br/>
        <w:t>Territorial application</w:t>
      </w:r>
      <w:bookmarkEnd w:id="121"/>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1. This Agreement shall apply, of the one part, to the territory in which the Treaty on European Union and the Treaty on the Functioning of the European Union apply and under the conditions laid down in those Treaties, and, of the other part, to the territory of the Principality of Andorra.</w:t>
      </w:r>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 xml:space="preserve">2. This Agreement shall also apply to the territory of a </w:t>
      </w:r>
      <w:r>
        <w:rPr>
          <w:rFonts w:ascii="Times New Roman" w:hAnsi="Times New Roman" w:cs="Times New Roman"/>
          <w:noProof/>
        </w:rPr>
        <w:t xml:space="preserve">State that applies the Schengen </w:t>
      </w:r>
      <w:r>
        <w:rPr>
          <w:rFonts w:ascii="Times New Roman" w:hAnsi="Times New Roman" w:cs="Times New Roman"/>
          <w:i/>
          <w:noProof/>
        </w:rPr>
        <w:t xml:space="preserve">acquis </w:t>
      </w:r>
      <w:r>
        <w:rPr>
          <w:rFonts w:ascii="Times New Roman" w:hAnsi="Times New Roman" w:cs="Times New Roman"/>
          <w:noProof/>
        </w:rPr>
        <w:t xml:space="preserve">in full and has acceded to this Agreement in accordance with Article 52. </w:t>
      </w:r>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 xml:space="preserve">3. The European Union shall notify the Principality of Andorra, if after the entry into force of this Agreement, in accordance with paragraph 2, it starts to apply in relation to a State that applies the Schengen </w:t>
      </w:r>
      <w:r>
        <w:rPr>
          <w:rFonts w:ascii="Times New Roman" w:hAnsi="Times New Roman" w:cs="Times New Roman"/>
          <w:i/>
          <w:iCs/>
          <w:noProof/>
          <w:lang w:val="en-IE"/>
        </w:rPr>
        <w:t>acquis</w:t>
      </w:r>
      <w:r>
        <w:rPr>
          <w:rFonts w:ascii="Times New Roman" w:hAnsi="Times New Roman" w:cs="Times New Roman"/>
          <w:noProof/>
          <w:lang w:val="en-IE"/>
        </w:rPr>
        <w:t xml:space="preserve"> in full and was not previously bound by the Agreement. In such a case, the Agreement shall apply in relation to the State concerned on the first day of the month following receipt of the notification by the Principality of Andorra.</w:t>
      </w:r>
    </w:p>
    <w:p>
      <w:pPr>
        <w:pStyle w:val="Heading3"/>
        <w:rPr>
          <w:rFonts w:ascii="Times New Roman" w:hAnsi="Times New Roman" w:cs="Times New Roman"/>
          <w:noProof/>
          <w:color w:val="auto"/>
          <w:lang w:val="en-IE"/>
        </w:rPr>
      </w:pPr>
      <w:bookmarkStart w:id="122" w:name="_Toc231459392"/>
      <w:r>
        <w:rPr>
          <w:rFonts w:ascii="Times New Roman" w:hAnsi="Times New Roman" w:cs="Times New Roman"/>
          <w:noProof/>
          <w:color w:val="auto"/>
          <w:lang w:val="en-IE"/>
        </w:rPr>
        <w:lastRenderedPageBreak/>
        <w:t>Article 52</w:t>
      </w:r>
      <w:r>
        <w:rPr>
          <w:rFonts w:ascii="Times New Roman" w:hAnsi="Times New Roman" w:cs="Times New Roman"/>
          <w:noProof/>
          <w:color w:val="auto"/>
          <w:lang w:val="en-IE"/>
        </w:rPr>
        <w:br/>
        <w:t>Accession to this Agreement by States participating in the Schengen area under international law</w:t>
      </w:r>
      <w:bookmarkEnd w:id="122"/>
      <w:r>
        <w:rPr>
          <w:rFonts w:ascii="Times New Roman" w:hAnsi="Times New Roman" w:cs="Times New Roman"/>
          <w:noProof/>
          <w:color w:val="auto"/>
          <w:lang w:val="en-IE"/>
        </w:rPr>
        <w:t xml:space="preserve">  </w:t>
      </w:r>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 xml:space="preserve">1. This Agreement shall be open for accession by any </w:t>
      </w:r>
      <w:bookmarkStart w:id="123" w:name="_Hlk222136572"/>
      <w:r>
        <w:rPr>
          <w:rFonts w:ascii="Times New Roman" w:hAnsi="Times New Roman" w:cs="Times New Roman"/>
          <w:noProof/>
          <w:lang w:val="en-IE"/>
        </w:rPr>
        <w:t xml:space="preserve">State that applies the Schengen </w:t>
      </w:r>
      <w:r>
        <w:rPr>
          <w:rFonts w:ascii="Times New Roman" w:hAnsi="Times New Roman" w:cs="Times New Roman"/>
          <w:i/>
          <w:noProof/>
          <w:lang w:val="en-IE"/>
        </w:rPr>
        <w:t>acquis</w:t>
      </w:r>
      <w:r>
        <w:rPr>
          <w:rFonts w:ascii="Times New Roman" w:hAnsi="Times New Roman" w:cs="Times New Roman"/>
          <w:noProof/>
          <w:lang w:val="en-IE"/>
        </w:rPr>
        <w:t xml:space="preserve"> in full either in accordance with Protocol 22 on the position of Denmark or on the basis of an agreement providing for its association with the implementation, application and development of the Schengen </w:t>
      </w:r>
      <w:r>
        <w:rPr>
          <w:rFonts w:ascii="Times New Roman" w:hAnsi="Times New Roman" w:cs="Times New Roman"/>
          <w:i/>
          <w:noProof/>
          <w:lang w:val="en-IE"/>
        </w:rPr>
        <w:t xml:space="preserve">acquis </w:t>
      </w:r>
      <w:r>
        <w:rPr>
          <w:rFonts w:ascii="Times New Roman" w:hAnsi="Times New Roman" w:cs="Times New Roman"/>
          <w:iCs/>
          <w:noProof/>
          <w:lang w:val="en-IE"/>
        </w:rPr>
        <w:t>(‘Schengen Association Agreement’)</w:t>
      </w:r>
      <w:r>
        <w:rPr>
          <w:rFonts w:ascii="Times New Roman" w:hAnsi="Times New Roman" w:cs="Times New Roman"/>
          <w:noProof/>
          <w:lang w:val="en-IE"/>
        </w:rPr>
        <w:t>. </w:t>
      </w:r>
      <w:bookmarkEnd w:id="123"/>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 xml:space="preserve">2. </w:t>
      </w:r>
      <w:r>
        <w:rPr>
          <w:rFonts w:ascii="Times New Roman" w:hAnsi="Times New Roman" w:cs="Times New Roman"/>
          <w:noProof/>
        </w:rPr>
        <w:t>The instrument of accession shall be deposited with the Depositary.</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 3. </w:t>
      </w:r>
      <w:r>
        <w:rPr>
          <w:rFonts w:ascii="Times New Roman" w:hAnsi="Times New Roman" w:cs="Times New Roman"/>
          <w:noProof/>
        </w:rPr>
        <w:t>Accession shall take effect on the thirtieth day following the date of deposit of the instrument of accession, unless a different date is specified in the instrument of accession and accepted by the European Union and the Principality of Andorra.</w:t>
      </w:r>
      <w:r>
        <w:rPr>
          <w:rFonts w:ascii="Times New Roman" w:hAnsi="Times New Roman" w:cs="Times New Roman"/>
          <w:noProof/>
          <w:lang w:val="en-IE"/>
        </w:rPr>
        <w:t> </w:t>
      </w:r>
    </w:p>
    <w:p>
      <w:pPr>
        <w:spacing w:line="360" w:lineRule="auto"/>
        <w:rPr>
          <w:rFonts w:ascii="Times New Roman" w:hAnsi="Times New Roman" w:cs="Times New Roman"/>
          <w:noProof/>
        </w:rPr>
      </w:pPr>
      <w:r>
        <w:rPr>
          <w:rFonts w:ascii="Times New Roman" w:hAnsi="Times New Roman" w:cs="Times New Roman"/>
          <w:noProof/>
          <w:lang w:val="en-IE"/>
        </w:rPr>
        <w:t xml:space="preserve">4. </w:t>
      </w:r>
      <w:r>
        <w:rPr>
          <w:rFonts w:ascii="Times New Roman" w:hAnsi="Times New Roman" w:cs="Times New Roman"/>
          <w:noProof/>
        </w:rPr>
        <w:t xml:space="preserve">Any State acceding to this Agreement shall accept, without reservation, the rights and obligations applicable to States applying the Schengen </w:t>
      </w:r>
      <w:r>
        <w:rPr>
          <w:rFonts w:ascii="Times New Roman" w:hAnsi="Times New Roman" w:cs="Times New Roman"/>
          <w:i/>
          <w:iCs/>
          <w:noProof/>
        </w:rPr>
        <w:t xml:space="preserve">acquis </w:t>
      </w:r>
      <w:r>
        <w:rPr>
          <w:rFonts w:ascii="Times New Roman" w:hAnsi="Times New Roman" w:cs="Times New Roman"/>
          <w:noProof/>
        </w:rPr>
        <w:t>in full, set out in this Agreement. However, the first sentence shall not entail an obligation for an acceding State that is not an EU Member State to apply provisions of Union law referred to in this Agreement or to interpret such provisions of Union law in accordance with the case law of the Court of Justice of the European Union  which would not otherwise be applicable to the acceding State pursuant to other agreements concluded by that State with the European Union.</w:t>
      </w:r>
    </w:p>
    <w:p>
      <w:pPr>
        <w:spacing w:line="360" w:lineRule="auto"/>
        <w:rPr>
          <w:rFonts w:ascii="Times New Roman" w:hAnsi="Times New Roman" w:cs="Times New Roman"/>
          <w:noProof/>
          <w:lang w:val="en-IE"/>
        </w:rPr>
      </w:pPr>
      <w:r>
        <w:rPr>
          <w:rFonts w:ascii="Times New Roman" w:hAnsi="Times New Roman" w:cs="Times New Roman"/>
          <w:noProof/>
        </w:rPr>
        <w:t>5.</w:t>
      </w:r>
      <w:r>
        <w:rPr>
          <w:rFonts w:ascii="Times New Roman" w:hAnsi="Times New Roman" w:cs="Times New Roman"/>
          <w:noProof/>
          <w:lang w:val="en-IE"/>
        </w:rPr>
        <w:t xml:space="preserve"> </w:t>
      </w:r>
      <w:r>
        <w:rPr>
          <w:rFonts w:ascii="Times New Roman" w:hAnsi="Times New Roman" w:cs="Times New Roman"/>
          <w:noProof/>
        </w:rPr>
        <w:t xml:space="preserve">Any </w:t>
      </w:r>
      <w:r>
        <w:rPr>
          <w:rFonts w:ascii="Times New Roman" w:hAnsi="Times New Roman" w:cs="Times New Roman"/>
          <w:noProof/>
          <w:lang w:val="en-IE"/>
        </w:rPr>
        <w:t xml:space="preserve">State which has acceded pursuant to paragraph 1 of this Article may withdraw from this Agreement by written notification to the Depositary. Such withdrawal shall take effect on the first day of the twelfth month following the date of notification. This shall not affect the continued application of the Agreement as between the remaining Parties. </w:t>
      </w:r>
    </w:p>
    <w:p>
      <w:pPr>
        <w:spacing w:line="360" w:lineRule="auto"/>
        <w:rPr>
          <w:rFonts w:ascii="Times New Roman" w:hAnsi="Times New Roman" w:cs="Times New Roman"/>
          <w:noProof/>
        </w:rPr>
      </w:pPr>
      <w:r>
        <w:rPr>
          <w:rFonts w:ascii="Times New Roman" w:hAnsi="Times New Roman" w:cs="Times New Roman"/>
          <w:noProof/>
        </w:rPr>
        <w:t>6. In the event of withdrawal pursuant to paragraph 5, and without prejudice to Protocol  22 or the relevant Schengen Association Agreements, as applicable, the Union and the withdrawing State shall agree on appropriate and proportionate measures to be jointly adopted with the view to preserving the effective functioning of this Agreement.</w:t>
      </w:r>
    </w:p>
    <w:p>
      <w:pPr>
        <w:spacing w:line="360" w:lineRule="auto"/>
        <w:rPr>
          <w:rFonts w:ascii="Times New Roman" w:hAnsi="Times New Roman" w:cs="Times New Roman"/>
          <w:noProof/>
          <w:lang w:val="en-IE"/>
        </w:rPr>
      </w:pPr>
    </w:p>
    <w:p>
      <w:pPr>
        <w:pStyle w:val="Heading3"/>
        <w:rPr>
          <w:rFonts w:ascii="Times New Roman" w:hAnsi="Times New Roman" w:cs="Times New Roman"/>
          <w:noProof/>
          <w:color w:val="auto"/>
          <w:lang w:val="en-IE"/>
        </w:rPr>
      </w:pPr>
      <w:bookmarkStart w:id="124" w:name="_Toc231459393"/>
      <w:r>
        <w:rPr>
          <w:rFonts w:ascii="Times New Roman" w:hAnsi="Times New Roman" w:cs="Times New Roman"/>
          <w:noProof/>
          <w:color w:val="auto"/>
          <w:lang w:val="en-IE"/>
        </w:rPr>
        <w:t>Article 53</w:t>
      </w:r>
      <w:r>
        <w:rPr>
          <w:rFonts w:ascii="Times New Roman" w:hAnsi="Times New Roman" w:cs="Times New Roman"/>
          <w:noProof/>
          <w:color w:val="auto"/>
          <w:lang w:val="en-IE"/>
        </w:rPr>
        <w:br/>
        <w:t>Authentic texts</w:t>
      </w:r>
      <w:bookmarkEnd w:id="124"/>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This Agreement shall be drawn up in duplicate in the Bulgarian, Catalan, Croatian, Czech, Danish, Dutch, English, Estonian, Finnish, French, German, Greek, Hungarian, Irish, Italian, Latvian, Lithuanian, Maltese, </w:t>
      </w:r>
      <w:r>
        <w:rPr>
          <w:rFonts w:ascii="Times New Roman" w:hAnsi="Times New Roman" w:cs="Times New Roman"/>
          <w:noProof/>
          <w:lang w:val="en-IE"/>
        </w:rPr>
        <w:lastRenderedPageBreak/>
        <w:t xml:space="preserve">Polish, Portuguese, Romanian, Slovak, Slovenian, Spanish and Swedish languages, each text being equally authentic. </w:t>
      </w:r>
    </w:p>
    <w:p>
      <w:pPr>
        <w:pStyle w:val="Heading3"/>
        <w:rPr>
          <w:rFonts w:ascii="Times New Roman" w:hAnsi="Times New Roman" w:cs="Times New Roman"/>
          <w:noProof/>
          <w:color w:val="auto"/>
          <w:lang w:val="en-IE"/>
        </w:rPr>
      </w:pPr>
      <w:bookmarkStart w:id="125" w:name="_Toc231459394"/>
      <w:r>
        <w:rPr>
          <w:rFonts w:ascii="Times New Roman" w:hAnsi="Times New Roman" w:cs="Times New Roman"/>
          <w:noProof/>
          <w:color w:val="auto"/>
          <w:lang w:val="en-IE"/>
        </w:rPr>
        <w:t>Article 54</w:t>
      </w:r>
      <w:r>
        <w:rPr>
          <w:rFonts w:ascii="Times New Roman" w:hAnsi="Times New Roman" w:cs="Times New Roman"/>
          <w:noProof/>
          <w:color w:val="auto"/>
        </w:rPr>
        <w:br/>
      </w:r>
      <w:r>
        <w:rPr>
          <w:rFonts w:ascii="Times New Roman" w:hAnsi="Times New Roman" w:cs="Times New Roman"/>
          <w:noProof/>
          <w:color w:val="auto"/>
          <w:lang w:val="en-IE"/>
        </w:rPr>
        <w:t>Entry into force</w:t>
      </w:r>
      <w:bookmarkEnd w:id="125"/>
    </w:p>
    <w:p>
      <w:pPr>
        <w:spacing w:line="360" w:lineRule="auto"/>
        <w:rPr>
          <w:rFonts w:ascii="Times New Roman" w:hAnsi="Times New Roman" w:cs="Times New Roman"/>
          <w:noProof/>
          <w:lang w:val="en-IE"/>
        </w:rPr>
      </w:pPr>
      <w:r>
        <w:rPr>
          <w:rFonts w:ascii="Times New Roman" w:hAnsi="Times New Roman" w:cs="Times New Roman"/>
          <w:noProof/>
          <w:lang w:val="en-IE"/>
        </w:rPr>
        <w:t>1. This Agreement shall enter into force on the first day of the month following that in which the Parties have notified the Depositary that they have completed their respective internal requirements and procedures for establishing their consent to be bound.</w:t>
      </w:r>
    </w:p>
    <w:p>
      <w:pPr>
        <w:spacing w:line="360" w:lineRule="auto"/>
        <w:rPr>
          <w:rFonts w:ascii="Times New Roman" w:hAnsi="Times New Roman" w:cs="Times New Roman"/>
          <w:noProof/>
        </w:rPr>
      </w:pPr>
      <w:r>
        <w:rPr>
          <w:rFonts w:ascii="Times New Roman" w:hAnsi="Times New Roman" w:cs="Times New Roman"/>
          <w:noProof/>
        </w:rPr>
        <w:t xml:space="preserve">2. This Agreement shall be valid indefinitely. </w:t>
      </w:r>
    </w:p>
    <w:p>
      <w:pPr>
        <w:pStyle w:val="Heading3"/>
        <w:rPr>
          <w:rFonts w:ascii="Times New Roman" w:hAnsi="Times New Roman" w:cs="Times New Roman"/>
          <w:noProof/>
          <w:color w:val="auto"/>
          <w:lang w:val="en-IE"/>
        </w:rPr>
      </w:pPr>
      <w:bookmarkStart w:id="126" w:name="_Toc231459395"/>
      <w:r>
        <w:rPr>
          <w:rFonts w:ascii="Times New Roman" w:hAnsi="Times New Roman" w:cs="Times New Roman"/>
          <w:noProof/>
          <w:color w:val="auto"/>
          <w:lang w:val="en-IE"/>
        </w:rPr>
        <w:t>Article 55</w:t>
      </w:r>
      <w:r>
        <w:rPr>
          <w:rFonts w:ascii="Times New Roman" w:hAnsi="Times New Roman" w:cs="Times New Roman"/>
          <w:noProof/>
          <w:color w:val="auto"/>
          <w:lang w:val="en-IE"/>
        </w:rPr>
        <w:br/>
        <w:t>Provisional application</w:t>
      </w:r>
      <w:bookmarkEnd w:id="126"/>
    </w:p>
    <w:p>
      <w:pPr>
        <w:spacing w:line="360" w:lineRule="auto"/>
        <w:rPr>
          <w:rFonts w:ascii="Times New Roman" w:hAnsi="Times New Roman" w:cs="Times New Roman"/>
          <w:noProof/>
        </w:rPr>
      </w:pPr>
      <w:r>
        <w:rPr>
          <w:rFonts w:ascii="Times New Roman" w:hAnsi="Times New Roman" w:cs="Times New Roman"/>
          <w:noProof/>
        </w:rPr>
        <w:t xml:space="preserve">1. The European Union, a State which may accede to this Agreement pursuant to Article 52, and the Principality of Andorra may apply this Agreement provisionally, in whole or in part, in accordance with their respective internal procedures and legislation. </w:t>
      </w:r>
    </w:p>
    <w:p>
      <w:pPr>
        <w:spacing w:line="360" w:lineRule="auto"/>
        <w:rPr>
          <w:rFonts w:ascii="Times New Roman" w:hAnsi="Times New Roman" w:cs="Times New Roman"/>
          <w:noProof/>
        </w:rPr>
      </w:pPr>
      <w:r>
        <w:rPr>
          <w:rFonts w:ascii="Times New Roman" w:hAnsi="Times New Roman" w:cs="Times New Roman"/>
          <w:noProof/>
        </w:rPr>
        <w:t xml:space="preserve">2. </w:t>
      </w:r>
      <w:bookmarkStart w:id="127" w:name="_Hlk224741020"/>
      <w:r>
        <w:rPr>
          <w:rFonts w:ascii="Times New Roman" w:hAnsi="Times New Roman" w:cs="Times New Roman"/>
          <w:noProof/>
        </w:rPr>
        <w:t xml:space="preserve">The provisional application shall begin on the first day of the month following the date on which: </w:t>
      </w:r>
    </w:p>
    <w:p>
      <w:pPr>
        <w:pStyle w:val="ListParagraph"/>
        <w:numPr>
          <w:ilvl w:val="0"/>
          <w:numId w:val="5"/>
        </w:numPr>
        <w:spacing w:line="360" w:lineRule="auto"/>
        <w:ind w:left="1134" w:hanging="567"/>
        <w:rPr>
          <w:rFonts w:ascii="Times New Roman" w:hAnsi="Times New Roman" w:cs="Times New Roman"/>
          <w:noProof/>
          <w:lang w:val="en-IE"/>
        </w:rPr>
      </w:pPr>
      <w:r>
        <w:rPr>
          <w:rFonts w:ascii="Times New Roman" w:hAnsi="Times New Roman" w:cs="Times New Roman"/>
          <w:noProof/>
          <w:lang w:val="en-IE"/>
        </w:rPr>
        <w:t xml:space="preserve">the European Union has notified the Depositary of the completion of the necessary procedures, indicating the parts of this Agreement that shall be provisionally applied; and </w:t>
      </w:r>
    </w:p>
    <w:p>
      <w:pPr>
        <w:pStyle w:val="ListParagraph"/>
        <w:numPr>
          <w:ilvl w:val="0"/>
          <w:numId w:val="5"/>
        </w:numPr>
        <w:spacing w:line="360" w:lineRule="auto"/>
        <w:ind w:left="1134" w:hanging="567"/>
        <w:rPr>
          <w:rFonts w:ascii="Times New Roman" w:hAnsi="Times New Roman" w:cs="Times New Roman"/>
          <w:noProof/>
          <w:lang w:val="en-IE"/>
        </w:rPr>
      </w:pPr>
      <w:r>
        <w:rPr>
          <w:rFonts w:ascii="Times New Roman" w:hAnsi="Times New Roman" w:cs="Times New Roman"/>
          <w:noProof/>
          <w:lang w:val="en-IE"/>
        </w:rPr>
        <w:t>the Principality of Andorra has notified the Depositary of the completion of the necessary procedures confirming its agreement to the parts of the Agreement that shall be provisionally applied.</w:t>
      </w:r>
    </w:p>
    <w:p>
      <w:pPr>
        <w:pStyle w:val="ListParagraph"/>
        <w:numPr>
          <w:ilvl w:val="0"/>
          <w:numId w:val="5"/>
        </w:numPr>
        <w:spacing w:line="360" w:lineRule="auto"/>
        <w:ind w:left="1134" w:hanging="567"/>
        <w:rPr>
          <w:rFonts w:ascii="Times New Roman" w:hAnsi="Times New Roman" w:cs="Times New Roman"/>
          <w:noProof/>
          <w:lang w:val="en-IE"/>
        </w:rPr>
      </w:pPr>
      <w:r>
        <w:rPr>
          <w:rFonts w:ascii="Times New Roman" w:hAnsi="Times New Roman" w:cs="Times New Roman"/>
          <w:noProof/>
          <w:lang w:val="en-IE"/>
        </w:rPr>
        <w:t>A State which may accede to this Agreement pursuant to Article 52, has notified the Depositary of the completion of the necessary procedures, indicating the parts of this Agreement that shall be provisionally applied.</w:t>
      </w:r>
    </w:p>
    <w:bookmarkEnd w:id="127"/>
    <w:p>
      <w:pPr>
        <w:spacing w:line="360" w:lineRule="auto"/>
        <w:rPr>
          <w:rFonts w:ascii="Times New Roman" w:hAnsi="Times New Roman" w:cs="Times New Roman"/>
          <w:noProof/>
        </w:rPr>
      </w:pPr>
      <w:r>
        <w:rPr>
          <w:rFonts w:ascii="Times New Roman" w:hAnsi="Times New Roman" w:cs="Times New Roman"/>
          <w:noProof/>
        </w:rPr>
        <w:t>3. For the purposes of the provisional application of this Agreement, the term ‘entry into force of this Agreement’ means the date of provisional application. The Joint Committee established under this Agreement may exercise its functions during the provisional application of this Agreement to the extent that these functions are necessary for ensuring the provisional application of this Agreement. Any decisions adopted in the exercise of its functions shall cease to be effective if the provisional application of this Agreement is terminated.</w:t>
      </w:r>
    </w:p>
    <w:p>
      <w:pPr>
        <w:pStyle w:val="Heading3"/>
        <w:rPr>
          <w:rFonts w:ascii="Times New Roman" w:hAnsi="Times New Roman" w:cs="Times New Roman"/>
          <w:noProof/>
          <w:color w:val="auto"/>
          <w:lang w:val="en-IE"/>
        </w:rPr>
      </w:pPr>
      <w:bookmarkStart w:id="128" w:name="_Toc231459396"/>
      <w:r>
        <w:rPr>
          <w:rFonts w:ascii="Times New Roman" w:hAnsi="Times New Roman" w:cs="Times New Roman"/>
          <w:noProof/>
          <w:color w:val="auto"/>
          <w:lang w:val="en-IE"/>
        </w:rPr>
        <w:lastRenderedPageBreak/>
        <w:t>Article 56</w:t>
      </w:r>
      <w:r>
        <w:rPr>
          <w:rFonts w:ascii="Times New Roman" w:hAnsi="Times New Roman" w:cs="Times New Roman"/>
          <w:noProof/>
          <w:color w:val="auto"/>
        </w:rPr>
        <w:br/>
      </w:r>
      <w:r>
        <w:rPr>
          <w:rFonts w:ascii="Times New Roman" w:hAnsi="Times New Roman" w:cs="Times New Roman"/>
          <w:noProof/>
          <w:color w:val="auto"/>
          <w:lang w:val="en-IE"/>
        </w:rPr>
        <w:t>Depositary</w:t>
      </w:r>
      <w:bookmarkEnd w:id="128"/>
    </w:p>
    <w:p>
      <w:pPr>
        <w:spacing w:line="360" w:lineRule="auto"/>
        <w:rPr>
          <w:rFonts w:ascii="Times New Roman" w:hAnsi="Times New Roman" w:cs="Times New Roman"/>
          <w:noProof/>
        </w:rPr>
      </w:pPr>
      <w:r>
        <w:rPr>
          <w:rFonts w:ascii="Times New Roman" w:hAnsi="Times New Roman" w:cs="Times New Roman"/>
          <w:noProof/>
        </w:rPr>
        <w:t>1. Notifications referred to in Articles 54 and 55 shall be sent to the Treaty Office of the General Secretariat of the Council of the European Union, or its successor, who is the Depositary of this Agreement.</w:t>
      </w:r>
    </w:p>
    <w:p>
      <w:pPr>
        <w:spacing w:line="360" w:lineRule="auto"/>
        <w:rPr>
          <w:rFonts w:ascii="Times New Roman" w:hAnsi="Times New Roman" w:cs="Times New Roman"/>
          <w:noProof/>
        </w:rPr>
      </w:pPr>
      <w:r>
        <w:rPr>
          <w:rFonts w:ascii="Times New Roman" w:hAnsi="Times New Roman" w:cs="Times New Roman"/>
          <w:noProof/>
        </w:rPr>
        <w:t>2. The Depositary shall inform the European Union, a State which has acceded to this Agreement pursuant to Article 52, and the Principality of Andorra of the deposit of any instrument of accession pursuant to Article 52 and of any notification made pursuant to Article 55.</w:t>
      </w:r>
    </w:p>
    <w:p>
      <w:pPr>
        <w:jc w:val="left"/>
        <w:rPr>
          <w:rFonts w:ascii="Times New Roman" w:hAnsi="Times New Roman" w:cs="Times New Roman"/>
          <w:noProof/>
          <w:color w:val="00B050"/>
        </w:rPr>
      </w:pPr>
      <w:r>
        <w:rPr>
          <w:rFonts w:ascii="Times New Roman" w:hAnsi="Times New Roman" w:cs="Times New Roman"/>
          <w:noProof/>
          <w:color w:val="00B050"/>
        </w:rPr>
        <w:br w:type="page"/>
      </w:r>
    </w:p>
    <w:p>
      <w:pPr>
        <w:spacing w:line="360" w:lineRule="auto"/>
        <w:jc w:val="center"/>
        <w:rPr>
          <w:rFonts w:ascii="Times New Roman" w:hAnsi="Times New Roman" w:cs="Times New Roman"/>
          <w:b/>
          <w:bCs/>
          <w:noProof/>
        </w:rPr>
      </w:pPr>
      <w:r>
        <w:rPr>
          <w:rFonts w:ascii="Times New Roman" w:hAnsi="Times New Roman" w:cs="Times New Roman"/>
          <w:b/>
          <w:bCs/>
          <w:noProof/>
        </w:rPr>
        <w:lastRenderedPageBreak/>
        <w:t>ANNEX I</w:t>
      </w:r>
    </w:p>
    <w:p>
      <w:pPr>
        <w:spacing w:line="360" w:lineRule="auto"/>
        <w:jc w:val="center"/>
        <w:rPr>
          <w:rFonts w:ascii="Times New Roman" w:hAnsi="Times New Roman" w:cs="Times New Roman"/>
          <w:b/>
          <w:bCs/>
          <w:noProof/>
        </w:rPr>
      </w:pPr>
      <w:r>
        <w:rPr>
          <w:rFonts w:ascii="Times New Roman" w:hAnsi="Times New Roman" w:cs="Times New Roman"/>
          <w:b/>
          <w:bCs/>
          <w:noProof/>
          <w:lang w:val="en-IE"/>
        </w:rPr>
        <w:t>E</w:t>
      </w:r>
      <w:r>
        <w:rPr>
          <w:rFonts w:ascii="Times New Roman" w:hAnsi="Times New Roman" w:cs="Times New Roman"/>
          <w:b/>
          <w:bCs/>
          <w:noProof/>
        </w:rPr>
        <w:t>uropean Union legal acts to be implemented by the Principality of Andorra</w:t>
      </w:r>
    </w:p>
    <w:p>
      <w:pPr>
        <w:pStyle w:val="ListParagraph"/>
        <w:numPr>
          <w:ilvl w:val="0"/>
          <w:numId w:val="7"/>
        </w:numPr>
        <w:spacing w:line="360" w:lineRule="auto"/>
        <w:rPr>
          <w:rFonts w:ascii="Times New Roman" w:hAnsi="Times New Roman" w:cs="Times New Roman"/>
          <w:noProof/>
          <w:lang w:val="en-IE"/>
        </w:rPr>
      </w:pPr>
      <w:r>
        <w:rPr>
          <w:rFonts w:ascii="Times New Roman" w:hAnsi="Times New Roman" w:cs="Times New Roman"/>
          <w:noProof/>
          <w:lang w:val="en-IE"/>
        </w:rPr>
        <w:t>Council Regulation (EC) No 1030/2002 of 13 June 2002 laying down a uniform format for residence permits for third-country nationals (OJ L 157 15.6.2002, p. 1).</w:t>
      </w:r>
    </w:p>
    <w:p>
      <w:pPr>
        <w:spacing w:line="360" w:lineRule="auto"/>
        <w:rPr>
          <w:rFonts w:ascii="Times New Roman" w:hAnsi="Times New Roman" w:cs="Times New Roman"/>
          <w:noProof/>
          <w:color w:val="00B050"/>
          <w:lang w:val="en-IE"/>
        </w:rPr>
      </w:pPr>
    </w:p>
    <w:sectPr>
      <w:headerReference w:type="default" r:id="rId24"/>
      <w:footerReference w:type="default" r:id="rId2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 xml:space="preserve">See, in particular, Article 4(1) and Annex II to Regulation (EU) 2018/1806 of the European Parliament and of the Council of 14 November 2018 listing the third countries whose nationals must be in possession of visas when crossing the external borders and those whose nationals are exempt from that requirement (OJ L 303, 28.11.2018, p. 39) (‘Visa Regulation’); Article 2(2)(g) Regulation (EU) 2018/1240 of the European Parliament and of the Council of 12 September 2018 establishing a European Travel Information and Authorisation System (ETIAS) and amending Regulations (EU) No 1077/2011, (EU) No 515/2014, (EU) 2016/399, (EU) 2016/1624 and (EU) 2017/2226 (OJ L 236, 19.9.2018, p. 1) (‘ETIAS Regulation’); Article 3(3)(f) </w:t>
      </w:r>
      <w:r>
        <w:rPr>
          <w:rFonts w:ascii="Times New Roman" w:hAnsi="Times New Roman" w:cs="Times New Roman"/>
        </w:rPr>
        <w:t>Regulation (EU) 2017/2226 of the European Parliament and of the Council of 30 November 2017 establishing an Entry/Exit System (EES) to register entry and exit data and refusal of entry data of third-country nationals crossing the external borders of the Member States and determining the conditions for access to the EES for law enforcement purposes, and amending the Convention implementing the Schengen Agreement and Regulations (EC) No 767/2008 and (EU) No 1077/2011 (OJ L 327, 9.12.2017, p. 20) (‘EES Regulation’)</w:t>
      </w:r>
      <w:r>
        <w:rPr>
          <w:rFonts w:ascii="Times New Roman" w:hAnsi="Times New Roman" w:cs="Times New Roman"/>
          <w:lang w:val="en-IE"/>
        </w:rPr>
        <w:t>.</w:t>
      </w:r>
    </w:p>
  </w:footnote>
  <w:footnote w:id="3">
    <w:p>
      <w:pPr>
        <w:pStyle w:val="Footnote10"/>
        <w:rPr>
          <w:rFonts w:ascii="Times New Roman" w:hAnsi="Times New Roman" w:cs="Times New Roman"/>
        </w:rPr>
      </w:pPr>
      <w:r>
        <w:rPr>
          <w:rStyle w:val="Footnote1"/>
          <w:rFonts w:ascii="Times New Roman" w:hAnsi="Times New Roman" w:cs="Times New Roman"/>
          <w:vertAlign w:val="superscript"/>
          <w:lang w:val="bg-BG" w:eastAsia="bg-BG" w:bidi="bg-BG"/>
        </w:rPr>
        <w:footnoteRef/>
      </w:r>
      <w:r>
        <w:rPr>
          <w:rStyle w:val="Footnote1"/>
          <w:rFonts w:ascii="Times New Roman" w:hAnsi="Times New Roman" w:cs="Times New Roman"/>
          <w:lang w:val="bg-BG" w:eastAsia="bg-BG" w:bidi="bg-BG"/>
        </w:rPr>
        <w:t xml:space="preserve"> </w:t>
      </w:r>
      <w:r>
        <w:rPr>
          <w:rStyle w:val="Footnote1"/>
          <w:rFonts w:ascii="Times New Roman" w:hAnsi="Times New Roman" w:cs="Times New Roman"/>
        </w:rPr>
        <w:t xml:space="preserve">See Council document </w:t>
      </w:r>
      <w:r>
        <w:rPr>
          <w:rStyle w:val="Footnote1"/>
          <w:rFonts w:ascii="Times New Roman" w:hAnsi="Times New Roman" w:cs="Times New Roman"/>
          <w:lang w:val="bg-BG" w:eastAsia="bg-BG" w:bidi="bg-BG"/>
        </w:rPr>
        <w:t>13020/04.</w:t>
      </w:r>
    </w:p>
  </w:footnote>
  <w:footnote w:id="4">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 xml:space="preserve">See, in particular, Article 4(1) and Annex II to Visa Regulation; Article 2(2)(g) ETIAS Regulation; Article 2(3)(f) </w:t>
      </w:r>
      <w:r>
        <w:rPr>
          <w:rFonts w:ascii="Times New Roman" w:hAnsi="Times New Roman" w:cs="Times New Roman"/>
        </w:rPr>
        <w:t>EES Regulation</w:t>
      </w:r>
      <w:r>
        <w:rPr>
          <w:rFonts w:ascii="Times New Roman" w:hAnsi="Times New Roman" w:cs="Times New Roman"/>
          <w:lang w:val="en-IE"/>
        </w:rPr>
        <w:t>.</w:t>
      </w:r>
    </w:p>
  </w:footnote>
  <w:footnote w:id="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2017/2226 of the European Parliament and of the Council of 30 November 2017 establishing an Entry/Exit System (EES) to register entry and exit data and refusal of entry data of third-country nationals crossing the external borders of the Member States and determining the conditions for access to the EES for law enforcement purposes, and amending the Convention implementing the Schengen Agreement and Regulations (EC) No 767/2008 and (EU) No 1077/2011 (OJ L 327, 9.12.2017, p. 20) (‘EES Regulation’).</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2018/1240 of the European Parliament and of the Council of 12 September 2018 establishing a European Travel Information and Authorisation System (ETIAS) and amending Regulations (EU) No 1077/2011, (EU) No 515/2014, (EU) 2016/399, (EU) 2016/1624 and (EU) 2017/2226 (OJ L 236, 19.9.2018, p. 1) (‘ETIAS Regulation’).</w:t>
      </w:r>
    </w:p>
  </w:footnote>
  <w:footnote w:id="7">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Regulation (EU) 2016/399 of the European Parliament and of the Council of 9 March 2016 on a Union Code on the rules governing the movement of persons across borders (Schengen Borders Code).</w:t>
      </w:r>
    </w:p>
  </w:footnote>
  <w:footnote w:id="8">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Calibri" w:hAnsi="Times New Roman" w:cs="Times New Roman"/>
        </w:rPr>
        <w:t>Regulation (EU) 2017/2226 of the European Parliament and of the Council of 30 November 2017 establishing an Entry/Exit System (EES) to register entry and exit data and refusal of entry data of third-country nationals crossing the external borders of the Member States and determining the conditions for access to the EES for law enforcement purposes, and amending the Convention implementing the Schengen Agreement and Regulations (EC) No 767/2008 and (EU) No 1077/2011.</w:t>
      </w:r>
    </w:p>
  </w:footnote>
  <w:footnote w:id="9">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Directive 2004/38/EC of the European Parliament and of the Council of 29 April 2004 on the right of citizens of the Union and their family members to move and reside freely within the territory of the Member States amending Regulation (EEC) No 1612/68 and repealing Directives 64/221/EEC, 68/360/EEC, 72/194/EEC, 73/148/EEC, 75/34/EEC, 75/35/EEC, 90/364/EEC, 90/365/EEC and 93/96/EEC (Text with EEA relevance), OJ L 158, 30.4.2004.</w:t>
      </w:r>
    </w:p>
    <w:p>
      <w:pPr>
        <w:pStyle w:val="FootnoteText"/>
        <w:rPr>
          <w:rFonts w:ascii="Times New Roman" w:hAnsi="Times New Roman" w:cs="Times New Roman"/>
        </w:rPr>
      </w:pPr>
    </w:p>
  </w:footnote>
  <w:footnote w:id="1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2016/1953 of the European Parliament and of the Council of 26 October 2016 on the establishment of a European travel document for the return of illegally staying third-country nationals, and repealing the Council Recommendation of 30 November 1994 (OJ L 311, 17.11.2016, p.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E4A"/>
    <w:multiLevelType w:val="hybridMultilevel"/>
    <w:tmpl w:val="2E90DAEE"/>
    <w:lvl w:ilvl="0" w:tplc="FFFFFFFF">
      <w:start w:val="1"/>
      <w:numFmt w:val="lowerLetter"/>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11699C"/>
    <w:multiLevelType w:val="hybridMultilevel"/>
    <w:tmpl w:val="83CA6178"/>
    <w:lvl w:ilvl="0" w:tplc="BFEA1B1E">
      <w:start w:val="1"/>
      <w:numFmt w:val="decimal"/>
      <w:lvlText w:val="%1."/>
      <w:lvlJc w:val="left"/>
      <w:pPr>
        <w:ind w:left="3600" w:hanging="360"/>
      </w:pPr>
    </w:lvl>
    <w:lvl w:ilvl="1" w:tplc="BD68C55E">
      <w:start w:val="1"/>
      <w:numFmt w:val="decimal"/>
      <w:lvlText w:val="%2."/>
      <w:lvlJc w:val="left"/>
      <w:pPr>
        <w:ind w:left="3600" w:hanging="360"/>
      </w:pPr>
    </w:lvl>
    <w:lvl w:ilvl="2" w:tplc="2EDAC348">
      <w:start w:val="1"/>
      <w:numFmt w:val="decimal"/>
      <w:lvlText w:val="%3."/>
      <w:lvlJc w:val="left"/>
      <w:pPr>
        <w:ind w:left="3600" w:hanging="360"/>
      </w:pPr>
    </w:lvl>
    <w:lvl w:ilvl="3" w:tplc="35685142">
      <w:start w:val="1"/>
      <w:numFmt w:val="decimal"/>
      <w:lvlText w:val="%4."/>
      <w:lvlJc w:val="left"/>
      <w:pPr>
        <w:ind w:left="3600" w:hanging="360"/>
      </w:pPr>
    </w:lvl>
    <w:lvl w:ilvl="4" w:tplc="ABE882BC">
      <w:start w:val="1"/>
      <w:numFmt w:val="decimal"/>
      <w:lvlText w:val="%5."/>
      <w:lvlJc w:val="left"/>
      <w:pPr>
        <w:ind w:left="3600" w:hanging="360"/>
      </w:pPr>
    </w:lvl>
    <w:lvl w:ilvl="5" w:tplc="EB1ACAC0">
      <w:start w:val="1"/>
      <w:numFmt w:val="decimal"/>
      <w:lvlText w:val="%6."/>
      <w:lvlJc w:val="left"/>
      <w:pPr>
        <w:ind w:left="3600" w:hanging="360"/>
      </w:pPr>
    </w:lvl>
    <w:lvl w:ilvl="6" w:tplc="AB16DF0E">
      <w:start w:val="1"/>
      <w:numFmt w:val="decimal"/>
      <w:lvlText w:val="%7."/>
      <w:lvlJc w:val="left"/>
      <w:pPr>
        <w:ind w:left="3600" w:hanging="360"/>
      </w:pPr>
    </w:lvl>
    <w:lvl w:ilvl="7" w:tplc="C7800DF6">
      <w:start w:val="1"/>
      <w:numFmt w:val="decimal"/>
      <w:lvlText w:val="%8."/>
      <w:lvlJc w:val="left"/>
      <w:pPr>
        <w:ind w:left="3600" w:hanging="360"/>
      </w:pPr>
    </w:lvl>
    <w:lvl w:ilvl="8" w:tplc="DB68CA86">
      <w:start w:val="1"/>
      <w:numFmt w:val="decimal"/>
      <w:lvlText w:val="%9."/>
      <w:lvlJc w:val="left"/>
      <w:pPr>
        <w:ind w:left="3600" w:hanging="360"/>
      </w:pPr>
    </w:lvl>
  </w:abstractNum>
  <w:abstractNum w:abstractNumId="2" w15:restartNumberingAfterBreak="0">
    <w:nsid w:val="0D540688"/>
    <w:multiLevelType w:val="hybridMultilevel"/>
    <w:tmpl w:val="7FFAFF60"/>
    <w:lvl w:ilvl="0" w:tplc="A43E4A14">
      <w:start w:val="1"/>
      <w:numFmt w:val="decimal"/>
      <w:lvlText w:val="%1."/>
      <w:lvlJc w:val="left"/>
      <w:pPr>
        <w:ind w:left="1440" w:hanging="360"/>
      </w:pPr>
    </w:lvl>
    <w:lvl w:ilvl="1" w:tplc="3FCE5378">
      <w:start w:val="1"/>
      <w:numFmt w:val="decimal"/>
      <w:lvlText w:val="%2."/>
      <w:lvlJc w:val="left"/>
      <w:pPr>
        <w:ind w:left="1440" w:hanging="360"/>
      </w:pPr>
    </w:lvl>
    <w:lvl w:ilvl="2" w:tplc="B2FC08F6">
      <w:start w:val="1"/>
      <w:numFmt w:val="decimal"/>
      <w:lvlText w:val="%3."/>
      <w:lvlJc w:val="left"/>
      <w:pPr>
        <w:ind w:left="1440" w:hanging="360"/>
      </w:pPr>
    </w:lvl>
    <w:lvl w:ilvl="3" w:tplc="0582C9A6">
      <w:start w:val="1"/>
      <w:numFmt w:val="decimal"/>
      <w:lvlText w:val="%4."/>
      <w:lvlJc w:val="left"/>
      <w:pPr>
        <w:ind w:left="1440" w:hanging="360"/>
      </w:pPr>
    </w:lvl>
    <w:lvl w:ilvl="4" w:tplc="668A56D6">
      <w:start w:val="1"/>
      <w:numFmt w:val="decimal"/>
      <w:lvlText w:val="%5."/>
      <w:lvlJc w:val="left"/>
      <w:pPr>
        <w:ind w:left="1440" w:hanging="360"/>
      </w:pPr>
    </w:lvl>
    <w:lvl w:ilvl="5" w:tplc="DF6A81BA">
      <w:start w:val="1"/>
      <w:numFmt w:val="decimal"/>
      <w:lvlText w:val="%6."/>
      <w:lvlJc w:val="left"/>
      <w:pPr>
        <w:ind w:left="1440" w:hanging="360"/>
      </w:pPr>
    </w:lvl>
    <w:lvl w:ilvl="6" w:tplc="54D035E6">
      <w:start w:val="1"/>
      <w:numFmt w:val="decimal"/>
      <w:lvlText w:val="%7."/>
      <w:lvlJc w:val="left"/>
      <w:pPr>
        <w:ind w:left="1440" w:hanging="360"/>
      </w:pPr>
    </w:lvl>
    <w:lvl w:ilvl="7" w:tplc="303A93D8">
      <w:start w:val="1"/>
      <w:numFmt w:val="decimal"/>
      <w:lvlText w:val="%8."/>
      <w:lvlJc w:val="left"/>
      <w:pPr>
        <w:ind w:left="1440" w:hanging="360"/>
      </w:pPr>
    </w:lvl>
    <w:lvl w:ilvl="8" w:tplc="32C05902">
      <w:start w:val="1"/>
      <w:numFmt w:val="decimal"/>
      <w:lvlText w:val="%9."/>
      <w:lvlJc w:val="left"/>
      <w:pPr>
        <w:ind w:left="1440" w:hanging="360"/>
      </w:pPr>
    </w:lvl>
  </w:abstractNum>
  <w:abstractNum w:abstractNumId="3" w15:restartNumberingAfterBreak="0">
    <w:nsid w:val="127B1BC7"/>
    <w:multiLevelType w:val="hybridMultilevel"/>
    <w:tmpl w:val="AEFECE36"/>
    <w:lvl w:ilvl="0" w:tplc="970C4E0A">
      <w:start w:val="1"/>
      <w:numFmt w:val="decimal"/>
      <w:lvlText w:val="%1."/>
      <w:lvlJc w:val="left"/>
      <w:pPr>
        <w:ind w:left="3600" w:hanging="360"/>
      </w:pPr>
    </w:lvl>
    <w:lvl w:ilvl="1" w:tplc="4A10AD56">
      <w:start w:val="1"/>
      <w:numFmt w:val="decimal"/>
      <w:lvlText w:val="%2."/>
      <w:lvlJc w:val="left"/>
      <w:pPr>
        <w:ind w:left="3600" w:hanging="360"/>
      </w:pPr>
    </w:lvl>
    <w:lvl w:ilvl="2" w:tplc="4CE672A2">
      <w:start w:val="1"/>
      <w:numFmt w:val="decimal"/>
      <w:lvlText w:val="%3."/>
      <w:lvlJc w:val="left"/>
      <w:pPr>
        <w:ind w:left="3600" w:hanging="360"/>
      </w:pPr>
    </w:lvl>
    <w:lvl w:ilvl="3" w:tplc="37D66534">
      <w:start w:val="1"/>
      <w:numFmt w:val="decimal"/>
      <w:lvlText w:val="%4."/>
      <w:lvlJc w:val="left"/>
      <w:pPr>
        <w:ind w:left="3600" w:hanging="360"/>
      </w:pPr>
    </w:lvl>
    <w:lvl w:ilvl="4" w:tplc="EA660100">
      <w:start w:val="1"/>
      <w:numFmt w:val="decimal"/>
      <w:lvlText w:val="%5."/>
      <w:lvlJc w:val="left"/>
      <w:pPr>
        <w:ind w:left="3600" w:hanging="360"/>
      </w:pPr>
    </w:lvl>
    <w:lvl w:ilvl="5" w:tplc="DA1C268A">
      <w:start w:val="1"/>
      <w:numFmt w:val="decimal"/>
      <w:lvlText w:val="%6."/>
      <w:lvlJc w:val="left"/>
      <w:pPr>
        <w:ind w:left="3600" w:hanging="360"/>
      </w:pPr>
    </w:lvl>
    <w:lvl w:ilvl="6" w:tplc="CFD84214">
      <w:start w:val="1"/>
      <w:numFmt w:val="decimal"/>
      <w:lvlText w:val="%7."/>
      <w:lvlJc w:val="left"/>
      <w:pPr>
        <w:ind w:left="3600" w:hanging="360"/>
      </w:pPr>
    </w:lvl>
    <w:lvl w:ilvl="7" w:tplc="490CA096">
      <w:start w:val="1"/>
      <w:numFmt w:val="decimal"/>
      <w:lvlText w:val="%8."/>
      <w:lvlJc w:val="left"/>
      <w:pPr>
        <w:ind w:left="3600" w:hanging="360"/>
      </w:pPr>
    </w:lvl>
    <w:lvl w:ilvl="8" w:tplc="3FE811C4">
      <w:start w:val="1"/>
      <w:numFmt w:val="decimal"/>
      <w:lvlText w:val="%9."/>
      <w:lvlJc w:val="left"/>
      <w:pPr>
        <w:ind w:left="3600" w:hanging="360"/>
      </w:pPr>
    </w:lvl>
  </w:abstractNum>
  <w:abstractNum w:abstractNumId="4" w15:restartNumberingAfterBreak="0">
    <w:nsid w:val="13AF66D9"/>
    <w:multiLevelType w:val="hybridMultilevel"/>
    <w:tmpl w:val="B846F670"/>
    <w:lvl w:ilvl="0" w:tplc="C23AD8EC">
      <w:start w:val="1"/>
      <w:numFmt w:val="decimal"/>
      <w:lvlText w:val="%1."/>
      <w:lvlJc w:val="left"/>
      <w:pPr>
        <w:ind w:left="3600" w:hanging="360"/>
      </w:pPr>
    </w:lvl>
    <w:lvl w:ilvl="1" w:tplc="56508E68">
      <w:start w:val="1"/>
      <w:numFmt w:val="decimal"/>
      <w:lvlText w:val="%2."/>
      <w:lvlJc w:val="left"/>
      <w:pPr>
        <w:ind w:left="3600" w:hanging="360"/>
      </w:pPr>
    </w:lvl>
    <w:lvl w:ilvl="2" w:tplc="BB6CB03E">
      <w:start w:val="1"/>
      <w:numFmt w:val="decimal"/>
      <w:lvlText w:val="%3."/>
      <w:lvlJc w:val="left"/>
      <w:pPr>
        <w:ind w:left="3600" w:hanging="360"/>
      </w:pPr>
    </w:lvl>
    <w:lvl w:ilvl="3" w:tplc="E69C7924">
      <w:start w:val="1"/>
      <w:numFmt w:val="decimal"/>
      <w:lvlText w:val="%4."/>
      <w:lvlJc w:val="left"/>
      <w:pPr>
        <w:ind w:left="3600" w:hanging="360"/>
      </w:pPr>
    </w:lvl>
    <w:lvl w:ilvl="4" w:tplc="E53A726C">
      <w:start w:val="1"/>
      <w:numFmt w:val="decimal"/>
      <w:lvlText w:val="%5."/>
      <w:lvlJc w:val="left"/>
      <w:pPr>
        <w:ind w:left="3600" w:hanging="360"/>
      </w:pPr>
    </w:lvl>
    <w:lvl w:ilvl="5" w:tplc="3A8C998C">
      <w:start w:val="1"/>
      <w:numFmt w:val="decimal"/>
      <w:lvlText w:val="%6."/>
      <w:lvlJc w:val="left"/>
      <w:pPr>
        <w:ind w:left="3600" w:hanging="360"/>
      </w:pPr>
    </w:lvl>
    <w:lvl w:ilvl="6" w:tplc="2C18DCC8">
      <w:start w:val="1"/>
      <w:numFmt w:val="decimal"/>
      <w:lvlText w:val="%7."/>
      <w:lvlJc w:val="left"/>
      <w:pPr>
        <w:ind w:left="3600" w:hanging="360"/>
      </w:pPr>
    </w:lvl>
    <w:lvl w:ilvl="7" w:tplc="8F842E48">
      <w:start w:val="1"/>
      <w:numFmt w:val="decimal"/>
      <w:lvlText w:val="%8."/>
      <w:lvlJc w:val="left"/>
      <w:pPr>
        <w:ind w:left="3600" w:hanging="360"/>
      </w:pPr>
    </w:lvl>
    <w:lvl w:ilvl="8" w:tplc="C85860F8">
      <w:start w:val="1"/>
      <w:numFmt w:val="decimal"/>
      <w:lvlText w:val="%9."/>
      <w:lvlJc w:val="left"/>
      <w:pPr>
        <w:ind w:left="3600" w:hanging="360"/>
      </w:pPr>
    </w:lvl>
  </w:abstractNum>
  <w:abstractNum w:abstractNumId="5" w15:restartNumberingAfterBreak="0">
    <w:nsid w:val="147F0C5C"/>
    <w:multiLevelType w:val="hybridMultilevel"/>
    <w:tmpl w:val="BCF69E16"/>
    <w:lvl w:ilvl="0" w:tplc="50487358">
      <w:start w:val="1"/>
      <w:numFmt w:val="bullet"/>
      <w:lvlText w:val=""/>
      <w:lvlJc w:val="left"/>
      <w:pPr>
        <w:ind w:left="1080" w:hanging="360"/>
      </w:pPr>
      <w:rPr>
        <w:rFonts w:ascii="Symbol" w:hAnsi="Symbol"/>
      </w:rPr>
    </w:lvl>
    <w:lvl w:ilvl="1" w:tplc="5438494C">
      <w:start w:val="1"/>
      <w:numFmt w:val="bullet"/>
      <w:lvlText w:val=""/>
      <w:lvlJc w:val="left"/>
      <w:pPr>
        <w:ind w:left="1080" w:hanging="360"/>
      </w:pPr>
      <w:rPr>
        <w:rFonts w:ascii="Symbol" w:hAnsi="Symbol"/>
      </w:rPr>
    </w:lvl>
    <w:lvl w:ilvl="2" w:tplc="402EB314">
      <w:start w:val="1"/>
      <w:numFmt w:val="bullet"/>
      <w:lvlText w:val=""/>
      <w:lvlJc w:val="left"/>
      <w:pPr>
        <w:ind w:left="1080" w:hanging="360"/>
      </w:pPr>
      <w:rPr>
        <w:rFonts w:ascii="Symbol" w:hAnsi="Symbol"/>
      </w:rPr>
    </w:lvl>
    <w:lvl w:ilvl="3" w:tplc="864450AC">
      <w:start w:val="1"/>
      <w:numFmt w:val="bullet"/>
      <w:lvlText w:val=""/>
      <w:lvlJc w:val="left"/>
      <w:pPr>
        <w:ind w:left="1080" w:hanging="360"/>
      </w:pPr>
      <w:rPr>
        <w:rFonts w:ascii="Symbol" w:hAnsi="Symbol"/>
      </w:rPr>
    </w:lvl>
    <w:lvl w:ilvl="4" w:tplc="25A0D0F8">
      <w:start w:val="1"/>
      <w:numFmt w:val="bullet"/>
      <w:lvlText w:val=""/>
      <w:lvlJc w:val="left"/>
      <w:pPr>
        <w:ind w:left="1080" w:hanging="360"/>
      </w:pPr>
      <w:rPr>
        <w:rFonts w:ascii="Symbol" w:hAnsi="Symbol"/>
      </w:rPr>
    </w:lvl>
    <w:lvl w:ilvl="5" w:tplc="747058EA">
      <w:start w:val="1"/>
      <w:numFmt w:val="bullet"/>
      <w:lvlText w:val=""/>
      <w:lvlJc w:val="left"/>
      <w:pPr>
        <w:ind w:left="1080" w:hanging="360"/>
      </w:pPr>
      <w:rPr>
        <w:rFonts w:ascii="Symbol" w:hAnsi="Symbol"/>
      </w:rPr>
    </w:lvl>
    <w:lvl w:ilvl="6" w:tplc="9CE467A6">
      <w:start w:val="1"/>
      <w:numFmt w:val="bullet"/>
      <w:lvlText w:val=""/>
      <w:lvlJc w:val="left"/>
      <w:pPr>
        <w:ind w:left="1080" w:hanging="360"/>
      </w:pPr>
      <w:rPr>
        <w:rFonts w:ascii="Symbol" w:hAnsi="Symbol"/>
      </w:rPr>
    </w:lvl>
    <w:lvl w:ilvl="7" w:tplc="DF52EBCC">
      <w:start w:val="1"/>
      <w:numFmt w:val="bullet"/>
      <w:lvlText w:val=""/>
      <w:lvlJc w:val="left"/>
      <w:pPr>
        <w:ind w:left="1080" w:hanging="360"/>
      </w:pPr>
      <w:rPr>
        <w:rFonts w:ascii="Symbol" w:hAnsi="Symbol"/>
      </w:rPr>
    </w:lvl>
    <w:lvl w:ilvl="8" w:tplc="8BF4706E">
      <w:start w:val="1"/>
      <w:numFmt w:val="bullet"/>
      <w:lvlText w:val=""/>
      <w:lvlJc w:val="left"/>
      <w:pPr>
        <w:ind w:left="1080" w:hanging="360"/>
      </w:pPr>
      <w:rPr>
        <w:rFonts w:ascii="Symbol" w:hAnsi="Symbol"/>
      </w:rPr>
    </w:lvl>
  </w:abstractNum>
  <w:abstractNum w:abstractNumId="6" w15:restartNumberingAfterBreak="0">
    <w:nsid w:val="14EB6D25"/>
    <w:multiLevelType w:val="hybridMultilevel"/>
    <w:tmpl w:val="52445D74"/>
    <w:lvl w:ilvl="0" w:tplc="B6903F1E">
      <w:start w:val="1"/>
      <w:numFmt w:val="lowerLetter"/>
      <w:lvlText w:val="%1)"/>
      <w:lvlJc w:val="left"/>
      <w:pPr>
        <w:ind w:left="1440" w:hanging="360"/>
      </w:pPr>
    </w:lvl>
    <w:lvl w:ilvl="1" w:tplc="F37A4886">
      <w:start w:val="1"/>
      <w:numFmt w:val="lowerLetter"/>
      <w:lvlText w:val="%2."/>
      <w:lvlJc w:val="left"/>
      <w:pPr>
        <w:ind w:left="1440" w:hanging="360"/>
      </w:pPr>
    </w:lvl>
    <w:lvl w:ilvl="2" w:tplc="B4B63C7A">
      <w:start w:val="1"/>
      <w:numFmt w:val="lowerRoman"/>
      <w:lvlText w:val="%3."/>
      <w:lvlJc w:val="right"/>
      <w:pPr>
        <w:ind w:left="2160" w:hanging="180"/>
      </w:pPr>
    </w:lvl>
    <w:lvl w:ilvl="3" w:tplc="6644B4B0">
      <w:start w:val="1"/>
      <w:numFmt w:val="decimal"/>
      <w:lvlText w:val="%4."/>
      <w:lvlJc w:val="left"/>
      <w:pPr>
        <w:ind w:left="2880" w:hanging="360"/>
      </w:pPr>
    </w:lvl>
    <w:lvl w:ilvl="4" w:tplc="451A464A">
      <w:start w:val="1"/>
      <w:numFmt w:val="lowerLetter"/>
      <w:lvlText w:val="%5."/>
      <w:lvlJc w:val="left"/>
      <w:pPr>
        <w:ind w:left="3600" w:hanging="360"/>
      </w:pPr>
    </w:lvl>
    <w:lvl w:ilvl="5" w:tplc="EE6EBBCE">
      <w:start w:val="1"/>
      <w:numFmt w:val="lowerRoman"/>
      <w:lvlText w:val="%6."/>
      <w:lvlJc w:val="right"/>
      <w:pPr>
        <w:ind w:left="4320" w:hanging="180"/>
      </w:pPr>
    </w:lvl>
    <w:lvl w:ilvl="6" w:tplc="6C465694">
      <w:start w:val="1"/>
      <w:numFmt w:val="decimal"/>
      <w:lvlText w:val="%7."/>
      <w:lvlJc w:val="left"/>
      <w:pPr>
        <w:ind w:left="5040" w:hanging="360"/>
      </w:pPr>
    </w:lvl>
    <w:lvl w:ilvl="7" w:tplc="F856C434">
      <w:start w:val="1"/>
      <w:numFmt w:val="lowerLetter"/>
      <w:lvlText w:val="%8."/>
      <w:lvlJc w:val="left"/>
      <w:pPr>
        <w:ind w:left="5760" w:hanging="360"/>
      </w:pPr>
    </w:lvl>
    <w:lvl w:ilvl="8" w:tplc="94587D24">
      <w:start w:val="1"/>
      <w:numFmt w:val="lowerRoman"/>
      <w:lvlText w:val="%9."/>
      <w:lvlJc w:val="right"/>
      <w:pPr>
        <w:ind w:left="6480" w:hanging="180"/>
      </w:pPr>
    </w:lvl>
  </w:abstractNum>
  <w:abstractNum w:abstractNumId="7" w15:restartNumberingAfterBreak="0">
    <w:nsid w:val="16060C09"/>
    <w:multiLevelType w:val="hybridMultilevel"/>
    <w:tmpl w:val="A83A4380"/>
    <w:lvl w:ilvl="0" w:tplc="883CF66C">
      <w:start w:val="1"/>
      <w:numFmt w:val="decimal"/>
      <w:lvlText w:val="%1)"/>
      <w:lvlJc w:val="left"/>
      <w:pPr>
        <w:ind w:left="360" w:hanging="360"/>
      </w:pPr>
      <w:rPr>
        <w:color w:val="auto"/>
      </w:rPr>
    </w:lvl>
    <w:lvl w:ilvl="1" w:tplc="0FEAD2DC">
      <w:start w:val="1"/>
      <w:numFmt w:val="lowerLetter"/>
      <w:lvlText w:val="%2."/>
      <w:lvlJc w:val="left"/>
      <w:pPr>
        <w:ind w:left="1080" w:hanging="360"/>
      </w:pPr>
      <w:rPr>
        <w:color w:val="auto"/>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17595F08"/>
    <w:multiLevelType w:val="hybridMultilevel"/>
    <w:tmpl w:val="152C9E86"/>
    <w:lvl w:ilvl="0" w:tplc="9C4ECE50">
      <w:start w:val="1"/>
      <w:numFmt w:val="lowerLetter"/>
      <w:lvlText w:val="(%1)"/>
      <w:lvlJc w:val="left"/>
      <w:pPr>
        <w:ind w:left="2160" w:hanging="18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825D5F"/>
    <w:multiLevelType w:val="hybridMultilevel"/>
    <w:tmpl w:val="9D8A1EEE"/>
    <w:lvl w:ilvl="0" w:tplc="FBF8271A">
      <w:start w:val="1"/>
      <w:numFmt w:val="bullet"/>
      <w:lvlText w:val=""/>
      <w:lvlJc w:val="left"/>
      <w:pPr>
        <w:ind w:left="2160" w:hanging="360"/>
      </w:pPr>
      <w:rPr>
        <w:rFonts w:ascii="Symbol" w:hAnsi="Symbol"/>
      </w:rPr>
    </w:lvl>
    <w:lvl w:ilvl="1" w:tplc="96745E26">
      <w:start w:val="1"/>
      <w:numFmt w:val="bullet"/>
      <w:lvlText w:val=""/>
      <w:lvlJc w:val="left"/>
      <w:pPr>
        <w:ind w:left="2160" w:hanging="360"/>
      </w:pPr>
      <w:rPr>
        <w:rFonts w:ascii="Symbol" w:hAnsi="Symbol"/>
      </w:rPr>
    </w:lvl>
    <w:lvl w:ilvl="2" w:tplc="5BC884BA">
      <w:start w:val="1"/>
      <w:numFmt w:val="bullet"/>
      <w:lvlText w:val=""/>
      <w:lvlJc w:val="left"/>
      <w:pPr>
        <w:ind w:left="2160" w:hanging="360"/>
      </w:pPr>
      <w:rPr>
        <w:rFonts w:ascii="Symbol" w:hAnsi="Symbol"/>
      </w:rPr>
    </w:lvl>
    <w:lvl w:ilvl="3" w:tplc="337C809E">
      <w:start w:val="1"/>
      <w:numFmt w:val="bullet"/>
      <w:lvlText w:val=""/>
      <w:lvlJc w:val="left"/>
      <w:pPr>
        <w:ind w:left="2160" w:hanging="360"/>
      </w:pPr>
      <w:rPr>
        <w:rFonts w:ascii="Symbol" w:hAnsi="Symbol"/>
      </w:rPr>
    </w:lvl>
    <w:lvl w:ilvl="4" w:tplc="B352E4A2">
      <w:start w:val="1"/>
      <w:numFmt w:val="bullet"/>
      <w:lvlText w:val=""/>
      <w:lvlJc w:val="left"/>
      <w:pPr>
        <w:ind w:left="2160" w:hanging="360"/>
      </w:pPr>
      <w:rPr>
        <w:rFonts w:ascii="Symbol" w:hAnsi="Symbol"/>
      </w:rPr>
    </w:lvl>
    <w:lvl w:ilvl="5" w:tplc="D7F466B2">
      <w:start w:val="1"/>
      <w:numFmt w:val="bullet"/>
      <w:lvlText w:val=""/>
      <w:lvlJc w:val="left"/>
      <w:pPr>
        <w:ind w:left="2160" w:hanging="360"/>
      </w:pPr>
      <w:rPr>
        <w:rFonts w:ascii="Symbol" w:hAnsi="Symbol"/>
      </w:rPr>
    </w:lvl>
    <w:lvl w:ilvl="6" w:tplc="3796FABC">
      <w:start w:val="1"/>
      <w:numFmt w:val="bullet"/>
      <w:lvlText w:val=""/>
      <w:lvlJc w:val="left"/>
      <w:pPr>
        <w:ind w:left="2160" w:hanging="360"/>
      </w:pPr>
      <w:rPr>
        <w:rFonts w:ascii="Symbol" w:hAnsi="Symbol"/>
      </w:rPr>
    </w:lvl>
    <w:lvl w:ilvl="7" w:tplc="8F4CF512">
      <w:start w:val="1"/>
      <w:numFmt w:val="bullet"/>
      <w:lvlText w:val=""/>
      <w:lvlJc w:val="left"/>
      <w:pPr>
        <w:ind w:left="2160" w:hanging="360"/>
      </w:pPr>
      <w:rPr>
        <w:rFonts w:ascii="Symbol" w:hAnsi="Symbol"/>
      </w:rPr>
    </w:lvl>
    <w:lvl w:ilvl="8" w:tplc="6150AF7A">
      <w:start w:val="1"/>
      <w:numFmt w:val="bullet"/>
      <w:lvlText w:val=""/>
      <w:lvlJc w:val="left"/>
      <w:pPr>
        <w:ind w:left="2160" w:hanging="360"/>
      </w:pPr>
      <w:rPr>
        <w:rFonts w:ascii="Symbol" w:hAnsi="Symbol"/>
      </w:rPr>
    </w:lvl>
  </w:abstractNum>
  <w:abstractNum w:abstractNumId="10" w15:restartNumberingAfterBreak="0">
    <w:nsid w:val="24D776F8"/>
    <w:multiLevelType w:val="hybridMultilevel"/>
    <w:tmpl w:val="C3DEC1A8"/>
    <w:lvl w:ilvl="0" w:tplc="F8BE4CD2">
      <w:start w:val="1"/>
      <w:numFmt w:val="bullet"/>
      <w:lvlText w:val=""/>
      <w:lvlJc w:val="left"/>
      <w:pPr>
        <w:ind w:left="1060" w:hanging="360"/>
      </w:pPr>
      <w:rPr>
        <w:rFonts w:ascii="Symbol" w:hAnsi="Symbol"/>
      </w:rPr>
    </w:lvl>
    <w:lvl w:ilvl="1" w:tplc="628626F0">
      <w:start w:val="1"/>
      <w:numFmt w:val="bullet"/>
      <w:lvlText w:val=""/>
      <w:lvlJc w:val="left"/>
      <w:pPr>
        <w:ind w:left="1060" w:hanging="360"/>
      </w:pPr>
      <w:rPr>
        <w:rFonts w:ascii="Symbol" w:hAnsi="Symbol"/>
      </w:rPr>
    </w:lvl>
    <w:lvl w:ilvl="2" w:tplc="36C0BA36">
      <w:start w:val="1"/>
      <w:numFmt w:val="bullet"/>
      <w:lvlText w:val=""/>
      <w:lvlJc w:val="left"/>
      <w:pPr>
        <w:ind w:left="1060" w:hanging="360"/>
      </w:pPr>
      <w:rPr>
        <w:rFonts w:ascii="Symbol" w:hAnsi="Symbol"/>
      </w:rPr>
    </w:lvl>
    <w:lvl w:ilvl="3" w:tplc="46187EF6">
      <w:start w:val="1"/>
      <w:numFmt w:val="bullet"/>
      <w:lvlText w:val=""/>
      <w:lvlJc w:val="left"/>
      <w:pPr>
        <w:ind w:left="1060" w:hanging="360"/>
      </w:pPr>
      <w:rPr>
        <w:rFonts w:ascii="Symbol" w:hAnsi="Symbol"/>
      </w:rPr>
    </w:lvl>
    <w:lvl w:ilvl="4" w:tplc="4758902E">
      <w:start w:val="1"/>
      <w:numFmt w:val="bullet"/>
      <w:lvlText w:val=""/>
      <w:lvlJc w:val="left"/>
      <w:pPr>
        <w:ind w:left="1060" w:hanging="360"/>
      </w:pPr>
      <w:rPr>
        <w:rFonts w:ascii="Symbol" w:hAnsi="Symbol"/>
      </w:rPr>
    </w:lvl>
    <w:lvl w:ilvl="5" w:tplc="96EECFF8">
      <w:start w:val="1"/>
      <w:numFmt w:val="bullet"/>
      <w:lvlText w:val=""/>
      <w:lvlJc w:val="left"/>
      <w:pPr>
        <w:ind w:left="1060" w:hanging="360"/>
      </w:pPr>
      <w:rPr>
        <w:rFonts w:ascii="Symbol" w:hAnsi="Symbol"/>
      </w:rPr>
    </w:lvl>
    <w:lvl w:ilvl="6" w:tplc="0F2E9960">
      <w:start w:val="1"/>
      <w:numFmt w:val="bullet"/>
      <w:lvlText w:val=""/>
      <w:lvlJc w:val="left"/>
      <w:pPr>
        <w:ind w:left="1060" w:hanging="360"/>
      </w:pPr>
      <w:rPr>
        <w:rFonts w:ascii="Symbol" w:hAnsi="Symbol"/>
      </w:rPr>
    </w:lvl>
    <w:lvl w:ilvl="7" w:tplc="6BE25C76">
      <w:start w:val="1"/>
      <w:numFmt w:val="bullet"/>
      <w:lvlText w:val=""/>
      <w:lvlJc w:val="left"/>
      <w:pPr>
        <w:ind w:left="1060" w:hanging="360"/>
      </w:pPr>
      <w:rPr>
        <w:rFonts w:ascii="Symbol" w:hAnsi="Symbol"/>
      </w:rPr>
    </w:lvl>
    <w:lvl w:ilvl="8" w:tplc="ADA41AFC">
      <w:start w:val="1"/>
      <w:numFmt w:val="bullet"/>
      <w:lvlText w:val=""/>
      <w:lvlJc w:val="left"/>
      <w:pPr>
        <w:ind w:left="1060" w:hanging="360"/>
      </w:pPr>
      <w:rPr>
        <w:rFonts w:ascii="Symbol" w:hAnsi="Symbol"/>
      </w:rPr>
    </w:lvl>
  </w:abstractNum>
  <w:abstractNum w:abstractNumId="11" w15:restartNumberingAfterBreak="0">
    <w:nsid w:val="24E17D2A"/>
    <w:multiLevelType w:val="hybridMultilevel"/>
    <w:tmpl w:val="2EC82764"/>
    <w:lvl w:ilvl="0" w:tplc="A624596C">
      <w:start w:val="1"/>
      <w:numFmt w:val="decimal"/>
      <w:lvlText w:val="%1."/>
      <w:lvlJc w:val="left"/>
      <w:pPr>
        <w:ind w:left="3600" w:hanging="360"/>
      </w:pPr>
    </w:lvl>
    <w:lvl w:ilvl="1" w:tplc="D710F77E">
      <w:start w:val="1"/>
      <w:numFmt w:val="decimal"/>
      <w:lvlText w:val="%2."/>
      <w:lvlJc w:val="left"/>
      <w:pPr>
        <w:ind w:left="3600" w:hanging="360"/>
      </w:pPr>
    </w:lvl>
    <w:lvl w:ilvl="2" w:tplc="49CEDBF0">
      <w:start w:val="1"/>
      <w:numFmt w:val="decimal"/>
      <w:lvlText w:val="%3."/>
      <w:lvlJc w:val="left"/>
      <w:pPr>
        <w:ind w:left="3600" w:hanging="360"/>
      </w:pPr>
    </w:lvl>
    <w:lvl w:ilvl="3" w:tplc="468235F8">
      <w:start w:val="1"/>
      <w:numFmt w:val="decimal"/>
      <w:lvlText w:val="%4."/>
      <w:lvlJc w:val="left"/>
      <w:pPr>
        <w:ind w:left="3600" w:hanging="360"/>
      </w:pPr>
    </w:lvl>
    <w:lvl w:ilvl="4" w:tplc="C1685868">
      <w:start w:val="1"/>
      <w:numFmt w:val="decimal"/>
      <w:lvlText w:val="%5."/>
      <w:lvlJc w:val="left"/>
      <w:pPr>
        <w:ind w:left="3600" w:hanging="360"/>
      </w:pPr>
    </w:lvl>
    <w:lvl w:ilvl="5" w:tplc="0CCA088E">
      <w:start w:val="1"/>
      <w:numFmt w:val="decimal"/>
      <w:lvlText w:val="%6."/>
      <w:lvlJc w:val="left"/>
      <w:pPr>
        <w:ind w:left="3600" w:hanging="360"/>
      </w:pPr>
    </w:lvl>
    <w:lvl w:ilvl="6" w:tplc="840AF2E0">
      <w:start w:val="1"/>
      <w:numFmt w:val="decimal"/>
      <w:lvlText w:val="%7."/>
      <w:lvlJc w:val="left"/>
      <w:pPr>
        <w:ind w:left="3600" w:hanging="360"/>
      </w:pPr>
    </w:lvl>
    <w:lvl w:ilvl="7" w:tplc="05EA4D70">
      <w:start w:val="1"/>
      <w:numFmt w:val="decimal"/>
      <w:lvlText w:val="%8."/>
      <w:lvlJc w:val="left"/>
      <w:pPr>
        <w:ind w:left="3600" w:hanging="360"/>
      </w:pPr>
    </w:lvl>
    <w:lvl w:ilvl="8" w:tplc="5636A62A">
      <w:start w:val="1"/>
      <w:numFmt w:val="decimal"/>
      <w:lvlText w:val="%9."/>
      <w:lvlJc w:val="left"/>
      <w:pPr>
        <w:ind w:left="3600" w:hanging="360"/>
      </w:pPr>
    </w:lvl>
  </w:abstractNum>
  <w:abstractNum w:abstractNumId="12" w15:restartNumberingAfterBreak="0">
    <w:nsid w:val="2BE82A92"/>
    <w:multiLevelType w:val="hybridMultilevel"/>
    <w:tmpl w:val="9740EA16"/>
    <w:lvl w:ilvl="0" w:tplc="CBD89E4C">
      <w:start w:val="1"/>
      <w:numFmt w:val="decimal"/>
      <w:lvlText w:val="%1."/>
      <w:lvlJc w:val="left"/>
      <w:pPr>
        <w:ind w:left="3600" w:hanging="360"/>
      </w:pPr>
    </w:lvl>
    <w:lvl w:ilvl="1" w:tplc="740A1B00">
      <w:start w:val="1"/>
      <w:numFmt w:val="decimal"/>
      <w:lvlText w:val="%2."/>
      <w:lvlJc w:val="left"/>
      <w:pPr>
        <w:ind w:left="3600" w:hanging="360"/>
      </w:pPr>
    </w:lvl>
    <w:lvl w:ilvl="2" w:tplc="3AC0693A">
      <w:start w:val="1"/>
      <w:numFmt w:val="decimal"/>
      <w:lvlText w:val="%3."/>
      <w:lvlJc w:val="left"/>
      <w:pPr>
        <w:ind w:left="3600" w:hanging="360"/>
      </w:pPr>
    </w:lvl>
    <w:lvl w:ilvl="3" w:tplc="3440FBC2">
      <w:start w:val="1"/>
      <w:numFmt w:val="decimal"/>
      <w:lvlText w:val="%4."/>
      <w:lvlJc w:val="left"/>
      <w:pPr>
        <w:ind w:left="3600" w:hanging="360"/>
      </w:pPr>
    </w:lvl>
    <w:lvl w:ilvl="4" w:tplc="FA9A91E0">
      <w:start w:val="1"/>
      <w:numFmt w:val="decimal"/>
      <w:lvlText w:val="%5."/>
      <w:lvlJc w:val="left"/>
      <w:pPr>
        <w:ind w:left="3600" w:hanging="360"/>
      </w:pPr>
    </w:lvl>
    <w:lvl w:ilvl="5" w:tplc="CE367AA4">
      <w:start w:val="1"/>
      <w:numFmt w:val="decimal"/>
      <w:lvlText w:val="%6."/>
      <w:lvlJc w:val="left"/>
      <w:pPr>
        <w:ind w:left="3600" w:hanging="360"/>
      </w:pPr>
    </w:lvl>
    <w:lvl w:ilvl="6" w:tplc="852EB3F8">
      <w:start w:val="1"/>
      <w:numFmt w:val="decimal"/>
      <w:lvlText w:val="%7."/>
      <w:lvlJc w:val="left"/>
      <w:pPr>
        <w:ind w:left="3600" w:hanging="360"/>
      </w:pPr>
    </w:lvl>
    <w:lvl w:ilvl="7" w:tplc="D280373E">
      <w:start w:val="1"/>
      <w:numFmt w:val="decimal"/>
      <w:lvlText w:val="%8."/>
      <w:lvlJc w:val="left"/>
      <w:pPr>
        <w:ind w:left="3600" w:hanging="360"/>
      </w:pPr>
    </w:lvl>
    <w:lvl w:ilvl="8" w:tplc="C7D48882">
      <w:start w:val="1"/>
      <w:numFmt w:val="decimal"/>
      <w:lvlText w:val="%9."/>
      <w:lvlJc w:val="left"/>
      <w:pPr>
        <w:ind w:left="3600" w:hanging="360"/>
      </w:pPr>
    </w:lvl>
  </w:abstractNum>
  <w:abstractNum w:abstractNumId="13" w15:restartNumberingAfterBreak="0">
    <w:nsid w:val="2F49330D"/>
    <w:multiLevelType w:val="hybridMultilevel"/>
    <w:tmpl w:val="0CE4E31A"/>
    <w:lvl w:ilvl="0" w:tplc="FFFFFFFF">
      <w:start w:val="1"/>
      <w:numFmt w:val="lowerLetter"/>
      <w:lvlText w:val="%1."/>
      <w:lvlJc w:val="left"/>
      <w:pPr>
        <w:ind w:left="144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6C55095"/>
    <w:multiLevelType w:val="hybridMultilevel"/>
    <w:tmpl w:val="9C34056A"/>
    <w:lvl w:ilvl="0" w:tplc="9C4ECE5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9C4ECE50">
      <w:start w:val="1"/>
      <w:numFmt w:val="lowerLetter"/>
      <w:lvlText w:val="(%3)"/>
      <w:lvlJc w:val="lef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B360F7"/>
    <w:multiLevelType w:val="hybridMultilevel"/>
    <w:tmpl w:val="7882AB40"/>
    <w:lvl w:ilvl="0" w:tplc="D88ABC82">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6" w15:restartNumberingAfterBreak="0">
    <w:nsid w:val="3F2521F4"/>
    <w:multiLevelType w:val="hybridMultilevel"/>
    <w:tmpl w:val="731C92BA"/>
    <w:lvl w:ilvl="0" w:tplc="6CAC9F04">
      <w:start w:val="1"/>
      <w:numFmt w:val="bullet"/>
      <w:lvlText w:val=""/>
      <w:lvlJc w:val="left"/>
      <w:pPr>
        <w:ind w:left="1080" w:hanging="360"/>
      </w:pPr>
      <w:rPr>
        <w:rFonts w:ascii="Symbol" w:hAnsi="Symbol"/>
      </w:rPr>
    </w:lvl>
    <w:lvl w:ilvl="1" w:tplc="FDDA5458">
      <w:start w:val="1"/>
      <w:numFmt w:val="bullet"/>
      <w:lvlText w:val=""/>
      <w:lvlJc w:val="left"/>
      <w:pPr>
        <w:ind w:left="1080" w:hanging="360"/>
      </w:pPr>
      <w:rPr>
        <w:rFonts w:ascii="Symbol" w:hAnsi="Symbol"/>
      </w:rPr>
    </w:lvl>
    <w:lvl w:ilvl="2" w:tplc="3202D5A8">
      <w:start w:val="1"/>
      <w:numFmt w:val="bullet"/>
      <w:lvlText w:val=""/>
      <w:lvlJc w:val="left"/>
      <w:pPr>
        <w:ind w:left="1080" w:hanging="360"/>
      </w:pPr>
      <w:rPr>
        <w:rFonts w:ascii="Symbol" w:hAnsi="Symbol"/>
      </w:rPr>
    </w:lvl>
    <w:lvl w:ilvl="3" w:tplc="48CE9920">
      <w:start w:val="1"/>
      <w:numFmt w:val="bullet"/>
      <w:lvlText w:val=""/>
      <w:lvlJc w:val="left"/>
      <w:pPr>
        <w:ind w:left="1080" w:hanging="360"/>
      </w:pPr>
      <w:rPr>
        <w:rFonts w:ascii="Symbol" w:hAnsi="Symbol"/>
      </w:rPr>
    </w:lvl>
    <w:lvl w:ilvl="4" w:tplc="04F46BB8">
      <w:start w:val="1"/>
      <w:numFmt w:val="bullet"/>
      <w:lvlText w:val=""/>
      <w:lvlJc w:val="left"/>
      <w:pPr>
        <w:ind w:left="1080" w:hanging="360"/>
      </w:pPr>
      <w:rPr>
        <w:rFonts w:ascii="Symbol" w:hAnsi="Symbol"/>
      </w:rPr>
    </w:lvl>
    <w:lvl w:ilvl="5" w:tplc="0D12A744">
      <w:start w:val="1"/>
      <w:numFmt w:val="bullet"/>
      <w:lvlText w:val=""/>
      <w:lvlJc w:val="left"/>
      <w:pPr>
        <w:ind w:left="1080" w:hanging="360"/>
      </w:pPr>
      <w:rPr>
        <w:rFonts w:ascii="Symbol" w:hAnsi="Symbol"/>
      </w:rPr>
    </w:lvl>
    <w:lvl w:ilvl="6" w:tplc="58367A72">
      <w:start w:val="1"/>
      <w:numFmt w:val="bullet"/>
      <w:lvlText w:val=""/>
      <w:lvlJc w:val="left"/>
      <w:pPr>
        <w:ind w:left="1080" w:hanging="360"/>
      </w:pPr>
      <w:rPr>
        <w:rFonts w:ascii="Symbol" w:hAnsi="Symbol"/>
      </w:rPr>
    </w:lvl>
    <w:lvl w:ilvl="7" w:tplc="FDEE55AE">
      <w:start w:val="1"/>
      <w:numFmt w:val="bullet"/>
      <w:lvlText w:val=""/>
      <w:lvlJc w:val="left"/>
      <w:pPr>
        <w:ind w:left="1080" w:hanging="360"/>
      </w:pPr>
      <w:rPr>
        <w:rFonts w:ascii="Symbol" w:hAnsi="Symbol"/>
      </w:rPr>
    </w:lvl>
    <w:lvl w:ilvl="8" w:tplc="8692F9CC">
      <w:start w:val="1"/>
      <w:numFmt w:val="bullet"/>
      <w:lvlText w:val=""/>
      <w:lvlJc w:val="left"/>
      <w:pPr>
        <w:ind w:left="1080" w:hanging="360"/>
      </w:pPr>
      <w:rPr>
        <w:rFonts w:ascii="Symbol" w:hAnsi="Symbol"/>
      </w:rPr>
    </w:lvl>
  </w:abstractNum>
  <w:abstractNum w:abstractNumId="17" w15:restartNumberingAfterBreak="0">
    <w:nsid w:val="400842E8"/>
    <w:multiLevelType w:val="hybridMultilevel"/>
    <w:tmpl w:val="11DA4FE4"/>
    <w:lvl w:ilvl="0" w:tplc="392A4ECC">
      <w:start w:val="1"/>
      <w:numFmt w:val="decimal"/>
      <w:lvlText w:val="%1."/>
      <w:lvlJc w:val="left"/>
      <w:pPr>
        <w:ind w:left="3600" w:hanging="360"/>
      </w:pPr>
    </w:lvl>
    <w:lvl w:ilvl="1" w:tplc="4BD0C128">
      <w:start w:val="1"/>
      <w:numFmt w:val="decimal"/>
      <w:lvlText w:val="%2."/>
      <w:lvlJc w:val="left"/>
      <w:pPr>
        <w:ind w:left="3600" w:hanging="360"/>
      </w:pPr>
    </w:lvl>
    <w:lvl w:ilvl="2" w:tplc="CE145052">
      <w:start w:val="1"/>
      <w:numFmt w:val="decimal"/>
      <w:lvlText w:val="%3."/>
      <w:lvlJc w:val="left"/>
      <w:pPr>
        <w:ind w:left="3600" w:hanging="360"/>
      </w:pPr>
    </w:lvl>
    <w:lvl w:ilvl="3" w:tplc="CDD26772">
      <w:start w:val="1"/>
      <w:numFmt w:val="decimal"/>
      <w:lvlText w:val="%4."/>
      <w:lvlJc w:val="left"/>
      <w:pPr>
        <w:ind w:left="3600" w:hanging="360"/>
      </w:pPr>
    </w:lvl>
    <w:lvl w:ilvl="4" w:tplc="0986A78E">
      <w:start w:val="1"/>
      <w:numFmt w:val="decimal"/>
      <w:lvlText w:val="%5."/>
      <w:lvlJc w:val="left"/>
      <w:pPr>
        <w:ind w:left="3600" w:hanging="360"/>
      </w:pPr>
    </w:lvl>
    <w:lvl w:ilvl="5" w:tplc="759C855E">
      <w:start w:val="1"/>
      <w:numFmt w:val="decimal"/>
      <w:lvlText w:val="%6."/>
      <w:lvlJc w:val="left"/>
      <w:pPr>
        <w:ind w:left="3600" w:hanging="360"/>
      </w:pPr>
    </w:lvl>
    <w:lvl w:ilvl="6" w:tplc="068C83EC">
      <w:start w:val="1"/>
      <w:numFmt w:val="decimal"/>
      <w:lvlText w:val="%7."/>
      <w:lvlJc w:val="left"/>
      <w:pPr>
        <w:ind w:left="3600" w:hanging="360"/>
      </w:pPr>
    </w:lvl>
    <w:lvl w:ilvl="7" w:tplc="73108D6E">
      <w:start w:val="1"/>
      <w:numFmt w:val="decimal"/>
      <w:lvlText w:val="%8."/>
      <w:lvlJc w:val="left"/>
      <w:pPr>
        <w:ind w:left="3600" w:hanging="360"/>
      </w:pPr>
    </w:lvl>
    <w:lvl w:ilvl="8" w:tplc="2804A446">
      <w:start w:val="1"/>
      <w:numFmt w:val="decimal"/>
      <w:lvlText w:val="%9."/>
      <w:lvlJc w:val="left"/>
      <w:pPr>
        <w:ind w:left="3600" w:hanging="360"/>
      </w:pPr>
    </w:lvl>
  </w:abstractNum>
  <w:abstractNum w:abstractNumId="18" w15:restartNumberingAfterBreak="0">
    <w:nsid w:val="4028A1F7"/>
    <w:multiLevelType w:val="hybridMultilevel"/>
    <w:tmpl w:val="C2B6585E"/>
    <w:lvl w:ilvl="0" w:tplc="04FC8AB2">
      <w:start w:val="1"/>
      <w:numFmt w:val="decimal"/>
      <w:lvlText w:val="%1."/>
      <w:lvlJc w:val="left"/>
      <w:pPr>
        <w:ind w:left="720" w:hanging="360"/>
      </w:pPr>
    </w:lvl>
    <w:lvl w:ilvl="1" w:tplc="66AEA6A4">
      <w:start w:val="1"/>
      <w:numFmt w:val="lowerLetter"/>
      <w:lvlText w:val="%2)"/>
      <w:lvlJc w:val="left"/>
      <w:pPr>
        <w:ind w:left="1440" w:hanging="360"/>
      </w:pPr>
      <w:rPr>
        <w:color w:val="auto"/>
      </w:rPr>
    </w:lvl>
    <w:lvl w:ilvl="2" w:tplc="4DDC57C6">
      <w:start w:val="1"/>
      <w:numFmt w:val="lowerRoman"/>
      <w:lvlText w:val="%3."/>
      <w:lvlJc w:val="right"/>
      <w:pPr>
        <w:ind w:left="2160" w:hanging="180"/>
      </w:pPr>
    </w:lvl>
    <w:lvl w:ilvl="3" w:tplc="DFF440C8">
      <w:start w:val="1"/>
      <w:numFmt w:val="decimal"/>
      <w:lvlText w:val="%4."/>
      <w:lvlJc w:val="left"/>
      <w:pPr>
        <w:ind w:left="2880" w:hanging="360"/>
      </w:pPr>
    </w:lvl>
    <w:lvl w:ilvl="4" w:tplc="B27006CA">
      <w:start w:val="1"/>
      <w:numFmt w:val="lowerLetter"/>
      <w:lvlText w:val="%5."/>
      <w:lvlJc w:val="left"/>
      <w:pPr>
        <w:ind w:left="3600" w:hanging="360"/>
      </w:pPr>
    </w:lvl>
    <w:lvl w:ilvl="5" w:tplc="B8E26FD4">
      <w:start w:val="1"/>
      <w:numFmt w:val="lowerRoman"/>
      <w:lvlText w:val="%6."/>
      <w:lvlJc w:val="right"/>
      <w:pPr>
        <w:ind w:left="4320" w:hanging="180"/>
      </w:pPr>
    </w:lvl>
    <w:lvl w:ilvl="6" w:tplc="71CC047A">
      <w:start w:val="1"/>
      <w:numFmt w:val="decimal"/>
      <w:lvlText w:val="%7."/>
      <w:lvlJc w:val="left"/>
      <w:pPr>
        <w:ind w:left="5040" w:hanging="360"/>
      </w:pPr>
    </w:lvl>
    <w:lvl w:ilvl="7" w:tplc="1354EB4C">
      <w:start w:val="1"/>
      <w:numFmt w:val="lowerLetter"/>
      <w:lvlText w:val="%8."/>
      <w:lvlJc w:val="left"/>
      <w:pPr>
        <w:ind w:left="5760" w:hanging="360"/>
      </w:pPr>
    </w:lvl>
    <w:lvl w:ilvl="8" w:tplc="7C80DF66">
      <w:start w:val="1"/>
      <w:numFmt w:val="lowerRoman"/>
      <w:lvlText w:val="%9."/>
      <w:lvlJc w:val="right"/>
      <w:pPr>
        <w:ind w:left="6480" w:hanging="180"/>
      </w:pPr>
    </w:lvl>
  </w:abstractNum>
  <w:abstractNum w:abstractNumId="19" w15:restartNumberingAfterBreak="0">
    <w:nsid w:val="48732794"/>
    <w:multiLevelType w:val="hybridMultilevel"/>
    <w:tmpl w:val="76DAEF0C"/>
    <w:lvl w:ilvl="0" w:tplc="735293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8F75F32"/>
    <w:multiLevelType w:val="hybridMultilevel"/>
    <w:tmpl w:val="74263F96"/>
    <w:lvl w:ilvl="0" w:tplc="DBDC157C">
      <w:start w:val="1"/>
      <w:numFmt w:val="upperLetter"/>
      <w:lvlText w:val="%1."/>
      <w:lvlJc w:val="left"/>
      <w:pPr>
        <w:ind w:left="3240" w:hanging="360"/>
      </w:pPr>
    </w:lvl>
    <w:lvl w:ilvl="1" w:tplc="B26EA5D8">
      <w:start w:val="1"/>
      <w:numFmt w:val="upperLetter"/>
      <w:lvlText w:val="%2."/>
      <w:lvlJc w:val="left"/>
      <w:pPr>
        <w:ind w:left="3240" w:hanging="360"/>
      </w:pPr>
    </w:lvl>
    <w:lvl w:ilvl="2" w:tplc="F0E878E6">
      <w:start w:val="1"/>
      <w:numFmt w:val="upperLetter"/>
      <w:lvlText w:val="%3."/>
      <w:lvlJc w:val="left"/>
      <w:pPr>
        <w:ind w:left="3240" w:hanging="360"/>
      </w:pPr>
    </w:lvl>
    <w:lvl w:ilvl="3" w:tplc="77489110">
      <w:start w:val="1"/>
      <w:numFmt w:val="upperLetter"/>
      <w:lvlText w:val="%4."/>
      <w:lvlJc w:val="left"/>
      <w:pPr>
        <w:ind w:left="3240" w:hanging="360"/>
      </w:pPr>
    </w:lvl>
    <w:lvl w:ilvl="4" w:tplc="A1EC8DCC">
      <w:start w:val="1"/>
      <w:numFmt w:val="upperLetter"/>
      <w:lvlText w:val="%5."/>
      <w:lvlJc w:val="left"/>
      <w:pPr>
        <w:ind w:left="3240" w:hanging="360"/>
      </w:pPr>
    </w:lvl>
    <w:lvl w:ilvl="5" w:tplc="63F4E1E8">
      <w:start w:val="1"/>
      <w:numFmt w:val="upperLetter"/>
      <w:lvlText w:val="%6."/>
      <w:lvlJc w:val="left"/>
      <w:pPr>
        <w:ind w:left="3240" w:hanging="360"/>
      </w:pPr>
    </w:lvl>
    <w:lvl w:ilvl="6" w:tplc="2632B144">
      <w:start w:val="1"/>
      <w:numFmt w:val="upperLetter"/>
      <w:lvlText w:val="%7."/>
      <w:lvlJc w:val="left"/>
      <w:pPr>
        <w:ind w:left="3240" w:hanging="360"/>
      </w:pPr>
    </w:lvl>
    <w:lvl w:ilvl="7" w:tplc="16A2A548">
      <w:start w:val="1"/>
      <w:numFmt w:val="upperLetter"/>
      <w:lvlText w:val="%8."/>
      <w:lvlJc w:val="left"/>
      <w:pPr>
        <w:ind w:left="3240" w:hanging="360"/>
      </w:pPr>
    </w:lvl>
    <w:lvl w:ilvl="8" w:tplc="4CEC5E7E">
      <w:start w:val="1"/>
      <w:numFmt w:val="upperLetter"/>
      <w:lvlText w:val="%9."/>
      <w:lvlJc w:val="left"/>
      <w:pPr>
        <w:ind w:left="3240" w:hanging="360"/>
      </w:pPr>
    </w:lvl>
  </w:abstractNum>
  <w:abstractNum w:abstractNumId="21" w15:restartNumberingAfterBreak="0">
    <w:nsid w:val="4D753A1D"/>
    <w:multiLevelType w:val="hybridMultilevel"/>
    <w:tmpl w:val="4DD08158"/>
    <w:lvl w:ilvl="0" w:tplc="A94654D2">
      <w:start w:val="1"/>
      <w:numFmt w:val="lowerLetter"/>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2927D72"/>
    <w:multiLevelType w:val="hybridMultilevel"/>
    <w:tmpl w:val="AC70DE80"/>
    <w:lvl w:ilvl="0" w:tplc="5E3C9B5A">
      <w:start w:val="1"/>
      <w:numFmt w:val="bullet"/>
      <w:lvlText w:val=""/>
      <w:lvlJc w:val="left"/>
      <w:pPr>
        <w:ind w:left="2160" w:hanging="360"/>
      </w:pPr>
      <w:rPr>
        <w:rFonts w:ascii="Symbol" w:hAnsi="Symbol"/>
      </w:rPr>
    </w:lvl>
    <w:lvl w:ilvl="1" w:tplc="4D7292F0">
      <w:start w:val="1"/>
      <w:numFmt w:val="bullet"/>
      <w:lvlText w:val=""/>
      <w:lvlJc w:val="left"/>
      <w:pPr>
        <w:ind w:left="2160" w:hanging="360"/>
      </w:pPr>
      <w:rPr>
        <w:rFonts w:ascii="Symbol" w:hAnsi="Symbol"/>
      </w:rPr>
    </w:lvl>
    <w:lvl w:ilvl="2" w:tplc="905A67EE">
      <w:start w:val="1"/>
      <w:numFmt w:val="bullet"/>
      <w:lvlText w:val=""/>
      <w:lvlJc w:val="left"/>
      <w:pPr>
        <w:ind w:left="2160" w:hanging="360"/>
      </w:pPr>
      <w:rPr>
        <w:rFonts w:ascii="Symbol" w:hAnsi="Symbol"/>
      </w:rPr>
    </w:lvl>
    <w:lvl w:ilvl="3" w:tplc="8E026DE2">
      <w:start w:val="1"/>
      <w:numFmt w:val="bullet"/>
      <w:lvlText w:val=""/>
      <w:lvlJc w:val="left"/>
      <w:pPr>
        <w:ind w:left="2160" w:hanging="360"/>
      </w:pPr>
      <w:rPr>
        <w:rFonts w:ascii="Symbol" w:hAnsi="Symbol"/>
      </w:rPr>
    </w:lvl>
    <w:lvl w:ilvl="4" w:tplc="E5882364">
      <w:start w:val="1"/>
      <w:numFmt w:val="bullet"/>
      <w:lvlText w:val=""/>
      <w:lvlJc w:val="left"/>
      <w:pPr>
        <w:ind w:left="2160" w:hanging="360"/>
      </w:pPr>
      <w:rPr>
        <w:rFonts w:ascii="Symbol" w:hAnsi="Symbol"/>
      </w:rPr>
    </w:lvl>
    <w:lvl w:ilvl="5" w:tplc="111A7F90">
      <w:start w:val="1"/>
      <w:numFmt w:val="bullet"/>
      <w:lvlText w:val=""/>
      <w:lvlJc w:val="left"/>
      <w:pPr>
        <w:ind w:left="2160" w:hanging="360"/>
      </w:pPr>
      <w:rPr>
        <w:rFonts w:ascii="Symbol" w:hAnsi="Symbol"/>
      </w:rPr>
    </w:lvl>
    <w:lvl w:ilvl="6" w:tplc="289074CC">
      <w:start w:val="1"/>
      <w:numFmt w:val="bullet"/>
      <w:lvlText w:val=""/>
      <w:lvlJc w:val="left"/>
      <w:pPr>
        <w:ind w:left="2160" w:hanging="360"/>
      </w:pPr>
      <w:rPr>
        <w:rFonts w:ascii="Symbol" w:hAnsi="Symbol"/>
      </w:rPr>
    </w:lvl>
    <w:lvl w:ilvl="7" w:tplc="3EF83480">
      <w:start w:val="1"/>
      <w:numFmt w:val="bullet"/>
      <w:lvlText w:val=""/>
      <w:lvlJc w:val="left"/>
      <w:pPr>
        <w:ind w:left="2160" w:hanging="360"/>
      </w:pPr>
      <w:rPr>
        <w:rFonts w:ascii="Symbol" w:hAnsi="Symbol"/>
      </w:rPr>
    </w:lvl>
    <w:lvl w:ilvl="8" w:tplc="8C56208A">
      <w:start w:val="1"/>
      <w:numFmt w:val="bullet"/>
      <w:lvlText w:val=""/>
      <w:lvlJc w:val="left"/>
      <w:pPr>
        <w:ind w:left="2160" w:hanging="360"/>
      </w:pPr>
      <w:rPr>
        <w:rFonts w:ascii="Symbol" w:hAnsi="Symbol"/>
      </w:rPr>
    </w:lvl>
  </w:abstractNum>
  <w:abstractNum w:abstractNumId="23" w15:restartNumberingAfterBreak="0">
    <w:nsid w:val="531D4094"/>
    <w:multiLevelType w:val="hybridMultilevel"/>
    <w:tmpl w:val="3FD08B20"/>
    <w:lvl w:ilvl="0" w:tplc="DA707B0C">
      <w:start w:val="1"/>
      <w:numFmt w:val="bullet"/>
      <w:lvlText w:val=""/>
      <w:lvlJc w:val="left"/>
      <w:pPr>
        <w:ind w:left="1080" w:hanging="360"/>
      </w:pPr>
      <w:rPr>
        <w:rFonts w:ascii="Symbol" w:hAnsi="Symbol"/>
      </w:rPr>
    </w:lvl>
    <w:lvl w:ilvl="1" w:tplc="DE944DF2">
      <w:start w:val="1"/>
      <w:numFmt w:val="bullet"/>
      <w:lvlText w:val=""/>
      <w:lvlJc w:val="left"/>
      <w:pPr>
        <w:ind w:left="1080" w:hanging="360"/>
      </w:pPr>
      <w:rPr>
        <w:rFonts w:ascii="Symbol" w:hAnsi="Symbol"/>
      </w:rPr>
    </w:lvl>
    <w:lvl w:ilvl="2" w:tplc="962EEF0C">
      <w:start w:val="1"/>
      <w:numFmt w:val="bullet"/>
      <w:lvlText w:val=""/>
      <w:lvlJc w:val="left"/>
      <w:pPr>
        <w:ind w:left="1080" w:hanging="360"/>
      </w:pPr>
      <w:rPr>
        <w:rFonts w:ascii="Symbol" w:hAnsi="Symbol"/>
      </w:rPr>
    </w:lvl>
    <w:lvl w:ilvl="3" w:tplc="4614D69E">
      <w:start w:val="1"/>
      <w:numFmt w:val="bullet"/>
      <w:lvlText w:val=""/>
      <w:lvlJc w:val="left"/>
      <w:pPr>
        <w:ind w:left="1080" w:hanging="360"/>
      </w:pPr>
      <w:rPr>
        <w:rFonts w:ascii="Symbol" w:hAnsi="Symbol"/>
      </w:rPr>
    </w:lvl>
    <w:lvl w:ilvl="4" w:tplc="13A2785C">
      <w:start w:val="1"/>
      <w:numFmt w:val="bullet"/>
      <w:lvlText w:val=""/>
      <w:lvlJc w:val="left"/>
      <w:pPr>
        <w:ind w:left="1080" w:hanging="360"/>
      </w:pPr>
      <w:rPr>
        <w:rFonts w:ascii="Symbol" w:hAnsi="Symbol"/>
      </w:rPr>
    </w:lvl>
    <w:lvl w:ilvl="5" w:tplc="07C6831E">
      <w:start w:val="1"/>
      <w:numFmt w:val="bullet"/>
      <w:lvlText w:val=""/>
      <w:lvlJc w:val="left"/>
      <w:pPr>
        <w:ind w:left="1080" w:hanging="360"/>
      </w:pPr>
      <w:rPr>
        <w:rFonts w:ascii="Symbol" w:hAnsi="Symbol"/>
      </w:rPr>
    </w:lvl>
    <w:lvl w:ilvl="6" w:tplc="A378DC40">
      <w:start w:val="1"/>
      <w:numFmt w:val="bullet"/>
      <w:lvlText w:val=""/>
      <w:lvlJc w:val="left"/>
      <w:pPr>
        <w:ind w:left="1080" w:hanging="360"/>
      </w:pPr>
      <w:rPr>
        <w:rFonts w:ascii="Symbol" w:hAnsi="Symbol"/>
      </w:rPr>
    </w:lvl>
    <w:lvl w:ilvl="7" w:tplc="3788BED0">
      <w:start w:val="1"/>
      <w:numFmt w:val="bullet"/>
      <w:lvlText w:val=""/>
      <w:lvlJc w:val="left"/>
      <w:pPr>
        <w:ind w:left="1080" w:hanging="360"/>
      </w:pPr>
      <w:rPr>
        <w:rFonts w:ascii="Symbol" w:hAnsi="Symbol"/>
      </w:rPr>
    </w:lvl>
    <w:lvl w:ilvl="8" w:tplc="E96A100C">
      <w:start w:val="1"/>
      <w:numFmt w:val="bullet"/>
      <w:lvlText w:val=""/>
      <w:lvlJc w:val="left"/>
      <w:pPr>
        <w:ind w:left="1080" w:hanging="360"/>
      </w:pPr>
      <w:rPr>
        <w:rFonts w:ascii="Symbol" w:hAnsi="Symbol"/>
      </w:rPr>
    </w:lvl>
  </w:abstractNum>
  <w:abstractNum w:abstractNumId="24" w15:restartNumberingAfterBreak="0">
    <w:nsid w:val="61C62E53"/>
    <w:multiLevelType w:val="hybridMultilevel"/>
    <w:tmpl w:val="C8A4C77E"/>
    <w:lvl w:ilvl="0" w:tplc="AE6611B4">
      <w:start w:val="1"/>
      <w:numFmt w:val="decimal"/>
      <w:lvlText w:val="%1."/>
      <w:lvlJc w:val="left"/>
      <w:pPr>
        <w:ind w:left="720" w:hanging="360"/>
      </w:pPr>
    </w:lvl>
    <w:lvl w:ilvl="1" w:tplc="62F49696">
      <w:start w:val="1"/>
      <w:numFmt w:val="decimal"/>
      <w:lvlText w:val="%2."/>
      <w:lvlJc w:val="left"/>
      <w:pPr>
        <w:ind w:left="720" w:hanging="360"/>
      </w:pPr>
    </w:lvl>
    <w:lvl w:ilvl="2" w:tplc="A1EC8A54">
      <w:start w:val="1"/>
      <w:numFmt w:val="decimal"/>
      <w:lvlText w:val="%3."/>
      <w:lvlJc w:val="left"/>
      <w:pPr>
        <w:ind w:left="720" w:hanging="360"/>
      </w:pPr>
    </w:lvl>
    <w:lvl w:ilvl="3" w:tplc="3A541E68">
      <w:start w:val="1"/>
      <w:numFmt w:val="decimal"/>
      <w:lvlText w:val="%4."/>
      <w:lvlJc w:val="left"/>
      <w:pPr>
        <w:ind w:left="720" w:hanging="360"/>
      </w:pPr>
    </w:lvl>
    <w:lvl w:ilvl="4" w:tplc="DCA0912E">
      <w:start w:val="1"/>
      <w:numFmt w:val="decimal"/>
      <w:lvlText w:val="%5."/>
      <w:lvlJc w:val="left"/>
      <w:pPr>
        <w:ind w:left="720" w:hanging="360"/>
      </w:pPr>
    </w:lvl>
    <w:lvl w:ilvl="5" w:tplc="06123832">
      <w:start w:val="1"/>
      <w:numFmt w:val="decimal"/>
      <w:lvlText w:val="%6."/>
      <w:lvlJc w:val="left"/>
      <w:pPr>
        <w:ind w:left="720" w:hanging="360"/>
      </w:pPr>
    </w:lvl>
    <w:lvl w:ilvl="6" w:tplc="51688818">
      <w:start w:val="1"/>
      <w:numFmt w:val="decimal"/>
      <w:lvlText w:val="%7."/>
      <w:lvlJc w:val="left"/>
      <w:pPr>
        <w:ind w:left="720" w:hanging="360"/>
      </w:pPr>
    </w:lvl>
    <w:lvl w:ilvl="7" w:tplc="8C24DCF8">
      <w:start w:val="1"/>
      <w:numFmt w:val="decimal"/>
      <w:lvlText w:val="%8."/>
      <w:lvlJc w:val="left"/>
      <w:pPr>
        <w:ind w:left="720" w:hanging="360"/>
      </w:pPr>
    </w:lvl>
    <w:lvl w:ilvl="8" w:tplc="DA5A650E">
      <w:start w:val="1"/>
      <w:numFmt w:val="decimal"/>
      <w:lvlText w:val="%9."/>
      <w:lvlJc w:val="left"/>
      <w:pPr>
        <w:ind w:left="720" w:hanging="360"/>
      </w:pPr>
    </w:lvl>
  </w:abstractNum>
  <w:abstractNum w:abstractNumId="25" w15:restartNumberingAfterBreak="0">
    <w:nsid w:val="698A331A"/>
    <w:multiLevelType w:val="hybridMultilevel"/>
    <w:tmpl w:val="7D3AB88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FB41935"/>
    <w:multiLevelType w:val="hybridMultilevel"/>
    <w:tmpl w:val="951825B8"/>
    <w:lvl w:ilvl="0" w:tplc="542A528E">
      <w:start w:val="1"/>
      <w:numFmt w:val="bullet"/>
      <w:lvlText w:val=""/>
      <w:lvlJc w:val="left"/>
      <w:pPr>
        <w:ind w:left="1080" w:hanging="360"/>
      </w:pPr>
      <w:rPr>
        <w:rFonts w:ascii="Symbol" w:hAnsi="Symbol"/>
      </w:rPr>
    </w:lvl>
    <w:lvl w:ilvl="1" w:tplc="A2AAF3D6">
      <w:start w:val="1"/>
      <w:numFmt w:val="bullet"/>
      <w:lvlText w:val=""/>
      <w:lvlJc w:val="left"/>
      <w:pPr>
        <w:ind w:left="1080" w:hanging="360"/>
      </w:pPr>
      <w:rPr>
        <w:rFonts w:ascii="Symbol" w:hAnsi="Symbol"/>
      </w:rPr>
    </w:lvl>
    <w:lvl w:ilvl="2" w:tplc="02F033FC">
      <w:start w:val="1"/>
      <w:numFmt w:val="bullet"/>
      <w:lvlText w:val=""/>
      <w:lvlJc w:val="left"/>
      <w:pPr>
        <w:ind w:left="1080" w:hanging="360"/>
      </w:pPr>
      <w:rPr>
        <w:rFonts w:ascii="Symbol" w:hAnsi="Symbol"/>
      </w:rPr>
    </w:lvl>
    <w:lvl w:ilvl="3" w:tplc="C1A8BDD6">
      <w:start w:val="1"/>
      <w:numFmt w:val="bullet"/>
      <w:lvlText w:val=""/>
      <w:lvlJc w:val="left"/>
      <w:pPr>
        <w:ind w:left="1080" w:hanging="360"/>
      </w:pPr>
      <w:rPr>
        <w:rFonts w:ascii="Symbol" w:hAnsi="Symbol"/>
      </w:rPr>
    </w:lvl>
    <w:lvl w:ilvl="4" w:tplc="6E7AA938">
      <w:start w:val="1"/>
      <w:numFmt w:val="bullet"/>
      <w:lvlText w:val=""/>
      <w:lvlJc w:val="left"/>
      <w:pPr>
        <w:ind w:left="1080" w:hanging="360"/>
      </w:pPr>
      <w:rPr>
        <w:rFonts w:ascii="Symbol" w:hAnsi="Symbol"/>
      </w:rPr>
    </w:lvl>
    <w:lvl w:ilvl="5" w:tplc="64AA41F6">
      <w:start w:val="1"/>
      <w:numFmt w:val="bullet"/>
      <w:lvlText w:val=""/>
      <w:lvlJc w:val="left"/>
      <w:pPr>
        <w:ind w:left="1080" w:hanging="360"/>
      </w:pPr>
      <w:rPr>
        <w:rFonts w:ascii="Symbol" w:hAnsi="Symbol"/>
      </w:rPr>
    </w:lvl>
    <w:lvl w:ilvl="6" w:tplc="DE26E600">
      <w:start w:val="1"/>
      <w:numFmt w:val="bullet"/>
      <w:lvlText w:val=""/>
      <w:lvlJc w:val="left"/>
      <w:pPr>
        <w:ind w:left="1080" w:hanging="360"/>
      </w:pPr>
      <w:rPr>
        <w:rFonts w:ascii="Symbol" w:hAnsi="Symbol"/>
      </w:rPr>
    </w:lvl>
    <w:lvl w:ilvl="7" w:tplc="52E8DD80">
      <w:start w:val="1"/>
      <w:numFmt w:val="bullet"/>
      <w:lvlText w:val=""/>
      <w:lvlJc w:val="left"/>
      <w:pPr>
        <w:ind w:left="1080" w:hanging="360"/>
      </w:pPr>
      <w:rPr>
        <w:rFonts w:ascii="Symbol" w:hAnsi="Symbol"/>
      </w:rPr>
    </w:lvl>
    <w:lvl w:ilvl="8" w:tplc="139CA39A">
      <w:start w:val="1"/>
      <w:numFmt w:val="bullet"/>
      <w:lvlText w:val=""/>
      <w:lvlJc w:val="left"/>
      <w:pPr>
        <w:ind w:left="1080" w:hanging="360"/>
      </w:pPr>
      <w:rPr>
        <w:rFonts w:ascii="Symbol" w:hAnsi="Symbol"/>
      </w:rPr>
    </w:lvl>
  </w:abstractNum>
  <w:abstractNum w:abstractNumId="27" w15:restartNumberingAfterBreak="0">
    <w:nsid w:val="725E5B47"/>
    <w:multiLevelType w:val="hybridMultilevel"/>
    <w:tmpl w:val="33BE6D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50E7270"/>
    <w:multiLevelType w:val="hybridMultilevel"/>
    <w:tmpl w:val="1B6089D8"/>
    <w:lvl w:ilvl="0" w:tplc="99640002">
      <w:start w:val="1"/>
      <w:numFmt w:val="lowerRoman"/>
      <w:lvlText w:val="%1)"/>
      <w:lvlJc w:val="right"/>
      <w:pPr>
        <w:ind w:left="1020" w:hanging="360"/>
      </w:pPr>
    </w:lvl>
    <w:lvl w:ilvl="1" w:tplc="87600BBA">
      <w:start w:val="1"/>
      <w:numFmt w:val="lowerRoman"/>
      <w:lvlText w:val="%2)"/>
      <w:lvlJc w:val="right"/>
      <w:pPr>
        <w:ind w:left="1020" w:hanging="360"/>
      </w:pPr>
    </w:lvl>
    <w:lvl w:ilvl="2" w:tplc="57C48B94">
      <w:start w:val="1"/>
      <w:numFmt w:val="lowerRoman"/>
      <w:lvlText w:val="%3)"/>
      <w:lvlJc w:val="right"/>
      <w:pPr>
        <w:ind w:left="1020" w:hanging="360"/>
      </w:pPr>
    </w:lvl>
    <w:lvl w:ilvl="3" w:tplc="5302DC9A">
      <w:start w:val="1"/>
      <w:numFmt w:val="lowerRoman"/>
      <w:lvlText w:val="%4)"/>
      <w:lvlJc w:val="right"/>
      <w:pPr>
        <w:ind w:left="1020" w:hanging="360"/>
      </w:pPr>
    </w:lvl>
    <w:lvl w:ilvl="4" w:tplc="855C86FE">
      <w:start w:val="1"/>
      <w:numFmt w:val="lowerRoman"/>
      <w:lvlText w:val="%5)"/>
      <w:lvlJc w:val="right"/>
      <w:pPr>
        <w:ind w:left="1020" w:hanging="360"/>
      </w:pPr>
    </w:lvl>
    <w:lvl w:ilvl="5" w:tplc="5AAA8244">
      <w:start w:val="1"/>
      <w:numFmt w:val="lowerRoman"/>
      <w:lvlText w:val="%6)"/>
      <w:lvlJc w:val="right"/>
      <w:pPr>
        <w:ind w:left="1020" w:hanging="360"/>
      </w:pPr>
    </w:lvl>
    <w:lvl w:ilvl="6" w:tplc="DE562314">
      <w:start w:val="1"/>
      <w:numFmt w:val="lowerRoman"/>
      <w:lvlText w:val="%7)"/>
      <w:lvlJc w:val="right"/>
      <w:pPr>
        <w:ind w:left="1020" w:hanging="360"/>
      </w:pPr>
    </w:lvl>
    <w:lvl w:ilvl="7" w:tplc="16F405DE">
      <w:start w:val="1"/>
      <w:numFmt w:val="lowerRoman"/>
      <w:lvlText w:val="%8)"/>
      <w:lvlJc w:val="right"/>
      <w:pPr>
        <w:ind w:left="1020" w:hanging="360"/>
      </w:pPr>
    </w:lvl>
    <w:lvl w:ilvl="8" w:tplc="71E61938">
      <w:start w:val="1"/>
      <w:numFmt w:val="lowerRoman"/>
      <w:lvlText w:val="%9)"/>
      <w:lvlJc w:val="right"/>
      <w:pPr>
        <w:ind w:left="1020" w:hanging="360"/>
      </w:pPr>
    </w:lvl>
  </w:abstractNum>
  <w:abstractNum w:abstractNumId="29" w15:restartNumberingAfterBreak="0">
    <w:nsid w:val="7E3A3C0F"/>
    <w:multiLevelType w:val="hybridMultilevel"/>
    <w:tmpl w:val="8E605D86"/>
    <w:lvl w:ilvl="0" w:tplc="487AE580">
      <w:start w:val="1"/>
      <w:numFmt w:val="bullet"/>
      <w:lvlText w:val=""/>
      <w:lvlJc w:val="left"/>
      <w:pPr>
        <w:ind w:left="720" w:hanging="360"/>
      </w:pPr>
      <w:rPr>
        <w:rFonts w:ascii="Symbol" w:hAnsi="Symbol"/>
      </w:rPr>
    </w:lvl>
    <w:lvl w:ilvl="1" w:tplc="FD94A9E4">
      <w:start w:val="1"/>
      <w:numFmt w:val="bullet"/>
      <w:lvlText w:val=""/>
      <w:lvlJc w:val="left"/>
      <w:pPr>
        <w:ind w:left="720" w:hanging="360"/>
      </w:pPr>
      <w:rPr>
        <w:rFonts w:ascii="Symbol" w:hAnsi="Symbol"/>
      </w:rPr>
    </w:lvl>
    <w:lvl w:ilvl="2" w:tplc="128E3E66">
      <w:start w:val="1"/>
      <w:numFmt w:val="bullet"/>
      <w:lvlText w:val=""/>
      <w:lvlJc w:val="left"/>
      <w:pPr>
        <w:ind w:left="720" w:hanging="360"/>
      </w:pPr>
      <w:rPr>
        <w:rFonts w:ascii="Symbol" w:hAnsi="Symbol"/>
      </w:rPr>
    </w:lvl>
    <w:lvl w:ilvl="3" w:tplc="30E2C618">
      <w:start w:val="1"/>
      <w:numFmt w:val="bullet"/>
      <w:lvlText w:val=""/>
      <w:lvlJc w:val="left"/>
      <w:pPr>
        <w:ind w:left="720" w:hanging="360"/>
      </w:pPr>
      <w:rPr>
        <w:rFonts w:ascii="Symbol" w:hAnsi="Symbol"/>
      </w:rPr>
    </w:lvl>
    <w:lvl w:ilvl="4" w:tplc="1B8C2B1C">
      <w:start w:val="1"/>
      <w:numFmt w:val="bullet"/>
      <w:lvlText w:val=""/>
      <w:lvlJc w:val="left"/>
      <w:pPr>
        <w:ind w:left="720" w:hanging="360"/>
      </w:pPr>
      <w:rPr>
        <w:rFonts w:ascii="Symbol" w:hAnsi="Symbol"/>
      </w:rPr>
    </w:lvl>
    <w:lvl w:ilvl="5" w:tplc="168A0678">
      <w:start w:val="1"/>
      <w:numFmt w:val="bullet"/>
      <w:lvlText w:val=""/>
      <w:lvlJc w:val="left"/>
      <w:pPr>
        <w:ind w:left="720" w:hanging="360"/>
      </w:pPr>
      <w:rPr>
        <w:rFonts w:ascii="Symbol" w:hAnsi="Symbol"/>
      </w:rPr>
    </w:lvl>
    <w:lvl w:ilvl="6" w:tplc="6F42A46C">
      <w:start w:val="1"/>
      <w:numFmt w:val="bullet"/>
      <w:lvlText w:val=""/>
      <w:lvlJc w:val="left"/>
      <w:pPr>
        <w:ind w:left="720" w:hanging="360"/>
      </w:pPr>
      <w:rPr>
        <w:rFonts w:ascii="Symbol" w:hAnsi="Symbol"/>
      </w:rPr>
    </w:lvl>
    <w:lvl w:ilvl="7" w:tplc="4114F9B8">
      <w:start w:val="1"/>
      <w:numFmt w:val="bullet"/>
      <w:lvlText w:val=""/>
      <w:lvlJc w:val="left"/>
      <w:pPr>
        <w:ind w:left="720" w:hanging="360"/>
      </w:pPr>
      <w:rPr>
        <w:rFonts w:ascii="Symbol" w:hAnsi="Symbol"/>
      </w:rPr>
    </w:lvl>
    <w:lvl w:ilvl="8" w:tplc="8D8A7BE4">
      <w:start w:val="1"/>
      <w:numFmt w:val="bullet"/>
      <w:lvlText w:val=""/>
      <w:lvlJc w:val="left"/>
      <w:pPr>
        <w:ind w:left="720" w:hanging="360"/>
      </w:pPr>
      <w:rPr>
        <w:rFonts w:ascii="Symbol" w:hAnsi="Symbol"/>
      </w:rPr>
    </w:lvl>
  </w:abstractNum>
  <w:num w:numId="1">
    <w:abstractNumId w:val="1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8"/>
  </w:num>
  <w:num w:numId="6">
    <w:abstractNumId w:val="7"/>
  </w:num>
  <w:num w:numId="7">
    <w:abstractNumId w:val="19"/>
  </w:num>
  <w:num w:numId="8">
    <w:abstractNumId w:val="21"/>
  </w:num>
  <w:num w:numId="9">
    <w:abstractNumId w:val="27"/>
  </w:num>
  <w:num w:numId="10">
    <w:abstractNumId w:val="13"/>
  </w:num>
  <w:num w:numId="11">
    <w:abstractNumId w:val="28"/>
  </w:num>
  <w:num w:numId="12">
    <w:abstractNumId w:val="20"/>
  </w:num>
  <w:num w:numId="13">
    <w:abstractNumId w:val="4"/>
  </w:num>
  <w:num w:numId="14">
    <w:abstractNumId w:val="17"/>
  </w:num>
  <w:num w:numId="15">
    <w:abstractNumId w:val="3"/>
  </w:num>
  <w:num w:numId="16">
    <w:abstractNumId w:val="12"/>
  </w:num>
  <w:num w:numId="17">
    <w:abstractNumId w:val="1"/>
  </w:num>
  <w:num w:numId="18">
    <w:abstractNumId w:val="11"/>
  </w:num>
  <w:num w:numId="19">
    <w:abstractNumId w:val="25"/>
  </w:num>
  <w:num w:numId="20">
    <w:abstractNumId w:val="5"/>
  </w:num>
  <w:num w:numId="21">
    <w:abstractNumId w:val="2"/>
  </w:num>
  <w:num w:numId="22">
    <w:abstractNumId w:val="29"/>
  </w:num>
  <w:num w:numId="23">
    <w:abstractNumId w:val="24"/>
  </w:num>
  <w:num w:numId="24">
    <w:abstractNumId w:val="26"/>
  </w:num>
  <w:num w:numId="25">
    <w:abstractNumId w:val="23"/>
  </w:num>
  <w:num w:numId="26">
    <w:abstractNumId w:val="10"/>
  </w:num>
  <w:num w:numId="27">
    <w:abstractNumId w:val="16"/>
  </w:num>
  <w:num w:numId="28">
    <w:abstractNumId w:val="22"/>
  </w:num>
  <w:num w:numId="29">
    <w:abstractNumId w:val="9"/>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to the "/>
    <w:docVar w:name="LW_ANNEX_NBR_FIRST" w:val="1"/>
    <w:docVar w:name="LW_ANNEX_NBR_LAST" w:val="1"/>
    <w:docVar w:name="LW_ANNEX_UNIQUE" w:val="0"/>
    <w:docVar w:name="LW_CORRIGENDUM" w:val="&lt;UNUSED&gt;"/>
    <w:docVar w:name="LW_COVERPAGE_EXISTS" w:val="True"/>
    <w:docVar w:name="LW_COVERPAGE_GUID" w:val="A58CD471-509F-434F-B2CF-36C382004662"/>
    <w:docVar w:name="LW_COVERPAGE_TYPE" w:val="1"/>
    <w:docVar w:name="LW_CROSSREFERENCE" w:val="&lt;UNUSED&gt;"/>
    <w:docVar w:name="LW_DocType" w:val="NORMAL"/>
    <w:docVar w:name="LW_EMISSION" w:val="7.9.2026"/>
    <w:docVar w:name="LW_EMISSION_ISODATE" w:val="2026-09-07"/>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and provisional application of the Agreement between the European Union and the Principality of Andorra on several aspects in the field of border management"/>
    <w:docVar w:name="LW_PART_NBR" w:val="1"/>
    <w:docVar w:name="LW_PART_NBR_TOTAL" w:val="1"/>
    <w:docVar w:name="LW_REF.INST.NEW" w:val="COM"/>
    <w:docVar w:name="LW_REF.INST.NEW_ADOPTED" w:val="final"/>
    <w:docVar w:name="LW_REF.INST.NEW_TEXT" w:val="(2026) 4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E6E0DDD-4DA1-42D6-836C-80DC2683B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lang w:val="en-GB"/>
    </w:rPr>
  </w:style>
  <w:style w:type="paragraph" w:styleId="Heading1">
    <w:name w:val="heading 1"/>
    <w:basedOn w:val="Normal"/>
    <w:next w:val="Normal"/>
    <w:link w:val="Heading1Char"/>
    <w:uiPriority w:val="9"/>
    <w:qFormat/>
    <w:pPr>
      <w:keepNext/>
      <w:keepLines/>
      <w:pageBreakBefore/>
      <w:spacing w:after="240"/>
      <w:jc w:val="center"/>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pPr>
      <w:keepNext/>
      <w:keepLines/>
      <w:spacing w:before="360" w:after="240"/>
      <w:jc w:val="center"/>
      <w:outlineLvl w:val="1"/>
    </w:pPr>
    <w:rPr>
      <w:rFonts w:asciiTheme="majorHAnsi" w:eastAsiaTheme="majorEastAsia" w:hAnsiTheme="majorHAnsi" w:cstheme="majorBidi"/>
      <w:szCs w:val="26"/>
    </w:rPr>
  </w:style>
  <w:style w:type="paragraph" w:styleId="Heading3">
    <w:name w:val="heading 3"/>
    <w:basedOn w:val="Normal"/>
    <w:next w:val="Normal"/>
    <w:link w:val="Heading3Char"/>
    <w:uiPriority w:val="9"/>
    <w:unhideWhenUsed/>
    <w:qFormat/>
    <w:pPr>
      <w:keepNext/>
      <w:keepLines/>
      <w:spacing w:before="120" w:after="240" w:line="257" w:lineRule="auto"/>
      <w:jc w:val="center"/>
      <w:outlineLvl w:val="2"/>
    </w:pPr>
    <w:rPr>
      <w:rFonts w:asciiTheme="majorHAnsi" w:eastAsiaTheme="majorEastAsia" w:hAnsiTheme="majorHAnsi" w:cstheme="majorBidi"/>
      <w:color w:val="000000" w:themeColor="text1"/>
      <w:szCs w:val="24"/>
    </w:rPr>
  </w:style>
  <w:style w:type="paragraph" w:styleId="Heading4">
    <w:name w:val="heading 4"/>
    <w:basedOn w:val="Normal"/>
    <w:next w:val="Normal"/>
    <w:link w:val="Heading4Char"/>
    <w:uiPriority w:val="9"/>
    <w:unhideWhenUsed/>
    <w:qFormat/>
    <w:pPr>
      <w:keepNext/>
      <w:keepLines/>
      <w:spacing w:before="40" w:after="0"/>
      <w:jc w:val="center"/>
      <w:outlineLvl w:val="3"/>
    </w:pPr>
    <w:rPr>
      <w:rFonts w:asciiTheme="majorHAnsi" w:eastAsiaTheme="majorEastAsia" w:hAnsiTheme="majorHAnsi" w:cstheme="majorBidi"/>
      <w:i/>
      <w:iCs/>
    </w:rPr>
  </w:style>
  <w:style w:type="paragraph" w:styleId="Heading5">
    <w:name w:val="heading 5"/>
    <w:basedOn w:val="Heading4"/>
    <w:next w:val="Normal"/>
    <w:link w:val="Heading5Char"/>
    <w:uiPriority w:val="9"/>
    <w:unhideWhenUsed/>
    <w:qFormat/>
    <w:pPr>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L,Weekly"/>
    <w:basedOn w:val="Normal"/>
    <w:link w:val="ListParagraphChar"/>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000000" w:themeColor="text1"/>
      <w:szCs w:val="24"/>
      <w:lang w:val="en-GB"/>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lang w:val="en-GB"/>
    </w:rPr>
  </w:style>
  <w:style w:type="paragraph" w:styleId="Title">
    <w:name w:val="Title"/>
    <w:basedOn w:val="Normal"/>
    <w:next w:val="Normal"/>
    <w:link w:val="TitleChar"/>
    <w:uiPriority w:val="10"/>
    <w:qFormat/>
    <w:pPr>
      <w:spacing w:after="0" w:line="240" w:lineRule="auto"/>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Pr>
      <w:rFonts w:eastAsiaTheme="majorEastAsia" w:cstheme="majorBidi"/>
      <w:b/>
      <w:spacing w:val="-10"/>
      <w:kern w:val="28"/>
      <w:szCs w:val="56"/>
      <w:lang w:val="en-GB"/>
    </w:rPr>
  </w:style>
  <w:style w:type="character" w:styleId="FootnoteReference">
    <w:name w:val="footnote reference"/>
    <w:basedOn w:val="DefaultParagraphFont"/>
    <w:uiPriority w:val="99"/>
    <w:semiHidden/>
    <w:unhideWhenUsed/>
    <w:rPr>
      <w:vertAlign w:val="superscript"/>
    </w:rPr>
  </w:style>
  <w:style w:type="paragraph" w:styleId="TOC3">
    <w:name w:val="toc 3"/>
    <w:basedOn w:val="Normal"/>
    <w:next w:val="Normal"/>
    <w:autoRedefine/>
    <w:uiPriority w:val="39"/>
    <w:unhideWhenUsed/>
    <w:pPr>
      <w:tabs>
        <w:tab w:val="right" w:leader="dot" w:pos="9350"/>
      </w:tabs>
      <w:spacing w:after="100"/>
      <w:ind w:left="440"/>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en-GB"/>
    </w:rPr>
  </w:style>
  <w:style w:type="character" w:customStyle="1" w:styleId="Heading1Char">
    <w:name w:val="Heading 1 Char"/>
    <w:basedOn w:val="DefaultParagraphFont"/>
    <w:link w:val="Heading1"/>
    <w:uiPriority w:val="9"/>
    <w:rPr>
      <w:rFonts w:asciiTheme="majorHAnsi" w:eastAsiaTheme="majorEastAsia" w:hAnsiTheme="majorHAnsi" w:cstheme="majorBidi"/>
      <w:b/>
      <w:sz w:val="24"/>
      <w:szCs w:val="32"/>
      <w:lang w:val="en-GB"/>
    </w:rPr>
  </w:style>
  <w:style w:type="character" w:customStyle="1" w:styleId="Heading2Char">
    <w:name w:val="Heading 2 Char"/>
    <w:basedOn w:val="DefaultParagraphFont"/>
    <w:link w:val="Heading2"/>
    <w:uiPriority w:val="9"/>
    <w:rPr>
      <w:rFonts w:asciiTheme="majorHAnsi" w:eastAsiaTheme="majorEastAsia" w:hAnsiTheme="majorHAnsi" w:cstheme="majorBidi"/>
      <w:szCs w:val="26"/>
      <w:lang w:val="en-GB"/>
    </w:rPr>
  </w:style>
  <w:style w:type="paragraph" w:styleId="TOC1">
    <w:name w:val="toc 1"/>
    <w:basedOn w:val="Normal"/>
    <w:next w:val="Normal"/>
    <w:autoRedefine/>
    <w:uiPriority w:val="39"/>
    <w:unhideWhenUsed/>
    <w:pPr>
      <w:tabs>
        <w:tab w:val="right" w:leader="dot" w:pos="9350"/>
      </w:tabs>
      <w:spacing w:after="100"/>
    </w:pPr>
    <w:rPr>
      <w:b/>
      <w:sz w:val="24"/>
    </w:rPr>
  </w:style>
  <w:style w:type="paragraph" w:styleId="TOC2">
    <w:name w:val="toc 2"/>
    <w:basedOn w:val="Normal"/>
    <w:next w:val="Normal"/>
    <w:autoRedefine/>
    <w:uiPriority w:val="39"/>
    <w:unhideWhenUsed/>
    <w:pPr>
      <w:spacing w:after="100"/>
      <w:ind w:left="220"/>
    </w:p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Text1">
    <w:name w:val="Comment Text1"/>
    <w:basedOn w:val="Normal"/>
    <w:next w:val="CommentText"/>
    <w:uiPriority w:val="99"/>
    <w:semiHidden/>
    <w:pPr>
      <w:spacing w:after="0" w:line="240" w:lineRule="auto"/>
    </w:pPr>
    <w:rPr>
      <w:sz w:val="20"/>
      <w:szCs w:val="20"/>
    </w:rPr>
  </w:style>
  <w:style w:type="character" w:customStyle="1" w:styleId="CommentTextChar1">
    <w:name w:val="Comment Text Char1"/>
    <w:basedOn w:val="DefaultParagraphFont"/>
    <w:uiPriority w:val="99"/>
    <w:semiHidden/>
    <w:locked/>
    <w:rPr>
      <w:sz w:val="20"/>
      <w:szCs w:val="20"/>
      <w:lang w:val="en-GB"/>
    </w:rPr>
  </w:style>
  <w:style w:type="character" w:customStyle="1" w:styleId="Heading4Char">
    <w:name w:val="Heading 4 Char"/>
    <w:basedOn w:val="DefaultParagraphFont"/>
    <w:link w:val="Heading4"/>
    <w:uiPriority w:val="9"/>
    <w:rPr>
      <w:rFonts w:asciiTheme="majorHAnsi" w:eastAsiaTheme="majorEastAsia" w:hAnsiTheme="majorHAnsi" w:cstheme="majorBidi"/>
      <w:i/>
      <w:iCs/>
      <w:lang w:val="en-GB"/>
    </w:rPr>
  </w:style>
  <w:style w:type="paragraph" w:styleId="TOC4">
    <w:name w:val="toc 4"/>
    <w:basedOn w:val="Normal"/>
    <w:next w:val="Normal"/>
    <w:autoRedefine/>
    <w:uiPriority w:val="39"/>
    <w:unhideWhenUsed/>
    <w:pPr>
      <w:shd w:val="clear" w:color="auto" w:fill="FFFFFF" w:themeFill="background1"/>
      <w:spacing w:after="100"/>
      <w:ind w:left="660"/>
    </w:pPr>
    <w:rPr>
      <w:rFonts w:eastAsiaTheme="minorEastAsia"/>
      <w:lang w:eastAsia="en-GB"/>
    </w:rPr>
  </w:style>
  <w:style w:type="paragraph" w:styleId="TOC5">
    <w:name w:val="toc 5"/>
    <w:basedOn w:val="Normal"/>
    <w:next w:val="Normal"/>
    <w:autoRedefine/>
    <w:uiPriority w:val="39"/>
    <w:unhideWhenUsed/>
    <w:pPr>
      <w:shd w:val="clear" w:color="auto" w:fill="FFFFFF" w:themeFill="background1"/>
      <w:spacing w:after="100"/>
      <w:ind w:left="880"/>
    </w:pPr>
    <w:rPr>
      <w:rFonts w:eastAsia="Times New Roman"/>
      <w:noProof/>
      <w:lang w:eastAsia="nl-NL"/>
    </w:rPr>
  </w:style>
  <w:style w:type="paragraph" w:styleId="TOC6">
    <w:name w:val="toc 6"/>
    <w:basedOn w:val="Normal"/>
    <w:next w:val="Normal"/>
    <w:autoRedefine/>
    <w:uiPriority w:val="39"/>
    <w:unhideWhenUsed/>
    <w:pPr>
      <w:spacing w:after="100"/>
      <w:ind w:left="1100"/>
    </w:pPr>
    <w:rPr>
      <w:rFonts w:eastAsiaTheme="minorEastAsia"/>
      <w:lang w:eastAsia="en-GB"/>
    </w:rPr>
  </w:style>
  <w:style w:type="paragraph" w:styleId="TOC7">
    <w:name w:val="toc 7"/>
    <w:basedOn w:val="Normal"/>
    <w:next w:val="Normal"/>
    <w:autoRedefine/>
    <w:uiPriority w:val="39"/>
    <w:unhideWhenUsed/>
    <w:pPr>
      <w:spacing w:after="100"/>
      <w:ind w:left="1320"/>
    </w:pPr>
    <w:rPr>
      <w:rFonts w:eastAsiaTheme="minorEastAsia"/>
      <w:lang w:eastAsia="en-GB"/>
    </w:rPr>
  </w:style>
  <w:style w:type="paragraph" w:styleId="TOC8">
    <w:name w:val="toc 8"/>
    <w:basedOn w:val="Normal"/>
    <w:next w:val="Normal"/>
    <w:autoRedefine/>
    <w:uiPriority w:val="39"/>
    <w:unhideWhenUsed/>
    <w:pPr>
      <w:spacing w:after="100"/>
      <w:ind w:left="1540"/>
    </w:pPr>
    <w:rPr>
      <w:rFonts w:eastAsiaTheme="minorEastAsia"/>
      <w:lang w:eastAsia="en-GB"/>
    </w:rPr>
  </w:style>
  <w:style w:type="paragraph" w:styleId="TOC9">
    <w:name w:val="toc 9"/>
    <w:basedOn w:val="Normal"/>
    <w:next w:val="Normal"/>
    <w:autoRedefine/>
    <w:uiPriority w:val="39"/>
    <w:unhideWhenUsed/>
    <w:pPr>
      <w:spacing w:after="100"/>
      <w:ind w:left="1760"/>
    </w:pPr>
    <w:rPr>
      <w:rFonts w:eastAsiaTheme="minorEastAsia"/>
      <w:lang w:eastAsia="en-GB"/>
    </w:rPr>
  </w:style>
  <w:style w:type="character" w:customStyle="1" w:styleId="Heading5Char">
    <w:name w:val="Heading 5 Char"/>
    <w:basedOn w:val="DefaultParagraphFont"/>
    <w:link w:val="Heading5"/>
    <w:uiPriority w:val="9"/>
    <w:rPr>
      <w:rFonts w:asciiTheme="majorHAnsi" w:eastAsiaTheme="majorEastAsia" w:hAnsiTheme="majorHAnsi" w:cstheme="majorBidi"/>
      <w:i/>
      <w:iCs/>
      <w:lang w:val="en-GB"/>
    </w:rPr>
  </w:style>
  <w:style w:type="paragraph" w:styleId="TOCHeading">
    <w:name w:val="TOC Heading"/>
    <w:basedOn w:val="Heading1"/>
    <w:next w:val="Normal"/>
    <w:uiPriority w:val="39"/>
    <w:unhideWhenUsed/>
    <w:qFormat/>
    <w:pPr>
      <w:pageBreakBefore w:val="0"/>
      <w:spacing w:before="240" w:after="0"/>
      <w:jc w:val="left"/>
      <w:outlineLvl w:val="9"/>
    </w:pPr>
    <w:rPr>
      <w:b w:val="0"/>
      <w:color w:val="2E74B5" w:themeColor="accent1" w:themeShade="BF"/>
      <w:sz w:val="32"/>
      <w:lang w:val="en-US"/>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Pr>
      <w:lang w:val="en-GB"/>
    </w:rPr>
  </w:style>
  <w:style w:type="paragraph" w:customStyle="1" w:styleId="oj-ti-art">
    <w:name w:val="oj-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sti-art">
    <w:name w:val="oj-s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normal">
    <w:name w:val="oj-normal"/>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ti-section-1">
    <w:name w:val="oj-ti-section-1"/>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rPr>
      <w:lang w:val="en-GB"/>
    </w:rPr>
  </w:style>
  <w:style w:type="paragraph" w:customStyle="1" w:styleId="Normal1">
    <w:name w:val="Normal1"/>
    <w:basedOn w:val="Normal"/>
    <w:pPr>
      <w:spacing w:before="100" w:beforeAutospacing="1" w:after="100" w:afterAutospacing="1" w:line="240" w:lineRule="auto"/>
      <w:jc w:val="left"/>
    </w:pPr>
    <w:rPr>
      <w:rFonts w:ascii="Times New Roman" w:eastAsia="Times New Roman" w:hAnsi="Times New Roman" w:cs="Times New Roman"/>
      <w:sz w:val="24"/>
      <w:szCs w:val="24"/>
      <w:lang w:val="fr-BE" w:eastAsia="fr-BE"/>
    </w:rPr>
  </w:style>
  <w:style w:type="character" w:customStyle="1" w:styleId="normaltextrun">
    <w:name w:val="normaltextrun"/>
    <w:basedOn w:val="DefaultParagraphFont"/>
  </w:style>
  <w:style w:type="character" w:customStyle="1" w:styleId="UnresolvedMention1">
    <w:name w:val="Unresolved Mention1"/>
    <w:basedOn w:val="DefaultParagraphFont"/>
    <w:uiPriority w:val="99"/>
    <w:unhideWhenUsed/>
    <w:rPr>
      <w:color w:val="605E5C"/>
      <w:shd w:val="clear" w:color="auto" w:fill="E1DFDD"/>
    </w:rPr>
  </w:style>
  <w:style w:type="paragraph" w:customStyle="1" w:styleId="Text1">
    <w:name w:val="Text 1"/>
    <w:basedOn w:val="Normal"/>
    <w:uiPriority w:val="1"/>
    <w:qFormat/>
    <w:pPr>
      <w:spacing w:after="240" w:line="240" w:lineRule="auto"/>
      <w:ind w:left="482"/>
    </w:pPr>
    <w:rPr>
      <w:rFonts w:ascii="Times New Roman" w:eastAsia="Times New Roman" w:hAnsi="Times New Roman" w:cs="Times New Roman"/>
      <w:sz w:val="24"/>
      <w:szCs w:val="20"/>
    </w:rPr>
  </w:style>
  <w:style w:type="character" w:styleId="Emphasis">
    <w:name w:val="Emphasis"/>
    <w:basedOn w:val="DefaultParagraphFont"/>
    <w:uiPriority w:val="20"/>
    <w:qFormat/>
    <w:rPr>
      <w:i/>
      <w:iCs/>
    </w:rPr>
  </w:style>
  <w:style w:type="paragraph" w:customStyle="1" w:styleId="title-bold">
    <w:name w:val="title-bold"/>
    <w:basedOn w:val="Normal"/>
    <w:pPr>
      <w:spacing w:before="100" w:beforeAutospacing="1" w:after="100" w:afterAutospacing="1" w:line="240" w:lineRule="auto"/>
      <w:jc w:val="left"/>
    </w:pPr>
    <w:rPr>
      <w:rFonts w:ascii="Times New Roman" w:eastAsia="Times New Roman" w:hAnsi="Times New Roman" w:cs="Times New Roman"/>
      <w:sz w:val="24"/>
      <w:szCs w:val="24"/>
      <w:lang w:val="fr-BE" w:eastAsia="fr-B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lang w:val="en-GB"/>
    </w:rPr>
  </w:style>
  <w:style w:type="paragraph" w:customStyle="1" w:styleId="pf0">
    <w:name w:val="pf0"/>
    <w:basedOn w:val="Normal"/>
    <w:pPr>
      <w:spacing w:before="100" w:beforeAutospacing="1" w:after="100" w:afterAutospacing="1" w:line="240" w:lineRule="auto"/>
      <w:jc w:val="left"/>
    </w:pPr>
    <w:rPr>
      <w:rFonts w:ascii="Times New Roman" w:eastAsia="Times New Roman" w:hAnsi="Times New Roman" w:cs="Times New Roman"/>
      <w:sz w:val="24"/>
      <w:szCs w:val="24"/>
      <w:lang w:val="en-IE" w:eastAsia="en-IE"/>
    </w:rPr>
  </w:style>
  <w:style w:type="character" w:customStyle="1" w:styleId="cf01">
    <w:name w:val="cf01"/>
    <w:basedOn w:val="DefaultParagraphFont"/>
    <w:rPr>
      <w:rFonts w:ascii="Segoe UI" w:hAnsi="Segoe UI" w:cs="Segoe UI" w:hint="default"/>
      <w:sz w:val="18"/>
      <w:szCs w:val="18"/>
    </w:rPr>
  </w:style>
  <w:style w:type="character" w:customStyle="1" w:styleId="cf11">
    <w:name w:val="cf11"/>
    <w:basedOn w:val="DefaultParagraphFont"/>
    <w:rPr>
      <w:rFonts w:ascii="Segoe UI" w:hAnsi="Segoe UI" w:cs="Segoe UI" w:hint="default"/>
      <w:sz w:val="18"/>
      <w:szCs w:val="18"/>
    </w:rPr>
  </w:style>
  <w:style w:type="character" w:customStyle="1" w:styleId="superscript">
    <w:name w:val="superscript"/>
    <w:basedOn w:val="DefaultParagraphFont"/>
  </w:style>
  <w:style w:type="character" w:customStyle="1" w:styleId="Mention1">
    <w:name w:val="Mention1"/>
    <w:basedOn w:val="DefaultParagraphFont"/>
    <w:uiPriority w:val="99"/>
    <w:unhideWhenUsed/>
    <w:rPr>
      <w:color w:val="2B579A"/>
      <w:shd w:val="clear" w:color="auto" w:fill="E1DFDD"/>
    </w:rPr>
  </w:style>
  <w:style w:type="character" w:customStyle="1" w:styleId="eop">
    <w:name w:val="eop"/>
    <w:basedOn w:val="DefaultParagraphFont"/>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
    <w:name w:val="norm"/>
    <w:basedOn w:val="Normal"/>
    <w:pPr>
      <w:spacing w:before="100" w:beforeAutospacing="1" w:after="100" w:afterAutospacing="1" w:line="240" w:lineRule="auto"/>
      <w:jc w:val="left"/>
    </w:pPr>
    <w:rPr>
      <w:rFonts w:ascii="Times New Roman" w:eastAsia="Times New Roman" w:hAnsi="Times New Roman" w:cs="Times New Roman"/>
      <w:sz w:val="24"/>
      <w:szCs w:val="24"/>
      <w:lang w:val="en-IE" w:eastAsia="en-IE"/>
    </w:rPr>
  </w:style>
  <w:style w:type="character" w:customStyle="1" w:styleId="Footnote1">
    <w:name w:val="Footnote|1_"/>
    <w:basedOn w:val="DefaultParagraphFont"/>
    <w:link w:val="Footnote10"/>
    <w:rPr>
      <w:sz w:val="20"/>
      <w:szCs w:val="20"/>
    </w:rPr>
  </w:style>
  <w:style w:type="character" w:customStyle="1" w:styleId="Bodytext1">
    <w:name w:val="Body text|1_"/>
    <w:basedOn w:val="DefaultParagraphFont"/>
    <w:link w:val="Bodytext10"/>
    <w:rPr>
      <w:i/>
      <w:iCs/>
    </w:rPr>
  </w:style>
  <w:style w:type="paragraph" w:customStyle="1" w:styleId="Footnote10">
    <w:name w:val="Footnote|1"/>
    <w:basedOn w:val="Normal"/>
    <w:link w:val="Footnote1"/>
    <w:pPr>
      <w:widowControl w:val="0"/>
      <w:spacing w:after="0" w:line="240" w:lineRule="auto"/>
      <w:jc w:val="left"/>
    </w:pPr>
    <w:rPr>
      <w:sz w:val="20"/>
      <w:szCs w:val="20"/>
      <w:lang w:val="en-US"/>
    </w:rPr>
  </w:style>
  <w:style w:type="paragraph" w:customStyle="1" w:styleId="Bodytext10">
    <w:name w:val="Body text|1"/>
    <w:basedOn w:val="Normal"/>
    <w:link w:val="Bodytext1"/>
    <w:pPr>
      <w:widowControl w:val="0"/>
      <w:spacing w:after="120"/>
      <w:jc w:val="left"/>
    </w:pPr>
    <w:rPr>
      <w:i/>
      <w:iCs/>
      <w:lang w:val="en-US"/>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Mention">
    <w:name w:val="Mention"/>
    <w:basedOn w:val="DefaultParagraphFont"/>
    <w:uiPriority w:val="99"/>
    <w:unhideWhenUsed/>
    <w:rPr>
      <w:color w:val="2B579A"/>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3360">
      <w:bodyDiv w:val="1"/>
      <w:marLeft w:val="0"/>
      <w:marRight w:val="0"/>
      <w:marTop w:val="0"/>
      <w:marBottom w:val="0"/>
      <w:divBdr>
        <w:top w:val="none" w:sz="0" w:space="0" w:color="auto"/>
        <w:left w:val="none" w:sz="0" w:space="0" w:color="auto"/>
        <w:bottom w:val="none" w:sz="0" w:space="0" w:color="auto"/>
        <w:right w:val="none" w:sz="0" w:space="0" w:color="auto"/>
      </w:divBdr>
    </w:div>
    <w:div w:id="29844259">
      <w:bodyDiv w:val="1"/>
      <w:marLeft w:val="0"/>
      <w:marRight w:val="0"/>
      <w:marTop w:val="0"/>
      <w:marBottom w:val="0"/>
      <w:divBdr>
        <w:top w:val="none" w:sz="0" w:space="0" w:color="auto"/>
        <w:left w:val="none" w:sz="0" w:space="0" w:color="auto"/>
        <w:bottom w:val="none" w:sz="0" w:space="0" w:color="auto"/>
        <w:right w:val="none" w:sz="0" w:space="0" w:color="auto"/>
      </w:divBdr>
    </w:div>
    <w:div w:id="94595623">
      <w:bodyDiv w:val="1"/>
      <w:marLeft w:val="0"/>
      <w:marRight w:val="0"/>
      <w:marTop w:val="0"/>
      <w:marBottom w:val="0"/>
      <w:divBdr>
        <w:top w:val="none" w:sz="0" w:space="0" w:color="auto"/>
        <w:left w:val="none" w:sz="0" w:space="0" w:color="auto"/>
        <w:bottom w:val="none" w:sz="0" w:space="0" w:color="auto"/>
        <w:right w:val="none" w:sz="0" w:space="0" w:color="auto"/>
      </w:divBdr>
    </w:div>
    <w:div w:id="290014430">
      <w:bodyDiv w:val="1"/>
      <w:marLeft w:val="0"/>
      <w:marRight w:val="0"/>
      <w:marTop w:val="0"/>
      <w:marBottom w:val="0"/>
      <w:divBdr>
        <w:top w:val="none" w:sz="0" w:space="0" w:color="auto"/>
        <w:left w:val="none" w:sz="0" w:space="0" w:color="auto"/>
        <w:bottom w:val="none" w:sz="0" w:space="0" w:color="auto"/>
        <w:right w:val="none" w:sz="0" w:space="0" w:color="auto"/>
      </w:divBdr>
    </w:div>
    <w:div w:id="308677805">
      <w:bodyDiv w:val="1"/>
      <w:marLeft w:val="0"/>
      <w:marRight w:val="0"/>
      <w:marTop w:val="0"/>
      <w:marBottom w:val="0"/>
      <w:divBdr>
        <w:top w:val="none" w:sz="0" w:space="0" w:color="auto"/>
        <w:left w:val="none" w:sz="0" w:space="0" w:color="auto"/>
        <w:bottom w:val="none" w:sz="0" w:space="0" w:color="auto"/>
        <w:right w:val="none" w:sz="0" w:space="0" w:color="auto"/>
      </w:divBdr>
    </w:div>
    <w:div w:id="417365207">
      <w:bodyDiv w:val="1"/>
      <w:marLeft w:val="0"/>
      <w:marRight w:val="0"/>
      <w:marTop w:val="0"/>
      <w:marBottom w:val="0"/>
      <w:divBdr>
        <w:top w:val="none" w:sz="0" w:space="0" w:color="auto"/>
        <w:left w:val="none" w:sz="0" w:space="0" w:color="auto"/>
        <w:bottom w:val="none" w:sz="0" w:space="0" w:color="auto"/>
        <w:right w:val="none" w:sz="0" w:space="0" w:color="auto"/>
      </w:divBdr>
    </w:div>
    <w:div w:id="502598240">
      <w:bodyDiv w:val="1"/>
      <w:marLeft w:val="0"/>
      <w:marRight w:val="0"/>
      <w:marTop w:val="0"/>
      <w:marBottom w:val="0"/>
      <w:divBdr>
        <w:top w:val="none" w:sz="0" w:space="0" w:color="auto"/>
        <w:left w:val="none" w:sz="0" w:space="0" w:color="auto"/>
        <w:bottom w:val="none" w:sz="0" w:space="0" w:color="auto"/>
        <w:right w:val="none" w:sz="0" w:space="0" w:color="auto"/>
      </w:divBdr>
    </w:div>
    <w:div w:id="607546380">
      <w:bodyDiv w:val="1"/>
      <w:marLeft w:val="0"/>
      <w:marRight w:val="0"/>
      <w:marTop w:val="0"/>
      <w:marBottom w:val="0"/>
      <w:divBdr>
        <w:top w:val="none" w:sz="0" w:space="0" w:color="auto"/>
        <w:left w:val="none" w:sz="0" w:space="0" w:color="auto"/>
        <w:bottom w:val="none" w:sz="0" w:space="0" w:color="auto"/>
        <w:right w:val="none" w:sz="0" w:space="0" w:color="auto"/>
      </w:divBdr>
    </w:div>
    <w:div w:id="623005741">
      <w:bodyDiv w:val="1"/>
      <w:marLeft w:val="0"/>
      <w:marRight w:val="0"/>
      <w:marTop w:val="0"/>
      <w:marBottom w:val="0"/>
      <w:divBdr>
        <w:top w:val="none" w:sz="0" w:space="0" w:color="auto"/>
        <w:left w:val="none" w:sz="0" w:space="0" w:color="auto"/>
        <w:bottom w:val="none" w:sz="0" w:space="0" w:color="auto"/>
        <w:right w:val="none" w:sz="0" w:space="0" w:color="auto"/>
      </w:divBdr>
    </w:div>
    <w:div w:id="629169655">
      <w:bodyDiv w:val="1"/>
      <w:marLeft w:val="0"/>
      <w:marRight w:val="0"/>
      <w:marTop w:val="0"/>
      <w:marBottom w:val="0"/>
      <w:divBdr>
        <w:top w:val="none" w:sz="0" w:space="0" w:color="auto"/>
        <w:left w:val="none" w:sz="0" w:space="0" w:color="auto"/>
        <w:bottom w:val="none" w:sz="0" w:space="0" w:color="auto"/>
        <w:right w:val="none" w:sz="0" w:space="0" w:color="auto"/>
      </w:divBdr>
    </w:div>
    <w:div w:id="658004635">
      <w:bodyDiv w:val="1"/>
      <w:marLeft w:val="0"/>
      <w:marRight w:val="0"/>
      <w:marTop w:val="0"/>
      <w:marBottom w:val="0"/>
      <w:divBdr>
        <w:top w:val="none" w:sz="0" w:space="0" w:color="auto"/>
        <w:left w:val="none" w:sz="0" w:space="0" w:color="auto"/>
        <w:bottom w:val="none" w:sz="0" w:space="0" w:color="auto"/>
        <w:right w:val="none" w:sz="0" w:space="0" w:color="auto"/>
      </w:divBdr>
    </w:div>
    <w:div w:id="677467346">
      <w:bodyDiv w:val="1"/>
      <w:marLeft w:val="0"/>
      <w:marRight w:val="0"/>
      <w:marTop w:val="0"/>
      <w:marBottom w:val="0"/>
      <w:divBdr>
        <w:top w:val="none" w:sz="0" w:space="0" w:color="auto"/>
        <w:left w:val="none" w:sz="0" w:space="0" w:color="auto"/>
        <w:bottom w:val="none" w:sz="0" w:space="0" w:color="auto"/>
        <w:right w:val="none" w:sz="0" w:space="0" w:color="auto"/>
      </w:divBdr>
    </w:div>
    <w:div w:id="678964322">
      <w:bodyDiv w:val="1"/>
      <w:marLeft w:val="0"/>
      <w:marRight w:val="0"/>
      <w:marTop w:val="0"/>
      <w:marBottom w:val="0"/>
      <w:divBdr>
        <w:top w:val="none" w:sz="0" w:space="0" w:color="auto"/>
        <w:left w:val="none" w:sz="0" w:space="0" w:color="auto"/>
        <w:bottom w:val="none" w:sz="0" w:space="0" w:color="auto"/>
        <w:right w:val="none" w:sz="0" w:space="0" w:color="auto"/>
      </w:divBdr>
    </w:div>
    <w:div w:id="690834899">
      <w:bodyDiv w:val="1"/>
      <w:marLeft w:val="0"/>
      <w:marRight w:val="0"/>
      <w:marTop w:val="0"/>
      <w:marBottom w:val="0"/>
      <w:divBdr>
        <w:top w:val="none" w:sz="0" w:space="0" w:color="auto"/>
        <w:left w:val="none" w:sz="0" w:space="0" w:color="auto"/>
        <w:bottom w:val="none" w:sz="0" w:space="0" w:color="auto"/>
        <w:right w:val="none" w:sz="0" w:space="0" w:color="auto"/>
      </w:divBdr>
    </w:div>
    <w:div w:id="696933697">
      <w:bodyDiv w:val="1"/>
      <w:marLeft w:val="0"/>
      <w:marRight w:val="0"/>
      <w:marTop w:val="0"/>
      <w:marBottom w:val="0"/>
      <w:divBdr>
        <w:top w:val="none" w:sz="0" w:space="0" w:color="auto"/>
        <w:left w:val="none" w:sz="0" w:space="0" w:color="auto"/>
        <w:bottom w:val="none" w:sz="0" w:space="0" w:color="auto"/>
        <w:right w:val="none" w:sz="0" w:space="0" w:color="auto"/>
      </w:divBdr>
    </w:div>
    <w:div w:id="711617496">
      <w:bodyDiv w:val="1"/>
      <w:marLeft w:val="0"/>
      <w:marRight w:val="0"/>
      <w:marTop w:val="0"/>
      <w:marBottom w:val="0"/>
      <w:divBdr>
        <w:top w:val="none" w:sz="0" w:space="0" w:color="auto"/>
        <w:left w:val="none" w:sz="0" w:space="0" w:color="auto"/>
        <w:bottom w:val="none" w:sz="0" w:space="0" w:color="auto"/>
        <w:right w:val="none" w:sz="0" w:space="0" w:color="auto"/>
      </w:divBdr>
      <w:divsChild>
        <w:div w:id="344552113">
          <w:marLeft w:val="0"/>
          <w:marRight w:val="0"/>
          <w:marTop w:val="0"/>
          <w:marBottom w:val="0"/>
          <w:divBdr>
            <w:top w:val="none" w:sz="0" w:space="0" w:color="auto"/>
            <w:left w:val="none" w:sz="0" w:space="0" w:color="auto"/>
            <w:bottom w:val="none" w:sz="0" w:space="0" w:color="auto"/>
            <w:right w:val="none" w:sz="0" w:space="0" w:color="auto"/>
          </w:divBdr>
          <w:divsChild>
            <w:div w:id="1689138834">
              <w:marLeft w:val="0"/>
              <w:marRight w:val="0"/>
              <w:marTop w:val="0"/>
              <w:marBottom w:val="0"/>
              <w:divBdr>
                <w:top w:val="none" w:sz="0" w:space="0" w:color="auto"/>
                <w:left w:val="none" w:sz="0" w:space="0" w:color="auto"/>
                <w:bottom w:val="none" w:sz="0" w:space="0" w:color="auto"/>
                <w:right w:val="none" w:sz="0" w:space="0" w:color="auto"/>
              </w:divBdr>
              <w:divsChild>
                <w:div w:id="1234004048">
                  <w:marLeft w:val="0"/>
                  <w:marRight w:val="0"/>
                  <w:marTop w:val="0"/>
                  <w:marBottom w:val="0"/>
                  <w:divBdr>
                    <w:top w:val="none" w:sz="0" w:space="0" w:color="auto"/>
                    <w:left w:val="none" w:sz="0" w:space="0" w:color="auto"/>
                    <w:bottom w:val="none" w:sz="0" w:space="0" w:color="auto"/>
                    <w:right w:val="none" w:sz="0" w:space="0" w:color="auto"/>
                  </w:divBdr>
                  <w:divsChild>
                    <w:div w:id="313796647">
                      <w:marLeft w:val="0"/>
                      <w:marRight w:val="0"/>
                      <w:marTop w:val="120"/>
                      <w:marBottom w:val="0"/>
                      <w:divBdr>
                        <w:top w:val="none" w:sz="0" w:space="0" w:color="auto"/>
                        <w:left w:val="none" w:sz="0" w:space="0" w:color="auto"/>
                        <w:bottom w:val="none" w:sz="0" w:space="0" w:color="auto"/>
                        <w:right w:val="none" w:sz="0" w:space="0" w:color="auto"/>
                      </w:divBdr>
                    </w:div>
                    <w:div w:id="1875459852">
                      <w:marLeft w:val="0"/>
                      <w:marRight w:val="0"/>
                      <w:marTop w:val="0"/>
                      <w:marBottom w:val="0"/>
                      <w:divBdr>
                        <w:top w:val="none" w:sz="0" w:space="0" w:color="auto"/>
                        <w:left w:val="none" w:sz="0" w:space="0" w:color="auto"/>
                        <w:bottom w:val="none" w:sz="0" w:space="0" w:color="auto"/>
                        <w:right w:val="none" w:sz="0" w:space="0" w:color="auto"/>
                      </w:divBdr>
                    </w:div>
                  </w:divsChild>
                </w:div>
                <w:div w:id="1497842388">
                  <w:marLeft w:val="0"/>
                  <w:marRight w:val="0"/>
                  <w:marTop w:val="0"/>
                  <w:marBottom w:val="0"/>
                  <w:divBdr>
                    <w:top w:val="none" w:sz="0" w:space="0" w:color="auto"/>
                    <w:left w:val="none" w:sz="0" w:space="0" w:color="auto"/>
                    <w:bottom w:val="none" w:sz="0" w:space="0" w:color="auto"/>
                    <w:right w:val="none" w:sz="0" w:space="0" w:color="auto"/>
                  </w:divBdr>
                  <w:divsChild>
                    <w:div w:id="438455476">
                      <w:marLeft w:val="0"/>
                      <w:marRight w:val="0"/>
                      <w:marTop w:val="120"/>
                      <w:marBottom w:val="0"/>
                      <w:divBdr>
                        <w:top w:val="none" w:sz="0" w:space="0" w:color="auto"/>
                        <w:left w:val="none" w:sz="0" w:space="0" w:color="auto"/>
                        <w:bottom w:val="none" w:sz="0" w:space="0" w:color="auto"/>
                        <w:right w:val="none" w:sz="0" w:space="0" w:color="auto"/>
                      </w:divBdr>
                    </w:div>
                    <w:div w:id="861170965">
                      <w:marLeft w:val="0"/>
                      <w:marRight w:val="0"/>
                      <w:marTop w:val="0"/>
                      <w:marBottom w:val="0"/>
                      <w:divBdr>
                        <w:top w:val="none" w:sz="0" w:space="0" w:color="auto"/>
                        <w:left w:val="none" w:sz="0" w:space="0" w:color="auto"/>
                        <w:bottom w:val="none" w:sz="0" w:space="0" w:color="auto"/>
                        <w:right w:val="none" w:sz="0" w:space="0" w:color="auto"/>
                      </w:divBdr>
                    </w:div>
                  </w:divsChild>
                </w:div>
                <w:div w:id="2029870030">
                  <w:marLeft w:val="0"/>
                  <w:marRight w:val="0"/>
                  <w:marTop w:val="0"/>
                  <w:marBottom w:val="0"/>
                  <w:divBdr>
                    <w:top w:val="none" w:sz="0" w:space="0" w:color="auto"/>
                    <w:left w:val="none" w:sz="0" w:space="0" w:color="auto"/>
                    <w:bottom w:val="none" w:sz="0" w:space="0" w:color="auto"/>
                    <w:right w:val="none" w:sz="0" w:space="0" w:color="auto"/>
                  </w:divBdr>
                  <w:divsChild>
                    <w:div w:id="493448236">
                      <w:marLeft w:val="0"/>
                      <w:marRight w:val="0"/>
                      <w:marTop w:val="0"/>
                      <w:marBottom w:val="0"/>
                      <w:divBdr>
                        <w:top w:val="none" w:sz="0" w:space="0" w:color="auto"/>
                        <w:left w:val="none" w:sz="0" w:space="0" w:color="auto"/>
                        <w:bottom w:val="none" w:sz="0" w:space="0" w:color="auto"/>
                        <w:right w:val="none" w:sz="0" w:space="0" w:color="auto"/>
                      </w:divBdr>
                      <w:divsChild>
                        <w:div w:id="268243535">
                          <w:marLeft w:val="0"/>
                          <w:marRight w:val="0"/>
                          <w:marTop w:val="0"/>
                          <w:marBottom w:val="0"/>
                          <w:divBdr>
                            <w:top w:val="none" w:sz="0" w:space="0" w:color="auto"/>
                            <w:left w:val="none" w:sz="0" w:space="0" w:color="auto"/>
                            <w:bottom w:val="none" w:sz="0" w:space="0" w:color="auto"/>
                            <w:right w:val="none" w:sz="0" w:space="0" w:color="auto"/>
                          </w:divBdr>
                          <w:divsChild>
                            <w:div w:id="408044030">
                              <w:marLeft w:val="0"/>
                              <w:marRight w:val="0"/>
                              <w:marTop w:val="120"/>
                              <w:marBottom w:val="0"/>
                              <w:divBdr>
                                <w:top w:val="none" w:sz="0" w:space="0" w:color="auto"/>
                                <w:left w:val="none" w:sz="0" w:space="0" w:color="auto"/>
                                <w:bottom w:val="none" w:sz="0" w:space="0" w:color="auto"/>
                                <w:right w:val="none" w:sz="0" w:space="0" w:color="auto"/>
                              </w:divBdr>
                            </w:div>
                            <w:div w:id="1199050093">
                              <w:marLeft w:val="0"/>
                              <w:marRight w:val="0"/>
                              <w:marTop w:val="0"/>
                              <w:marBottom w:val="0"/>
                              <w:divBdr>
                                <w:top w:val="none" w:sz="0" w:space="0" w:color="auto"/>
                                <w:left w:val="none" w:sz="0" w:space="0" w:color="auto"/>
                                <w:bottom w:val="none" w:sz="0" w:space="0" w:color="auto"/>
                                <w:right w:val="none" w:sz="0" w:space="0" w:color="auto"/>
                              </w:divBdr>
                              <w:divsChild>
                                <w:div w:id="136139069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97059453">
                          <w:marLeft w:val="0"/>
                          <w:marRight w:val="0"/>
                          <w:marTop w:val="0"/>
                          <w:marBottom w:val="0"/>
                          <w:divBdr>
                            <w:top w:val="none" w:sz="0" w:space="0" w:color="auto"/>
                            <w:left w:val="none" w:sz="0" w:space="0" w:color="auto"/>
                            <w:bottom w:val="none" w:sz="0" w:space="0" w:color="auto"/>
                            <w:right w:val="none" w:sz="0" w:space="0" w:color="auto"/>
                          </w:divBdr>
                          <w:divsChild>
                            <w:div w:id="691688123">
                              <w:marLeft w:val="0"/>
                              <w:marRight w:val="0"/>
                              <w:marTop w:val="0"/>
                              <w:marBottom w:val="0"/>
                              <w:divBdr>
                                <w:top w:val="none" w:sz="0" w:space="0" w:color="auto"/>
                                <w:left w:val="none" w:sz="0" w:space="0" w:color="auto"/>
                                <w:bottom w:val="none" w:sz="0" w:space="0" w:color="auto"/>
                                <w:right w:val="none" w:sz="0" w:space="0" w:color="auto"/>
                              </w:divBdr>
                              <w:divsChild>
                                <w:div w:id="1076367636">
                                  <w:marLeft w:val="0"/>
                                  <w:marRight w:val="0"/>
                                  <w:marTop w:val="120"/>
                                  <w:marBottom w:val="0"/>
                                  <w:divBdr>
                                    <w:top w:val="none" w:sz="0" w:space="0" w:color="auto"/>
                                    <w:left w:val="none" w:sz="0" w:space="0" w:color="auto"/>
                                    <w:bottom w:val="none" w:sz="0" w:space="0" w:color="auto"/>
                                    <w:right w:val="none" w:sz="0" w:space="0" w:color="auto"/>
                                  </w:divBdr>
                                </w:div>
                              </w:divsChild>
                            </w:div>
                            <w:div w:id="2108305937">
                              <w:marLeft w:val="0"/>
                              <w:marRight w:val="0"/>
                              <w:marTop w:val="120"/>
                              <w:marBottom w:val="0"/>
                              <w:divBdr>
                                <w:top w:val="none" w:sz="0" w:space="0" w:color="auto"/>
                                <w:left w:val="none" w:sz="0" w:space="0" w:color="auto"/>
                                <w:bottom w:val="none" w:sz="0" w:space="0" w:color="auto"/>
                                <w:right w:val="none" w:sz="0" w:space="0" w:color="auto"/>
                              </w:divBdr>
                            </w:div>
                          </w:divsChild>
                        </w:div>
                        <w:div w:id="2107261931">
                          <w:marLeft w:val="0"/>
                          <w:marRight w:val="0"/>
                          <w:marTop w:val="0"/>
                          <w:marBottom w:val="0"/>
                          <w:divBdr>
                            <w:top w:val="none" w:sz="0" w:space="0" w:color="auto"/>
                            <w:left w:val="none" w:sz="0" w:space="0" w:color="auto"/>
                            <w:bottom w:val="none" w:sz="0" w:space="0" w:color="auto"/>
                            <w:right w:val="none" w:sz="0" w:space="0" w:color="auto"/>
                          </w:divBdr>
                          <w:divsChild>
                            <w:div w:id="1315991276">
                              <w:marLeft w:val="0"/>
                              <w:marRight w:val="0"/>
                              <w:marTop w:val="0"/>
                              <w:marBottom w:val="0"/>
                              <w:divBdr>
                                <w:top w:val="none" w:sz="0" w:space="0" w:color="auto"/>
                                <w:left w:val="none" w:sz="0" w:space="0" w:color="auto"/>
                                <w:bottom w:val="none" w:sz="0" w:space="0" w:color="auto"/>
                                <w:right w:val="none" w:sz="0" w:space="0" w:color="auto"/>
                              </w:divBdr>
                              <w:divsChild>
                                <w:div w:id="1883134948">
                                  <w:marLeft w:val="0"/>
                                  <w:marRight w:val="0"/>
                                  <w:marTop w:val="120"/>
                                  <w:marBottom w:val="0"/>
                                  <w:divBdr>
                                    <w:top w:val="none" w:sz="0" w:space="0" w:color="auto"/>
                                    <w:left w:val="none" w:sz="0" w:space="0" w:color="auto"/>
                                    <w:bottom w:val="none" w:sz="0" w:space="0" w:color="auto"/>
                                    <w:right w:val="none" w:sz="0" w:space="0" w:color="auto"/>
                                  </w:divBdr>
                                </w:div>
                              </w:divsChild>
                            </w:div>
                            <w:div w:id="17483805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001191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6008274">
              <w:marLeft w:val="0"/>
              <w:marRight w:val="0"/>
              <w:marTop w:val="120"/>
              <w:marBottom w:val="0"/>
              <w:divBdr>
                <w:top w:val="none" w:sz="0" w:space="0" w:color="auto"/>
                <w:left w:val="none" w:sz="0" w:space="0" w:color="auto"/>
                <w:bottom w:val="none" w:sz="0" w:space="0" w:color="auto"/>
                <w:right w:val="none" w:sz="0" w:space="0" w:color="auto"/>
              </w:divBdr>
            </w:div>
          </w:divsChild>
        </w:div>
        <w:div w:id="352926248">
          <w:marLeft w:val="0"/>
          <w:marRight w:val="0"/>
          <w:marTop w:val="0"/>
          <w:marBottom w:val="0"/>
          <w:divBdr>
            <w:top w:val="none" w:sz="0" w:space="0" w:color="auto"/>
            <w:left w:val="none" w:sz="0" w:space="0" w:color="auto"/>
            <w:bottom w:val="none" w:sz="0" w:space="0" w:color="auto"/>
            <w:right w:val="none" w:sz="0" w:space="0" w:color="auto"/>
          </w:divBdr>
          <w:divsChild>
            <w:div w:id="856387254">
              <w:marLeft w:val="0"/>
              <w:marRight w:val="0"/>
              <w:marTop w:val="120"/>
              <w:marBottom w:val="0"/>
              <w:divBdr>
                <w:top w:val="none" w:sz="0" w:space="0" w:color="auto"/>
                <w:left w:val="none" w:sz="0" w:space="0" w:color="auto"/>
                <w:bottom w:val="none" w:sz="0" w:space="0" w:color="auto"/>
                <w:right w:val="none" w:sz="0" w:space="0" w:color="auto"/>
              </w:divBdr>
            </w:div>
            <w:div w:id="1962415136">
              <w:marLeft w:val="0"/>
              <w:marRight w:val="0"/>
              <w:marTop w:val="0"/>
              <w:marBottom w:val="0"/>
              <w:divBdr>
                <w:top w:val="none" w:sz="0" w:space="0" w:color="auto"/>
                <w:left w:val="none" w:sz="0" w:space="0" w:color="auto"/>
                <w:bottom w:val="none" w:sz="0" w:space="0" w:color="auto"/>
                <w:right w:val="none" w:sz="0" w:space="0" w:color="auto"/>
              </w:divBdr>
            </w:div>
          </w:divsChild>
        </w:div>
        <w:div w:id="575943204">
          <w:marLeft w:val="0"/>
          <w:marRight w:val="0"/>
          <w:marTop w:val="0"/>
          <w:marBottom w:val="0"/>
          <w:divBdr>
            <w:top w:val="none" w:sz="0" w:space="0" w:color="auto"/>
            <w:left w:val="none" w:sz="0" w:space="0" w:color="auto"/>
            <w:bottom w:val="none" w:sz="0" w:space="0" w:color="auto"/>
            <w:right w:val="none" w:sz="0" w:space="0" w:color="auto"/>
          </w:divBdr>
          <w:divsChild>
            <w:div w:id="395785255">
              <w:marLeft w:val="0"/>
              <w:marRight w:val="0"/>
              <w:marTop w:val="120"/>
              <w:marBottom w:val="0"/>
              <w:divBdr>
                <w:top w:val="none" w:sz="0" w:space="0" w:color="auto"/>
                <w:left w:val="none" w:sz="0" w:space="0" w:color="auto"/>
                <w:bottom w:val="none" w:sz="0" w:space="0" w:color="auto"/>
                <w:right w:val="none" w:sz="0" w:space="0" w:color="auto"/>
              </w:divBdr>
            </w:div>
            <w:div w:id="170736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698305">
      <w:bodyDiv w:val="1"/>
      <w:marLeft w:val="0"/>
      <w:marRight w:val="0"/>
      <w:marTop w:val="0"/>
      <w:marBottom w:val="0"/>
      <w:divBdr>
        <w:top w:val="none" w:sz="0" w:space="0" w:color="auto"/>
        <w:left w:val="none" w:sz="0" w:space="0" w:color="auto"/>
        <w:bottom w:val="none" w:sz="0" w:space="0" w:color="auto"/>
        <w:right w:val="none" w:sz="0" w:space="0" w:color="auto"/>
      </w:divBdr>
    </w:div>
    <w:div w:id="785003584">
      <w:bodyDiv w:val="1"/>
      <w:marLeft w:val="0"/>
      <w:marRight w:val="0"/>
      <w:marTop w:val="0"/>
      <w:marBottom w:val="0"/>
      <w:divBdr>
        <w:top w:val="none" w:sz="0" w:space="0" w:color="auto"/>
        <w:left w:val="none" w:sz="0" w:space="0" w:color="auto"/>
        <w:bottom w:val="none" w:sz="0" w:space="0" w:color="auto"/>
        <w:right w:val="none" w:sz="0" w:space="0" w:color="auto"/>
      </w:divBdr>
    </w:div>
    <w:div w:id="790049441">
      <w:bodyDiv w:val="1"/>
      <w:marLeft w:val="0"/>
      <w:marRight w:val="0"/>
      <w:marTop w:val="0"/>
      <w:marBottom w:val="0"/>
      <w:divBdr>
        <w:top w:val="none" w:sz="0" w:space="0" w:color="auto"/>
        <w:left w:val="none" w:sz="0" w:space="0" w:color="auto"/>
        <w:bottom w:val="none" w:sz="0" w:space="0" w:color="auto"/>
        <w:right w:val="none" w:sz="0" w:space="0" w:color="auto"/>
      </w:divBdr>
    </w:div>
    <w:div w:id="797142402">
      <w:bodyDiv w:val="1"/>
      <w:marLeft w:val="0"/>
      <w:marRight w:val="0"/>
      <w:marTop w:val="0"/>
      <w:marBottom w:val="0"/>
      <w:divBdr>
        <w:top w:val="none" w:sz="0" w:space="0" w:color="auto"/>
        <w:left w:val="none" w:sz="0" w:space="0" w:color="auto"/>
        <w:bottom w:val="none" w:sz="0" w:space="0" w:color="auto"/>
        <w:right w:val="none" w:sz="0" w:space="0" w:color="auto"/>
      </w:divBdr>
    </w:div>
    <w:div w:id="855850971">
      <w:bodyDiv w:val="1"/>
      <w:marLeft w:val="0"/>
      <w:marRight w:val="0"/>
      <w:marTop w:val="0"/>
      <w:marBottom w:val="0"/>
      <w:divBdr>
        <w:top w:val="none" w:sz="0" w:space="0" w:color="auto"/>
        <w:left w:val="none" w:sz="0" w:space="0" w:color="auto"/>
        <w:bottom w:val="none" w:sz="0" w:space="0" w:color="auto"/>
        <w:right w:val="none" w:sz="0" w:space="0" w:color="auto"/>
      </w:divBdr>
    </w:div>
    <w:div w:id="856695835">
      <w:bodyDiv w:val="1"/>
      <w:marLeft w:val="0"/>
      <w:marRight w:val="0"/>
      <w:marTop w:val="0"/>
      <w:marBottom w:val="0"/>
      <w:divBdr>
        <w:top w:val="none" w:sz="0" w:space="0" w:color="auto"/>
        <w:left w:val="none" w:sz="0" w:space="0" w:color="auto"/>
        <w:bottom w:val="none" w:sz="0" w:space="0" w:color="auto"/>
        <w:right w:val="none" w:sz="0" w:space="0" w:color="auto"/>
      </w:divBdr>
    </w:div>
    <w:div w:id="859585802">
      <w:bodyDiv w:val="1"/>
      <w:marLeft w:val="0"/>
      <w:marRight w:val="0"/>
      <w:marTop w:val="0"/>
      <w:marBottom w:val="0"/>
      <w:divBdr>
        <w:top w:val="none" w:sz="0" w:space="0" w:color="auto"/>
        <w:left w:val="none" w:sz="0" w:space="0" w:color="auto"/>
        <w:bottom w:val="none" w:sz="0" w:space="0" w:color="auto"/>
        <w:right w:val="none" w:sz="0" w:space="0" w:color="auto"/>
      </w:divBdr>
    </w:div>
    <w:div w:id="867378113">
      <w:bodyDiv w:val="1"/>
      <w:marLeft w:val="0"/>
      <w:marRight w:val="0"/>
      <w:marTop w:val="0"/>
      <w:marBottom w:val="0"/>
      <w:divBdr>
        <w:top w:val="none" w:sz="0" w:space="0" w:color="auto"/>
        <w:left w:val="none" w:sz="0" w:space="0" w:color="auto"/>
        <w:bottom w:val="none" w:sz="0" w:space="0" w:color="auto"/>
        <w:right w:val="none" w:sz="0" w:space="0" w:color="auto"/>
      </w:divBdr>
    </w:div>
    <w:div w:id="991105203">
      <w:bodyDiv w:val="1"/>
      <w:marLeft w:val="0"/>
      <w:marRight w:val="0"/>
      <w:marTop w:val="0"/>
      <w:marBottom w:val="0"/>
      <w:divBdr>
        <w:top w:val="none" w:sz="0" w:space="0" w:color="auto"/>
        <w:left w:val="none" w:sz="0" w:space="0" w:color="auto"/>
        <w:bottom w:val="none" w:sz="0" w:space="0" w:color="auto"/>
        <w:right w:val="none" w:sz="0" w:space="0" w:color="auto"/>
      </w:divBdr>
    </w:div>
    <w:div w:id="993290436">
      <w:bodyDiv w:val="1"/>
      <w:marLeft w:val="0"/>
      <w:marRight w:val="0"/>
      <w:marTop w:val="0"/>
      <w:marBottom w:val="0"/>
      <w:divBdr>
        <w:top w:val="none" w:sz="0" w:space="0" w:color="auto"/>
        <w:left w:val="none" w:sz="0" w:space="0" w:color="auto"/>
        <w:bottom w:val="none" w:sz="0" w:space="0" w:color="auto"/>
        <w:right w:val="none" w:sz="0" w:space="0" w:color="auto"/>
      </w:divBdr>
    </w:div>
    <w:div w:id="1008481789">
      <w:bodyDiv w:val="1"/>
      <w:marLeft w:val="0"/>
      <w:marRight w:val="0"/>
      <w:marTop w:val="0"/>
      <w:marBottom w:val="0"/>
      <w:divBdr>
        <w:top w:val="none" w:sz="0" w:space="0" w:color="auto"/>
        <w:left w:val="none" w:sz="0" w:space="0" w:color="auto"/>
        <w:bottom w:val="none" w:sz="0" w:space="0" w:color="auto"/>
        <w:right w:val="none" w:sz="0" w:space="0" w:color="auto"/>
      </w:divBdr>
    </w:div>
    <w:div w:id="1169443728">
      <w:bodyDiv w:val="1"/>
      <w:marLeft w:val="0"/>
      <w:marRight w:val="0"/>
      <w:marTop w:val="0"/>
      <w:marBottom w:val="0"/>
      <w:divBdr>
        <w:top w:val="none" w:sz="0" w:space="0" w:color="auto"/>
        <w:left w:val="none" w:sz="0" w:space="0" w:color="auto"/>
        <w:bottom w:val="none" w:sz="0" w:space="0" w:color="auto"/>
        <w:right w:val="none" w:sz="0" w:space="0" w:color="auto"/>
      </w:divBdr>
    </w:div>
    <w:div w:id="1238444163">
      <w:bodyDiv w:val="1"/>
      <w:marLeft w:val="0"/>
      <w:marRight w:val="0"/>
      <w:marTop w:val="0"/>
      <w:marBottom w:val="0"/>
      <w:divBdr>
        <w:top w:val="none" w:sz="0" w:space="0" w:color="auto"/>
        <w:left w:val="none" w:sz="0" w:space="0" w:color="auto"/>
        <w:bottom w:val="none" w:sz="0" w:space="0" w:color="auto"/>
        <w:right w:val="none" w:sz="0" w:space="0" w:color="auto"/>
      </w:divBdr>
      <w:divsChild>
        <w:div w:id="24408447">
          <w:marLeft w:val="0"/>
          <w:marRight w:val="0"/>
          <w:marTop w:val="0"/>
          <w:marBottom w:val="0"/>
          <w:divBdr>
            <w:top w:val="none" w:sz="0" w:space="0" w:color="auto"/>
            <w:left w:val="none" w:sz="0" w:space="0" w:color="auto"/>
            <w:bottom w:val="none" w:sz="0" w:space="0" w:color="auto"/>
            <w:right w:val="none" w:sz="0" w:space="0" w:color="auto"/>
          </w:divBdr>
        </w:div>
        <w:div w:id="397943125">
          <w:marLeft w:val="0"/>
          <w:marRight w:val="0"/>
          <w:marTop w:val="0"/>
          <w:marBottom w:val="0"/>
          <w:divBdr>
            <w:top w:val="none" w:sz="0" w:space="0" w:color="auto"/>
            <w:left w:val="none" w:sz="0" w:space="0" w:color="auto"/>
            <w:bottom w:val="none" w:sz="0" w:space="0" w:color="auto"/>
            <w:right w:val="none" w:sz="0" w:space="0" w:color="auto"/>
          </w:divBdr>
        </w:div>
        <w:div w:id="1070814641">
          <w:marLeft w:val="0"/>
          <w:marRight w:val="0"/>
          <w:marTop w:val="0"/>
          <w:marBottom w:val="0"/>
          <w:divBdr>
            <w:top w:val="none" w:sz="0" w:space="0" w:color="auto"/>
            <w:left w:val="none" w:sz="0" w:space="0" w:color="auto"/>
            <w:bottom w:val="none" w:sz="0" w:space="0" w:color="auto"/>
            <w:right w:val="none" w:sz="0" w:space="0" w:color="auto"/>
          </w:divBdr>
        </w:div>
      </w:divsChild>
    </w:div>
    <w:div w:id="1335184868">
      <w:bodyDiv w:val="1"/>
      <w:marLeft w:val="0"/>
      <w:marRight w:val="0"/>
      <w:marTop w:val="0"/>
      <w:marBottom w:val="0"/>
      <w:divBdr>
        <w:top w:val="none" w:sz="0" w:space="0" w:color="auto"/>
        <w:left w:val="none" w:sz="0" w:space="0" w:color="auto"/>
        <w:bottom w:val="none" w:sz="0" w:space="0" w:color="auto"/>
        <w:right w:val="none" w:sz="0" w:space="0" w:color="auto"/>
      </w:divBdr>
    </w:div>
    <w:div w:id="1377701025">
      <w:bodyDiv w:val="1"/>
      <w:marLeft w:val="0"/>
      <w:marRight w:val="0"/>
      <w:marTop w:val="0"/>
      <w:marBottom w:val="0"/>
      <w:divBdr>
        <w:top w:val="none" w:sz="0" w:space="0" w:color="auto"/>
        <w:left w:val="none" w:sz="0" w:space="0" w:color="auto"/>
        <w:bottom w:val="none" w:sz="0" w:space="0" w:color="auto"/>
        <w:right w:val="none" w:sz="0" w:space="0" w:color="auto"/>
      </w:divBdr>
    </w:div>
    <w:div w:id="1378699680">
      <w:bodyDiv w:val="1"/>
      <w:marLeft w:val="0"/>
      <w:marRight w:val="0"/>
      <w:marTop w:val="0"/>
      <w:marBottom w:val="0"/>
      <w:divBdr>
        <w:top w:val="none" w:sz="0" w:space="0" w:color="auto"/>
        <w:left w:val="none" w:sz="0" w:space="0" w:color="auto"/>
        <w:bottom w:val="none" w:sz="0" w:space="0" w:color="auto"/>
        <w:right w:val="none" w:sz="0" w:space="0" w:color="auto"/>
      </w:divBdr>
    </w:div>
    <w:div w:id="1391926056">
      <w:bodyDiv w:val="1"/>
      <w:marLeft w:val="0"/>
      <w:marRight w:val="0"/>
      <w:marTop w:val="0"/>
      <w:marBottom w:val="0"/>
      <w:divBdr>
        <w:top w:val="none" w:sz="0" w:space="0" w:color="auto"/>
        <w:left w:val="none" w:sz="0" w:space="0" w:color="auto"/>
        <w:bottom w:val="none" w:sz="0" w:space="0" w:color="auto"/>
        <w:right w:val="none" w:sz="0" w:space="0" w:color="auto"/>
      </w:divBdr>
    </w:div>
    <w:div w:id="1460493606">
      <w:bodyDiv w:val="1"/>
      <w:marLeft w:val="0"/>
      <w:marRight w:val="0"/>
      <w:marTop w:val="0"/>
      <w:marBottom w:val="0"/>
      <w:divBdr>
        <w:top w:val="none" w:sz="0" w:space="0" w:color="auto"/>
        <w:left w:val="none" w:sz="0" w:space="0" w:color="auto"/>
        <w:bottom w:val="none" w:sz="0" w:space="0" w:color="auto"/>
        <w:right w:val="none" w:sz="0" w:space="0" w:color="auto"/>
      </w:divBdr>
    </w:div>
    <w:div w:id="1496531451">
      <w:bodyDiv w:val="1"/>
      <w:marLeft w:val="0"/>
      <w:marRight w:val="0"/>
      <w:marTop w:val="0"/>
      <w:marBottom w:val="0"/>
      <w:divBdr>
        <w:top w:val="none" w:sz="0" w:space="0" w:color="auto"/>
        <w:left w:val="none" w:sz="0" w:space="0" w:color="auto"/>
        <w:bottom w:val="none" w:sz="0" w:space="0" w:color="auto"/>
        <w:right w:val="none" w:sz="0" w:space="0" w:color="auto"/>
      </w:divBdr>
    </w:div>
    <w:div w:id="1520777891">
      <w:bodyDiv w:val="1"/>
      <w:marLeft w:val="0"/>
      <w:marRight w:val="0"/>
      <w:marTop w:val="0"/>
      <w:marBottom w:val="0"/>
      <w:divBdr>
        <w:top w:val="none" w:sz="0" w:space="0" w:color="auto"/>
        <w:left w:val="none" w:sz="0" w:space="0" w:color="auto"/>
        <w:bottom w:val="none" w:sz="0" w:space="0" w:color="auto"/>
        <w:right w:val="none" w:sz="0" w:space="0" w:color="auto"/>
      </w:divBdr>
    </w:div>
    <w:div w:id="1536229607">
      <w:bodyDiv w:val="1"/>
      <w:marLeft w:val="0"/>
      <w:marRight w:val="0"/>
      <w:marTop w:val="0"/>
      <w:marBottom w:val="0"/>
      <w:divBdr>
        <w:top w:val="none" w:sz="0" w:space="0" w:color="auto"/>
        <w:left w:val="none" w:sz="0" w:space="0" w:color="auto"/>
        <w:bottom w:val="none" w:sz="0" w:space="0" w:color="auto"/>
        <w:right w:val="none" w:sz="0" w:space="0" w:color="auto"/>
      </w:divBdr>
    </w:div>
    <w:div w:id="1543400937">
      <w:bodyDiv w:val="1"/>
      <w:marLeft w:val="0"/>
      <w:marRight w:val="0"/>
      <w:marTop w:val="0"/>
      <w:marBottom w:val="0"/>
      <w:divBdr>
        <w:top w:val="none" w:sz="0" w:space="0" w:color="auto"/>
        <w:left w:val="none" w:sz="0" w:space="0" w:color="auto"/>
        <w:bottom w:val="none" w:sz="0" w:space="0" w:color="auto"/>
        <w:right w:val="none" w:sz="0" w:space="0" w:color="auto"/>
      </w:divBdr>
    </w:div>
    <w:div w:id="1560363571">
      <w:bodyDiv w:val="1"/>
      <w:marLeft w:val="0"/>
      <w:marRight w:val="0"/>
      <w:marTop w:val="0"/>
      <w:marBottom w:val="0"/>
      <w:divBdr>
        <w:top w:val="none" w:sz="0" w:space="0" w:color="auto"/>
        <w:left w:val="none" w:sz="0" w:space="0" w:color="auto"/>
        <w:bottom w:val="none" w:sz="0" w:space="0" w:color="auto"/>
        <w:right w:val="none" w:sz="0" w:space="0" w:color="auto"/>
      </w:divBdr>
    </w:div>
    <w:div w:id="1588029543">
      <w:bodyDiv w:val="1"/>
      <w:marLeft w:val="0"/>
      <w:marRight w:val="0"/>
      <w:marTop w:val="0"/>
      <w:marBottom w:val="0"/>
      <w:divBdr>
        <w:top w:val="none" w:sz="0" w:space="0" w:color="auto"/>
        <w:left w:val="none" w:sz="0" w:space="0" w:color="auto"/>
        <w:bottom w:val="none" w:sz="0" w:space="0" w:color="auto"/>
        <w:right w:val="none" w:sz="0" w:space="0" w:color="auto"/>
      </w:divBdr>
    </w:div>
    <w:div w:id="1597590282">
      <w:bodyDiv w:val="1"/>
      <w:marLeft w:val="0"/>
      <w:marRight w:val="0"/>
      <w:marTop w:val="0"/>
      <w:marBottom w:val="0"/>
      <w:divBdr>
        <w:top w:val="none" w:sz="0" w:space="0" w:color="auto"/>
        <w:left w:val="none" w:sz="0" w:space="0" w:color="auto"/>
        <w:bottom w:val="none" w:sz="0" w:space="0" w:color="auto"/>
        <w:right w:val="none" w:sz="0" w:space="0" w:color="auto"/>
      </w:divBdr>
    </w:div>
    <w:div w:id="1651514968">
      <w:bodyDiv w:val="1"/>
      <w:marLeft w:val="0"/>
      <w:marRight w:val="0"/>
      <w:marTop w:val="0"/>
      <w:marBottom w:val="0"/>
      <w:divBdr>
        <w:top w:val="none" w:sz="0" w:space="0" w:color="auto"/>
        <w:left w:val="none" w:sz="0" w:space="0" w:color="auto"/>
        <w:bottom w:val="none" w:sz="0" w:space="0" w:color="auto"/>
        <w:right w:val="none" w:sz="0" w:space="0" w:color="auto"/>
      </w:divBdr>
    </w:div>
    <w:div w:id="1667515180">
      <w:bodyDiv w:val="1"/>
      <w:marLeft w:val="0"/>
      <w:marRight w:val="0"/>
      <w:marTop w:val="0"/>
      <w:marBottom w:val="0"/>
      <w:divBdr>
        <w:top w:val="none" w:sz="0" w:space="0" w:color="auto"/>
        <w:left w:val="none" w:sz="0" w:space="0" w:color="auto"/>
        <w:bottom w:val="none" w:sz="0" w:space="0" w:color="auto"/>
        <w:right w:val="none" w:sz="0" w:space="0" w:color="auto"/>
      </w:divBdr>
      <w:divsChild>
        <w:div w:id="1534003139">
          <w:marLeft w:val="0"/>
          <w:marRight w:val="0"/>
          <w:marTop w:val="0"/>
          <w:marBottom w:val="0"/>
          <w:divBdr>
            <w:top w:val="none" w:sz="0" w:space="0" w:color="auto"/>
            <w:left w:val="none" w:sz="0" w:space="0" w:color="auto"/>
            <w:bottom w:val="none" w:sz="0" w:space="0" w:color="auto"/>
            <w:right w:val="none" w:sz="0" w:space="0" w:color="auto"/>
          </w:divBdr>
          <w:divsChild>
            <w:div w:id="1631550842">
              <w:marLeft w:val="0"/>
              <w:marRight w:val="0"/>
              <w:marTop w:val="0"/>
              <w:marBottom w:val="0"/>
              <w:divBdr>
                <w:top w:val="none" w:sz="0" w:space="0" w:color="auto"/>
                <w:left w:val="none" w:sz="0" w:space="0" w:color="auto"/>
                <w:bottom w:val="none" w:sz="0" w:space="0" w:color="auto"/>
                <w:right w:val="none" w:sz="0" w:space="0" w:color="auto"/>
              </w:divBdr>
              <w:divsChild>
                <w:div w:id="222984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00795921">
          <w:marLeft w:val="0"/>
          <w:marRight w:val="0"/>
          <w:marTop w:val="0"/>
          <w:marBottom w:val="0"/>
          <w:divBdr>
            <w:top w:val="none" w:sz="0" w:space="0" w:color="auto"/>
            <w:left w:val="none" w:sz="0" w:space="0" w:color="auto"/>
            <w:bottom w:val="none" w:sz="0" w:space="0" w:color="auto"/>
            <w:right w:val="none" w:sz="0" w:space="0" w:color="auto"/>
          </w:divBdr>
          <w:divsChild>
            <w:div w:id="1191726559">
              <w:marLeft w:val="0"/>
              <w:marRight w:val="0"/>
              <w:marTop w:val="120"/>
              <w:marBottom w:val="0"/>
              <w:divBdr>
                <w:top w:val="none" w:sz="0" w:space="0" w:color="auto"/>
                <w:left w:val="none" w:sz="0" w:space="0" w:color="auto"/>
                <w:bottom w:val="none" w:sz="0" w:space="0" w:color="auto"/>
                <w:right w:val="none" w:sz="0" w:space="0" w:color="auto"/>
              </w:divBdr>
            </w:div>
            <w:div w:id="2056267668">
              <w:marLeft w:val="0"/>
              <w:marRight w:val="0"/>
              <w:marTop w:val="0"/>
              <w:marBottom w:val="0"/>
              <w:divBdr>
                <w:top w:val="none" w:sz="0" w:space="0" w:color="auto"/>
                <w:left w:val="none" w:sz="0" w:space="0" w:color="auto"/>
                <w:bottom w:val="none" w:sz="0" w:space="0" w:color="auto"/>
                <w:right w:val="none" w:sz="0" w:space="0" w:color="auto"/>
              </w:divBdr>
              <w:divsChild>
                <w:div w:id="136534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68752050">
      <w:bodyDiv w:val="1"/>
      <w:marLeft w:val="0"/>
      <w:marRight w:val="0"/>
      <w:marTop w:val="0"/>
      <w:marBottom w:val="0"/>
      <w:divBdr>
        <w:top w:val="none" w:sz="0" w:space="0" w:color="auto"/>
        <w:left w:val="none" w:sz="0" w:space="0" w:color="auto"/>
        <w:bottom w:val="none" w:sz="0" w:space="0" w:color="auto"/>
        <w:right w:val="none" w:sz="0" w:space="0" w:color="auto"/>
      </w:divBdr>
    </w:div>
    <w:div w:id="1669092264">
      <w:bodyDiv w:val="1"/>
      <w:marLeft w:val="0"/>
      <w:marRight w:val="0"/>
      <w:marTop w:val="0"/>
      <w:marBottom w:val="0"/>
      <w:divBdr>
        <w:top w:val="none" w:sz="0" w:space="0" w:color="auto"/>
        <w:left w:val="none" w:sz="0" w:space="0" w:color="auto"/>
        <w:bottom w:val="none" w:sz="0" w:space="0" w:color="auto"/>
        <w:right w:val="none" w:sz="0" w:space="0" w:color="auto"/>
      </w:divBdr>
    </w:div>
    <w:div w:id="1669598995">
      <w:bodyDiv w:val="1"/>
      <w:marLeft w:val="0"/>
      <w:marRight w:val="0"/>
      <w:marTop w:val="0"/>
      <w:marBottom w:val="0"/>
      <w:divBdr>
        <w:top w:val="none" w:sz="0" w:space="0" w:color="auto"/>
        <w:left w:val="none" w:sz="0" w:space="0" w:color="auto"/>
        <w:bottom w:val="none" w:sz="0" w:space="0" w:color="auto"/>
        <w:right w:val="none" w:sz="0" w:space="0" w:color="auto"/>
      </w:divBdr>
      <w:divsChild>
        <w:div w:id="530151215">
          <w:marLeft w:val="600"/>
          <w:marRight w:val="0"/>
          <w:marTop w:val="0"/>
          <w:marBottom w:val="0"/>
          <w:divBdr>
            <w:top w:val="none" w:sz="0" w:space="0" w:color="auto"/>
            <w:left w:val="none" w:sz="0" w:space="0" w:color="auto"/>
            <w:bottom w:val="none" w:sz="0" w:space="0" w:color="auto"/>
            <w:right w:val="none" w:sz="0" w:space="0" w:color="auto"/>
          </w:divBdr>
        </w:div>
        <w:div w:id="581598728">
          <w:marLeft w:val="600"/>
          <w:marRight w:val="0"/>
          <w:marTop w:val="0"/>
          <w:marBottom w:val="0"/>
          <w:divBdr>
            <w:top w:val="none" w:sz="0" w:space="0" w:color="auto"/>
            <w:left w:val="none" w:sz="0" w:space="0" w:color="auto"/>
            <w:bottom w:val="none" w:sz="0" w:space="0" w:color="auto"/>
            <w:right w:val="none" w:sz="0" w:space="0" w:color="auto"/>
          </w:divBdr>
        </w:div>
        <w:div w:id="757561547">
          <w:marLeft w:val="720"/>
          <w:marRight w:val="0"/>
          <w:marTop w:val="0"/>
          <w:marBottom w:val="0"/>
          <w:divBdr>
            <w:top w:val="none" w:sz="0" w:space="0" w:color="auto"/>
            <w:left w:val="none" w:sz="0" w:space="0" w:color="auto"/>
            <w:bottom w:val="none" w:sz="0" w:space="0" w:color="auto"/>
            <w:right w:val="none" w:sz="0" w:space="0" w:color="auto"/>
          </w:divBdr>
        </w:div>
        <w:div w:id="913972037">
          <w:marLeft w:val="840"/>
          <w:marRight w:val="0"/>
          <w:marTop w:val="0"/>
          <w:marBottom w:val="0"/>
          <w:divBdr>
            <w:top w:val="none" w:sz="0" w:space="0" w:color="auto"/>
            <w:left w:val="none" w:sz="0" w:space="0" w:color="auto"/>
            <w:bottom w:val="none" w:sz="0" w:space="0" w:color="auto"/>
            <w:right w:val="none" w:sz="0" w:space="0" w:color="auto"/>
          </w:divBdr>
        </w:div>
        <w:div w:id="1027945576">
          <w:marLeft w:val="600"/>
          <w:marRight w:val="0"/>
          <w:marTop w:val="0"/>
          <w:marBottom w:val="0"/>
          <w:divBdr>
            <w:top w:val="none" w:sz="0" w:space="0" w:color="auto"/>
            <w:left w:val="none" w:sz="0" w:space="0" w:color="auto"/>
            <w:bottom w:val="none" w:sz="0" w:space="0" w:color="auto"/>
            <w:right w:val="none" w:sz="0" w:space="0" w:color="auto"/>
          </w:divBdr>
        </w:div>
        <w:div w:id="1218855550">
          <w:marLeft w:val="600"/>
          <w:marRight w:val="0"/>
          <w:marTop w:val="0"/>
          <w:marBottom w:val="0"/>
          <w:divBdr>
            <w:top w:val="none" w:sz="0" w:space="0" w:color="auto"/>
            <w:left w:val="none" w:sz="0" w:space="0" w:color="auto"/>
            <w:bottom w:val="none" w:sz="0" w:space="0" w:color="auto"/>
            <w:right w:val="none" w:sz="0" w:space="0" w:color="auto"/>
          </w:divBdr>
        </w:div>
        <w:div w:id="1811904091">
          <w:marLeft w:val="720"/>
          <w:marRight w:val="0"/>
          <w:marTop w:val="0"/>
          <w:marBottom w:val="0"/>
          <w:divBdr>
            <w:top w:val="none" w:sz="0" w:space="0" w:color="auto"/>
            <w:left w:val="none" w:sz="0" w:space="0" w:color="auto"/>
            <w:bottom w:val="none" w:sz="0" w:space="0" w:color="auto"/>
            <w:right w:val="none" w:sz="0" w:space="0" w:color="auto"/>
          </w:divBdr>
        </w:div>
        <w:div w:id="1832673649">
          <w:marLeft w:val="600"/>
          <w:marRight w:val="0"/>
          <w:marTop w:val="0"/>
          <w:marBottom w:val="0"/>
          <w:divBdr>
            <w:top w:val="none" w:sz="0" w:space="0" w:color="auto"/>
            <w:left w:val="none" w:sz="0" w:space="0" w:color="auto"/>
            <w:bottom w:val="none" w:sz="0" w:space="0" w:color="auto"/>
            <w:right w:val="none" w:sz="0" w:space="0" w:color="auto"/>
          </w:divBdr>
        </w:div>
      </w:divsChild>
    </w:div>
    <w:div w:id="1729499683">
      <w:bodyDiv w:val="1"/>
      <w:marLeft w:val="0"/>
      <w:marRight w:val="0"/>
      <w:marTop w:val="0"/>
      <w:marBottom w:val="0"/>
      <w:divBdr>
        <w:top w:val="none" w:sz="0" w:space="0" w:color="auto"/>
        <w:left w:val="none" w:sz="0" w:space="0" w:color="auto"/>
        <w:bottom w:val="none" w:sz="0" w:space="0" w:color="auto"/>
        <w:right w:val="none" w:sz="0" w:space="0" w:color="auto"/>
      </w:divBdr>
    </w:div>
    <w:div w:id="1762485541">
      <w:bodyDiv w:val="1"/>
      <w:marLeft w:val="0"/>
      <w:marRight w:val="0"/>
      <w:marTop w:val="0"/>
      <w:marBottom w:val="0"/>
      <w:divBdr>
        <w:top w:val="none" w:sz="0" w:space="0" w:color="auto"/>
        <w:left w:val="none" w:sz="0" w:space="0" w:color="auto"/>
        <w:bottom w:val="none" w:sz="0" w:space="0" w:color="auto"/>
        <w:right w:val="none" w:sz="0" w:space="0" w:color="auto"/>
      </w:divBdr>
    </w:div>
    <w:div w:id="1841891024">
      <w:bodyDiv w:val="1"/>
      <w:marLeft w:val="0"/>
      <w:marRight w:val="0"/>
      <w:marTop w:val="0"/>
      <w:marBottom w:val="0"/>
      <w:divBdr>
        <w:top w:val="none" w:sz="0" w:space="0" w:color="auto"/>
        <w:left w:val="none" w:sz="0" w:space="0" w:color="auto"/>
        <w:bottom w:val="none" w:sz="0" w:space="0" w:color="auto"/>
        <w:right w:val="none" w:sz="0" w:space="0" w:color="auto"/>
      </w:divBdr>
    </w:div>
    <w:div w:id="1907647453">
      <w:bodyDiv w:val="1"/>
      <w:marLeft w:val="0"/>
      <w:marRight w:val="0"/>
      <w:marTop w:val="0"/>
      <w:marBottom w:val="0"/>
      <w:divBdr>
        <w:top w:val="none" w:sz="0" w:space="0" w:color="auto"/>
        <w:left w:val="none" w:sz="0" w:space="0" w:color="auto"/>
        <w:bottom w:val="none" w:sz="0" w:space="0" w:color="auto"/>
        <w:right w:val="none" w:sz="0" w:space="0" w:color="auto"/>
      </w:divBdr>
    </w:div>
    <w:div w:id="2080008069">
      <w:bodyDiv w:val="1"/>
      <w:marLeft w:val="0"/>
      <w:marRight w:val="0"/>
      <w:marTop w:val="0"/>
      <w:marBottom w:val="0"/>
      <w:divBdr>
        <w:top w:val="none" w:sz="0" w:space="0" w:color="auto"/>
        <w:left w:val="none" w:sz="0" w:space="0" w:color="auto"/>
        <w:bottom w:val="none" w:sz="0" w:space="0" w:color="auto"/>
        <w:right w:val="none" w:sz="0" w:space="0" w:color="auto"/>
      </w:divBdr>
    </w:div>
    <w:div w:id="2110004628">
      <w:bodyDiv w:val="1"/>
      <w:marLeft w:val="0"/>
      <w:marRight w:val="0"/>
      <w:marTop w:val="0"/>
      <w:marBottom w:val="0"/>
      <w:divBdr>
        <w:top w:val="none" w:sz="0" w:space="0" w:color="auto"/>
        <w:left w:val="none" w:sz="0" w:space="0" w:color="auto"/>
        <w:bottom w:val="none" w:sz="0" w:space="0" w:color="auto"/>
        <w:right w:val="none" w:sz="0" w:space="0" w:color="auto"/>
      </w:divBdr>
    </w:div>
    <w:div w:id="2110588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7e82e9f-bf7d-4635-9009-e26dd78cadff">
      <UserInfo>
        <DisplayName>LUTZ Fabian (HOME)</DisplayName>
        <AccountId>41</AccountId>
        <AccountType/>
      </UserInfo>
      <UserInfo>
        <DisplayName>TUKISA Aleksandra (HOME)</DisplayName>
        <AccountId>25</AccountId>
        <AccountType/>
      </UserInfo>
      <UserInfo>
        <DisplayName>SCHMITT Desiree (HOME)</DisplayName>
        <AccountId>11</AccountId>
        <AccountType/>
      </UserInfo>
      <UserInfo>
        <DisplayName>TEMMLER Jaana (HOME)</DisplayName>
        <AccountId>64</AccountId>
        <AccountType/>
      </UserInfo>
      <UserInfo>
        <DisplayName>RIJPMA Jorrit (HOME)</DisplayName>
        <AccountId>65</AccountId>
        <AccountType/>
      </UserInfo>
      <UserInfo>
        <DisplayName>OWENS Alannah (HOME-EXT)</DisplayName>
        <AccountId>66</AccountId>
        <AccountType/>
      </UserInfo>
      <UserInfo>
        <DisplayName>HOTTIAUX Joanna (SJ)</DisplayName>
        <AccountId>67</AccountId>
        <AccountType/>
      </UserInfo>
      <UserInfo>
        <DisplayName>VARKOLY Edina (SG)</DisplayName>
        <AccountId>68</AccountId>
        <AccountType/>
      </UserInfo>
      <UserInfo>
        <DisplayName>BAUMGART Lukasz (SJ)</DisplayName>
        <AccountId>69</AccountId>
        <AccountType/>
      </UserInfo>
      <UserInfo>
        <DisplayName>ROHDE-STADLER Jan (JUST)</DisplayName>
        <AccountId>70</AccountId>
        <AccountType/>
      </UserInfo>
      <UserInfo>
        <DisplayName>MOSSHAMMER Monika (JUST)</DisplayName>
        <AccountId>71</AccountId>
        <AccountType/>
      </UserInfo>
      <UserInfo>
        <DisplayName>SY Sarah (HOME)</DisplayName>
        <AccountId>33</AccountId>
        <AccountType/>
      </UserInfo>
      <UserInfo>
        <DisplayName>SZIGETI Borbala (HOME)</DisplayName>
        <AccountId>50</AccountId>
        <AccountType/>
      </UserInfo>
      <UserInfo>
        <DisplayName>DE BONI Bruno (HOME)</DisplayName>
        <AccountId>62</AccountId>
        <AccountType/>
      </UserInfo>
      <UserInfo>
        <DisplayName>SCHROETER Tania (JUST)</DisplayName>
        <AccountId>72</AccountId>
        <AccountType/>
      </UserInfo>
      <UserInfo>
        <DisplayName>MOLNAR Tamas Andras (JUST)</DisplayName>
        <AccountId>73</AccountId>
        <AccountType/>
      </UserInfo>
      <UserInfo>
        <DisplayName>OSTOJA-OSTASZEWSKI Jan (JUST)</DisplayName>
        <AccountId>74</AccountId>
        <AccountType/>
      </UserInfo>
      <UserInfo>
        <DisplayName>CANKA Melekije (HOME)</DisplayName>
        <AccountId>75</AccountId>
        <AccountType/>
      </UserInfo>
      <UserInfo>
        <DisplayName>LOPEZ GAY Agnes (JUST)</DisplayName>
        <AccountId>76</AccountId>
        <AccountType/>
      </UserInfo>
      <UserInfo>
        <DisplayName>DEBSKI Tomasz (JUST-EXT)</DisplayName>
        <AccountId>78</AccountId>
        <AccountType/>
      </UserInfo>
      <UserInfo>
        <DisplayName>DUTRA FERNANDEZ Thais (HOME)</DisplayName>
        <AccountId>79</AccountId>
        <AccountType/>
      </UserInfo>
      <UserInfo>
        <DisplayName>VERGEER Eleonora (HOME)</DisplayName>
        <AccountId>80</AccountId>
        <AccountType/>
      </UserInfo>
      <UserInfo>
        <DisplayName>AMANN Fatima (HOME)</DisplayName>
        <AccountId>81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1314E-B475-47A5-B884-9A96E1E5D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2181B5-4E54-4EFE-85B8-36E5C178AE72}">
  <ds:schemaRefs>
    <ds:schemaRef ds:uri="http://schemas.microsoft.com/sharepoint/v3/contenttype/forms"/>
  </ds:schemaRefs>
</ds:datastoreItem>
</file>

<file path=customXml/itemProps3.xml><?xml version="1.0" encoding="utf-8"?>
<ds:datastoreItem xmlns:ds="http://schemas.openxmlformats.org/officeDocument/2006/customXml" ds:itemID="{310395E3-BED7-47F5-B588-923CB06BDE57}">
  <ds:schemaRefs>
    <ds:schemaRef ds:uri="http://schemas.microsoft.com/office/2006/metadata/properties"/>
    <ds:schemaRef ds:uri="http://schemas.microsoft.com/office/infopath/2007/PartnerControls"/>
    <ds:schemaRef ds:uri="b7e82e9f-bf7d-4635-9009-e26dd78cadff"/>
  </ds:schemaRefs>
</ds:datastoreItem>
</file>

<file path=customXml/itemProps4.xml><?xml version="1.0" encoding="utf-8"?>
<ds:datastoreItem xmlns:ds="http://schemas.openxmlformats.org/officeDocument/2006/customXml" ds:itemID="{C9D9612A-3625-486A-82CB-A85E34BDD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2782</TotalTime>
  <Pages>3</Pages>
  <Words>13684</Words>
  <Characters>78001</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91502</CharactersWithSpaces>
  <SharedDoc>false</SharedDoc>
  <HLinks>
    <vt:vector size="432" baseType="variant">
      <vt:variant>
        <vt:i4>1114163</vt:i4>
      </vt:variant>
      <vt:variant>
        <vt:i4>428</vt:i4>
      </vt:variant>
      <vt:variant>
        <vt:i4>0</vt:i4>
      </vt:variant>
      <vt:variant>
        <vt:i4>5</vt:i4>
      </vt:variant>
      <vt:variant>
        <vt:lpwstr/>
      </vt:variant>
      <vt:variant>
        <vt:lpwstr>_Toc225176338</vt:lpwstr>
      </vt:variant>
      <vt:variant>
        <vt:i4>1114163</vt:i4>
      </vt:variant>
      <vt:variant>
        <vt:i4>422</vt:i4>
      </vt:variant>
      <vt:variant>
        <vt:i4>0</vt:i4>
      </vt:variant>
      <vt:variant>
        <vt:i4>5</vt:i4>
      </vt:variant>
      <vt:variant>
        <vt:lpwstr/>
      </vt:variant>
      <vt:variant>
        <vt:lpwstr>_Toc225176337</vt:lpwstr>
      </vt:variant>
      <vt:variant>
        <vt:i4>1114163</vt:i4>
      </vt:variant>
      <vt:variant>
        <vt:i4>416</vt:i4>
      </vt:variant>
      <vt:variant>
        <vt:i4>0</vt:i4>
      </vt:variant>
      <vt:variant>
        <vt:i4>5</vt:i4>
      </vt:variant>
      <vt:variant>
        <vt:lpwstr/>
      </vt:variant>
      <vt:variant>
        <vt:lpwstr>_Toc225176336</vt:lpwstr>
      </vt:variant>
      <vt:variant>
        <vt:i4>1114163</vt:i4>
      </vt:variant>
      <vt:variant>
        <vt:i4>410</vt:i4>
      </vt:variant>
      <vt:variant>
        <vt:i4>0</vt:i4>
      </vt:variant>
      <vt:variant>
        <vt:i4>5</vt:i4>
      </vt:variant>
      <vt:variant>
        <vt:lpwstr/>
      </vt:variant>
      <vt:variant>
        <vt:lpwstr>_Toc225176335</vt:lpwstr>
      </vt:variant>
      <vt:variant>
        <vt:i4>1114163</vt:i4>
      </vt:variant>
      <vt:variant>
        <vt:i4>404</vt:i4>
      </vt:variant>
      <vt:variant>
        <vt:i4>0</vt:i4>
      </vt:variant>
      <vt:variant>
        <vt:i4>5</vt:i4>
      </vt:variant>
      <vt:variant>
        <vt:lpwstr/>
      </vt:variant>
      <vt:variant>
        <vt:lpwstr>_Toc225176334</vt:lpwstr>
      </vt:variant>
      <vt:variant>
        <vt:i4>1114163</vt:i4>
      </vt:variant>
      <vt:variant>
        <vt:i4>398</vt:i4>
      </vt:variant>
      <vt:variant>
        <vt:i4>0</vt:i4>
      </vt:variant>
      <vt:variant>
        <vt:i4>5</vt:i4>
      </vt:variant>
      <vt:variant>
        <vt:lpwstr/>
      </vt:variant>
      <vt:variant>
        <vt:lpwstr>_Toc225176333</vt:lpwstr>
      </vt:variant>
      <vt:variant>
        <vt:i4>1114163</vt:i4>
      </vt:variant>
      <vt:variant>
        <vt:i4>392</vt:i4>
      </vt:variant>
      <vt:variant>
        <vt:i4>0</vt:i4>
      </vt:variant>
      <vt:variant>
        <vt:i4>5</vt:i4>
      </vt:variant>
      <vt:variant>
        <vt:lpwstr/>
      </vt:variant>
      <vt:variant>
        <vt:lpwstr>_Toc225176332</vt:lpwstr>
      </vt:variant>
      <vt:variant>
        <vt:i4>1114163</vt:i4>
      </vt:variant>
      <vt:variant>
        <vt:i4>386</vt:i4>
      </vt:variant>
      <vt:variant>
        <vt:i4>0</vt:i4>
      </vt:variant>
      <vt:variant>
        <vt:i4>5</vt:i4>
      </vt:variant>
      <vt:variant>
        <vt:lpwstr/>
      </vt:variant>
      <vt:variant>
        <vt:lpwstr>_Toc225176331</vt:lpwstr>
      </vt:variant>
      <vt:variant>
        <vt:i4>1114163</vt:i4>
      </vt:variant>
      <vt:variant>
        <vt:i4>380</vt:i4>
      </vt:variant>
      <vt:variant>
        <vt:i4>0</vt:i4>
      </vt:variant>
      <vt:variant>
        <vt:i4>5</vt:i4>
      </vt:variant>
      <vt:variant>
        <vt:lpwstr/>
      </vt:variant>
      <vt:variant>
        <vt:lpwstr>_Toc225176330</vt:lpwstr>
      </vt:variant>
      <vt:variant>
        <vt:i4>1048627</vt:i4>
      </vt:variant>
      <vt:variant>
        <vt:i4>374</vt:i4>
      </vt:variant>
      <vt:variant>
        <vt:i4>0</vt:i4>
      </vt:variant>
      <vt:variant>
        <vt:i4>5</vt:i4>
      </vt:variant>
      <vt:variant>
        <vt:lpwstr/>
      </vt:variant>
      <vt:variant>
        <vt:lpwstr>_Toc225176329</vt:lpwstr>
      </vt:variant>
      <vt:variant>
        <vt:i4>1048627</vt:i4>
      </vt:variant>
      <vt:variant>
        <vt:i4>368</vt:i4>
      </vt:variant>
      <vt:variant>
        <vt:i4>0</vt:i4>
      </vt:variant>
      <vt:variant>
        <vt:i4>5</vt:i4>
      </vt:variant>
      <vt:variant>
        <vt:lpwstr/>
      </vt:variant>
      <vt:variant>
        <vt:lpwstr>_Toc225176328</vt:lpwstr>
      </vt:variant>
      <vt:variant>
        <vt:i4>1048627</vt:i4>
      </vt:variant>
      <vt:variant>
        <vt:i4>362</vt:i4>
      </vt:variant>
      <vt:variant>
        <vt:i4>0</vt:i4>
      </vt:variant>
      <vt:variant>
        <vt:i4>5</vt:i4>
      </vt:variant>
      <vt:variant>
        <vt:lpwstr/>
      </vt:variant>
      <vt:variant>
        <vt:lpwstr>_Toc225176327</vt:lpwstr>
      </vt:variant>
      <vt:variant>
        <vt:i4>1048627</vt:i4>
      </vt:variant>
      <vt:variant>
        <vt:i4>356</vt:i4>
      </vt:variant>
      <vt:variant>
        <vt:i4>0</vt:i4>
      </vt:variant>
      <vt:variant>
        <vt:i4>5</vt:i4>
      </vt:variant>
      <vt:variant>
        <vt:lpwstr/>
      </vt:variant>
      <vt:variant>
        <vt:lpwstr>_Toc225176326</vt:lpwstr>
      </vt:variant>
      <vt:variant>
        <vt:i4>1048627</vt:i4>
      </vt:variant>
      <vt:variant>
        <vt:i4>350</vt:i4>
      </vt:variant>
      <vt:variant>
        <vt:i4>0</vt:i4>
      </vt:variant>
      <vt:variant>
        <vt:i4>5</vt:i4>
      </vt:variant>
      <vt:variant>
        <vt:lpwstr/>
      </vt:variant>
      <vt:variant>
        <vt:lpwstr>_Toc225176325</vt:lpwstr>
      </vt:variant>
      <vt:variant>
        <vt:i4>1048627</vt:i4>
      </vt:variant>
      <vt:variant>
        <vt:i4>344</vt:i4>
      </vt:variant>
      <vt:variant>
        <vt:i4>0</vt:i4>
      </vt:variant>
      <vt:variant>
        <vt:i4>5</vt:i4>
      </vt:variant>
      <vt:variant>
        <vt:lpwstr/>
      </vt:variant>
      <vt:variant>
        <vt:lpwstr>_Toc225176324</vt:lpwstr>
      </vt:variant>
      <vt:variant>
        <vt:i4>1048627</vt:i4>
      </vt:variant>
      <vt:variant>
        <vt:i4>338</vt:i4>
      </vt:variant>
      <vt:variant>
        <vt:i4>0</vt:i4>
      </vt:variant>
      <vt:variant>
        <vt:i4>5</vt:i4>
      </vt:variant>
      <vt:variant>
        <vt:lpwstr/>
      </vt:variant>
      <vt:variant>
        <vt:lpwstr>_Toc225176323</vt:lpwstr>
      </vt:variant>
      <vt:variant>
        <vt:i4>1048627</vt:i4>
      </vt:variant>
      <vt:variant>
        <vt:i4>332</vt:i4>
      </vt:variant>
      <vt:variant>
        <vt:i4>0</vt:i4>
      </vt:variant>
      <vt:variant>
        <vt:i4>5</vt:i4>
      </vt:variant>
      <vt:variant>
        <vt:lpwstr/>
      </vt:variant>
      <vt:variant>
        <vt:lpwstr>_Toc225176322</vt:lpwstr>
      </vt:variant>
      <vt:variant>
        <vt:i4>1048627</vt:i4>
      </vt:variant>
      <vt:variant>
        <vt:i4>326</vt:i4>
      </vt:variant>
      <vt:variant>
        <vt:i4>0</vt:i4>
      </vt:variant>
      <vt:variant>
        <vt:i4>5</vt:i4>
      </vt:variant>
      <vt:variant>
        <vt:lpwstr/>
      </vt:variant>
      <vt:variant>
        <vt:lpwstr>_Toc225176321</vt:lpwstr>
      </vt:variant>
      <vt:variant>
        <vt:i4>1048627</vt:i4>
      </vt:variant>
      <vt:variant>
        <vt:i4>320</vt:i4>
      </vt:variant>
      <vt:variant>
        <vt:i4>0</vt:i4>
      </vt:variant>
      <vt:variant>
        <vt:i4>5</vt:i4>
      </vt:variant>
      <vt:variant>
        <vt:lpwstr/>
      </vt:variant>
      <vt:variant>
        <vt:lpwstr>_Toc225176320</vt:lpwstr>
      </vt:variant>
      <vt:variant>
        <vt:i4>1245235</vt:i4>
      </vt:variant>
      <vt:variant>
        <vt:i4>314</vt:i4>
      </vt:variant>
      <vt:variant>
        <vt:i4>0</vt:i4>
      </vt:variant>
      <vt:variant>
        <vt:i4>5</vt:i4>
      </vt:variant>
      <vt:variant>
        <vt:lpwstr/>
      </vt:variant>
      <vt:variant>
        <vt:lpwstr>_Toc225176319</vt:lpwstr>
      </vt:variant>
      <vt:variant>
        <vt:i4>1245235</vt:i4>
      </vt:variant>
      <vt:variant>
        <vt:i4>308</vt:i4>
      </vt:variant>
      <vt:variant>
        <vt:i4>0</vt:i4>
      </vt:variant>
      <vt:variant>
        <vt:i4>5</vt:i4>
      </vt:variant>
      <vt:variant>
        <vt:lpwstr/>
      </vt:variant>
      <vt:variant>
        <vt:lpwstr>_Toc225176318</vt:lpwstr>
      </vt:variant>
      <vt:variant>
        <vt:i4>1245235</vt:i4>
      </vt:variant>
      <vt:variant>
        <vt:i4>302</vt:i4>
      </vt:variant>
      <vt:variant>
        <vt:i4>0</vt:i4>
      </vt:variant>
      <vt:variant>
        <vt:i4>5</vt:i4>
      </vt:variant>
      <vt:variant>
        <vt:lpwstr/>
      </vt:variant>
      <vt:variant>
        <vt:lpwstr>_Toc225176317</vt:lpwstr>
      </vt:variant>
      <vt:variant>
        <vt:i4>1245235</vt:i4>
      </vt:variant>
      <vt:variant>
        <vt:i4>296</vt:i4>
      </vt:variant>
      <vt:variant>
        <vt:i4>0</vt:i4>
      </vt:variant>
      <vt:variant>
        <vt:i4>5</vt:i4>
      </vt:variant>
      <vt:variant>
        <vt:lpwstr/>
      </vt:variant>
      <vt:variant>
        <vt:lpwstr>_Toc225176316</vt:lpwstr>
      </vt:variant>
      <vt:variant>
        <vt:i4>1245235</vt:i4>
      </vt:variant>
      <vt:variant>
        <vt:i4>290</vt:i4>
      </vt:variant>
      <vt:variant>
        <vt:i4>0</vt:i4>
      </vt:variant>
      <vt:variant>
        <vt:i4>5</vt:i4>
      </vt:variant>
      <vt:variant>
        <vt:lpwstr/>
      </vt:variant>
      <vt:variant>
        <vt:lpwstr>_Toc225176315</vt:lpwstr>
      </vt:variant>
      <vt:variant>
        <vt:i4>1245235</vt:i4>
      </vt:variant>
      <vt:variant>
        <vt:i4>284</vt:i4>
      </vt:variant>
      <vt:variant>
        <vt:i4>0</vt:i4>
      </vt:variant>
      <vt:variant>
        <vt:i4>5</vt:i4>
      </vt:variant>
      <vt:variant>
        <vt:lpwstr/>
      </vt:variant>
      <vt:variant>
        <vt:lpwstr>_Toc225176314</vt:lpwstr>
      </vt:variant>
      <vt:variant>
        <vt:i4>1245235</vt:i4>
      </vt:variant>
      <vt:variant>
        <vt:i4>278</vt:i4>
      </vt:variant>
      <vt:variant>
        <vt:i4>0</vt:i4>
      </vt:variant>
      <vt:variant>
        <vt:i4>5</vt:i4>
      </vt:variant>
      <vt:variant>
        <vt:lpwstr/>
      </vt:variant>
      <vt:variant>
        <vt:lpwstr>_Toc225176313</vt:lpwstr>
      </vt:variant>
      <vt:variant>
        <vt:i4>1245235</vt:i4>
      </vt:variant>
      <vt:variant>
        <vt:i4>272</vt:i4>
      </vt:variant>
      <vt:variant>
        <vt:i4>0</vt:i4>
      </vt:variant>
      <vt:variant>
        <vt:i4>5</vt:i4>
      </vt:variant>
      <vt:variant>
        <vt:lpwstr/>
      </vt:variant>
      <vt:variant>
        <vt:lpwstr>_Toc225176312</vt:lpwstr>
      </vt:variant>
      <vt:variant>
        <vt:i4>1245235</vt:i4>
      </vt:variant>
      <vt:variant>
        <vt:i4>266</vt:i4>
      </vt:variant>
      <vt:variant>
        <vt:i4>0</vt:i4>
      </vt:variant>
      <vt:variant>
        <vt:i4>5</vt:i4>
      </vt:variant>
      <vt:variant>
        <vt:lpwstr/>
      </vt:variant>
      <vt:variant>
        <vt:lpwstr>_Toc225176311</vt:lpwstr>
      </vt:variant>
      <vt:variant>
        <vt:i4>1245235</vt:i4>
      </vt:variant>
      <vt:variant>
        <vt:i4>260</vt:i4>
      </vt:variant>
      <vt:variant>
        <vt:i4>0</vt:i4>
      </vt:variant>
      <vt:variant>
        <vt:i4>5</vt:i4>
      </vt:variant>
      <vt:variant>
        <vt:lpwstr/>
      </vt:variant>
      <vt:variant>
        <vt:lpwstr>_Toc225176310</vt:lpwstr>
      </vt:variant>
      <vt:variant>
        <vt:i4>1179699</vt:i4>
      </vt:variant>
      <vt:variant>
        <vt:i4>254</vt:i4>
      </vt:variant>
      <vt:variant>
        <vt:i4>0</vt:i4>
      </vt:variant>
      <vt:variant>
        <vt:i4>5</vt:i4>
      </vt:variant>
      <vt:variant>
        <vt:lpwstr/>
      </vt:variant>
      <vt:variant>
        <vt:lpwstr>_Toc225176309</vt:lpwstr>
      </vt:variant>
      <vt:variant>
        <vt:i4>1179699</vt:i4>
      </vt:variant>
      <vt:variant>
        <vt:i4>248</vt:i4>
      </vt:variant>
      <vt:variant>
        <vt:i4>0</vt:i4>
      </vt:variant>
      <vt:variant>
        <vt:i4>5</vt:i4>
      </vt:variant>
      <vt:variant>
        <vt:lpwstr/>
      </vt:variant>
      <vt:variant>
        <vt:lpwstr>_Toc225176308</vt:lpwstr>
      </vt:variant>
      <vt:variant>
        <vt:i4>1179699</vt:i4>
      </vt:variant>
      <vt:variant>
        <vt:i4>242</vt:i4>
      </vt:variant>
      <vt:variant>
        <vt:i4>0</vt:i4>
      </vt:variant>
      <vt:variant>
        <vt:i4>5</vt:i4>
      </vt:variant>
      <vt:variant>
        <vt:lpwstr/>
      </vt:variant>
      <vt:variant>
        <vt:lpwstr>_Toc225176307</vt:lpwstr>
      </vt:variant>
      <vt:variant>
        <vt:i4>1179699</vt:i4>
      </vt:variant>
      <vt:variant>
        <vt:i4>236</vt:i4>
      </vt:variant>
      <vt:variant>
        <vt:i4>0</vt:i4>
      </vt:variant>
      <vt:variant>
        <vt:i4>5</vt:i4>
      </vt:variant>
      <vt:variant>
        <vt:lpwstr/>
      </vt:variant>
      <vt:variant>
        <vt:lpwstr>_Toc225176306</vt:lpwstr>
      </vt:variant>
      <vt:variant>
        <vt:i4>1179699</vt:i4>
      </vt:variant>
      <vt:variant>
        <vt:i4>230</vt:i4>
      </vt:variant>
      <vt:variant>
        <vt:i4>0</vt:i4>
      </vt:variant>
      <vt:variant>
        <vt:i4>5</vt:i4>
      </vt:variant>
      <vt:variant>
        <vt:lpwstr/>
      </vt:variant>
      <vt:variant>
        <vt:lpwstr>_Toc225176305</vt:lpwstr>
      </vt:variant>
      <vt:variant>
        <vt:i4>1179699</vt:i4>
      </vt:variant>
      <vt:variant>
        <vt:i4>224</vt:i4>
      </vt:variant>
      <vt:variant>
        <vt:i4>0</vt:i4>
      </vt:variant>
      <vt:variant>
        <vt:i4>5</vt:i4>
      </vt:variant>
      <vt:variant>
        <vt:lpwstr/>
      </vt:variant>
      <vt:variant>
        <vt:lpwstr>_Toc225176304</vt:lpwstr>
      </vt:variant>
      <vt:variant>
        <vt:i4>1179699</vt:i4>
      </vt:variant>
      <vt:variant>
        <vt:i4>218</vt:i4>
      </vt:variant>
      <vt:variant>
        <vt:i4>0</vt:i4>
      </vt:variant>
      <vt:variant>
        <vt:i4>5</vt:i4>
      </vt:variant>
      <vt:variant>
        <vt:lpwstr/>
      </vt:variant>
      <vt:variant>
        <vt:lpwstr>_Toc225176303</vt:lpwstr>
      </vt:variant>
      <vt:variant>
        <vt:i4>1179699</vt:i4>
      </vt:variant>
      <vt:variant>
        <vt:i4>212</vt:i4>
      </vt:variant>
      <vt:variant>
        <vt:i4>0</vt:i4>
      </vt:variant>
      <vt:variant>
        <vt:i4>5</vt:i4>
      </vt:variant>
      <vt:variant>
        <vt:lpwstr/>
      </vt:variant>
      <vt:variant>
        <vt:lpwstr>_Toc225176302</vt:lpwstr>
      </vt:variant>
      <vt:variant>
        <vt:i4>1179699</vt:i4>
      </vt:variant>
      <vt:variant>
        <vt:i4>206</vt:i4>
      </vt:variant>
      <vt:variant>
        <vt:i4>0</vt:i4>
      </vt:variant>
      <vt:variant>
        <vt:i4>5</vt:i4>
      </vt:variant>
      <vt:variant>
        <vt:lpwstr/>
      </vt:variant>
      <vt:variant>
        <vt:lpwstr>_Toc225176301</vt:lpwstr>
      </vt:variant>
      <vt:variant>
        <vt:i4>1179699</vt:i4>
      </vt:variant>
      <vt:variant>
        <vt:i4>200</vt:i4>
      </vt:variant>
      <vt:variant>
        <vt:i4>0</vt:i4>
      </vt:variant>
      <vt:variant>
        <vt:i4>5</vt:i4>
      </vt:variant>
      <vt:variant>
        <vt:lpwstr/>
      </vt:variant>
      <vt:variant>
        <vt:lpwstr>_Toc225176300</vt:lpwstr>
      </vt:variant>
      <vt:variant>
        <vt:i4>1769522</vt:i4>
      </vt:variant>
      <vt:variant>
        <vt:i4>194</vt:i4>
      </vt:variant>
      <vt:variant>
        <vt:i4>0</vt:i4>
      </vt:variant>
      <vt:variant>
        <vt:i4>5</vt:i4>
      </vt:variant>
      <vt:variant>
        <vt:lpwstr/>
      </vt:variant>
      <vt:variant>
        <vt:lpwstr>_Toc225176299</vt:lpwstr>
      </vt:variant>
      <vt:variant>
        <vt:i4>1769522</vt:i4>
      </vt:variant>
      <vt:variant>
        <vt:i4>188</vt:i4>
      </vt:variant>
      <vt:variant>
        <vt:i4>0</vt:i4>
      </vt:variant>
      <vt:variant>
        <vt:i4>5</vt:i4>
      </vt:variant>
      <vt:variant>
        <vt:lpwstr/>
      </vt:variant>
      <vt:variant>
        <vt:lpwstr>_Toc225176298</vt:lpwstr>
      </vt:variant>
      <vt:variant>
        <vt:i4>1769522</vt:i4>
      </vt:variant>
      <vt:variant>
        <vt:i4>182</vt:i4>
      </vt:variant>
      <vt:variant>
        <vt:i4>0</vt:i4>
      </vt:variant>
      <vt:variant>
        <vt:i4>5</vt:i4>
      </vt:variant>
      <vt:variant>
        <vt:lpwstr/>
      </vt:variant>
      <vt:variant>
        <vt:lpwstr>_Toc225176297</vt:lpwstr>
      </vt:variant>
      <vt:variant>
        <vt:i4>1769522</vt:i4>
      </vt:variant>
      <vt:variant>
        <vt:i4>176</vt:i4>
      </vt:variant>
      <vt:variant>
        <vt:i4>0</vt:i4>
      </vt:variant>
      <vt:variant>
        <vt:i4>5</vt:i4>
      </vt:variant>
      <vt:variant>
        <vt:lpwstr/>
      </vt:variant>
      <vt:variant>
        <vt:lpwstr>_Toc225176296</vt:lpwstr>
      </vt:variant>
      <vt:variant>
        <vt:i4>1769522</vt:i4>
      </vt:variant>
      <vt:variant>
        <vt:i4>170</vt:i4>
      </vt:variant>
      <vt:variant>
        <vt:i4>0</vt:i4>
      </vt:variant>
      <vt:variant>
        <vt:i4>5</vt:i4>
      </vt:variant>
      <vt:variant>
        <vt:lpwstr/>
      </vt:variant>
      <vt:variant>
        <vt:lpwstr>_Toc225176295</vt:lpwstr>
      </vt:variant>
      <vt:variant>
        <vt:i4>1769522</vt:i4>
      </vt:variant>
      <vt:variant>
        <vt:i4>164</vt:i4>
      </vt:variant>
      <vt:variant>
        <vt:i4>0</vt:i4>
      </vt:variant>
      <vt:variant>
        <vt:i4>5</vt:i4>
      </vt:variant>
      <vt:variant>
        <vt:lpwstr/>
      </vt:variant>
      <vt:variant>
        <vt:lpwstr>_Toc225176294</vt:lpwstr>
      </vt:variant>
      <vt:variant>
        <vt:i4>1769522</vt:i4>
      </vt:variant>
      <vt:variant>
        <vt:i4>158</vt:i4>
      </vt:variant>
      <vt:variant>
        <vt:i4>0</vt:i4>
      </vt:variant>
      <vt:variant>
        <vt:i4>5</vt:i4>
      </vt:variant>
      <vt:variant>
        <vt:lpwstr/>
      </vt:variant>
      <vt:variant>
        <vt:lpwstr>_Toc225176293</vt:lpwstr>
      </vt:variant>
      <vt:variant>
        <vt:i4>1769522</vt:i4>
      </vt:variant>
      <vt:variant>
        <vt:i4>152</vt:i4>
      </vt:variant>
      <vt:variant>
        <vt:i4>0</vt:i4>
      </vt:variant>
      <vt:variant>
        <vt:i4>5</vt:i4>
      </vt:variant>
      <vt:variant>
        <vt:lpwstr/>
      </vt:variant>
      <vt:variant>
        <vt:lpwstr>_Toc225176292</vt:lpwstr>
      </vt:variant>
      <vt:variant>
        <vt:i4>1769522</vt:i4>
      </vt:variant>
      <vt:variant>
        <vt:i4>146</vt:i4>
      </vt:variant>
      <vt:variant>
        <vt:i4>0</vt:i4>
      </vt:variant>
      <vt:variant>
        <vt:i4>5</vt:i4>
      </vt:variant>
      <vt:variant>
        <vt:lpwstr/>
      </vt:variant>
      <vt:variant>
        <vt:lpwstr>_Toc225176291</vt:lpwstr>
      </vt:variant>
      <vt:variant>
        <vt:i4>1769522</vt:i4>
      </vt:variant>
      <vt:variant>
        <vt:i4>140</vt:i4>
      </vt:variant>
      <vt:variant>
        <vt:i4>0</vt:i4>
      </vt:variant>
      <vt:variant>
        <vt:i4>5</vt:i4>
      </vt:variant>
      <vt:variant>
        <vt:lpwstr/>
      </vt:variant>
      <vt:variant>
        <vt:lpwstr>_Toc225176290</vt:lpwstr>
      </vt:variant>
      <vt:variant>
        <vt:i4>1703986</vt:i4>
      </vt:variant>
      <vt:variant>
        <vt:i4>134</vt:i4>
      </vt:variant>
      <vt:variant>
        <vt:i4>0</vt:i4>
      </vt:variant>
      <vt:variant>
        <vt:i4>5</vt:i4>
      </vt:variant>
      <vt:variant>
        <vt:lpwstr/>
      </vt:variant>
      <vt:variant>
        <vt:lpwstr>_Toc225176289</vt:lpwstr>
      </vt:variant>
      <vt:variant>
        <vt:i4>1703986</vt:i4>
      </vt:variant>
      <vt:variant>
        <vt:i4>128</vt:i4>
      </vt:variant>
      <vt:variant>
        <vt:i4>0</vt:i4>
      </vt:variant>
      <vt:variant>
        <vt:i4>5</vt:i4>
      </vt:variant>
      <vt:variant>
        <vt:lpwstr/>
      </vt:variant>
      <vt:variant>
        <vt:lpwstr>_Toc225176288</vt:lpwstr>
      </vt:variant>
      <vt:variant>
        <vt:i4>1703986</vt:i4>
      </vt:variant>
      <vt:variant>
        <vt:i4>122</vt:i4>
      </vt:variant>
      <vt:variant>
        <vt:i4>0</vt:i4>
      </vt:variant>
      <vt:variant>
        <vt:i4>5</vt:i4>
      </vt:variant>
      <vt:variant>
        <vt:lpwstr/>
      </vt:variant>
      <vt:variant>
        <vt:lpwstr>_Toc225176287</vt:lpwstr>
      </vt:variant>
      <vt:variant>
        <vt:i4>1703986</vt:i4>
      </vt:variant>
      <vt:variant>
        <vt:i4>116</vt:i4>
      </vt:variant>
      <vt:variant>
        <vt:i4>0</vt:i4>
      </vt:variant>
      <vt:variant>
        <vt:i4>5</vt:i4>
      </vt:variant>
      <vt:variant>
        <vt:lpwstr/>
      </vt:variant>
      <vt:variant>
        <vt:lpwstr>_Toc225176286</vt:lpwstr>
      </vt:variant>
      <vt:variant>
        <vt:i4>1703986</vt:i4>
      </vt:variant>
      <vt:variant>
        <vt:i4>110</vt:i4>
      </vt:variant>
      <vt:variant>
        <vt:i4>0</vt:i4>
      </vt:variant>
      <vt:variant>
        <vt:i4>5</vt:i4>
      </vt:variant>
      <vt:variant>
        <vt:lpwstr/>
      </vt:variant>
      <vt:variant>
        <vt:lpwstr>_Toc225176285</vt:lpwstr>
      </vt:variant>
      <vt:variant>
        <vt:i4>1703986</vt:i4>
      </vt:variant>
      <vt:variant>
        <vt:i4>104</vt:i4>
      </vt:variant>
      <vt:variant>
        <vt:i4>0</vt:i4>
      </vt:variant>
      <vt:variant>
        <vt:i4>5</vt:i4>
      </vt:variant>
      <vt:variant>
        <vt:lpwstr/>
      </vt:variant>
      <vt:variant>
        <vt:lpwstr>_Toc225176284</vt:lpwstr>
      </vt:variant>
      <vt:variant>
        <vt:i4>1703986</vt:i4>
      </vt:variant>
      <vt:variant>
        <vt:i4>98</vt:i4>
      </vt:variant>
      <vt:variant>
        <vt:i4>0</vt:i4>
      </vt:variant>
      <vt:variant>
        <vt:i4>5</vt:i4>
      </vt:variant>
      <vt:variant>
        <vt:lpwstr/>
      </vt:variant>
      <vt:variant>
        <vt:lpwstr>_Toc225176283</vt:lpwstr>
      </vt:variant>
      <vt:variant>
        <vt:i4>1703986</vt:i4>
      </vt:variant>
      <vt:variant>
        <vt:i4>92</vt:i4>
      </vt:variant>
      <vt:variant>
        <vt:i4>0</vt:i4>
      </vt:variant>
      <vt:variant>
        <vt:i4>5</vt:i4>
      </vt:variant>
      <vt:variant>
        <vt:lpwstr/>
      </vt:variant>
      <vt:variant>
        <vt:lpwstr>_Toc225176282</vt:lpwstr>
      </vt:variant>
      <vt:variant>
        <vt:i4>1703986</vt:i4>
      </vt:variant>
      <vt:variant>
        <vt:i4>86</vt:i4>
      </vt:variant>
      <vt:variant>
        <vt:i4>0</vt:i4>
      </vt:variant>
      <vt:variant>
        <vt:i4>5</vt:i4>
      </vt:variant>
      <vt:variant>
        <vt:lpwstr/>
      </vt:variant>
      <vt:variant>
        <vt:lpwstr>_Toc225176281</vt:lpwstr>
      </vt:variant>
      <vt:variant>
        <vt:i4>1703986</vt:i4>
      </vt:variant>
      <vt:variant>
        <vt:i4>80</vt:i4>
      </vt:variant>
      <vt:variant>
        <vt:i4>0</vt:i4>
      </vt:variant>
      <vt:variant>
        <vt:i4>5</vt:i4>
      </vt:variant>
      <vt:variant>
        <vt:lpwstr/>
      </vt:variant>
      <vt:variant>
        <vt:lpwstr>_Toc225176280</vt:lpwstr>
      </vt:variant>
      <vt:variant>
        <vt:i4>1376306</vt:i4>
      </vt:variant>
      <vt:variant>
        <vt:i4>74</vt:i4>
      </vt:variant>
      <vt:variant>
        <vt:i4>0</vt:i4>
      </vt:variant>
      <vt:variant>
        <vt:i4>5</vt:i4>
      </vt:variant>
      <vt:variant>
        <vt:lpwstr/>
      </vt:variant>
      <vt:variant>
        <vt:lpwstr>_Toc225176279</vt:lpwstr>
      </vt:variant>
      <vt:variant>
        <vt:i4>1376306</vt:i4>
      </vt:variant>
      <vt:variant>
        <vt:i4>68</vt:i4>
      </vt:variant>
      <vt:variant>
        <vt:i4>0</vt:i4>
      </vt:variant>
      <vt:variant>
        <vt:i4>5</vt:i4>
      </vt:variant>
      <vt:variant>
        <vt:lpwstr/>
      </vt:variant>
      <vt:variant>
        <vt:lpwstr>_Toc225176278</vt:lpwstr>
      </vt:variant>
      <vt:variant>
        <vt:i4>1376306</vt:i4>
      </vt:variant>
      <vt:variant>
        <vt:i4>62</vt:i4>
      </vt:variant>
      <vt:variant>
        <vt:i4>0</vt:i4>
      </vt:variant>
      <vt:variant>
        <vt:i4>5</vt:i4>
      </vt:variant>
      <vt:variant>
        <vt:lpwstr/>
      </vt:variant>
      <vt:variant>
        <vt:lpwstr>_Toc225176277</vt:lpwstr>
      </vt:variant>
      <vt:variant>
        <vt:i4>1376306</vt:i4>
      </vt:variant>
      <vt:variant>
        <vt:i4>56</vt:i4>
      </vt:variant>
      <vt:variant>
        <vt:i4>0</vt:i4>
      </vt:variant>
      <vt:variant>
        <vt:i4>5</vt:i4>
      </vt:variant>
      <vt:variant>
        <vt:lpwstr/>
      </vt:variant>
      <vt:variant>
        <vt:lpwstr>_Toc225176276</vt:lpwstr>
      </vt:variant>
      <vt:variant>
        <vt:i4>1376306</vt:i4>
      </vt:variant>
      <vt:variant>
        <vt:i4>50</vt:i4>
      </vt:variant>
      <vt:variant>
        <vt:i4>0</vt:i4>
      </vt:variant>
      <vt:variant>
        <vt:i4>5</vt:i4>
      </vt:variant>
      <vt:variant>
        <vt:lpwstr/>
      </vt:variant>
      <vt:variant>
        <vt:lpwstr>_Toc225176275</vt:lpwstr>
      </vt:variant>
      <vt:variant>
        <vt:i4>1376306</vt:i4>
      </vt:variant>
      <vt:variant>
        <vt:i4>44</vt:i4>
      </vt:variant>
      <vt:variant>
        <vt:i4>0</vt:i4>
      </vt:variant>
      <vt:variant>
        <vt:i4>5</vt:i4>
      </vt:variant>
      <vt:variant>
        <vt:lpwstr/>
      </vt:variant>
      <vt:variant>
        <vt:lpwstr>_Toc225176274</vt:lpwstr>
      </vt:variant>
      <vt:variant>
        <vt:i4>1376306</vt:i4>
      </vt:variant>
      <vt:variant>
        <vt:i4>38</vt:i4>
      </vt:variant>
      <vt:variant>
        <vt:i4>0</vt:i4>
      </vt:variant>
      <vt:variant>
        <vt:i4>5</vt:i4>
      </vt:variant>
      <vt:variant>
        <vt:lpwstr/>
      </vt:variant>
      <vt:variant>
        <vt:lpwstr>_Toc225176273</vt:lpwstr>
      </vt:variant>
      <vt:variant>
        <vt:i4>1376306</vt:i4>
      </vt:variant>
      <vt:variant>
        <vt:i4>32</vt:i4>
      </vt:variant>
      <vt:variant>
        <vt:i4>0</vt:i4>
      </vt:variant>
      <vt:variant>
        <vt:i4>5</vt:i4>
      </vt:variant>
      <vt:variant>
        <vt:lpwstr/>
      </vt:variant>
      <vt:variant>
        <vt:lpwstr>_Toc225176272</vt:lpwstr>
      </vt:variant>
      <vt:variant>
        <vt:i4>1376306</vt:i4>
      </vt:variant>
      <vt:variant>
        <vt:i4>26</vt:i4>
      </vt:variant>
      <vt:variant>
        <vt:i4>0</vt:i4>
      </vt:variant>
      <vt:variant>
        <vt:i4>5</vt:i4>
      </vt:variant>
      <vt:variant>
        <vt:lpwstr/>
      </vt:variant>
      <vt:variant>
        <vt:lpwstr>_Toc225176271</vt:lpwstr>
      </vt:variant>
      <vt:variant>
        <vt:i4>1376306</vt:i4>
      </vt:variant>
      <vt:variant>
        <vt:i4>20</vt:i4>
      </vt:variant>
      <vt:variant>
        <vt:i4>0</vt:i4>
      </vt:variant>
      <vt:variant>
        <vt:i4>5</vt:i4>
      </vt:variant>
      <vt:variant>
        <vt:lpwstr/>
      </vt:variant>
      <vt:variant>
        <vt:lpwstr>_Toc225176270</vt:lpwstr>
      </vt:variant>
      <vt:variant>
        <vt:i4>1310770</vt:i4>
      </vt:variant>
      <vt:variant>
        <vt:i4>14</vt:i4>
      </vt:variant>
      <vt:variant>
        <vt:i4>0</vt:i4>
      </vt:variant>
      <vt:variant>
        <vt:i4>5</vt:i4>
      </vt:variant>
      <vt:variant>
        <vt:lpwstr/>
      </vt:variant>
      <vt:variant>
        <vt:lpwstr>_Toc225176269</vt:lpwstr>
      </vt:variant>
      <vt:variant>
        <vt:i4>1310770</vt:i4>
      </vt:variant>
      <vt:variant>
        <vt:i4>8</vt:i4>
      </vt:variant>
      <vt:variant>
        <vt:i4>0</vt:i4>
      </vt:variant>
      <vt:variant>
        <vt:i4>5</vt:i4>
      </vt:variant>
      <vt:variant>
        <vt:lpwstr/>
      </vt:variant>
      <vt:variant>
        <vt:lpwstr>_Toc225176268</vt:lpwstr>
      </vt:variant>
      <vt:variant>
        <vt:i4>1310770</vt:i4>
      </vt:variant>
      <vt:variant>
        <vt:i4>2</vt:i4>
      </vt:variant>
      <vt:variant>
        <vt:i4>0</vt:i4>
      </vt:variant>
      <vt:variant>
        <vt:i4>5</vt:i4>
      </vt:variant>
      <vt:variant>
        <vt:lpwstr/>
      </vt:variant>
      <vt:variant>
        <vt:lpwstr>_Toc225176267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48</cp:revision>
  <cp:lastPrinted>2026-01-20T11:28:00Z</cp:lastPrinted>
  <dcterms:created xsi:type="dcterms:W3CDTF">2026-06-01T15:34:00Z</dcterms:created>
  <dcterms:modified xsi:type="dcterms:W3CDTF">2026-09-04T13:49:00Z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2024-01-24T13:04:52Z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bf55c025-3b0b-401e-94f4-b3c9a40a2276</vt:lpwstr>
  </property>
  <property fmtid="{D5CDD505-2E9C-101B-9397-08002B2CF9AE}" pid="8" name="MSIP_Label_6bd9ddd1-4d20-43f6-abfa-fc3c07406f94_ContentBits">
    <vt:lpwstr>0</vt:lpwstr>
  </property>
  <property fmtid="{D5CDD505-2E9C-101B-9397-08002B2CF9AE}" pid="9" name="ContentTypeId">
    <vt:lpwstr>0x010100066607488EB41B44B892757CFE82895E</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