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245B0E65-38E3-47B3-9635-3EDA84F715FE" style="width:455.25pt;height:368.25pt">
            <v:imagedata r:id="rId7" o:title=""/>
          </v:shape>
        </w:pict>
      </w:r>
    </w:p>
    <w:p>
      <w:pPr>
        <w:rPr>
          <w:noProof/>
        </w:rPr>
        <w:sectPr>
          <w:headerReference w:type="even" r:id="rId8"/>
          <w:headerReference w:type="default" r:id="rId9"/>
          <w:footerReference w:type="even" r:id="rId10"/>
          <w:footerReference w:type="default" r:id="rId11"/>
          <w:headerReference w:type="first" r:id="rId12"/>
          <w:footerReference w:type="first" r:id="rId13"/>
          <w:pgSz w:w="11907" w:h="16839"/>
          <w:pgMar w:top="1134" w:right="1417" w:bottom="1134" w:left="1417" w:header="709" w:footer="709" w:gutter="0"/>
          <w:pgNumType w:start="0"/>
          <w:cols w:space="720"/>
          <w:docGrid w:linePitch="360"/>
        </w:sectPr>
      </w:pPr>
    </w:p>
    <w:p>
      <w:pPr>
        <w:pStyle w:val="Annexetitre"/>
        <w:rPr>
          <w:noProof/>
        </w:rPr>
      </w:pPr>
      <w:r>
        <w:rPr>
          <w:noProof/>
        </w:rPr>
        <w:lastRenderedPageBreak/>
        <w:t>ANNEX 2</w:t>
      </w:r>
    </w:p>
    <w:p>
      <w:pPr>
        <w:rPr>
          <w:noProof/>
        </w:rPr>
      </w:pPr>
    </w:p>
    <w:p>
      <w:pPr>
        <w:jc w:val="center"/>
        <w:rPr>
          <w:b/>
          <w:bCs/>
          <w:noProof/>
        </w:rPr>
      </w:pPr>
      <w:r>
        <w:rPr>
          <w:b/>
          <w:bCs/>
          <w:noProof/>
        </w:rPr>
        <w:t xml:space="preserve">Declaration on the Accession of States applying the Schengen </w:t>
      </w:r>
      <w:r>
        <w:rPr>
          <w:b/>
          <w:bCs/>
          <w:i/>
          <w:iCs/>
          <w:noProof/>
        </w:rPr>
        <w:t>acquis</w:t>
      </w:r>
      <w:r>
        <w:rPr>
          <w:b/>
          <w:bCs/>
          <w:noProof/>
        </w:rPr>
        <w:t xml:space="preserve"> in full under international law</w:t>
      </w:r>
    </w:p>
    <w:p>
      <w:pPr>
        <w:rPr>
          <w:noProof/>
        </w:rPr>
      </w:pPr>
      <w:r>
        <w:rPr>
          <w:noProof/>
        </w:rPr>
        <w:t xml:space="preserve">In order to ensure the coherence and well functioning of the Schengen area, it should be possible for Denmark and any </w:t>
      </w:r>
      <w:r>
        <w:rPr>
          <w:noProof/>
          <w:lang w:val="en-IE"/>
        </w:rPr>
        <w:t xml:space="preserve">State that applies the Schengen </w:t>
      </w:r>
      <w:r>
        <w:rPr>
          <w:i/>
          <w:noProof/>
          <w:lang w:val="en-IE"/>
        </w:rPr>
        <w:t>acquis</w:t>
      </w:r>
      <w:r>
        <w:rPr>
          <w:noProof/>
          <w:lang w:val="en-IE"/>
        </w:rPr>
        <w:t xml:space="preserve"> in full on the basis of an agreement providing for its association with the implementation, application and development of the Schengen </w:t>
      </w:r>
      <w:r>
        <w:rPr>
          <w:i/>
          <w:noProof/>
          <w:lang w:val="en-IE"/>
        </w:rPr>
        <w:t xml:space="preserve">acquis </w:t>
      </w:r>
      <w:r>
        <w:rPr>
          <w:iCs/>
          <w:noProof/>
          <w:lang w:val="en-IE"/>
        </w:rPr>
        <w:t>(‘Schengen Association Agreement’)</w:t>
      </w:r>
      <w:r>
        <w:rPr>
          <w:noProof/>
        </w:rPr>
        <w:t xml:space="preserve">, who are not subject to this Decision, to accede to the Agreement. </w:t>
      </w:r>
    </w:p>
    <w:p>
      <w:pPr>
        <w:rPr>
          <w:noProof/>
          <w:lang w:val="en-IE"/>
        </w:rPr>
      </w:pPr>
      <w:r>
        <w:rPr>
          <w:noProof/>
          <w:lang w:val="en-IE"/>
        </w:rPr>
        <w:t xml:space="preserve">In order to ensure the effective representation of all the Member States that apply the Schengen </w:t>
      </w:r>
      <w:r>
        <w:rPr>
          <w:i/>
          <w:iCs/>
          <w:noProof/>
          <w:lang w:val="en-IE"/>
        </w:rPr>
        <w:t>acquis</w:t>
      </w:r>
      <w:r>
        <w:rPr>
          <w:noProof/>
          <w:lang w:val="en-IE"/>
        </w:rPr>
        <w:t xml:space="preserve"> in full under Union law as well as the States that apply the Schengen </w:t>
      </w:r>
      <w:r>
        <w:rPr>
          <w:i/>
          <w:iCs/>
          <w:noProof/>
          <w:lang w:val="en-IE"/>
        </w:rPr>
        <w:t xml:space="preserve">acquis </w:t>
      </w:r>
      <w:r>
        <w:rPr>
          <w:noProof/>
          <w:lang w:val="en-IE"/>
        </w:rPr>
        <w:t>in full under international law and which have acceded to the Agreement (‘Schengen States’), there should be regular dialogue and consultation between those States and the Union, including through the exchange of views in the Mixed Committee established pursuant to the Schengen Association Agreements. Within the framework of these consultations, Schengen States may make proposals to ensure that their specific situation and their interests are duly taken into consideration.</w:t>
      </w:r>
    </w:p>
    <w:p>
      <w:pPr>
        <w:rPr>
          <w:noProof/>
        </w:rPr>
      </w:pPr>
      <w:r>
        <w:rPr>
          <w:noProof/>
        </w:rPr>
        <w:t>The Union and the Schengen States shall also coordinate closely with a view to ensuring that the positions expressed by the Union in the context of exercising rights under the Agreement, including within the Joint Committee and in the application of the provisions on dispute settlement, take due account of the views expressed by the Schengen States.</w:t>
      </w:r>
    </w:p>
    <w:p>
      <w:pPr>
        <w:rPr>
          <w:noProof/>
        </w:rPr>
      </w:pPr>
      <w:r>
        <w:rPr>
          <w:noProof/>
        </w:rPr>
        <w:t>In the event that a State which has acceded to this Agreement wishes to withdraw from the Agreement, then without prejudice to Protocol 22 or the relevant Schengen Association Agreements, as applicable, the Union and the withdrawing State shall agree on appropriate and proportionate measures to be jointly adopted with the view to preserving the coherence and well-functioning of the Schengen area.</w:t>
      </w:r>
    </w:p>
    <w:sectPr>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tab/>
    </w:r>
    <w:r>
      <w:rPr>
        <w:rFonts w:ascii="Arial" w:hAnsi="Arial" w:cs="Arial"/>
        <w:b/>
        <w:sz w:val="48"/>
      </w:rPr>
      <w:t>EN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D2DCE6CE"/>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0C0EBB3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246C8716"/>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2DBCDA1C"/>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5C4EAF6A"/>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5A6A1F5A"/>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829893E0"/>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86BA2B72"/>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19"/>
  </w:num>
  <w:num w:numId="10">
    <w:abstractNumId w:val="12"/>
  </w:num>
  <w:num w:numId="11">
    <w:abstractNumId w:val="21"/>
  </w:num>
  <w:num w:numId="12">
    <w:abstractNumId w:val="11"/>
  </w:num>
  <w:num w:numId="13">
    <w:abstractNumId w:val="13"/>
  </w:num>
  <w:num w:numId="14">
    <w:abstractNumId w:val="14"/>
  </w:num>
  <w:num w:numId="15">
    <w:abstractNumId w:val="9"/>
  </w:num>
  <w:num w:numId="16">
    <w:abstractNumId w:val="20"/>
  </w:num>
  <w:num w:numId="17">
    <w:abstractNumId w:val="8"/>
  </w:num>
  <w:num w:numId="18">
    <w:abstractNumId w:val="15"/>
  </w:num>
  <w:num w:numId="19">
    <w:abstractNumId w:val="17"/>
  </w:num>
  <w:num w:numId="20">
    <w:abstractNumId w:val="18"/>
  </w:num>
  <w:num w:numId="21">
    <w:abstractNumId w:val="10"/>
  </w:num>
  <w:num w:numId="22">
    <w:abstractNumId w:val="16"/>
  </w:num>
  <w:num w:numId="23">
    <w:abstractNumId w:val="22"/>
  </w:num>
  <w:num w:numId="24">
    <w:abstractNumId w:val="19"/>
  </w:num>
  <w:num w:numId="25">
    <w:abstractNumId w:val="12"/>
  </w:num>
  <w:num w:numId="26">
    <w:abstractNumId w:val="21"/>
  </w:num>
  <w:num w:numId="27">
    <w:abstractNumId w:val="11"/>
  </w:num>
  <w:num w:numId="28">
    <w:abstractNumId w:val="13"/>
  </w:num>
  <w:num w:numId="29">
    <w:abstractNumId w:val="14"/>
  </w:num>
  <w:num w:numId="30">
    <w:abstractNumId w:val="9"/>
  </w:num>
  <w:num w:numId="31">
    <w:abstractNumId w:val="20"/>
  </w:num>
  <w:num w:numId="32">
    <w:abstractNumId w:val="8"/>
  </w:num>
  <w:num w:numId="33">
    <w:abstractNumId w:val="15"/>
  </w:num>
  <w:num w:numId="34">
    <w:abstractNumId w:val="17"/>
  </w:num>
  <w:num w:numId="35">
    <w:abstractNumId w:val="18"/>
  </w:num>
  <w:num w:numId="36">
    <w:abstractNumId w:val="10"/>
  </w:num>
  <w:num w:numId="37">
    <w:abstractNumId w:val="16"/>
  </w:num>
  <w:num w:numId="38">
    <w:abstractNumId w:val="2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CR_RefLast" w:val="0"/>
    <w:docVar w:name="DQCDateTime" w:val="2026-09-04 15:47:04"/>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to the"/>
    <w:docVar w:name="LW_ACCOMPAGNANT.CP" w:val="to the"/>
    <w:docVar w:name="LW_ANNEX_NBR_FIRST" w:val="2"/>
    <w:docVar w:name="LW_ANNEX_NBR_LAST" w:val="2"/>
    <w:docVar w:name="LW_ANNEX_UNIQUE" w:val="0"/>
    <w:docVar w:name="LW_CORRIGENDUM" w:val="&lt;UNUSED&gt;"/>
    <w:docVar w:name="LW_COVERPAGE_EXISTS" w:val="True"/>
    <w:docVar w:name="LW_COVERPAGE_GUID" w:val="245B0E65-38E3-47B3-9635-3EDA84F715FE"/>
    <w:docVar w:name="LW_COVERPAGE_TYPE" w:val="1"/>
    <w:docVar w:name="LW_CreatedUtc" w:val="2026-02-11T09:46:21.7721154Z"/>
    <w:docVar w:name="LW_CROSSREFERENCE" w:val="&lt;UNUSED&gt;"/>
    <w:docVar w:name="LW_DocType" w:val="ANNEX"/>
    <w:docVar w:name="LW_EMISSION" w:val="7.9.2026"/>
    <w:docVar w:name="LW_EMISSION_ISODATE" w:val="2026-09-07"/>
    <w:docVar w:name="LW_EMISSION_LOCATION" w:val="BRX"/>
    <w:docVar w:name="LW_EMISSION_PREFIX" w:val="Brussels, "/>
    <w:docVar w:name="LW_EMISSION_SUFFIX" w:val=" "/>
    <w:docVar w:name="LW_ID_DOCSTRUCTURE" w:val="COM/ANNEX"/>
    <w:docVar w:name="LW_ID_DOCTYPE" w:val="SG-017"/>
    <w:docVar w:name="LW_LANGUE" w:val="EN"/>
    <w:docVar w:name="LW_LEVEL_OF_SENSITIVITY" w:val="Standard treatment"/>
    <w:docVar w:name="LW_NOM.INST" w:val="EUROPEAN COMMISSION"/>
    <w:docVar w:name="LW_NOM.INST_JOINTDOC" w:val="&lt;EMPTY&gt;"/>
    <w:docVar w:name="LW_OBJETACTEPRINCIPAL" w:val="on the signing and provisional application of the Agreement between the European Union and the Principality of Andorra on several aspects in the field of border management"/>
    <w:docVar w:name="LW_OBJETACTEPRINCIPAL.CP" w:val="on the signing and provisional application of the Agreement between the European Union and the Principality of Andorra on several aspects in the field of border management"/>
    <w:docVar w:name="LW_PART_NBR" w:val="1"/>
    <w:docVar w:name="LW_PART_NBR_TOTAL" w:val="1"/>
    <w:docVar w:name="LW_REF.INST.NEW" w:val="COM"/>
    <w:docVar w:name="LW_REF.INST.NEW_ADOPTED" w:val="final"/>
    <w:docVar w:name="LW_REF.INST.NEW_TEXT" w:val="(2026) 44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
    <w:docVar w:name="LW_TYPE.DOC.CP" w:val="ANNEX"/>
    <w:docVar w:name="LW_TYPEACTEPRINCIPAL" w:val="Proposal for a Council decision "/>
    <w:docVar w:name="LW_TYPEACTEPRINCIPAL.CP" w:val="Proposal for a Council decision "/>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D5C98281-5059-4B45-824F-1E77270BF8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1"/>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1"/>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1"/>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1"/>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character" w:styleId="Hyperlink">
    <w:name w:val="Hyperlink"/>
    <w:basedOn w:val="DefaultParagraphFont"/>
    <w:uiPriority w:val="99"/>
    <w:unhideWhenUsed/>
    <w:rPr>
      <w:color w:val="0000FF" w:themeColor="hyperlink"/>
      <w:u w:val="single"/>
    </w:rPr>
  </w:style>
  <w:style w:type="character" w:styleId="UnresolvedMention">
    <w:name w:val="Unresolved Mention"/>
    <w:basedOn w:val="DefaultParagraphFont"/>
    <w:uiPriority w:val="99"/>
    <w:semiHidden/>
    <w:unhideWhenUsed/>
    <w:rPr>
      <w:color w:val="605E5C"/>
      <w:shd w:val="clear" w:color="auto" w:fill="E1DFDD"/>
    </w:rPr>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character" w:customStyle="1" w:styleId="FooterChar">
    <w:name w:val="Footer Char"/>
    <w:basedOn w:val="DefaultParagraphFont"/>
    <w:link w:val="Footer"/>
    <w:uiPriority w:val="99"/>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4"/>
      </w:numPr>
    </w:pPr>
  </w:style>
  <w:style w:type="paragraph" w:customStyle="1" w:styleId="Tiret1">
    <w:name w:val="Tiret 1"/>
    <w:basedOn w:val="Point1"/>
    <w:pPr>
      <w:numPr>
        <w:numId w:val="25"/>
      </w:numPr>
    </w:pPr>
  </w:style>
  <w:style w:type="paragraph" w:customStyle="1" w:styleId="Tiret2">
    <w:name w:val="Tiret 2"/>
    <w:basedOn w:val="Point2"/>
    <w:pPr>
      <w:numPr>
        <w:numId w:val="26"/>
      </w:numPr>
    </w:pPr>
  </w:style>
  <w:style w:type="paragraph" w:customStyle="1" w:styleId="Tiret3">
    <w:name w:val="Tiret 3"/>
    <w:basedOn w:val="Point3"/>
    <w:pPr>
      <w:numPr>
        <w:numId w:val="27"/>
      </w:numPr>
    </w:pPr>
  </w:style>
  <w:style w:type="paragraph" w:customStyle="1" w:styleId="Tiret4">
    <w:name w:val="Tiret 4"/>
    <w:basedOn w:val="Point4"/>
    <w:pPr>
      <w:numPr>
        <w:numId w:val="28"/>
      </w:numPr>
    </w:pPr>
  </w:style>
  <w:style w:type="paragraph" w:customStyle="1" w:styleId="Tiret5">
    <w:name w:val="Tiret 5"/>
    <w:basedOn w:val="Point5"/>
    <w:pPr>
      <w:numPr>
        <w:numId w:val="2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0"/>
      </w:numPr>
    </w:pPr>
  </w:style>
  <w:style w:type="paragraph" w:customStyle="1" w:styleId="NumPar2">
    <w:name w:val="NumPar 2"/>
    <w:basedOn w:val="Normal"/>
    <w:next w:val="Text1"/>
    <w:pPr>
      <w:numPr>
        <w:ilvl w:val="1"/>
        <w:numId w:val="30"/>
      </w:numPr>
    </w:pPr>
  </w:style>
  <w:style w:type="paragraph" w:customStyle="1" w:styleId="NumPar3">
    <w:name w:val="NumPar 3"/>
    <w:basedOn w:val="Normal"/>
    <w:next w:val="Text1"/>
    <w:pPr>
      <w:numPr>
        <w:ilvl w:val="2"/>
        <w:numId w:val="30"/>
      </w:numPr>
    </w:pPr>
  </w:style>
  <w:style w:type="paragraph" w:customStyle="1" w:styleId="NumPar4">
    <w:name w:val="NumPar 4"/>
    <w:basedOn w:val="Normal"/>
    <w:next w:val="Text1"/>
    <w:pPr>
      <w:numPr>
        <w:ilvl w:val="3"/>
        <w:numId w:val="30"/>
      </w:numPr>
    </w:pPr>
  </w:style>
  <w:style w:type="paragraph" w:customStyle="1" w:styleId="NumPar5">
    <w:name w:val="NumPar 5"/>
    <w:basedOn w:val="Normal"/>
    <w:next w:val="Text2"/>
    <w:pPr>
      <w:numPr>
        <w:ilvl w:val="4"/>
        <w:numId w:val="30"/>
      </w:numPr>
    </w:pPr>
  </w:style>
  <w:style w:type="paragraph" w:customStyle="1" w:styleId="NumPar6">
    <w:name w:val="NumPar 6"/>
    <w:basedOn w:val="Normal"/>
    <w:next w:val="Text2"/>
    <w:pPr>
      <w:numPr>
        <w:ilvl w:val="5"/>
        <w:numId w:val="30"/>
      </w:numPr>
    </w:pPr>
  </w:style>
  <w:style w:type="paragraph" w:customStyle="1" w:styleId="NumPar7">
    <w:name w:val="NumPar 7"/>
    <w:basedOn w:val="Normal"/>
    <w:next w:val="Text2"/>
    <w:pPr>
      <w:numPr>
        <w:ilvl w:val="6"/>
        <w:numId w:val="3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2"/>
      </w:numPr>
    </w:pPr>
  </w:style>
  <w:style w:type="paragraph" w:customStyle="1" w:styleId="Point1number">
    <w:name w:val="Point 1 (number)"/>
    <w:basedOn w:val="Normal"/>
    <w:pPr>
      <w:numPr>
        <w:ilvl w:val="2"/>
        <w:numId w:val="32"/>
      </w:numPr>
    </w:pPr>
  </w:style>
  <w:style w:type="paragraph" w:customStyle="1" w:styleId="Point2number">
    <w:name w:val="Point 2 (number)"/>
    <w:basedOn w:val="Normal"/>
    <w:pPr>
      <w:numPr>
        <w:ilvl w:val="4"/>
        <w:numId w:val="32"/>
      </w:numPr>
    </w:pPr>
  </w:style>
  <w:style w:type="paragraph" w:customStyle="1" w:styleId="Point3number">
    <w:name w:val="Point 3 (number)"/>
    <w:basedOn w:val="Normal"/>
    <w:pPr>
      <w:numPr>
        <w:ilvl w:val="6"/>
        <w:numId w:val="32"/>
      </w:numPr>
    </w:pPr>
  </w:style>
  <w:style w:type="paragraph" w:customStyle="1" w:styleId="Point0letter">
    <w:name w:val="Point 0 (letter)"/>
    <w:basedOn w:val="Normal"/>
    <w:pPr>
      <w:numPr>
        <w:ilvl w:val="1"/>
        <w:numId w:val="32"/>
      </w:numPr>
    </w:pPr>
  </w:style>
  <w:style w:type="paragraph" w:customStyle="1" w:styleId="Point1letter">
    <w:name w:val="Point 1 (letter)"/>
    <w:basedOn w:val="Normal"/>
    <w:pPr>
      <w:numPr>
        <w:ilvl w:val="3"/>
        <w:numId w:val="32"/>
      </w:numPr>
    </w:pPr>
  </w:style>
  <w:style w:type="paragraph" w:customStyle="1" w:styleId="Point2letter">
    <w:name w:val="Point 2 (letter)"/>
    <w:basedOn w:val="Normal"/>
    <w:pPr>
      <w:numPr>
        <w:ilvl w:val="5"/>
        <w:numId w:val="32"/>
      </w:numPr>
    </w:pPr>
  </w:style>
  <w:style w:type="paragraph" w:customStyle="1" w:styleId="Point3letter">
    <w:name w:val="Point 3 (letter)"/>
    <w:basedOn w:val="Normal"/>
    <w:pPr>
      <w:numPr>
        <w:ilvl w:val="7"/>
        <w:numId w:val="32"/>
      </w:numPr>
    </w:pPr>
  </w:style>
  <w:style w:type="paragraph" w:customStyle="1" w:styleId="Point4letter">
    <w:name w:val="Point 4 (letter)"/>
    <w:basedOn w:val="Normal"/>
    <w:pPr>
      <w:numPr>
        <w:ilvl w:val="8"/>
        <w:numId w:val="32"/>
      </w:numPr>
    </w:pPr>
  </w:style>
  <w:style w:type="paragraph" w:customStyle="1" w:styleId="Bullet0">
    <w:name w:val="Bullet 0"/>
    <w:basedOn w:val="Normal"/>
    <w:pPr>
      <w:numPr>
        <w:numId w:val="33"/>
      </w:numPr>
    </w:pPr>
  </w:style>
  <w:style w:type="paragraph" w:customStyle="1" w:styleId="Bullet1">
    <w:name w:val="Bullet 1"/>
    <w:basedOn w:val="Normal"/>
    <w:pPr>
      <w:numPr>
        <w:numId w:val="34"/>
      </w:numPr>
    </w:pPr>
  </w:style>
  <w:style w:type="paragraph" w:customStyle="1" w:styleId="Bullet2">
    <w:name w:val="Bullet 2"/>
    <w:basedOn w:val="Normal"/>
    <w:pPr>
      <w:numPr>
        <w:numId w:val="35"/>
      </w:numPr>
    </w:pPr>
  </w:style>
  <w:style w:type="paragraph" w:customStyle="1" w:styleId="Bullet3">
    <w:name w:val="Bullet 3"/>
    <w:basedOn w:val="Normal"/>
    <w:pPr>
      <w:numPr>
        <w:numId w:val="36"/>
      </w:numPr>
    </w:pPr>
  </w:style>
  <w:style w:type="paragraph" w:customStyle="1" w:styleId="Bullet4">
    <w:name w:val="Bullet 4"/>
    <w:basedOn w:val="Normal"/>
    <w:pPr>
      <w:numPr>
        <w:numId w:val="37"/>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52689">
      <w:bodyDiv w:val="1"/>
      <w:marLeft w:val="0"/>
      <w:marRight w:val="0"/>
      <w:marTop w:val="0"/>
      <w:marBottom w:val="0"/>
      <w:divBdr>
        <w:top w:val="none" w:sz="0" w:space="0" w:color="auto"/>
        <w:left w:val="none" w:sz="0" w:space="0" w:color="auto"/>
        <w:bottom w:val="none" w:sz="0" w:space="0" w:color="auto"/>
        <w:right w:val="none" w:sz="0" w:space="0" w:color="auto"/>
      </w:divBdr>
    </w:div>
    <w:div w:id="1804077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ANNEX.dotm</Template>
  <TotalTime>4</TotalTime>
  <Pages>2</Pages>
  <Words>287</Words>
  <Characters>1639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14</cp:revision>
  <dcterms:created xsi:type="dcterms:W3CDTF">2026-06-01T15:35:00Z</dcterms:created>
  <dcterms:modified xsi:type="dcterms:W3CDTF">2026-09-04T13:47:00Z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First annex">
    <vt:lpwstr>2</vt:lpwstr>
  </property>
  <property fmtid="{D5CDD505-2E9C-101B-9397-08002B2CF9AE}" pid="7" name="Last annex">
    <vt:lpwstr>2</vt:lpwstr>
  </property>
  <property fmtid="{D5CDD505-2E9C-101B-9397-08002B2CF9AE}" pid="8" name="Unique annex">
    <vt:lpwstr>0</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2026-02-11T09:59:18Z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61fdd26f-8c11-49f1-9c5e-dd3e9b3c7727</vt:lpwstr>
  </property>
  <property fmtid="{D5CDD505-2E9C-101B-9397-08002B2CF9AE}" pid="19" name="MSIP_Label_6bd9ddd1-4d20-43f6-abfa-fc3c07406f94_ContentBits">
    <vt:lpwstr>0</vt:lpwstr>
  </property>
  <property fmtid="{D5CDD505-2E9C-101B-9397-08002B2CF9AE}" pid="20" name="MSIP_Label_6bd9ddd1-4d20-43f6-abfa-fc3c07406f94_Tag">
    <vt:lpwstr>10, 3, 0, 1</vt:lpwstr>
  </property>
  <property fmtid="{D5CDD505-2E9C-101B-9397-08002B2CF9AE}" pid="21" name="DQCStatus">
    <vt:lpwstr>Green (DQC version 03)</vt:lpwstr>
  </property>
</Properties>
</file>