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Hlk229581114"/>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56BA2E4-7E90-458D-948C-C73080C4E589" style="width:455.25pt;height:300pt">
            <v:imagedata r:id="rId8" o:title=""/>
          </v:shape>
        </w:pict>
      </w:r>
    </w:p>
    <w:bookmarkEnd w:id="1"/>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Typedudocument"/>
        <w:rPr>
          <w:noProof/>
        </w:rPr>
      </w:pPr>
      <w:r>
        <w:rPr>
          <w:noProof/>
        </w:rPr>
        <w:lastRenderedPageBreak/>
        <w:t>RAPORT AL COMISIEI CĂTRE CONSILIU ȘI PARLAMENTUL EUROPEAN</w:t>
      </w:r>
    </w:p>
    <w:p>
      <w:pPr>
        <w:pStyle w:val="Titreobjet"/>
        <w:rPr>
          <w:noProof/>
        </w:rPr>
      </w:pPr>
      <w:r>
        <w:rPr>
          <w:noProof/>
        </w:rPr>
        <w:t>privind stadiul pregătirilor pentru punerea în aplicare deplină a regulamentelor privind interoperabilitatea în conformitate cu articolul 78 alineatul (5) din Regulamentul (UE) 2019/817 și cu articolul 74 alineatul (5) din Regulamentul (UE) 2019/818</w:t>
      </w:r>
    </w:p>
    <w:p>
      <w:pPr>
        <w:pStyle w:val="ListParagraph"/>
        <w:numPr>
          <w:ilvl w:val="0"/>
          <w:numId w:val="1"/>
        </w:numPr>
        <w:jc w:val="both"/>
        <w:rPr>
          <w:rFonts w:ascii="Times New Roman" w:hAnsi="Times New Roman" w:cs="Times New Roman"/>
          <w:b/>
          <w:bCs/>
          <w:noProof/>
        </w:rPr>
      </w:pPr>
      <w:r>
        <w:rPr>
          <w:rFonts w:ascii="Times New Roman" w:hAnsi="Times New Roman"/>
          <w:b/>
          <w:noProof/>
        </w:rPr>
        <w:t>Introducere</w:t>
      </w:r>
    </w:p>
    <w:p>
      <w:pPr>
        <w:jc w:val="both"/>
        <w:rPr>
          <w:rFonts w:ascii="Times New Roman" w:hAnsi="Times New Roman" w:cs="Times New Roman"/>
          <w:noProof/>
        </w:rPr>
      </w:pPr>
      <w:r>
        <w:rPr>
          <w:rFonts w:ascii="Times New Roman" w:hAnsi="Times New Roman"/>
          <w:noProof/>
        </w:rPr>
        <w:t>Instituirea interoperabilității între sistemele de informații ale UE pentru gestionarea securității, a frontierelor și a migrației rămâne o piatră de temelie a strategiei UE pentru o mai mare securitate internă și o gestionare mai eficace și mai eficientă a frontierelor (</w:t>
      </w:r>
      <w:r>
        <w:rPr>
          <w:rStyle w:val="FootnoteReference"/>
          <w:rFonts w:ascii="Times New Roman" w:hAnsi="Times New Roman" w:cs="Times New Roman"/>
          <w:noProof/>
        </w:rPr>
        <w:footnoteReference w:id="1"/>
      </w:r>
      <w:r>
        <w:rPr>
          <w:rFonts w:ascii="Times New Roman" w:hAnsi="Times New Roman"/>
          <w:noProof/>
        </w:rPr>
        <w:t>). Sistemele de informații ale UE care fac parte din cadrul de interoperabilitate sunt: (i) Sistemul de intrare/ieșire (EES) (</w:t>
      </w:r>
      <w:r>
        <w:rPr>
          <w:rStyle w:val="FootnoteReference"/>
          <w:rFonts w:ascii="Times New Roman" w:hAnsi="Times New Roman" w:cs="Times New Roman"/>
          <w:noProof/>
        </w:rPr>
        <w:footnoteReference w:id="2"/>
      </w:r>
      <w:r>
        <w:rPr>
          <w:rFonts w:ascii="Times New Roman" w:hAnsi="Times New Roman"/>
          <w:noProof/>
        </w:rPr>
        <w:t>), (ii) Sistemul european de informații și de autorizare privind călătoriile (ETIAS) (</w:t>
      </w:r>
      <w:r>
        <w:rPr>
          <w:rStyle w:val="FootnoteReference"/>
          <w:rFonts w:ascii="Times New Roman" w:hAnsi="Times New Roman" w:cs="Times New Roman"/>
          <w:noProof/>
        </w:rPr>
        <w:footnoteReference w:id="3"/>
      </w:r>
      <w:r>
        <w:rPr>
          <w:rFonts w:ascii="Times New Roman" w:hAnsi="Times New Roman"/>
          <w:noProof/>
        </w:rPr>
        <w:t>), (iii) Sistemul european de informații cu privire la cazierele judiciare ale resortisanților țărilor terțe (ECRIS-TCN) (</w:t>
      </w:r>
      <w:r>
        <w:rPr>
          <w:rStyle w:val="FootnoteReference"/>
          <w:rFonts w:ascii="Times New Roman" w:hAnsi="Times New Roman" w:cs="Times New Roman"/>
          <w:noProof/>
        </w:rPr>
        <w:footnoteReference w:id="4"/>
      </w:r>
      <w:r>
        <w:rPr>
          <w:rFonts w:ascii="Times New Roman" w:hAnsi="Times New Roman"/>
          <w:noProof/>
        </w:rPr>
        <w:t>), (iv) Sistemul de informații Schengen (SIS) (</w:t>
      </w:r>
      <w:r>
        <w:rPr>
          <w:rStyle w:val="FootnoteReference"/>
          <w:rFonts w:ascii="Times New Roman" w:hAnsi="Times New Roman" w:cs="Times New Roman"/>
          <w:noProof/>
        </w:rPr>
        <w:footnoteReference w:id="5"/>
      </w:r>
      <w:r>
        <w:rPr>
          <w:rFonts w:ascii="Times New Roman" w:hAnsi="Times New Roman"/>
          <w:noProof/>
        </w:rPr>
        <w:t>), (v) Sistemul de informații privind vizele (VIS) (</w:t>
      </w:r>
      <w:r>
        <w:rPr>
          <w:rStyle w:val="FootnoteReference"/>
          <w:rFonts w:ascii="Times New Roman" w:hAnsi="Times New Roman" w:cs="Times New Roman"/>
          <w:noProof/>
        </w:rPr>
        <w:footnoteReference w:id="6"/>
      </w:r>
      <w:r>
        <w:rPr>
          <w:rFonts w:ascii="Times New Roman" w:hAnsi="Times New Roman"/>
          <w:noProof/>
        </w:rPr>
        <w:t>) și (vi) Eurodac (</w:t>
      </w:r>
      <w:r>
        <w:rPr>
          <w:rStyle w:val="FootnoteReference"/>
          <w:rFonts w:ascii="Times New Roman" w:hAnsi="Times New Roman" w:cs="Times New Roman"/>
          <w:noProof/>
        </w:rPr>
        <w:footnoteReference w:id="7"/>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lastRenderedPageBreak/>
        <w:t>Regulamentele privind interoperabilitatea (</w:t>
      </w:r>
      <w:r>
        <w:rPr>
          <w:rStyle w:val="FootnoteReference"/>
          <w:rFonts w:ascii="Times New Roman" w:hAnsi="Times New Roman" w:cs="Times New Roman"/>
          <w:noProof/>
        </w:rPr>
        <w:footnoteReference w:id="8"/>
      </w:r>
      <w:r>
        <w:rPr>
          <w:rFonts w:ascii="Times New Roman" w:hAnsi="Times New Roman"/>
          <w:noProof/>
        </w:rPr>
        <w:t>), care au intrat în vigoare la 11 iunie 2019, permit acestor sisteme să interacționeze între ele prin intermediul a patru componente [portalul european de căutare (ESP), serviciul comun de comparare a datelor biometrice (BMS comun), registrul comun de date de identitate (CIR), detectorul de identități multiple (MID)] și al unui instrument [registrul central de raportare și statistici (CRRS)]. Cadrul de interoperabilitate urmărește să accelereze interogările autorităților naționale lansate în conformitate cu drepturile lor de acces și să le ajute să detecteze fraudele de identitate și să investigheze infracțiunile grave. Acest lucru se va realiza prin verificarea încrucișată eficientă a tuturor sistemelor de informații ale UE. Arhitectura de interoperabilitate include, de asemenea, mecanisme de control al calității datelor pentru a se asigura că datele sunt exacte și actualizate. Prelucrarea datelor în temeiul regulamentelor privind interoperabilitatea este reglementată de un cadru solid de protecție și securitate a datelor.</w:t>
      </w:r>
    </w:p>
    <w:p>
      <w:pPr>
        <w:jc w:val="both"/>
        <w:rPr>
          <w:rFonts w:ascii="Times New Roman" w:hAnsi="Times New Roman" w:cs="Times New Roman"/>
          <w:noProof/>
        </w:rPr>
      </w:pPr>
      <w:r>
        <w:rPr>
          <w:rFonts w:ascii="Times New Roman" w:hAnsi="Times New Roman"/>
          <w:noProof/>
        </w:rPr>
        <w:t>În temeiul articolului 78 alineatul (5) din Regulamentul (UE) 2019/817 și al articolului 74 alineatul (5) din Regulamentul (UE) 2019/818, Comisia monitorizează progresele înregistrate și raportează cu privire la punerea în aplicare a regulamentelor privind interoperabilitatea. Acest al șaselea raport anual are drept obiect perioada ianuarie - decembrie 2025. Având în vedere obligațiile de raportare similare pentru toate sistemele de informații ale UE din cadrul de interoperabilitate, prezentul raport se axează în principal pe punerea în aplicare a regulamentelor privind interoperabilitatea. Situația actuală a sistemelor individuale este inclusă numai atunci când este necesar.</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b/>
          <w:noProof/>
        </w:rPr>
        <w:t>Stadiul punerii în aplicare de către Comisie a componentelor și instrumentelor de interoperabilitate</w:t>
      </w:r>
    </w:p>
    <w:p>
      <w:pPr>
        <w:jc w:val="both"/>
        <w:rPr>
          <w:rFonts w:ascii="Times New Roman" w:hAnsi="Times New Roman" w:cs="Times New Roman"/>
          <w:noProof/>
        </w:rPr>
      </w:pPr>
      <w:r>
        <w:rPr>
          <w:rFonts w:ascii="Times New Roman" w:hAnsi="Times New Roman"/>
          <w:noProof/>
        </w:rPr>
        <w:t>Regulamentele privind interoperabilitatea împuternicesc Comisia să adopte acte delegate și acte de punere în aplicare pentru a completa și a implementa anumite aspecte tehnice detaliate de interoperabilitate. Ca urmare a modificărilor legislative [</w:t>
      </w:r>
      <w:r>
        <w:rPr>
          <w:rFonts w:ascii="Times New Roman" w:hAnsi="Times New Roman"/>
          <w:noProof/>
          <w:color w:val="000000" w:themeColor="text1"/>
        </w:rPr>
        <w:t>Regulamentul (UE) 2024/1358 (Regulamentul Eurodac reformat), Regulamentul (UE) 2024/1356 (Regulamentul privind screeningul) și Regulamentul (UE) 2024/982 (Prüm II)], legislația secundară relevantă a trebuit modificată în consecință. Prin urmare</w:t>
      </w:r>
      <w:r>
        <w:rPr>
          <w:rFonts w:ascii="Times New Roman" w:hAnsi="Times New Roman"/>
          <w:noProof/>
        </w:rPr>
        <w:t>, au fost necesare modificări pentru patru acte delegate (</w:t>
      </w:r>
      <w:r>
        <w:rPr>
          <w:rStyle w:val="FootnoteReference"/>
          <w:rFonts w:ascii="Times New Roman" w:hAnsi="Times New Roman" w:cs="Times New Roman"/>
          <w:noProof/>
        </w:rPr>
        <w:footnoteReference w:id="9"/>
      </w:r>
      <w:r>
        <w:rPr>
          <w:rFonts w:ascii="Times New Roman" w:hAnsi="Times New Roman"/>
          <w:noProof/>
        </w:rPr>
        <w:t xml:space="preserve">) </w:t>
      </w:r>
      <w:r>
        <w:rPr>
          <w:rFonts w:ascii="Times New Roman" w:hAnsi="Times New Roman"/>
          <w:noProof/>
        </w:rPr>
        <w:lastRenderedPageBreak/>
        <w:t>și zece acte de punere în aplicare (</w:t>
      </w:r>
      <w:r>
        <w:rPr>
          <w:rStyle w:val="FootnoteReference"/>
          <w:rFonts w:ascii="Times New Roman" w:hAnsi="Times New Roman" w:cs="Times New Roman"/>
          <w:noProof/>
        </w:rPr>
        <w:footnoteReference w:id="10"/>
      </w:r>
      <w:r>
        <w:rPr>
          <w:rFonts w:ascii="Times New Roman" w:hAnsi="Times New Roman"/>
          <w:noProof/>
        </w:rPr>
        <w:t xml:space="preserve">), care au fost adoptate în perioada noiembrie 2025-ianuarie 2026. În temeiul articolului 77 din Regulamentul (UE) 2019/817 și al articolului 73 din Regulamentul (UE) 2019/818, Comisia are, de asemenea, obligația să pună la dispoziție un manual practic pentru implementarea și gestionarea componentelor de interoperabilitate. Statele membre, Agenția Uniunii Europene pentru Gestionarea Operațională a Sistemelor Informatice la Scară Largă în Spațiul de Libertate, Securitate și Justiție (eu-LISA), Europol, Frontex și Agenția pentru Drepturi Fundamentale au purtat discuții în cursul perioadei de raportare pentru a finaliza prima versiune a manualului. În urma revizuirilor și actualizărilor suplimentare necesare, manualul a fost adoptat oficial în ianuarie 2026. Manualul oferă autorităților de frontieră, autorităților responsabile în domeniul vizelor, autorităților responsabile în domeniul imigrației și autorităților de aplicare a legii orientări tehnice și operaționale ușor de utilizat cu privire la cadrul de interoperabilitate și la modul de utilizare a </w:t>
      </w:r>
      <w:r>
        <w:rPr>
          <w:rFonts w:ascii="Times New Roman" w:hAnsi="Times New Roman"/>
          <w:noProof/>
        </w:rPr>
        <w:lastRenderedPageBreak/>
        <w:t>componentelor sale. Comisia va actualiza în permanență manualul pentru a reflecta evoluțiile juridice recente, de exemplu încorporarea Eurodac în cadrul de interoperabilitate.</w:t>
      </w:r>
    </w:p>
    <w:p>
      <w:pPr>
        <w:jc w:val="both"/>
        <w:rPr>
          <w:rFonts w:ascii="Times New Roman" w:hAnsi="Times New Roman" w:cs="Times New Roman"/>
          <w:noProof/>
        </w:rPr>
      </w:pPr>
      <w:r>
        <w:rPr>
          <w:rFonts w:ascii="Times New Roman" w:hAnsi="Times New Roman"/>
          <w:noProof/>
        </w:rPr>
        <w:t>Platforma digitală (</w:t>
      </w:r>
      <w:r>
        <w:rPr>
          <w:rStyle w:val="FootnoteReference"/>
          <w:rFonts w:ascii="Times New Roman" w:hAnsi="Times New Roman" w:cs="Times New Roman"/>
          <w:noProof/>
        </w:rPr>
        <w:footnoteReference w:id="11"/>
      </w:r>
      <w:r>
        <w:rPr>
          <w:rFonts w:ascii="Times New Roman" w:hAnsi="Times New Roman"/>
          <w:noProof/>
        </w:rPr>
        <w:t>) care găzduiește manualele pentru sistemele de informații ale UE rămâne un instrument care le permite utilizatorilor să acceseze informații importante. Comisia intenționează să îmbunătățească platforma digitală prin încorporarea tuturor limbilor UE (întrucât informațiile sunt disponibile în prezent numai în limba engleză) și să o facă mai ușor de utilizat.</w:t>
      </w:r>
    </w:p>
    <w:p>
      <w:pPr>
        <w:jc w:val="both"/>
        <w:rPr>
          <w:rFonts w:ascii="Times New Roman" w:hAnsi="Times New Roman" w:cs="Times New Roman"/>
          <w:noProof/>
        </w:rPr>
      </w:pPr>
      <w:r>
        <w:rPr>
          <w:rFonts w:ascii="Times New Roman" w:hAnsi="Times New Roman"/>
          <w:noProof/>
        </w:rPr>
        <w:t>Un pas important către o interoperabilitate fără probleme a fost făcut când eu-LISA a lansat serviciul comun de comparare a datelor biometrice (BMS comun) la 19 mai 2025. (</w:t>
      </w:r>
      <w:r>
        <w:rPr>
          <w:rStyle w:val="FootnoteReference"/>
          <w:rFonts w:ascii="Times New Roman" w:hAnsi="Times New Roman" w:cs="Times New Roman"/>
          <w:noProof/>
        </w:rPr>
        <w:footnoteReference w:id="12"/>
      </w:r>
      <w:r>
        <w:rPr>
          <w:rFonts w:ascii="Times New Roman" w:hAnsi="Times New Roman"/>
          <w:noProof/>
        </w:rPr>
        <w:t>) Acest lucru a marcat o etapă semnificativă în eforturile UE de îmbunătățire a gestionării securității, a frontierelor și a migrației.</w:t>
      </w:r>
    </w:p>
    <w:p>
      <w:pPr>
        <w:pStyle w:val="ListParagraph"/>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b/>
          <w:noProof/>
        </w:rPr>
        <w:t>Stadiul implementării interoperabilității de către statele membre și agențiile UE</w:t>
      </w:r>
    </w:p>
    <w:p>
      <w:pPr>
        <w:jc w:val="both"/>
        <w:rPr>
          <w:rFonts w:ascii="Times New Roman" w:hAnsi="Times New Roman" w:cs="Times New Roman"/>
          <w:noProof/>
        </w:rPr>
      </w:pPr>
      <w:r>
        <w:rPr>
          <w:rFonts w:ascii="Times New Roman" w:hAnsi="Times New Roman"/>
          <w:noProof/>
        </w:rPr>
        <w:t>Regulamentele privind interoperabilitatea stabilesc un cadru de guvernanță, care constă în Consiliul de administrație al programului de interoperabilitate și Grupul consultativ pentru interoperabilitate, pentru a asigura proiectarea și dezvoltarea corectă a componentelor și instrumentelor de interoperabilitate. Cele două organisme funcționează sub egida eu-LISA, iar Comisia este membră a ambelor organisme. Aceste organisme supraveghează punerea în aplicare din punct de vedere tehnic a regulamentelor privind interoperabilitatea și monitorizează progresele înregistrate prin intermediul unor chestionare lunare sau bilunare care evaluează pregătirile tehnice efectuate de statele membre și de agențiile relevante ale UE.</w:t>
      </w:r>
    </w:p>
    <w:p>
      <w:pPr>
        <w:jc w:val="both"/>
        <w:rPr>
          <w:rFonts w:ascii="Times New Roman" w:hAnsi="Times New Roman" w:cs="Times New Roman"/>
          <w:noProof/>
        </w:rPr>
      </w:pPr>
      <w:r>
        <w:rPr>
          <w:rFonts w:ascii="Times New Roman" w:hAnsi="Times New Roman"/>
          <w:noProof/>
        </w:rPr>
        <w:t>Monitorizarea periodică de către eu-LISA a arătat că, până la sfârșitul perioadei de raportare, majoritatea statelor membre și a agențiilor se aflau pe calea cea bună în ceea ce privește punerea lor în aplicare. Deși mai multe state membre au raportat întârzieri, niciunul nu a fost considerat ca prezentând riscul de a nu respecta calendarul convenit.</w:t>
      </w:r>
    </w:p>
    <w:p>
      <w:pPr>
        <w:jc w:val="both"/>
        <w:rPr>
          <w:rFonts w:ascii="Times New Roman" w:hAnsi="Times New Roman" w:cs="Times New Roman"/>
          <w:noProof/>
        </w:rPr>
      </w:pPr>
      <w:r>
        <w:rPr>
          <w:rFonts w:ascii="Times New Roman" w:hAnsi="Times New Roman"/>
          <w:noProof/>
        </w:rPr>
        <w:t>eu-LISA, agenția responsabilă cu dezvoltarea tehnică a componentelor și instrumentelor de interoperabilitate, a înregistrat în continuare progrese constante în cursul perioadei de raportare. În mai 2025, eu-LISA a lansat BMS comun ca prim element constitutiv al cadrului de interoperabilitate. Lansarea a coincis cu ajustări ale Sistemului de informații privind vizele, care este în prezent capabil să interopereze cu Sistemul de intrare/ieșire introdus la 12 octombrie 2025. În prezent, sunt în curs de testare actualizări suplimentare ale BMS comun. BMS comun pentru Eurodac a fost lansat în martie 2026 pentru a asigura migrarea datelor moștenite din Eurodac înainte de lansarea preconizată a noului Eurodac în iunie 2026.</w:t>
      </w:r>
    </w:p>
    <w:p>
      <w:pPr>
        <w:jc w:val="both"/>
        <w:rPr>
          <w:rFonts w:ascii="Times New Roman" w:hAnsi="Times New Roman" w:cs="Times New Roman"/>
          <w:noProof/>
        </w:rPr>
      </w:pPr>
      <w:r>
        <w:rPr>
          <w:rFonts w:ascii="Times New Roman" w:hAnsi="Times New Roman"/>
          <w:noProof/>
        </w:rPr>
        <w:lastRenderedPageBreak/>
        <w:t>Dezvoltarea portalului european de căutare (ESP) și a registrului comun de date de identitate (CIR) este pe drumul cel bun, activitățile de testare continuând pe parcursul perioadei de raportare. Atât ESP, cât și CIR vor intra în funcțiune la 12 iunie 2026.</w:t>
      </w:r>
    </w:p>
    <w:p>
      <w:pPr>
        <w:jc w:val="both"/>
        <w:rPr>
          <w:rFonts w:ascii="Times New Roman" w:hAnsi="Times New Roman" w:cs="Times New Roman"/>
          <w:noProof/>
        </w:rPr>
      </w:pPr>
      <w:r>
        <w:rPr>
          <w:rFonts w:ascii="Times New Roman" w:hAnsi="Times New Roman"/>
          <w:noProof/>
        </w:rPr>
        <w:t>Detectorul de identități multiple (MID) înregistrează progrese și este în prezent în curs de testare. În cursul perioadei de tranziție pentru MID, unitatea centrală a ETIAS, instituită în cadrul Frontex, va juca un rol esențial în verificarea manuală a datelor legate de identitate din conexiunile MID (</w:t>
      </w:r>
      <w:r>
        <w:rPr>
          <w:rStyle w:val="FootnoteReference"/>
          <w:rFonts w:ascii="Times New Roman" w:hAnsi="Times New Roman" w:cs="Times New Roman"/>
          <w:noProof/>
        </w:rPr>
        <w:footnoteReference w:id="13"/>
      </w:r>
      <w:r>
        <w:rPr>
          <w:rFonts w:ascii="Times New Roman" w:hAnsi="Times New Roman"/>
          <w:noProof/>
        </w:rPr>
        <w:t>). Potrivit rapoartelor Frontex, pregătirile necesare își urmează cursul stabilit, iar eu-LISA dezvoltă instrumentul pe care Frontex îl va utiliza pentru a îndeplini această sarcină.</w:t>
      </w:r>
    </w:p>
    <w:p>
      <w:pPr>
        <w:jc w:val="both"/>
        <w:rPr>
          <w:rFonts w:ascii="Times New Roman" w:hAnsi="Times New Roman" w:cs="Times New Roman"/>
          <w:noProof/>
        </w:rPr>
      </w:pPr>
      <w:r>
        <w:rPr>
          <w:rFonts w:ascii="Times New Roman" w:hAnsi="Times New Roman"/>
          <w:noProof/>
        </w:rPr>
        <w:t>Dezvoltarea registrului central de raportare și statistici (CRRS) este în continuare în grafic, iar eu-LISA a inițiat activități de testare în cursul perioadei de raportare. Modificările necesare în cadrul CRRS pentru elaborarea de rapoarte și statistici în sprijinul regulilor de verificare ale ETIAS au fost finalizate în noiembrie 2025. Se preconizează că CRRS va fi lansat în ultimul trimestru al anului 2026.</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b/>
          <w:noProof/>
        </w:rPr>
        <w:t>Nevoi în materie de formare</w:t>
      </w:r>
    </w:p>
    <w:p>
      <w:pPr>
        <w:jc w:val="both"/>
        <w:rPr>
          <w:rFonts w:ascii="Times New Roman" w:eastAsia="Aptos" w:hAnsi="Times New Roman" w:cs="Times New Roman"/>
          <w:noProof/>
        </w:rPr>
      </w:pPr>
      <w:r>
        <w:rPr>
          <w:rFonts w:ascii="Times New Roman" w:hAnsi="Times New Roman"/>
          <w:noProof/>
        </w:rPr>
        <w:t>Pe parcursul perioadei de raportare, Comisia a continuat să sprijine formarea în domeniul interoperabilității. Cererea de informații generale cu privire la regulamentele privind interoperabilitatea a rămas constantă, iar interesul pentru aspecte mai specifice ale interoperabilității a crescut. Comisia a participat la cursuri de formare oferite de Agenția Uniunii Europene pentru Formare în Materie de Aplicare a Legii (CEPOL), care au inclus module privind interoperabilitatea. În octombrie 2025, Comisia a oferit cursuri de formare privind ETIAS, Sistemul de intrare/ieșire și interoperabilitatea lor în contextul combaterii introducerii ilegale de migranți. În plus, Comisia, în cooperare cu CEPOL, a oferit cursuri de formare cu privire la articolele 20 și 22 din fiecare dintre regulamentele privind interoperabilitatea.</w:t>
      </w:r>
    </w:p>
    <w:p>
      <w:pPr>
        <w:jc w:val="both"/>
        <w:rPr>
          <w:rFonts w:ascii="Times New Roman" w:hAnsi="Times New Roman" w:cs="Times New Roman"/>
          <w:noProof/>
        </w:rPr>
      </w:pPr>
      <w:r>
        <w:rPr>
          <w:rFonts w:ascii="Times New Roman" w:hAnsi="Times New Roman"/>
          <w:noProof/>
        </w:rPr>
        <w:t>În plus, eu-LISA a oferit o gamă largă de cursuri privind interoperabilitatea, contribuind astfel la diseminarea cunoștințelor în acest domeniu.</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b/>
          <w:noProof/>
        </w:rPr>
        <w:t>Fonduri UE</w:t>
      </w:r>
    </w:p>
    <w:p>
      <w:pPr>
        <w:jc w:val="both"/>
        <w:rPr>
          <w:rFonts w:ascii="Times New Roman" w:hAnsi="Times New Roman" w:cs="Times New Roman"/>
          <w:noProof/>
          <w:highlight w:val="yellow"/>
        </w:rPr>
      </w:pPr>
      <w:r>
        <w:rPr>
          <w:rFonts w:ascii="Times New Roman" w:hAnsi="Times New Roman"/>
          <w:noProof/>
        </w:rPr>
        <w:t>Până la 1 decembrie 2025, eu-LISA semnase contracte în valoare de 170 807 261 EUR pentru activități de interoperabilitate și 133 199 856 EUR fuseseră plătiți contractanților.</w:t>
      </w:r>
    </w:p>
    <w:p>
      <w:pPr>
        <w:jc w:val="both"/>
        <w:rPr>
          <w:rFonts w:ascii="Times New Roman" w:hAnsi="Times New Roman" w:cs="Times New Roman"/>
          <w:noProof/>
        </w:rPr>
      </w:pPr>
      <w:r>
        <w:rPr>
          <w:rFonts w:ascii="Times New Roman" w:hAnsi="Times New Roman"/>
          <w:noProof/>
        </w:rPr>
        <w:t xml:space="preserve">Statele membre au fost încurajate să utilizeze resursele disponibile în cadrul programelor lor naționale sprijinite prin Instrumentul de sprijin financiar pentru managementul frontierelor și </w:t>
      </w:r>
      <w:r>
        <w:rPr>
          <w:rFonts w:ascii="Times New Roman" w:hAnsi="Times New Roman"/>
          <w:noProof/>
        </w:rPr>
        <w:lastRenderedPageBreak/>
        <w:t>politica de vize (IMFV) (</w:t>
      </w:r>
      <w:r>
        <w:rPr>
          <w:rStyle w:val="FootnoteReference"/>
          <w:rFonts w:ascii="Times New Roman" w:hAnsi="Times New Roman" w:cs="Times New Roman"/>
          <w:noProof/>
        </w:rPr>
        <w:footnoteReference w:id="14"/>
      </w:r>
      <w:r>
        <w:rPr>
          <w:rFonts w:ascii="Times New Roman" w:hAnsi="Times New Roman"/>
          <w:noProof/>
        </w:rPr>
        <w:t>) pentru a dezvolta și a pune în aplicare în continuare interoperabilitatea sistemelor de informații ale UE.</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b/>
          <w:noProof/>
        </w:rPr>
        <w:t>Concluzii</w:t>
      </w:r>
    </w:p>
    <w:p>
      <w:pPr>
        <w:jc w:val="both"/>
        <w:rPr>
          <w:rFonts w:ascii="Times New Roman" w:hAnsi="Times New Roman" w:cs="Times New Roman"/>
          <w:noProof/>
        </w:rPr>
      </w:pPr>
      <w:r>
        <w:rPr>
          <w:rFonts w:ascii="Times New Roman" w:hAnsi="Times New Roman"/>
          <w:noProof/>
        </w:rPr>
        <w:t>Realizarea interoperabilității depline este esențială pentru îmbunătățirea arhitecturii informatice atât a sistemelor de informații noi, cât și a celor modernizate ale UE. Obiectivul este de a oferi autorităților de frontieră, autorităților din domeniul vizelor, autorităților din domeniul azilului, autorităților din domeniul imigrației și autorităților de aplicare a legii un acces mai rapid, mai eficient și mai sistematic la date. Acest lucru va asigura, de asemenea, trecerea mai ușoară și mai sigură a frontierelor pentru milioanele de resortisanți ai țărilor terțe care călătoresc în Uniunea Europeană în fiecare an.</w:t>
      </w:r>
    </w:p>
    <w:p>
      <w:pPr>
        <w:jc w:val="both"/>
        <w:rPr>
          <w:rFonts w:ascii="Times New Roman" w:hAnsi="Times New Roman" w:cs="Times New Roman"/>
          <w:noProof/>
        </w:rPr>
      </w:pPr>
      <w:r>
        <w:rPr>
          <w:rFonts w:ascii="Times New Roman" w:hAnsi="Times New Roman"/>
          <w:noProof/>
        </w:rPr>
        <w:t>În cursul perioadei de raportare, s-au înregistrat progrese considerabile în ceea ce privește punerea în aplicare a cadrului de interoperabilitate. O etapă esențială a fost lansarea BMS comun, care sporește substanțial capacitățile de corelare biometrică între sisteme în cadrul sistemelor de informații ale UE participante. De asemenea, s-au înregistrat progrese semnificative în ceea ce privește dezvoltarea tehnică și testarea componentelor și instrumentelor de interoperabilitate, inclusiv prin adoptarea manualului privind interoperabilitatea. ESP, CIR și CRRS vor deveni operaționale în următoarea perioadă de raportare.</w:t>
      </w:r>
    </w:p>
    <w:p>
      <w:pPr>
        <w:jc w:val="both"/>
        <w:rPr>
          <w:rFonts w:ascii="Times New Roman" w:hAnsi="Times New Roman" w:cs="Times New Roman"/>
          <w:noProof/>
        </w:rPr>
      </w:pPr>
      <w:r>
        <w:rPr>
          <w:rFonts w:ascii="Times New Roman" w:hAnsi="Times New Roman"/>
          <w:noProof/>
        </w:rPr>
        <w:t>Comisia va continua să monitorizeze îndeaproape progresele înregistrate și să evalueze riscurile asociate punerii în aplicare a regulamentelor privind interoperabilitatea. Consiliul și Parlamentul European vor fi informate cu privire la progresele înregistrate prin intermediul rapoartelor periodice și, de asemenea, prin intermediul comitetelor și grupurilor de experți ale Comisiei.</w:t>
      </w:r>
      <w:bookmarkEnd w:id="0"/>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21288022"/>
      <w:docPartObj>
        <w:docPartGallery w:val="Page Numbers (Bottom of Page)"/>
        <w:docPartUnique/>
      </w:docPartObj>
    </w:sdt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Comunicarea Comisiei către Parlamentul European, Consiliu, Comitetul Economic și Social European și Comitetul Regiunilor – ProtectEU: o strategie europeană de securitate internă, [COM(2025) 148, p. 8, </w:t>
      </w:r>
      <w:hyperlink r:id="rId1" w:history="1">
        <w:r>
          <w:rPr>
            <w:rStyle w:val="Hyperlink"/>
            <w:rFonts w:ascii="Times New Roman" w:hAnsi="Times New Roman"/>
          </w:rPr>
          <w:t>https://eur-lex.europa.eu/legal-content/RO/TXT/?uri=celex:52025DC0148</w:t>
        </w:r>
      </w:hyperlink>
      <w:r>
        <w:rPr>
          <w:rFonts w:ascii="Times New Roman" w:hAnsi="Times New Roman"/>
        </w:rPr>
        <w:t>).</w:t>
      </w:r>
    </w:p>
  </w:footnote>
  <w:footnote w:id="2">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)Regulamentul (UE) 2017/2226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w:t>
      </w:r>
      <w:hyperlink r:id="rId2" w:history="1">
        <w:r>
          <w:rPr>
            <w:rStyle w:val="Hyperlink"/>
            <w:rFonts w:ascii="Times New Roman" w:hAnsi="Times New Roman"/>
          </w:rPr>
          <w:t>http://data.europa.eu/eli/reg/2017/2226/OJ</w:t>
        </w:r>
      </w:hyperlink>
      <w:r>
        <w:rPr>
          <w:rFonts w:ascii="Times New Roman" w:hAnsi="Times New Roman"/>
        </w:rPr>
        <w:t>).</w:t>
      </w:r>
    </w:p>
  </w:footnote>
  <w:footnote w:id="3">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)Regulamentul (UE) 2018/1240 de instituire a Sistemului european de informații și de autorizare privind călătoriile (ETIAS) și de modificare a Regulamentelor (UE) nr. 1077/2011, (UE) nr. 515/2014, (UE) 2016/399, (UE) 2016/1624 și (UE) 2017/2226 (JO L 236, 19.9.2018, p. 1 </w:t>
      </w:r>
      <w:hyperlink r:id="rId3" w:history="1">
        <w:r>
          <w:rPr>
            <w:rStyle w:val="Hyperlink"/>
            <w:rFonts w:ascii="Times New Roman" w:hAnsi="Times New Roman"/>
          </w:rPr>
          <w:t>http://data.europa.eu/eli/reg/2018/1240/OJ</w:t>
        </w:r>
      </w:hyperlink>
      <w:r>
        <w:rPr>
          <w:rFonts w:ascii="Times New Roman" w:hAnsi="Times New Roman"/>
        </w:rPr>
        <w:t>).</w:t>
      </w:r>
    </w:p>
  </w:footnote>
  <w:footnote w:id="4">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Regulamentul (UE) 2019/816 de stabilire a unui sistem centralizat pentru determinarea statelor membre care dețin informații privind condamnările resortisanților țărilor terțe și ale apatrizilor (ECRIS-TCN), destinat să completeze sistemul european de informații cu privire la cazierele judiciare, și de modificare a Regulamentului (UE) 2018/1726 (JO L 135, 22.5.2019, p. 1 </w:t>
      </w:r>
      <w:hyperlink r:id="rId4" w:history="1">
        <w:r>
          <w:rPr>
            <w:rStyle w:val="Hyperlink"/>
            <w:rFonts w:ascii="Times New Roman" w:hAnsi="Times New Roman"/>
          </w:rPr>
          <w:t>http://data.europa.eu/eli/reg/2019/816/OJ</w:t>
        </w:r>
      </w:hyperlink>
      <w:r>
        <w:rPr>
          <w:rFonts w:ascii="Times New Roman" w:hAnsi="Times New Roman"/>
        </w:rPr>
        <w:t>).</w:t>
      </w:r>
    </w:p>
  </w:footnote>
  <w:footnote w:id="5">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Regulamentul (UE) 2018/1860 privind utilizarea Sistemului de informații Schengen pentru returnarea resortisanților țărilor terțe aflați în situație de ședere ilegală (JO L 312, 7.12.2018, p. 1, http://data.europa.eu/eli/reg/2018/1860/OJ); Regulamentul (UE) 2018/1861 privind instituirea, funcționarea și utilizarea Sistemului de informații Schengen (SIS) în domeniul verificărilor la frontiere, de modificare a Convenției de punere în aplicare a Acordului Schengen și de modificare și abrogare a Regulamentului (CE) nr. 1987/2006 (JO L 312, 7.12.2018, p. 14, http://data.europa.eu/eli/reg/2018/1861/OJ); și Regulamentul (UE) 2018/1862 privind instituirea, funcționarea și utilizarea Sistemului de informații Schengen (SIS) în domeniul cooperării polițienești și al cooperării judiciare în materie penală, de modificare și de abrogare a Deciziei 2007/533/JAI a Consiliului și de abrogare a Regulamentului (CE) nr. 1986/2006 al Parlamentului European și al Consiliului și a Deciziei 210/261/UE a Comisiei (JO L 312, 7.12.2018, p. 56 </w:t>
      </w:r>
      <w:hyperlink r:id="rId5" w:history="1">
        <w:r>
          <w:rPr>
            <w:rStyle w:val="Hyperlink"/>
            <w:rFonts w:ascii="Times New Roman" w:hAnsi="Times New Roman"/>
          </w:rPr>
          <w:t>http://data.europa.eu/eli/reg/2018/1862/OJ</w:t>
        </w:r>
      </w:hyperlink>
      <w:r>
        <w:rPr>
          <w:rFonts w:ascii="Times New Roman" w:hAnsi="Times New Roman"/>
        </w:rPr>
        <w:t>).</w:t>
      </w:r>
    </w:p>
  </w:footnote>
  <w:footnote w:id="6">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Regulamentul (UE) 2021/1134 de modificare a Regulamentelor (CE) nr. 767/2008, (CE) nr. 810/2009, (UE) 2016/399, (UE) 2017/2226, (UE) 2018/1240, (UE) 2018/1860, (UE) 2018/1861, (UE) 2019/817 și (UE) 2019/1896 ale Parlamentului European și ale Consiliului și de abrogare a Deciziilor 2004/512/CE și 2008/633/JAI ale Consiliului, în scopul reformării Sistemului de informații privind vizele (JO L 248, 13.7.2021, p. 11 </w:t>
      </w:r>
      <w:hyperlink r:id="rId6" w:history="1">
        <w:r>
          <w:rPr>
            <w:rStyle w:val="Hyperlink"/>
            <w:rFonts w:ascii="Times New Roman" w:hAnsi="Times New Roman"/>
          </w:rPr>
          <w:t>http://data.europa.eu/eli/reg/2021/1134/OJ</w:t>
        </w:r>
      </w:hyperlink>
      <w:r>
        <w:rPr>
          <w:rFonts w:ascii="Times New Roman" w:hAnsi="Times New Roman"/>
        </w:rPr>
        <w:t>).</w:t>
      </w:r>
    </w:p>
  </w:footnote>
  <w:footnote w:id="7">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Regulamentul (UE) 2024/1358 privind instituirea sistemului „Eurodac” pentru compararea datelor biometrice în scopul aplicării eficace a Regulamentelor (UE) 2024/1351 și (UE) 2024/1350 ale Parlamentului European și ale Consiliului și a Directivei 2001/55/CE a Consiliului și al identificării resortisanților din țări terțe și a apatrizilor în situație de ședere ilegală și privind cererile de comparare cu datele Eurodac prezentate de autoritățile de aplicare a legii din statele membre și de Europol cu scopul de a asigura respectarea legii, de modificare a Regulamentelor (UE) 2018/1240 și (UE) 2019/818 ale Parlamentului European și ale Consiliului și de abrogare a Regulamentului (UE) nr. 603/2013 al Parlamentului European și al Consiliului (JO L, 2024/1358, 22.5.2024, </w:t>
      </w:r>
      <w:hyperlink r:id="rId7" w:history="1">
        <w:r>
          <w:rPr>
            <w:rStyle w:val="Hyperlink"/>
            <w:rFonts w:ascii="Times New Roman" w:hAnsi="Times New Roman"/>
          </w:rPr>
          <w:t>http://data.europa.eu/eli/reg/2024/1358/oj</w:t>
        </w:r>
      </w:hyperlink>
      <w:r>
        <w:rPr>
          <w:rFonts w:ascii="Times New Roman" w:hAnsi="Times New Roman"/>
        </w:rPr>
        <w:t>).</w:t>
      </w:r>
    </w:p>
  </w:footnote>
  <w:footnote w:id="8">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Style w:val="FootnoteReference"/>
          <w:rFonts w:ascii="Times New Roman" w:hAnsi="Times New Roman"/>
        </w:rPr>
        <w:t xml:space="preserve"> </w:t>
      </w:r>
      <w:r>
        <w:rPr>
          <w:rFonts w:ascii="Times New Roman" w:hAnsi="Times New Roman"/>
        </w:rPr>
        <w:t xml:space="preserve">Regulamentul (UE) 2019/817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w:t>
      </w:r>
      <w:hyperlink r:id="rId8" w:history="1">
        <w:r>
          <w:rPr>
            <w:rStyle w:val="Hyperlink"/>
            <w:rFonts w:ascii="Times New Roman" w:hAnsi="Times New Roman"/>
          </w:rPr>
          <w:t>http://data.europa.eu/eli/reg/2019/817/OJ</w:t>
        </w:r>
      </w:hyperlink>
      <w:r>
        <w:rPr>
          <w:rFonts w:ascii="Times New Roman" w:hAnsi="Times New Roman"/>
        </w:rPr>
        <w:t xml:space="preserve">); și Regulamentul (UE) 2019/818 privind instituirea unui cadru pentru interoperabilitatea dintre sistemele de informații ale UE în domeniul cooperării polițienești și judiciare, al azilului și al migrației și de modificare a Regulamentelor (UE) 2018/1726, (UE) 2018/1862 și (UE) 2019/816 (JO L 135, 22.5.2019 </w:t>
      </w:r>
      <w:hyperlink r:id="rId9" w:history="1">
        <w:r>
          <w:rPr>
            <w:rStyle w:val="Hyperlink"/>
            <w:rFonts w:ascii="Times New Roman" w:hAnsi="Times New Roman"/>
          </w:rPr>
          <w:t>http://data.europa.eu/eli/reg/2019/818/OJ</w:t>
        </w:r>
      </w:hyperlink>
      <w:r>
        <w:rPr>
          <w:rFonts w:ascii="Times New Roman" w:hAnsi="Times New Roman"/>
        </w:rPr>
        <w:t>). În întregul raport, aceste regulamente sunt denumite „regulamentele privind interoperabilitatea”.</w:t>
      </w:r>
    </w:p>
  </w:footnote>
  <w:footnote w:id="9">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Style w:val="FootnoteReference"/>
          <w:rFonts w:ascii="Times New Roman" w:hAnsi="Times New Roman"/>
        </w:rPr>
        <w:t xml:space="preserve"> </w:t>
      </w:r>
      <w:r>
        <w:rPr>
          <w:rFonts w:ascii="Times New Roman" w:hAnsi="Times New Roman"/>
        </w:rPr>
        <w:t xml:space="preserve">(i) Regulamentul delegat (UE) 2026/327 al Comisiei de modificare a Regulamentului delegat (UE) 2023/333 de completare a Regulamentului (UE) 2019/817 al Parlamentului European și al Consiliului în ceea ce privește determinarea cazurilor în care datele de identitate sunt considerate aceleași sau similare în scopul detectării identităților multiple </w:t>
      </w:r>
      <w:hyperlink r:id="rId10" w:tooltip="Oferă acces la acest document prin identificatorul său uniform de resurse ELI." w:history="1">
        <w:r>
          <w:rPr>
            <w:rStyle w:val="Hyperlink"/>
            <w:rFonts w:ascii="Times New Roman" w:hAnsi="Times New Roman"/>
          </w:rPr>
          <w:t>http://data.europa.eu/eli/reg_del/2026/327/oj</w:t>
        </w:r>
      </w:hyperlink>
      <w:r>
        <w:rPr>
          <w:rFonts w:ascii="Times New Roman" w:hAnsi="Times New Roman"/>
        </w:rPr>
        <w:t xml:space="preserve">; (ii) Regulamentul delegat (UE) 2026/326 al Comisiei de modificare a Regulamentului delegat (UE) 2023/332 de completare a Regulamentului (UE) 2019/818 al Parlamentului European și al Consiliului în ceea ce privește determinarea cazurilor în care datele de identitate sunt considerate aceleași sau similare în scopul detectării identităților multiple, </w:t>
      </w:r>
      <w:hyperlink r:id="rId11" w:history="1">
        <w:r>
          <w:rPr>
            <w:rStyle w:val="Hyperlink"/>
            <w:rFonts w:ascii="Times New Roman" w:hAnsi="Times New Roman"/>
          </w:rPr>
          <w:t>https://eur-lex.europa.eu/eli/reg_del/2026/326</w:t>
        </w:r>
      </w:hyperlink>
      <w:r>
        <w:rPr>
          <w:rFonts w:ascii="Times New Roman" w:hAnsi="Times New Roman"/>
        </w:rPr>
        <w:t xml:space="preserve">; (iii) Regulamentul delegat (UE) 2026/49 de modificare a Regulamentului delegat (UE) 2021/2223 de completare a Regulamentului (UE) 2019/817 al Parlamentului European și al Consiliului cu norme detaliate privind funcționarea registrului central de raportare și statistici, </w:t>
      </w:r>
      <w:hyperlink r:id="rId12" w:tooltip="Oferă acces la acest document prin identificatorul său uniform de resurse ELI." w:history="1">
        <w:r>
          <w:rPr>
            <w:rStyle w:val="Hyperlink"/>
            <w:rFonts w:ascii="Times New Roman" w:hAnsi="Times New Roman"/>
          </w:rPr>
          <w:t>http://data.europa.eu/eli/reg_del/2026/49/oj</w:t>
        </w:r>
      </w:hyperlink>
      <w:r>
        <w:rPr>
          <w:rFonts w:ascii="Times New Roman" w:hAnsi="Times New Roman"/>
        </w:rPr>
        <w:t xml:space="preserve">; și (iv) Regulamentul delegat (UE) 2026/48 al Comisiei de modificare a Regulamentului delegat (UE) 2021/2222 de completare a Regulamentului (UE) 2019/818 al Parlamentului European și al Consiliului cu norme detaliate privind funcționarea registrului central de raportare și statistici, </w:t>
      </w:r>
      <w:hyperlink r:id="rId13" w:tooltip="Oferă acces la acest document prin identificatorul său uniform de resurse ELI." w:history="1">
        <w:r>
          <w:rPr>
            <w:rStyle w:val="Hyperlink"/>
            <w:rFonts w:ascii="Times New Roman" w:hAnsi="Times New Roman"/>
          </w:rPr>
          <w:t>http://data.europa.eu/eli/reg_del/2026/48/oj</w:t>
        </w:r>
      </w:hyperlink>
      <w:r>
        <w:rPr>
          <w:rFonts w:ascii="Times New Roman" w:hAnsi="Times New Roman"/>
        </w:rPr>
        <w:t>.</w:t>
      </w:r>
    </w:p>
  </w:footnote>
  <w:footnote w:id="10">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(i) Decizia de punere în aplicare a Comisiei de modificare a Deciziei de punere în aplicare C(2021) 6176 final a Comisiei de stabilire a normelor tehnice de creare a conexiunilor între datele provenite din diferite sisteme de informații ale UE, în temeiul articolului 28 alineatul (7) din Regulamentul (UE) 2019/817 al Parlamentului European și al Consiliului – C(2025) 7593; (ii) Decizia de punere în aplicare a Comisiei de modificare a Deciziei de punere în aplicare C(2021) 6174 final a Comisiei de stabilire a normelor tehnice de creare a conexiunilor între datele provenite din diferite sisteme de informații ale UE, în temeiul articolului 28 alineatul (7) din Regulamentul (UE) 2019/818 al Parlamentului European și al Consiliului – C(2025) 7580; (iii) Decizia de punere în aplicare a Comisiei de modificare a Deciziei de punere în aplicare (UE) 2023/220 a Comisiei de stabilire și dezvoltare a standardului privind formatul universal pentru mesaje (UMF) în temeiul Regulamentului (UE) 2019/817 al Parlamentului European și al Consiliului – C(2025) 7608; (iv) Decizia de punere în aplicare a Comisiei de modificare a Deciziei de punere în aplicare (UE) 2023/221 a Comisiei de stabilire și dezvoltare a standardului privind formatul universal pentru mesaje (UMF) în temeiul Regulamentului (UE) 2019/818 al Parlamentului European și al Consiliului – C(2025) 7609; (v) Decizia de punere în aplicare a Comisiei de modificare a Deciziei de punere în aplicare C(2021) 5988 a Comisiei de stabilire a unui formular standard pentru informarea persoanelor fizice cu privire la crearea unei conexiuni roșii în temeiul Regulamentului (UE) 2019/817 al Parlamentului European și al Consiliului – C(2026) 300; (vi) Decizia de punere în aplicare a Comisiei de modificare a Deciziei de punere în aplicare C(2021) 5989 a Comisiei de stabilire a unui formular standard pentru informarea persoanelor fizice cu privire la crearea unei conexiuni roșii în temeiul Regulamentului (UE) 2019/818 al Parlamentului European și al Consiliului – C(2026) 305; (vii) Decizia de punere în aplicare a Comisiei de modificare a Deciziei de punere în aplicare C(2021) 5620 a Comisiei de stabilire a unui formular standard pentru informarea persoanelor fizice cu privire la crearea unei conexiuni albe în temeiul Regulamentului (UE) 2019/817 al Parlamentului European și al Consiliului – C(2026) 330; (viii) Decizia de punere în aplicare a Comisiei de modificare a Deciziei de punere în aplicare C(2021) 5619 a Comisiei de stabilire a unui formular standard pentru informarea persoanelor fizice cu privire la crearea unei conexiuni albe în temeiul Regulamentului (UE) 2019/818 al Parlamentului European și al Consiliului – C(2026) 333; (ix) Regulamentul de punere în aplicare al Comisiei de modificare a Deciziei de punere în aplicare C(2021) 5052 a Comisiei de stabilire a detaliilor tehnice ale profilurilor utilizatorilor portalului european de căutare în temeiul articolului 8 alineatul (2) din Regulamentul (UE) 2019/817 al Parlamentului European și al Consiliului – C(2026) 299; și (x) Regulamentul de punere în aplicare al Comisiei de modificare a Deciziei de punere în aplicare C(2021) 5053 a Comisiei de stabilire a detaliilor tehnice ale profilurilor utilizatorilor portalului european de căutare în temeiul articolului 8 alineatul (2) din Regulamentul (UE) 2019/818 al Parlamentului European și al Consiliului – C(2026) 316.</w:t>
      </w:r>
    </w:p>
  </w:footnote>
  <w:footnote w:id="11">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Instrumentul poate fi accesat prin intermediul unui site web găzduit de Comisie. Accesul este limitat la utilizatorii sistemelor care fac obiectul manualelor.</w:t>
      </w:r>
    </w:p>
  </w:footnote>
  <w:footnote w:id="12">
    <w:p>
      <w:pPr>
        <w:pStyle w:val="FootnoteText"/>
        <w:jc w:val="both"/>
      </w:pPr>
      <w:r>
        <w:rPr>
          <w:rFonts w:ascii="Times New Roman" w:hAnsi="Times New Roman"/>
        </w:rPr>
        <w:t>(</w:t>
      </w:r>
      <w:r>
        <w:rPr>
          <w:rFonts w:ascii="Times New Roman" w:hAnsi="Times New Roman" w:cs="Times New Roman"/>
          <w:vertAlign w:val="superscript"/>
        </w:rPr>
        <w:footnoteRef/>
      </w:r>
      <w:r>
        <w:rPr>
          <w:rFonts w:ascii="Times New Roman" w:hAnsi="Times New Roman"/>
        </w:rPr>
        <w:t>) Decizia de punere în aplicare (UE) 2025/875 a Comisiei din 13 mai 2025 de stabilire a datei de punere în funcțiune a serviciului comun de comparare a datelor biometrice în temeiul Regulamentelor (UE) 2019/817 și (UE) 2019/818 ale Parlamentului European și ale Consiliului. JO L, 2025/875, 14.5.2025</w:t>
      </w:r>
      <w:hyperlink r:id="rId14" w:tooltip="Oferă acces la acest document prin identificatorul său uniform de resurse ELI." w:history="1">
        <w:r>
          <w:rPr>
            <w:rStyle w:val="Hyperlink"/>
            <w:rFonts w:ascii="Times New Roman" w:hAnsi="Times New Roman"/>
          </w:rPr>
          <w:t>http://data.europa.eu/eli/dec_impl/2025/875/oj</w:t>
        </w:r>
      </w:hyperlink>
      <w:r>
        <w:rPr>
          <w:rFonts w:ascii="Times New Roman" w:hAnsi="Times New Roman"/>
        </w:rPr>
        <w:t>.</w:t>
      </w:r>
    </w:p>
  </w:footnote>
  <w:footnote w:id="13">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Articolul 69 din Regulamentul (UE) 2019/817 și articolul 65 din Regulamentul (UE) 2019/818.</w:t>
      </w:r>
    </w:p>
  </w:footnote>
  <w:footnote w:id="14">
    <w:p>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Style w:val="FootnoteReference"/>
          <w:rFonts w:ascii="Times New Roman" w:hAnsi="Times New Roman"/>
        </w:rPr>
        <w:t xml:space="preserve"> </w:t>
      </w:r>
      <w:r>
        <w:rPr>
          <w:rFonts w:ascii="Times New Roman" w:hAnsi="Times New Roman"/>
        </w:rPr>
        <w:t xml:space="preserve">Regulamentul (UE) 2021/1148 al Parlamentului European și al Consiliului din 7 iulie 2021 de instituire, ca parte a Fondului de management integrat al frontierelor, a Instrumentului de sprijin financiar pentru managementul frontierelor și politica de vize (JO L 251, 15.7.2021, </w:t>
      </w:r>
      <w:hyperlink r:id="rId15" w:history="1">
        <w:r>
          <w:rPr>
            <w:rStyle w:val="Hyperlink"/>
            <w:rFonts w:ascii="Times New Roman" w:hAnsi="Times New Roman"/>
          </w:rPr>
          <w:t>http://data.europa.eu/eli/reg/2021/1148/oj</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92C35"/>
    <w:multiLevelType w:val="hybridMultilevel"/>
    <w:tmpl w:val="29227770"/>
    <w:lvl w:ilvl="0" w:tplc="D0AE5144">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FE750A6"/>
    <w:multiLevelType w:val="hybridMultilevel"/>
    <w:tmpl w:val="EE721E5A"/>
    <w:lvl w:ilvl="0" w:tplc="88361DF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F56BA2E4-7E90-458D-948C-C73080C4E589"/>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xelles, "/>
    <w:docVar w:name="LW_EMISSION_SUFFIX" w:val=" "/>
    <w:docVar w:name="LW_ID_DOCTYPE_NONLW" w:val="CP-005"/>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stadiul preg\u259?tirilor pentru punerea în aplicare deplin\u259? a regulamentelor privind interoperabilitatea în conformitate cu articolul 78 alineatul (5) din Regulamentul (UE) 2019/817 \u537?i cu articolul 74 alineatul (5) din Regulamentul (UE) 2019/818&lt;/FMT&gt;"/>
    <w:docVar w:name="LW_TYPE.DOC.CP" w:val="RAPORT AL COMISIEI C\u258?TRE CONSILIU \u536?I PARLAMENTUL EUROPEAN"/>
    <w:docVar w:name="LwApiVersions" w:val="LW4CoDe 1.25.1.0; LW 9.2, Build 20260702"/>
    <w:docVar w:name="Stamp" w:val="\\dossiers.dgt.cec.eu.int\dossiers\HOME\HOME-2026-00721\HOME-2026-00721-00-00-EN-EDT-00.202605120932031503381.DOCX"/>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8C8EFDA8-C063-470C-B57D-E2FF5F4D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kern w:val="0"/>
      <w:szCs w:val="22"/>
      <w14:ligatures w14:val="non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kern w:val="0"/>
      <w:szCs w:val="22"/>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 w:type="paragraph" w:styleId="NormalWeb">
    <w:name w:val="Normal (Web)"/>
    <w:basedOn w:val="Normal"/>
    <w:uiPriority w:val="99"/>
    <w:semiHidden/>
    <w:unhideWhenUse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337944">
      <w:bodyDiv w:val="1"/>
      <w:marLeft w:val="0"/>
      <w:marRight w:val="0"/>
      <w:marTop w:val="0"/>
      <w:marBottom w:val="0"/>
      <w:divBdr>
        <w:top w:val="none" w:sz="0" w:space="0" w:color="auto"/>
        <w:left w:val="none" w:sz="0" w:space="0" w:color="auto"/>
        <w:bottom w:val="none" w:sz="0" w:space="0" w:color="auto"/>
        <w:right w:val="none" w:sz="0" w:space="0" w:color="auto"/>
      </w:divBdr>
      <w:divsChild>
        <w:div w:id="416249078">
          <w:marLeft w:val="0"/>
          <w:marRight w:val="0"/>
          <w:marTop w:val="0"/>
          <w:marBottom w:val="0"/>
          <w:divBdr>
            <w:top w:val="none" w:sz="0" w:space="0" w:color="auto"/>
            <w:left w:val="none" w:sz="0" w:space="0" w:color="auto"/>
            <w:bottom w:val="none" w:sz="0" w:space="0" w:color="auto"/>
            <w:right w:val="none" w:sz="0" w:space="0" w:color="auto"/>
          </w:divBdr>
          <w:divsChild>
            <w:div w:id="87932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30301">
      <w:bodyDiv w:val="1"/>
      <w:marLeft w:val="0"/>
      <w:marRight w:val="0"/>
      <w:marTop w:val="0"/>
      <w:marBottom w:val="0"/>
      <w:divBdr>
        <w:top w:val="none" w:sz="0" w:space="0" w:color="auto"/>
        <w:left w:val="none" w:sz="0" w:space="0" w:color="auto"/>
        <w:bottom w:val="none" w:sz="0" w:space="0" w:color="auto"/>
        <w:right w:val="none" w:sz="0" w:space="0" w:color="auto"/>
      </w:divBdr>
      <w:divsChild>
        <w:div w:id="864251972">
          <w:marLeft w:val="0"/>
          <w:marRight w:val="0"/>
          <w:marTop w:val="0"/>
          <w:marBottom w:val="0"/>
          <w:divBdr>
            <w:top w:val="none" w:sz="0" w:space="0" w:color="auto"/>
            <w:left w:val="none" w:sz="0" w:space="0" w:color="auto"/>
            <w:bottom w:val="none" w:sz="0" w:space="0" w:color="auto"/>
            <w:right w:val="none" w:sz="0" w:space="0" w:color="auto"/>
          </w:divBdr>
          <w:divsChild>
            <w:div w:id="100809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817/OJ" TargetMode="External"/><Relationship Id="rId13" Type="http://schemas.openxmlformats.org/officeDocument/2006/relationships/hyperlink" Target="http://data.europa.eu/eli/reg_del/2026/48/oj" TargetMode="External"/><Relationship Id="rId3" Type="http://schemas.openxmlformats.org/officeDocument/2006/relationships/hyperlink" Target="http://data.europa.eu/eli/reg/2018/1240/OJ" TargetMode="External"/><Relationship Id="rId7" Type="http://schemas.openxmlformats.org/officeDocument/2006/relationships/hyperlink" Target="http://data.europa.eu/eli/reg/2024/1358/oj" TargetMode="External"/><Relationship Id="rId12" Type="http://schemas.openxmlformats.org/officeDocument/2006/relationships/hyperlink" Target="http://data.europa.eu/eli/reg_del/2026/49/oj" TargetMode="External"/><Relationship Id="rId2" Type="http://schemas.openxmlformats.org/officeDocument/2006/relationships/hyperlink" Target="http://data.europa.eu/eli/reg/2017/2226/OJ" TargetMode="External"/><Relationship Id="rId1" Type="http://schemas.openxmlformats.org/officeDocument/2006/relationships/hyperlink" Target="https://eur-lex.europa.eu/legal-content/RO/TXT/?uri=celex:52025DC0148" TargetMode="External"/><Relationship Id="rId6" Type="http://schemas.openxmlformats.org/officeDocument/2006/relationships/hyperlink" Target="http://data.europa.eu/eli/reg/2021/1134/OJ" TargetMode="External"/><Relationship Id="rId11" Type="http://schemas.openxmlformats.org/officeDocument/2006/relationships/hyperlink" Target="https://eur-lex.europa.eu/eli/reg_del/2026/326" TargetMode="External"/><Relationship Id="rId5" Type="http://schemas.openxmlformats.org/officeDocument/2006/relationships/hyperlink" Target="http://data.europa.eu/eli/reg/2018/1862/OJ" TargetMode="External"/><Relationship Id="rId15" Type="http://schemas.openxmlformats.org/officeDocument/2006/relationships/hyperlink" Target="http://data.europa.eu/eli/reg/2021/1148/oj" TargetMode="External"/><Relationship Id="rId10" Type="http://schemas.openxmlformats.org/officeDocument/2006/relationships/hyperlink" Target="http://data.europa.eu/eli/reg_del/2026/327/oj" TargetMode="External"/><Relationship Id="rId4" Type="http://schemas.openxmlformats.org/officeDocument/2006/relationships/hyperlink" Target="http://data.europa.eu/eli/reg/2019/816/OJ" TargetMode="External"/><Relationship Id="rId9" Type="http://schemas.openxmlformats.org/officeDocument/2006/relationships/hyperlink" Target="http://data.europa.eu/eli/reg/2019/818/OJ" TargetMode="External"/><Relationship Id="rId14" Type="http://schemas.openxmlformats.org/officeDocument/2006/relationships/hyperlink" Target="http://data.europa.eu/eli/dec_impl/2025/8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2522E-1EC9-4752-83B3-61B17BEEF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cp:revision>
  <dcterms:created xsi:type="dcterms:W3CDTF">2026-07-13T12:00:00Z</dcterms:created>
  <dcterms:modified xsi:type="dcterms:W3CDTF">2026-08-31T06:46:00Z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2026-05-20T09:10:02Z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2e97289b-d1c9-44cb-ade9-c0c6660761c1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CP-005</vt:lpwstr>
  </property>
</Properties>
</file>