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C2E419-7AA2-4894-9577-AD683B96D0DF" style="width:455.25pt;height:357.75pt">
            <v:imagedata r:id="rId10" o:title=""/>
          </v:shape>
        </w:pict>
      </w:r>
    </w:p>
    <w:p>
      <w:pPr>
        <w:rPr>
          <w:noProof/>
        </w:rPr>
        <w:sectPr>
          <w:footerReference w:type="even" r:id="rId11"/>
          <w:footerReference w:type="default" r:id="rId12"/>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widowControl w:val="0"/>
        <w:shd w:val="clear" w:color="auto" w:fill="FFFFFF"/>
        <w:autoSpaceDE w:val="0"/>
        <w:autoSpaceDN w:val="0"/>
        <w:adjustRightInd w:val="0"/>
        <w:spacing w:before="230" w:after="0" w:line="269" w:lineRule="exact"/>
        <w:ind w:right="86"/>
        <w:rPr>
          <w:noProof/>
        </w:rPr>
      </w:pPr>
      <w:r>
        <w:rPr>
          <w:noProof/>
        </w:rPr>
        <w:t>Council Regulation (EU) 2023/2720</w:t>
      </w:r>
      <w:r>
        <w:rPr>
          <w:rStyle w:val="FootnoteReference"/>
          <w:noProof/>
        </w:rPr>
        <w:footnoteReference w:id="1"/>
      </w:r>
      <w:r>
        <w:rPr>
          <w:noProof/>
        </w:rPr>
        <w:t xml:space="preserve"> opening and providing for the management of autonomous Union tariff quotas (ATQs) for certain fishery products for the period 2024-2026 was adopted on 27 November 2023. </w:t>
      </w:r>
    </w:p>
    <w:p>
      <w:pPr>
        <w:widowControl w:val="0"/>
        <w:shd w:val="clear" w:color="auto" w:fill="FFFFFF"/>
        <w:autoSpaceDE w:val="0"/>
        <w:autoSpaceDN w:val="0"/>
        <w:adjustRightInd w:val="0"/>
        <w:spacing w:before="230" w:after="0" w:line="269" w:lineRule="exact"/>
        <w:ind w:right="86"/>
        <w:rPr>
          <w:noProof/>
        </w:rPr>
      </w:pPr>
      <w:r>
        <w:rPr>
          <w:noProof/>
        </w:rPr>
        <w:t>The objective of the Regulation is to ensure the competitiveness of the Union processing industry and avoid jeopardising Union production of fishery products by guaranteeing an adequate supply of fishery products to the industry. To this end, the Regulation reduces or suspends import duties for a number of fishery products within tariff quotas of an appropriate volume. It also defines which processing operations (‘qualifying operations’) allow the use of the tariff quotas and which do not.</w:t>
      </w:r>
    </w:p>
    <w:p>
      <w:pPr>
        <w:widowControl w:val="0"/>
        <w:shd w:val="clear" w:color="auto" w:fill="FFFFFF"/>
        <w:autoSpaceDE w:val="0"/>
        <w:autoSpaceDN w:val="0"/>
        <w:adjustRightInd w:val="0"/>
        <w:spacing w:before="230" w:after="0" w:line="269" w:lineRule="exact"/>
        <w:ind w:right="86"/>
        <w:rPr>
          <w:noProof/>
        </w:rPr>
      </w:pPr>
      <w:r>
        <w:rPr>
          <w:noProof/>
        </w:rPr>
        <w:t xml:space="preserve">This Commission proposal seeks to extend by one year the validity of the current ATQ Regulation, to ensure continuity and predictability of the current ATQ regime while the Commission is finalising its work on a back-to-back evaluation and impact assessment on the introduction of sustainability criteria into the ATQ regime. These new criteria will accompany the Commission proposal on the introduction of sustainability criteria (planned for adoption in the first quarter of 2027). </w:t>
      </w:r>
    </w:p>
    <w:p>
      <w:pPr>
        <w:widowControl w:val="0"/>
        <w:shd w:val="clear" w:color="auto" w:fill="FFFFFF"/>
        <w:autoSpaceDE w:val="0"/>
        <w:autoSpaceDN w:val="0"/>
        <w:adjustRightInd w:val="0"/>
        <w:spacing w:before="230" w:after="0" w:line="269" w:lineRule="exact"/>
        <w:ind w:right="86"/>
        <w:rPr>
          <w:noProof/>
        </w:rPr>
      </w:pPr>
      <w:r>
        <w:rPr>
          <w:noProof/>
        </w:rPr>
        <w:t>The proposed one-year extension reflects the need for additional time to ensure an appropriate transition towards any future framework.</w:t>
      </w:r>
    </w:p>
    <w:p>
      <w:pPr>
        <w:pBdr>
          <w:top w:val="nil"/>
          <w:left w:val="nil"/>
          <w:bottom w:val="nil"/>
          <w:right w:val="nil"/>
          <w:between w:val="nil"/>
          <w:bar w:val="nil"/>
        </w:pBdr>
        <w:spacing w:before="0" w:after="240"/>
        <w:rPr>
          <w:rFonts w:eastAsia="Arial Unicode MS"/>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rFonts w:eastAsia="Times New Roman"/>
          <w:noProof/>
          <w:szCs w:val="20"/>
          <w:lang w:eastAsia="en-IE"/>
        </w:rPr>
      </w:pPr>
      <w:r>
        <w:rPr>
          <w:noProof/>
        </w:rPr>
        <w:t xml:space="preserve">The proposal is consistent with the EU’s policy of securing an adequate supply of fishery products for its processing industry. </w:t>
      </w:r>
      <w:r>
        <w:rPr>
          <w:rFonts w:eastAsia="Times New Roman"/>
          <w:noProof/>
          <w:szCs w:val="20"/>
          <w:lang w:eastAsia="en-IE"/>
        </w:rPr>
        <w:t>The ATQ regime is a long-standing instrument within the EU’s trade and fisheries policy framework. It enables the suspension or reduction of import duties on specific fishery products to facilitate access for the EU’s processing industry to raw materials and semi-finished products that are not available in the EU in sufficient quantities.</w:t>
      </w:r>
    </w:p>
    <w:p>
      <w:pPr>
        <w:pBdr>
          <w:top w:val="nil"/>
          <w:left w:val="nil"/>
          <w:bottom w:val="nil"/>
          <w:right w:val="nil"/>
          <w:between w:val="nil"/>
          <w:bar w:val="nil"/>
        </w:pBdr>
        <w:spacing w:before="0" w:after="240"/>
        <w:rPr>
          <w:rFonts w:eastAsia="Times New Roman"/>
          <w:noProof/>
          <w:szCs w:val="20"/>
          <w:lang w:eastAsia="en-IE"/>
        </w:rPr>
      </w:pP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rFonts w:eastAsia="Times New Roman"/>
          <w:noProof/>
          <w:szCs w:val="20"/>
          <w:lang w:eastAsia="en-IE"/>
        </w:rPr>
      </w:pPr>
      <w:r>
        <w:rPr>
          <w:noProof/>
        </w:rPr>
        <w:t>The proposal is consistent with the EU policy on autonomous quotas that</w:t>
      </w:r>
      <w:r>
        <w:rPr>
          <w:rFonts w:eastAsia="Times New Roman"/>
          <w:noProof/>
          <w:szCs w:val="20"/>
          <w:lang w:eastAsia="en-IE"/>
        </w:rPr>
        <w:t xml:space="preserve"> enables the suspension or reduction of import duties on specific fishery products to facilitate access for the EU’s processing industry to raw materials and semi-finished products that are not available in the EU in sufficient quantities.</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pBdr>
          <w:top w:val="nil"/>
          <w:left w:val="nil"/>
          <w:bottom w:val="nil"/>
          <w:right w:val="nil"/>
          <w:between w:val="nil"/>
          <w:bar w:val="nil"/>
        </w:pBdr>
        <w:spacing w:before="0" w:after="240"/>
        <w:rPr>
          <w:rFonts w:eastAsia="Arial Unicode MS"/>
          <w:noProof/>
        </w:rPr>
      </w:pPr>
      <w:r>
        <w:rPr>
          <w:noProof/>
        </w:rPr>
        <w:t>Article 31 TFEU – Common Customs Tariff.</w:t>
      </w:r>
    </w:p>
    <w:p>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before="0" w:after="240"/>
        <w:rPr>
          <w:rFonts w:eastAsia="Arial Unicode MS"/>
          <w:noProof/>
        </w:rPr>
      </w:pPr>
      <w:r>
        <w:rPr>
          <w:noProof/>
        </w:rPr>
        <w:t>Common customs tariff duties fall under the exclusive competence of the Union. The subsidiarity principle therefore does not apply to these provisions.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noProof/>
        </w:rPr>
      </w:pPr>
      <w:r>
        <w:rPr>
          <w:noProof/>
        </w:rPr>
        <w:t>The proposal is proportionate because for each product only a quota volume is allowed to be exempted from customs duties, within a limited period. It is suitable for achieving the objective of duty-free supply of fisheries raw materials to the EU market (seafood processors and EU consumers). It does not go beyond what is necessary to achieve the objectives.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noProof/>
        </w:rPr>
      </w:pPr>
      <w:r>
        <w:rPr>
          <w:noProof/>
        </w:rPr>
        <w:t>Council Regulation is proposed so to amend the existing Council Regulation (EU) 2023/2720.</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rFonts w:eastAsia="Arial Unicode MS"/>
          <w:noProof/>
        </w:rPr>
      </w:pPr>
      <w:r>
        <w:rPr>
          <w:noProof/>
        </w:rPr>
        <w:t>No stakeholder consultation has been carried out. The proposal maintains the status quo of the current Regulation, which was subject to an extensive stakeholder consultation in 2023.</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proposal amends the period of validity of the current Regulation that expires at the end of 2026, therefore there is no need for an impact assessment. However, in view of establishing sustainability criteria which would be applicable to fishery products import to the Union, an impact assessment is currently being carried out on the possible introduction of such criteria into the autonomous preferences for certain fishery products.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noProof/>
        </w:rPr>
      </w:pPr>
      <w:r>
        <w:rPr>
          <w:noProof/>
        </w:rPr>
        <w:t>Not applicable.</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noProof/>
        </w:rPr>
        <w:t>The proposal does not have a budgetary impact for the Commission. However, the proposal has a budgetary impact on the EU revenue in terms of loss of customs duties which would have been collected on imported products as explained in the legislative financial statement.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proposal amends the period of validity of </w:t>
      </w:r>
      <w:r>
        <w:rPr>
          <w:noProof/>
        </w:rPr>
        <w:t>Council Regulation (EU) 2023/2720 and extends the validity of the quotas laid down in this Regulation until 31 December 2027, the time necessary to finalise the impact assessment of the ATQ regime and to adopt a new proposal including sustainability requirements.</w:t>
      </w:r>
    </w:p>
    <w:p>
      <w:pPr>
        <w:rPr>
          <w:noProof/>
        </w:rPr>
        <w:sectPr>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2026/0252 (NLE)</w:t>
      </w:r>
    </w:p>
    <w:p>
      <w:pPr>
        <w:pStyle w:val="Statut"/>
        <w:rPr>
          <w:noProof/>
        </w:rPr>
      </w:pPr>
      <w:r>
        <w:rPr>
          <w:noProof/>
        </w:rPr>
        <w:t>Proposal for a</w:t>
      </w:r>
    </w:p>
    <w:p>
      <w:pPr>
        <w:pStyle w:val="Typedudocument"/>
        <w:rPr>
          <w:noProof/>
        </w:rPr>
      </w:pPr>
      <w:r>
        <w:rPr>
          <w:noProof/>
        </w:rPr>
        <w:t>COUNCIL REGULATION</w:t>
      </w:r>
    </w:p>
    <w:p>
      <w:pPr>
        <w:pStyle w:val="Titreobjet"/>
        <w:rPr>
          <w:noProof/>
        </w:rPr>
      </w:pPr>
      <w:r>
        <w:rPr>
          <w:noProof/>
        </w:rPr>
        <w:t>amending Council Regulation 2023/2720 opening and providing for the management of autonomous Union tariff quotas for certain fishery products for the 2024-2026 period</w:t>
      </w:r>
    </w:p>
    <w:p>
      <w:pPr>
        <w:pStyle w:val="IntrtEEE"/>
        <w:rPr>
          <w:noProof/>
        </w:rPr>
      </w:pPr>
      <w:r>
        <w:rPr>
          <w:noProof/>
        </w:rPr>
        <w:t>(Text with EEA relevance)</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31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r>
      <w:r>
        <w:rPr>
          <w:noProof/>
          <w:lang w:val="en-IE"/>
        </w:rPr>
        <w:t xml:space="preserve">Council </w:t>
      </w:r>
      <w:r>
        <w:rPr>
          <w:noProof/>
        </w:rPr>
        <w:t>Regulation (EU) 2023/2720</w:t>
      </w:r>
      <w:r>
        <w:rPr>
          <w:rStyle w:val="FootnoteReference"/>
          <w:noProof/>
        </w:rPr>
        <w:footnoteReference w:id="2"/>
      </w:r>
      <w:r>
        <w:rPr>
          <w:noProof/>
          <w:lang w:val="en-IE"/>
        </w:rPr>
        <w:t xml:space="preserve"> opens and provides for the management of autonomous Union tariff quotas (ATQ) for certain fishery products for the period 2024-2026. That Regulation reduces or suspends import duties for a number of fishery products within tariff quotas of an appropriate volume. Appropriate volumes have been decided for each tariff quota to ensure an adequate supply to the Union industry for this period. The Regulation also defines which processing operations allow the use of the tariff quotas.</w:t>
      </w:r>
    </w:p>
    <w:p>
      <w:pPr>
        <w:pStyle w:val="ManualConsidrant"/>
        <w:rPr>
          <w:noProof/>
        </w:rPr>
      </w:pPr>
      <w:r>
        <w:rPr>
          <w:noProof/>
        </w:rPr>
        <w:t>(2)</w:t>
      </w:r>
      <w:r>
        <w:rPr>
          <w:noProof/>
        </w:rPr>
        <w:tab/>
        <w:t>The proposal for a new ATQ Regulation for the application of the autonomous tariff preferences for the next period is still in the process of finalisation due to the incorporation of sustainability conditions aiming at reflecting the sustainability commitments of the European Union in the ATQ regime.</w:t>
      </w:r>
    </w:p>
    <w:p>
      <w:pPr>
        <w:pStyle w:val="ManualConsidrant"/>
        <w:rPr>
          <w:noProof/>
        </w:rPr>
      </w:pPr>
      <w:r>
        <w:rPr>
          <w:noProof/>
        </w:rPr>
        <w:t>(3)</w:t>
      </w:r>
      <w:r>
        <w:rPr>
          <w:noProof/>
        </w:rPr>
        <w:tab/>
        <w:t>To avoid the gap in the provision of duty-free supplies of fisheries products to the European Union, it is necessary to extend the validity of the current Regulation until the end of 2027, the time necessary for the adoption of the new proposal.</w:t>
      </w:r>
    </w:p>
    <w:p>
      <w:pPr>
        <w:pStyle w:val="Formuledadoption"/>
        <w:rPr>
          <w:noProof/>
        </w:rPr>
      </w:pPr>
      <w:r>
        <w:rPr>
          <w:noProof/>
        </w:rPr>
        <w:t>HAS ADOPTED THIS REGULATION:</w:t>
      </w:r>
    </w:p>
    <w:p>
      <w:pPr>
        <w:pStyle w:val="Titrearticle"/>
        <w:rPr>
          <w:noProof/>
        </w:rPr>
      </w:pPr>
      <w:r>
        <w:rPr>
          <w:noProof/>
        </w:rPr>
        <w:t>Article 1</w:t>
      </w:r>
    </w:p>
    <w:p>
      <w:pPr>
        <w:rPr>
          <w:noProof/>
        </w:rPr>
      </w:pPr>
      <w:r>
        <w:rPr>
          <w:noProof/>
        </w:rPr>
        <w:t>Article 6 of Regulation (EU) 2023/2720 is amended as follows:</w:t>
      </w:r>
    </w:p>
    <w:p>
      <w:pPr>
        <w:rPr>
          <w:noProof/>
        </w:rPr>
      </w:pPr>
      <w:r>
        <w:rPr>
          <w:noProof/>
        </w:rPr>
        <w:tab/>
      </w:r>
      <w:r>
        <w:rPr>
          <w:noProof/>
        </w:rPr>
        <w:tab/>
      </w:r>
      <w:r>
        <w:rPr>
          <w:noProof/>
        </w:rPr>
        <w:tab/>
      </w:r>
      <w:r>
        <w:rPr>
          <w:noProof/>
        </w:rPr>
        <w:tab/>
        <w:t>“Article 6</w:t>
      </w:r>
    </w:p>
    <w:p>
      <w:pPr>
        <w:rPr>
          <w:noProof/>
        </w:rPr>
      </w:pPr>
      <w:r>
        <w:rPr>
          <w:noProof/>
        </w:rPr>
        <w:t>This Regulation shall enter into force on the twentieth day following that of its publication in the Official Journal of the European Union.</w:t>
      </w:r>
    </w:p>
    <w:p>
      <w:pPr>
        <w:rPr>
          <w:noProof/>
        </w:rPr>
      </w:pPr>
      <w:r>
        <w:rPr>
          <w:noProof/>
        </w:rPr>
        <w:t>It shall apply from 1 January 2024 to 31 December 2027.</w:t>
      </w:r>
    </w:p>
    <w:p>
      <w:pPr>
        <w:rPr>
          <w:noProof/>
        </w:rPr>
      </w:pPr>
      <w:r>
        <w:rPr>
          <w:noProof/>
        </w:rPr>
        <w:t>This Regulation shall be binding in its entirety and directly applicable in all Member States”</w:t>
      </w:r>
    </w:p>
    <w:p>
      <w:pPr>
        <w:pStyle w:val="Titrearticle"/>
        <w:rPr>
          <w:noProof/>
        </w:rPr>
      </w:pPr>
      <w:r>
        <w:rPr>
          <w:noProof/>
        </w:rPr>
        <w:t>Article 2</w:t>
      </w:r>
    </w:p>
    <w:p>
      <w:pPr>
        <w:rPr>
          <w:noProof/>
          <w:lang w:val="en-IE"/>
        </w:rPr>
      </w:pPr>
      <w:r>
        <w:rPr>
          <w:noProof/>
        </w:rPr>
        <w:t xml:space="preserve">The Annex to Regulation (EU) 2023/2720 </w:t>
      </w:r>
      <w:r>
        <w:rPr>
          <w:noProof/>
          <w:lang w:val="en-IE"/>
        </w:rPr>
        <w:t>is amended as follows:</w:t>
      </w:r>
    </w:p>
    <w:p>
      <w:pPr>
        <w:rPr>
          <w:i/>
          <w:iCs/>
          <w:noProof/>
          <w:lang w:val="en-US"/>
        </w:rPr>
      </w:pPr>
      <w:r>
        <w:rPr>
          <w:noProof/>
          <w:lang w:val="en-IE"/>
        </w:rPr>
        <w:t xml:space="preserve">In the column ‘quota period’ of the table in the Annex to Regulation (EU) 2023/2720, all the quota validity periods ‘1.1.2024–31.12.2026’ are replaced by the quota validity periods: </w:t>
      </w:r>
      <w:r>
        <w:rPr>
          <w:i/>
          <w:iCs/>
          <w:noProof/>
          <w:lang w:val="en-IE"/>
        </w:rPr>
        <w:t>‘1.1.2024–31.12.2027’.</w:t>
      </w:r>
    </w:p>
    <w:p>
      <w:pPr>
        <w:pStyle w:val="Titrearticle"/>
        <w:rPr>
          <w:noProof/>
        </w:rPr>
      </w:pPr>
      <w:r>
        <w:rPr>
          <w:noProof/>
        </w:rPr>
        <w:t>Article 3</w:t>
      </w:r>
    </w:p>
    <w:p>
      <w:pPr>
        <w:rPr>
          <w:noProof/>
        </w:rPr>
      </w:pPr>
      <w:r>
        <w:rPr>
          <w:noProof/>
        </w:rPr>
        <w:t xml:space="preserve">This Regulation shall enter into force on the day following that of its publication in the </w:t>
      </w:r>
      <w:r>
        <w:rPr>
          <w:i/>
          <w:noProof/>
        </w:rPr>
        <w:t>Official Journal of the European Union</w:t>
      </w:r>
      <w:r>
        <w:rPr>
          <w:noProof/>
        </w:rPr>
        <w:t>.</w:t>
      </w:r>
    </w:p>
    <w:p>
      <w:pPr>
        <w:pStyle w:val="Applicationdirecte"/>
        <w:rPr>
          <w:noProof/>
        </w:rPr>
      </w:pPr>
      <w:r>
        <w:rPr>
          <w:noProof/>
        </w:rPr>
        <w:t>This Regulation shall be binding in its entirety and directly applicable in all Member States.</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LEGISLATIVE FINANCIAL AND DIGITAL STATEMENT</w:t>
      </w:r>
    </w:p>
    <w:p>
      <w:pPr>
        <w:pStyle w:val="TOC1"/>
        <w:rPr>
          <w:rFonts w:asciiTheme="minorHAnsi" w:eastAsiaTheme="minorEastAsia" w:hAnsiTheme="minorHAnsi" w:cstheme="minorBidi"/>
          <w:noProof/>
          <w:kern w:val="2"/>
          <w:sz w:val="22"/>
          <w:lang w:eastAsia="en-GB"/>
          <w14:ligatures w14:val="standardContextual"/>
        </w:rPr>
      </w:pPr>
      <w:r>
        <w:rPr>
          <w:noProof/>
        </w:rPr>
        <w:t>1.</w:t>
      </w:r>
      <w:r>
        <w:rPr>
          <w:rFonts w:asciiTheme="minorHAnsi" w:eastAsiaTheme="minorEastAsia" w:hAnsiTheme="minorHAnsi" w:cstheme="minorBidi"/>
          <w:noProof/>
          <w:kern w:val="2"/>
          <w:sz w:val="22"/>
          <w:lang w:eastAsia="en-GB"/>
          <w14:ligatures w14:val="standardContextual"/>
        </w:rPr>
        <w:tab/>
      </w:r>
      <w:r>
        <w:rPr>
          <w:noProof/>
        </w:rPr>
        <w:t>FRAMEWORK OF THE PROPOSAL/INITIATIVE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1.1.</w:t>
      </w:r>
      <w:r>
        <w:rPr>
          <w:rFonts w:asciiTheme="minorHAnsi" w:eastAsiaTheme="minorEastAsia" w:hAnsiTheme="minorHAnsi" w:cstheme="minorBidi"/>
          <w:noProof/>
          <w:kern w:val="2"/>
          <w:sz w:val="22"/>
          <w:lang w:eastAsia="en-GB"/>
          <w14:ligatures w14:val="standardContextual"/>
        </w:rPr>
        <w:tab/>
      </w:r>
      <w:r>
        <w:rPr>
          <w:noProof/>
        </w:rPr>
        <w:t>Title of the proposal/initiative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1.2.</w:t>
      </w:r>
      <w:r>
        <w:rPr>
          <w:rFonts w:asciiTheme="minorHAnsi" w:eastAsiaTheme="minorEastAsia" w:hAnsiTheme="minorHAnsi" w:cstheme="minorBidi"/>
          <w:noProof/>
          <w:kern w:val="2"/>
          <w:sz w:val="22"/>
          <w:lang w:eastAsia="en-GB"/>
          <w14:ligatures w14:val="standardContextual"/>
        </w:rPr>
        <w:tab/>
      </w:r>
      <w:r>
        <w:rPr>
          <w:noProof/>
        </w:rPr>
        <w:t>Policy area(s) concerned</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1.3.</w:t>
      </w:r>
      <w:r>
        <w:rPr>
          <w:rFonts w:asciiTheme="minorHAnsi" w:eastAsiaTheme="minorEastAsia" w:hAnsiTheme="minorHAnsi" w:cstheme="minorBidi"/>
          <w:noProof/>
          <w:kern w:val="2"/>
          <w:sz w:val="22"/>
          <w:lang w:eastAsia="en-GB"/>
          <w14:ligatures w14:val="standardContextual"/>
        </w:rPr>
        <w:tab/>
      </w:r>
      <w:r>
        <w:rPr>
          <w:noProof/>
        </w:rPr>
        <w:t>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1.3.1.</w:t>
      </w:r>
      <w:r>
        <w:rPr>
          <w:rFonts w:asciiTheme="minorHAnsi" w:eastAsiaTheme="minorEastAsia" w:hAnsiTheme="minorHAnsi" w:cstheme="minorBidi"/>
          <w:noProof/>
          <w:kern w:val="2"/>
          <w:sz w:val="22"/>
          <w:lang w:eastAsia="en-GB"/>
          <w14:ligatures w14:val="standardContextual"/>
        </w:rPr>
        <w:tab/>
      </w:r>
      <w:r>
        <w:rPr>
          <w:noProof/>
        </w:rPr>
        <w:t>General 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1.3.2.</w:t>
      </w:r>
      <w:r>
        <w:rPr>
          <w:rFonts w:asciiTheme="minorHAnsi" w:eastAsiaTheme="minorEastAsia" w:hAnsiTheme="minorHAnsi" w:cstheme="minorBidi"/>
          <w:noProof/>
          <w:kern w:val="2"/>
          <w:sz w:val="22"/>
          <w:lang w:eastAsia="en-GB"/>
          <w14:ligatures w14:val="standardContextual"/>
        </w:rPr>
        <w:tab/>
      </w:r>
      <w:r>
        <w:rPr>
          <w:noProof/>
        </w:rPr>
        <w:t>Specific 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1.3.3.</w:t>
      </w:r>
      <w:r>
        <w:rPr>
          <w:rFonts w:asciiTheme="minorHAnsi" w:eastAsiaTheme="minorEastAsia" w:hAnsiTheme="minorHAnsi" w:cstheme="minorBidi"/>
          <w:noProof/>
          <w:kern w:val="2"/>
          <w:sz w:val="22"/>
          <w:lang w:eastAsia="en-GB"/>
          <w14:ligatures w14:val="standardContextual"/>
        </w:rPr>
        <w:tab/>
      </w:r>
      <w:r>
        <w:rPr>
          <w:noProof/>
        </w:rPr>
        <w:t>Expected result(s) and impact</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1.3.4.</w:t>
      </w:r>
      <w:r>
        <w:rPr>
          <w:rFonts w:asciiTheme="minorHAnsi" w:eastAsiaTheme="minorEastAsia" w:hAnsiTheme="minorHAnsi" w:cstheme="minorBidi"/>
          <w:noProof/>
          <w:kern w:val="2"/>
          <w:sz w:val="22"/>
          <w:lang w:eastAsia="en-GB"/>
          <w14:ligatures w14:val="standardContextual"/>
        </w:rPr>
        <w:tab/>
      </w:r>
      <w:r>
        <w:rPr>
          <w:noProof/>
        </w:rPr>
        <w:t>Indicators of performance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1.4.</w:t>
      </w:r>
      <w:r>
        <w:rPr>
          <w:rFonts w:asciiTheme="minorHAnsi" w:eastAsiaTheme="minorEastAsia" w:hAnsiTheme="minorHAnsi" w:cstheme="minorBidi"/>
          <w:noProof/>
          <w:kern w:val="2"/>
          <w:sz w:val="22"/>
          <w:lang w:eastAsia="en-GB"/>
          <w14:ligatures w14:val="standardContextual"/>
        </w:rPr>
        <w:tab/>
      </w:r>
      <w:r>
        <w:rPr>
          <w:noProof/>
        </w:rPr>
        <w:t>The proposal/initiative relates to:</w:t>
      </w:r>
      <w:r>
        <w:rPr>
          <w:noProof/>
          <w:webHidden/>
        </w:rPr>
        <w:tab/>
        <w:t>4</w:t>
      </w:r>
    </w:p>
    <w:p>
      <w:pPr>
        <w:pStyle w:val="TOC2"/>
        <w:rPr>
          <w:rFonts w:asciiTheme="minorHAnsi" w:eastAsiaTheme="minorEastAsia" w:hAnsiTheme="minorHAnsi" w:cstheme="minorBidi"/>
          <w:noProof/>
          <w:kern w:val="2"/>
          <w:sz w:val="22"/>
          <w:lang w:eastAsia="en-GB"/>
          <w14:ligatures w14:val="standardContextual"/>
        </w:rPr>
      </w:pPr>
      <w:r>
        <w:rPr>
          <w:noProof/>
        </w:rPr>
        <w:t>1.5.</w:t>
      </w:r>
      <w:r>
        <w:rPr>
          <w:rFonts w:asciiTheme="minorHAnsi" w:eastAsiaTheme="minorEastAsia" w:hAnsiTheme="minorHAnsi" w:cstheme="minorBidi"/>
          <w:noProof/>
          <w:kern w:val="2"/>
          <w:sz w:val="22"/>
          <w:lang w:eastAsia="en-GB"/>
          <w14:ligatures w14:val="standardContextual"/>
        </w:rPr>
        <w:tab/>
      </w:r>
      <w:r>
        <w:rPr>
          <w:noProof/>
        </w:rPr>
        <w:t>Grounds for the proposal/initiative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1.5.1.</w:t>
      </w:r>
      <w:r>
        <w:rPr>
          <w:rFonts w:asciiTheme="minorHAnsi" w:eastAsiaTheme="minorEastAsia" w:hAnsiTheme="minorHAnsi" w:cstheme="minorBidi"/>
          <w:noProof/>
          <w:kern w:val="2"/>
          <w:sz w:val="22"/>
          <w:lang w:eastAsia="en-GB"/>
          <w14:ligatures w14:val="standardContextual"/>
        </w:rPr>
        <w:tab/>
      </w:r>
      <w:r>
        <w:rPr>
          <w:noProof/>
        </w:rPr>
        <w:t>Requirement(s) to be met in the short or long term including a detailed timeline for roll-out of the implementation of the initiative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1.5.2.</w:t>
      </w:r>
      <w:r>
        <w:rPr>
          <w:rFonts w:asciiTheme="minorHAnsi" w:eastAsiaTheme="minorEastAsia" w:hAnsiTheme="minorHAnsi" w:cstheme="minorBidi"/>
          <w:noProof/>
          <w:kern w:val="2"/>
          <w:sz w:val="22"/>
          <w:lang w:eastAsia="en-GB"/>
          <w14:ligatures w14:val="standardContextual"/>
        </w:rPr>
        <w:tab/>
      </w:r>
      <w:r>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1.5.3.</w:t>
      </w:r>
      <w:r>
        <w:rPr>
          <w:rFonts w:asciiTheme="minorHAnsi" w:eastAsiaTheme="minorEastAsia" w:hAnsiTheme="minorHAnsi" w:cstheme="minorBidi"/>
          <w:noProof/>
          <w:kern w:val="2"/>
          <w:sz w:val="22"/>
          <w:lang w:eastAsia="en-GB"/>
          <w14:ligatures w14:val="standardContextual"/>
        </w:rPr>
        <w:tab/>
      </w:r>
      <w:r>
        <w:rPr>
          <w:noProof/>
        </w:rPr>
        <w:t>Lessons learned from similar experiences in the past</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1.5.4.</w:t>
      </w:r>
      <w:r>
        <w:rPr>
          <w:rFonts w:asciiTheme="minorHAnsi" w:eastAsiaTheme="minorEastAsia" w:hAnsiTheme="minorHAnsi" w:cstheme="minorBidi"/>
          <w:noProof/>
          <w:kern w:val="2"/>
          <w:sz w:val="22"/>
          <w:lang w:eastAsia="en-GB"/>
          <w14:ligatures w14:val="standardContextual"/>
        </w:rPr>
        <w:tab/>
      </w:r>
      <w:r>
        <w:rPr>
          <w:noProof/>
        </w:rPr>
        <w:t>Compatibility with the multiannual financial framework and possible synergies with other appropriate instruments</w:t>
      </w:r>
      <w:r>
        <w:rPr>
          <w:noProof/>
          <w:webHidden/>
        </w:rPr>
        <w:tab/>
        <w:t>5</w:t>
      </w:r>
    </w:p>
    <w:p>
      <w:pPr>
        <w:pStyle w:val="TOC3"/>
        <w:rPr>
          <w:rFonts w:asciiTheme="minorHAnsi" w:eastAsiaTheme="minorEastAsia" w:hAnsiTheme="minorHAnsi" w:cstheme="minorBidi"/>
          <w:noProof/>
          <w:kern w:val="2"/>
          <w:sz w:val="22"/>
          <w:lang w:eastAsia="en-GB"/>
          <w14:ligatures w14:val="standardContextual"/>
        </w:rPr>
      </w:pPr>
      <w:r>
        <w:rPr>
          <w:noProof/>
        </w:rPr>
        <w:t>1.5.5.</w:t>
      </w:r>
      <w:r>
        <w:rPr>
          <w:rFonts w:asciiTheme="minorHAnsi" w:eastAsiaTheme="minorEastAsia" w:hAnsiTheme="minorHAnsi" w:cstheme="minorBidi"/>
          <w:noProof/>
          <w:kern w:val="2"/>
          <w:sz w:val="22"/>
          <w:lang w:eastAsia="en-GB"/>
          <w14:ligatures w14:val="standardContextual"/>
        </w:rPr>
        <w:tab/>
      </w:r>
      <w:r>
        <w:rPr>
          <w:noProof/>
        </w:rPr>
        <w:t>Assessment of the different available financing options, including scope for redeployment</w:t>
      </w:r>
      <w:r>
        <w:rPr>
          <w:noProof/>
          <w:webHidden/>
        </w:rPr>
        <w:tab/>
        <w:t>5</w:t>
      </w:r>
    </w:p>
    <w:p>
      <w:pPr>
        <w:pStyle w:val="TOC2"/>
        <w:rPr>
          <w:rFonts w:asciiTheme="minorHAnsi" w:eastAsiaTheme="minorEastAsia" w:hAnsiTheme="minorHAnsi" w:cstheme="minorBidi"/>
          <w:noProof/>
          <w:kern w:val="2"/>
          <w:sz w:val="22"/>
          <w:lang w:eastAsia="en-GB"/>
          <w14:ligatures w14:val="standardContextual"/>
        </w:rPr>
      </w:pPr>
      <w:r>
        <w:rPr>
          <w:noProof/>
        </w:rPr>
        <w:t>1.6.</w:t>
      </w:r>
      <w:r>
        <w:rPr>
          <w:rFonts w:asciiTheme="minorHAnsi" w:eastAsiaTheme="minorEastAsia" w:hAnsiTheme="minorHAnsi" w:cstheme="minorBidi"/>
          <w:noProof/>
          <w:kern w:val="2"/>
          <w:sz w:val="22"/>
          <w:lang w:eastAsia="en-GB"/>
          <w14:ligatures w14:val="standardContextual"/>
        </w:rPr>
        <w:tab/>
      </w:r>
      <w:r>
        <w:rPr>
          <w:noProof/>
        </w:rPr>
        <w:t>Duration of the proposal/initiative and of its financial impact</w:t>
      </w:r>
      <w:r>
        <w:rPr>
          <w:noProof/>
          <w:webHidden/>
        </w:rPr>
        <w:tab/>
        <w:t>6</w:t>
      </w:r>
    </w:p>
    <w:p>
      <w:pPr>
        <w:pStyle w:val="TOC2"/>
        <w:rPr>
          <w:rFonts w:asciiTheme="minorHAnsi" w:eastAsiaTheme="minorEastAsia" w:hAnsiTheme="minorHAnsi" w:cstheme="minorBidi"/>
          <w:noProof/>
          <w:kern w:val="2"/>
          <w:sz w:val="22"/>
          <w:lang w:eastAsia="en-GB"/>
          <w14:ligatures w14:val="standardContextual"/>
        </w:rPr>
      </w:pPr>
      <w:r>
        <w:rPr>
          <w:noProof/>
        </w:rPr>
        <w:t>1.7.</w:t>
      </w:r>
      <w:r>
        <w:rPr>
          <w:rFonts w:asciiTheme="minorHAnsi" w:eastAsiaTheme="minorEastAsia" w:hAnsiTheme="minorHAnsi" w:cstheme="minorBidi"/>
          <w:noProof/>
          <w:kern w:val="2"/>
          <w:sz w:val="22"/>
          <w:lang w:eastAsia="en-GB"/>
          <w14:ligatures w14:val="standardContextual"/>
        </w:rPr>
        <w:tab/>
      </w:r>
      <w:r>
        <w:rPr>
          <w:noProof/>
        </w:rPr>
        <w:t>Method(s) of budget implementation planned</w:t>
      </w:r>
      <w:r>
        <w:rPr>
          <w:noProof/>
          <w:webHidden/>
        </w:rPr>
        <w:tab/>
        <w:t>6</w:t>
      </w:r>
    </w:p>
    <w:p>
      <w:pPr>
        <w:pStyle w:val="TOC1"/>
        <w:rPr>
          <w:rFonts w:asciiTheme="minorHAnsi" w:eastAsiaTheme="minorEastAsia" w:hAnsiTheme="minorHAnsi" w:cstheme="minorBidi"/>
          <w:noProof/>
          <w:kern w:val="2"/>
          <w:sz w:val="22"/>
          <w:lang w:eastAsia="en-GB"/>
          <w14:ligatures w14:val="standardContextual"/>
        </w:rPr>
      </w:pPr>
      <w:r>
        <w:rPr>
          <w:noProof/>
        </w:rPr>
        <w:t>2.</w:t>
      </w:r>
      <w:r>
        <w:rPr>
          <w:rFonts w:asciiTheme="minorHAnsi" w:eastAsiaTheme="minorEastAsia" w:hAnsiTheme="minorHAnsi" w:cstheme="minorBidi"/>
          <w:noProof/>
          <w:kern w:val="2"/>
          <w:sz w:val="22"/>
          <w:lang w:eastAsia="en-GB"/>
          <w14:ligatures w14:val="standardContextual"/>
        </w:rPr>
        <w:tab/>
      </w:r>
      <w:r>
        <w:rPr>
          <w:noProof/>
        </w:rPr>
        <w:t>MANAGEMENT MEASURES</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2.1.</w:t>
      </w:r>
      <w:r>
        <w:rPr>
          <w:rFonts w:asciiTheme="minorHAnsi" w:eastAsiaTheme="minorEastAsia" w:hAnsiTheme="minorHAnsi" w:cstheme="minorBidi"/>
          <w:noProof/>
          <w:kern w:val="2"/>
          <w:sz w:val="22"/>
          <w:lang w:eastAsia="en-GB"/>
          <w14:ligatures w14:val="standardContextual"/>
        </w:rPr>
        <w:tab/>
      </w:r>
      <w:r>
        <w:rPr>
          <w:noProof/>
        </w:rPr>
        <w:t>Monitoring and reporting rules</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2.2.</w:t>
      </w:r>
      <w:r>
        <w:rPr>
          <w:rFonts w:asciiTheme="minorHAnsi" w:eastAsiaTheme="minorEastAsia" w:hAnsiTheme="minorHAnsi" w:cstheme="minorBidi"/>
          <w:noProof/>
          <w:kern w:val="2"/>
          <w:sz w:val="22"/>
          <w:lang w:eastAsia="en-GB"/>
          <w14:ligatures w14:val="standardContextual"/>
        </w:rPr>
        <w:tab/>
      </w:r>
      <w:r>
        <w:rPr>
          <w:noProof/>
        </w:rPr>
        <w:t>Management and control system(s)</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2.2.1.</w:t>
      </w:r>
      <w:r>
        <w:rPr>
          <w:rFonts w:asciiTheme="minorHAnsi" w:eastAsiaTheme="minorEastAsia" w:hAnsiTheme="minorHAnsi" w:cstheme="minorBidi"/>
          <w:noProof/>
          <w:kern w:val="2"/>
          <w:sz w:val="22"/>
          <w:lang w:eastAsia="en-GB"/>
          <w14:ligatures w14:val="standardContextual"/>
        </w:rPr>
        <w:tab/>
      </w:r>
      <w:r>
        <w:rPr>
          <w:noProof/>
        </w:rPr>
        <w:t>Justification of the budget implementation method(s), the funding implementation mechanism(s), the payment modalities and the control strategy proposed</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2.2.2.</w:t>
      </w:r>
      <w:r>
        <w:rPr>
          <w:rFonts w:asciiTheme="minorHAnsi" w:eastAsiaTheme="minorEastAsia" w:hAnsiTheme="minorHAnsi" w:cstheme="minorBidi"/>
          <w:noProof/>
          <w:kern w:val="2"/>
          <w:sz w:val="22"/>
          <w:lang w:eastAsia="en-GB"/>
          <w14:ligatures w14:val="standardContextual"/>
        </w:rPr>
        <w:tab/>
      </w:r>
      <w:r>
        <w:rPr>
          <w:noProof/>
        </w:rPr>
        <w:t>Information concerning the risks identified and the internal control system(s) set up to mitigate them</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2.2.3.</w:t>
      </w:r>
      <w:r>
        <w:rPr>
          <w:rFonts w:asciiTheme="minorHAnsi" w:eastAsiaTheme="minorEastAsia" w:hAnsiTheme="minorHAnsi" w:cstheme="minorBidi"/>
          <w:noProof/>
          <w:kern w:val="2"/>
          <w:sz w:val="22"/>
          <w:lang w:eastAsia="en-GB"/>
          <w14:ligatures w14:val="standardContextual"/>
        </w:rPr>
        <w:tab/>
      </w:r>
      <w:r>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2.3.</w:t>
      </w:r>
      <w:r>
        <w:rPr>
          <w:rFonts w:asciiTheme="minorHAnsi" w:eastAsiaTheme="minorEastAsia" w:hAnsiTheme="minorHAnsi" w:cstheme="minorBidi"/>
          <w:noProof/>
          <w:kern w:val="2"/>
          <w:sz w:val="22"/>
          <w:lang w:eastAsia="en-GB"/>
          <w14:ligatures w14:val="standardContextual"/>
        </w:rPr>
        <w:tab/>
      </w:r>
      <w:r>
        <w:rPr>
          <w:noProof/>
        </w:rPr>
        <w:t>Measures to prevent fraud and irregularities</w:t>
      </w:r>
      <w:r>
        <w:rPr>
          <w:noProof/>
          <w:webHidden/>
        </w:rPr>
        <w:tab/>
        <w:t>9</w:t>
      </w:r>
    </w:p>
    <w:p>
      <w:pPr>
        <w:pStyle w:val="TOC1"/>
        <w:rPr>
          <w:rFonts w:asciiTheme="minorHAnsi" w:eastAsiaTheme="minorEastAsia" w:hAnsiTheme="minorHAnsi" w:cstheme="minorBidi"/>
          <w:noProof/>
          <w:kern w:val="2"/>
          <w:sz w:val="22"/>
          <w:lang w:eastAsia="en-GB"/>
          <w14:ligatures w14:val="standardContextual"/>
        </w:rPr>
      </w:pPr>
      <w:r>
        <w:rPr>
          <w:noProof/>
        </w:rPr>
        <w:t>3.</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PROPOSAL/INITIATIVE</w:t>
      </w:r>
      <w:r>
        <w:rPr>
          <w:noProof/>
          <w:webHidden/>
        </w:rPr>
        <w:tab/>
        <w:t>10</w:t>
      </w:r>
    </w:p>
    <w:p>
      <w:pPr>
        <w:pStyle w:val="TOC2"/>
        <w:rPr>
          <w:rFonts w:asciiTheme="minorHAnsi" w:eastAsiaTheme="minorEastAsia" w:hAnsiTheme="minorHAnsi" w:cstheme="minorBidi"/>
          <w:noProof/>
          <w:kern w:val="2"/>
          <w:sz w:val="22"/>
          <w:lang w:eastAsia="en-GB"/>
          <w14:ligatures w14:val="standardContextual"/>
        </w:rPr>
      </w:pPr>
      <w:r>
        <w:rPr>
          <w:noProof/>
        </w:rPr>
        <w:t>3.1.</w:t>
      </w:r>
      <w:r>
        <w:rPr>
          <w:rFonts w:asciiTheme="minorHAnsi" w:eastAsiaTheme="minorEastAsia" w:hAnsiTheme="minorHAnsi" w:cstheme="minorBidi"/>
          <w:noProof/>
          <w:kern w:val="2"/>
          <w:sz w:val="22"/>
          <w:lang w:eastAsia="en-GB"/>
          <w14:ligatures w14:val="standardContextual"/>
        </w:rPr>
        <w:tab/>
      </w:r>
      <w:r>
        <w:rPr>
          <w:noProof/>
        </w:rPr>
        <w:t>Heading(s) of the multiannual financial framework and expenditure budget line(s) affected</w:t>
      </w:r>
      <w:r>
        <w:rPr>
          <w:noProof/>
          <w:webHidden/>
        </w:rPr>
        <w:tab/>
        <w:t>10</w:t>
      </w:r>
    </w:p>
    <w:p>
      <w:pPr>
        <w:pStyle w:val="TOC2"/>
        <w:rPr>
          <w:rFonts w:asciiTheme="minorHAnsi" w:eastAsiaTheme="minorEastAsia" w:hAnsiTheme="minorHAnsi" w:cstheme="minorBidi"/>
          <w:noProof/>
          <w:kern w:val="2"/>
          <w:sz w:val="22"/>
          <w:lang w:eastAsia="en-GB"/>
          <w14:ligatures w14:val="standardContextual"/>
        </w:rPr>
      </w:pPr>
      <w:r>
        <w:rPr>
          <w:noProof/>
        </w:rPr>
        <w:t>3.2.</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 on appropriations</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3.2.1.</w:t>
      </w:r>
      <w:r>
        <w:rPr>
          <w:rFonts w:asciiTheme="minorHAnsi" w:eastAsiaTheme="minorEastAsia" w:hAnsiTheme="minorHAnsi" w:cstheme="minorBidi"/>
          <w:noProof/>
          <w:kern w:val="2"/>
          <w:sz w:val="22"/>
          <w:lang w:eastAsia="en-GB"/>
          <w14:ligatures w14:val="standardContextual"/>
        </w:rPr>
        <w:tab/>
      </w:r>
      <w:r>
        <w:rPr>
          <w:noProof/>
        </w:rPr>
        <w:t>Summary of estimated impact on operational appropriations</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3.2.1.1.</w:t>
      </w:r>
      <w:r>
        <w:rPr>
          <w:rFonts w:asciiTheme="minorHAnsi" w:eastAsiaTheme="minorEastAsia" w:hAnsiTheme="minorHAnsi" w:cstheme="minorBidi"/>
          <w:noProof/>
          <w:kern w:val="2"/>
          <w:sz w:val="22"/>
          <w:lang w:eastAsia="en-GB"/>
          <w14:ligatures w14:val="standardContextual"/>
        </w:rPr>
        <w:tab/>
      </w:r>
      <w:r>
        <w:rPr>
          <w:noProof/>
        </w:rPr>
        <w:t>Appropriations from voted budget</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3.2.1.2.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17</w:t>
      </w:r>
    </w:p>
    <w:p>
      <w:pPr>
        <w:pStyle w:val="TOC3"/>
        <w:rPr>
          <w:rFonts w:asciiTheme="minorHAnsi" w:eastAsiaTheme="minorEastAsia" w:hAnsiTheme="minorHAnsi" w:cstheme="minorBidi"/>
          <w:noProof/>
          <w:kern w:val="2"/>
          <w:sz w:val="22"/>
          <w:lang w:eastAsia="en-GB"/>
          <w14:ligatures w14:val="standardContextual"/>
        </w:rPr>
      </w:pPr>
      <w:r>
        <w:rPr>
          <w:noProof/>
        </w:rPr>
        <w:t>3.2.2.</w:t>
      </w:r>
      <w:r>
        <w:rPr>
          <w:rFonts w:asciiTheme="minorHAnsi" w:eastAsiaTheme="minorEastAsia" w:hAnsiTheme="minorHAnsi" w:cstheme="minorBidi"/>
          <w:noProof/>
          <w:kern w:val="2"/>
          <w:sz w:val="22"/>
          <w:lang w:eastAsia="en-GB"/>
          <w14:ligatures w14:val="standardContextual"/>
        </w:rPr>
        <w:tab/>
      </w:r>
      <w:r>
        <w:rPr>
          <w:noProof/>
        </w:rPr>
        <w:t>Estimated output funded from operational appropriations</w:t>
      </w:r>
      <w:r>
        <w:rPr>
          <w:noProof/>
          <w:webHidden/>
        </w:rPr>
        <w:tab/>
        <w:t>22</w:t>
      </w:r>
    </w:p>
    <w:p>
      <w:pPr>
        <w:pStyle w:val="TOC3"/>
        <w:rPr>
          <w:rFonts w:asciiTheme="minorHAnsi" w:eastAsiaTheme="minorEastAsia" w:hAnsiTheme="minorHAnsi" w:cstheme="minorBidi"/>
          <w:noProof/>
          <w:kern w:val="2"/>
          <w:sz w:val="22"/>
          <w:lang w:eastAsia="en-GB"/>
          <w14:ligatures w14:val="standardContextual"/>
        </w:rPr>
      </w:pPr>
      <w:r>
        <w:rPr>
          <w:noProof/>
        </w:rPr>
        <w:t>3.2.3.</w:t>
      </w:r>
      <w:r>
        <w:rPr>
          <w:rFonts w:asciiTheme="minorHAnsi" w:eastAsiaTheme="minorEastAsia" w:hAnsiTheme="minorHAnsi" w:cstheme="minorBidi"/>
          <w:noProof/>
          <w:kern w:val="2"/>
          <w:sz w:val="22"/>
          <w:lang w:eastAsia="en-GB"/>
          <w14:ligatures w14:val="standardContextual"/>
        </w:rPr>
        <w:tab/>
      </w:r>
      <w:r>
        <w:rPr>
          <w:noProof/>
        </w:rPr>
        <w:t>Summary of estimated impact on administrative appropriations</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 xml:space="preserve">3.2.3.1. Appropriations </w:t>
      </w:r>
      <w:r>
        <w:rPr>
          <w:rFonts w:eastAsia="Calibri"/>
          <w:noProof/>
        </w:rPr>
        <w:t>from</w:t>
      </w:r>
      <w:r>
        <w:rPr>
          <w:noProof/>
        </w:rPr>
        <w:t xml:space="preserve"> voted budget</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3.2.3.2.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3.2.3.3.</w:t>
      </w:r>
      <w:r>
        <w:rPr>
          <w:rFonts w:asciiTheme="minorHAnsi" w:eastAsiaTheme="minorEastAsia" w:hAnsiTheme="minorHAnsi" w:cstheme="minorBidi"/>
          <w:noProof/>
          <w:kern w:val="2"/>
          <w:sz w:val="22"/>
          <w:lang w:eastAsia="en-GB"/>
          <w14:ligatures w14:val="standardContextual"/>
        </w:rPr>
        <w:tab/>
      </w:r>
      <w:r>
        <w:rPr>
          <w:noProof/>
        </w:rPr>
        <w:t>Total appropriations</w:t>
      </w:r>
      <w:r>
        <w:rPr>
          <w:noProof/>
          <w:webHidden/>
        </w:rPr>
        <w:tab/>
        <w:t>24</w:t>
      </w:r>
    </w:p>
    <w:p>
      <w:pPr>
        <w:pStyle w:val="TOC3"/>
        <w:rPr>
          <w:rFonts w:asciiTheme="minorHAnsi" w:eastAsiaTheme="minorEastAsia" w:hAnsiTheme="minorHAnsi" w:cstheme="minorBidi"/>
          <w:noProof/>
          <w:kern w:val="2"/>
          <w:sz w:val="22"/>
          <w:lang w:eastAsia="en-GB"/>
          <w14:ligatures w14:val="standardContextual"/>
        </w:rPr>
      </w:pPr>
      <w:r>
        <w:rPr>
          <w:noProof/>
        </w:rPr>
        <w:t>3.2.4.</w:t>
      </w:r>
      <w:r>
        <w:rPr>
          <w:rFonts w:asciiTheme="minorHAnsi" w:eastAsiaTheme="minorEastAsia" w:hAnsiTheme="minorHAnsi" w:cstheme="minorBidi"/>
          <w:noProof/>
          <w:kern w:val="2"/>
          <w:sz w:val="22"/>
          <w:lang w:eastAsia="en-GB"/>
          <w14:ligatures w14:val="standardContextual"/>
        </w:rPr>
        <w:tab/>
      </w:r>
      <w:r>
        <w:rPr>
          <w:noProof/>
        </w:rPr>
        <w:t>Estimated requirements of human resources</w:t>
      </w:r>
      <w:r>
        <w:rPr>
          <w:noProof/>
          <w:webHidden/>
        </w:rPr>
        <w:tab/>
        <w:t>25</w:t>
      </w:r>
    </w:p>
    <w:p>
      <w:pPr>
        <w:pStyle w:val="TOC3"/>
        <w:rPr>
          <w:rFonts w:asciiTheme="minorHAnsi" w:eastAsiaTheme="minorEastAsia" w:hAnsiTheme="minorHAnsi" w:cstheme="minorBidi"/>
          <w:noProof/>
          <w:kern w:val="2"/>
          <w:sz w:val="22"/>
          <w:lang w:eastAsia="en-GB"/>
          <w14:ligatures w14:val="standardContextual"/>
        </w:rPr>
      </w:pPr>
      <w:r>
        <w:rPr>
          <w:noProof/>
        </w:rPr>
        <w:t>3.2.4.1.</w:t>
      </w:r>
      <w:r>
        <w:rPr>
          <w:rFonts w:asciiTheme="minorHAnsi" w:eastAsiaTheme="minorEastAsia" w:hAnsiTheme="minorHAnsi" w:cstheme="minorBidi"/>
          <w:noProof/>
          <w:kern w:val="2"/>
          <w:sz w:val="22"/>
          <w:lang w:eastAsia="en-GB"/>
          <w14:ligatures w14:val="standardContextual"/>
        </w:rPr>
        <w:tab/>
      </w:r>
      <w:r>
        <w:rPr>
          <w:noProof/>
        </w:rPr>
        <w:t>Financed from voted budget</w:t>
      </w:r>
      <w:r>
        <w:rPr>
          <w:noProof/>
          <w:webHidden/>
        </w:rPr>
        <w:tab/>
        <w:t>25</w:t>
      </w:r>
    </w:p>
    <w:p>
      <w:pPr>
        <w:pStyle w:val="TOC3"/>
        <w:rPr>
          <w:rFonts w:asciiTheme="minorHAnsi" w:eastAsiaTheme="minorEastAsia" w:hAnsiTheme="minorHAnsi" w:cstheme="minorBidi"/>
          <w:noProof/>
          <w:kern w:val="2"/>
          <w:sz w:val="22"/>
          <w:lang w:eastAsia="en-GB"/>
          <w14:ligatures w14:val="standardContextual"/>
        </w:rPr>
      </w:pPr>
      <w:r>
        <w:rPr>
          <w:noProof/>
        </w:rPr>
        <w:t>3.2.4.2.</w:t>
      </w:r>
      <w:r>
        <w:rPr>
          <w:rFonts w:asciiTheme="minorHAnsi" w:eastAsiaTheme="minorEastAsia" w:hAnsiTheme="minorHAnsi" w:cstheme="minorBidi"/>
          <w:noProof/>
          <w:kern w:val="2"/>
          <w:sz w:val="22"/>
          <w:lang w:eastAsia="en-GB"/>
          <w14:ligatures w14:val="standardContextual"/>
        </w:rPr>
        <w:tab/>
      </w:r>
      <w:r>
        <w:rPr>
          <w:noProof/>
        </w:rPr>
        <w:t>Financed from external assigned revenues</w:t>
      </w:r>
      <w:r>
        <w:rPr>
          <w:noProof/>
          <w:webHidden/>
        </w:rPr>
        <w:tab/>
        <w:t>26</w:t>
      </w:r>
    </w:p>
    <w:p>
      <w:pPr>
        <w:pStyle w:val="TOC3"/>
        <w:rPr>
          <w:rFonts w:asciiTheme="minorHAnsi" w:eastAsiaTheme="minorEastAsia" w:hAnsiTheme="minorHAnsi" w:cstheme="minorBidi"/>
          <w:noProof/>
          <w:kern w:val="2"/>
          <w:sz w:val="22"/>
          <w:lang w:eastAsia="en-GB"/>
          <w14:ligatures w14:val="standardContextual"/>
        </w:rPr>
      </w:pPr>
      <w:r>
        <w:rPr>
          <w:noProof/>
        </w:rPr>
        <w:t>3.2.4.3.</w:t>
      </w:r>
      <w:r>
        <w:rPr>
          <w:rFonts w:asciiTheme="minorHAnsi" w:eastAsiaTheme="minorEastAsia" w:hAnsiTheme="minorHAnsi" w:cstheme="minorBidi"/>
          <w:noProof/>
          <w:kern w:val="2"/>
          <w:sz w:val="22"/>
          <w:lang w:eastAsia="en-GB"/>
          <w14:ligatures w14:val="standardContextual"/>
        </w:rPr>
        <w:tab/>
      </w:r>
      <w:r>
        <w:rPr>
          <w:noProof/>
        </w:rPr>
        <w:t>Total requirements of human resources</w:t>
      </w:r>
      <w:r>
        <w:rPr>
          <w:noProof/>
          <w:webHidden/>
        </w:rPr>
        <w:tab/>
        <w:t>26</w:t>
      </w:r>
    </w:p>
    <w:p>
      <w:pPr>
        <w:pStyle w:val="TOC3"/>
        <w:rPr>
          <w:rFonts w:asciiTheme="minorHAnsi" w:eastAsiaTheme="minorEastAsia" w:hAnsiTheme="minorHAnsi" w:cstheme="minorBidi"/>
          <w:noProof/>
          <w:kern w:val="2"/>
          <w:sz w:val="22"/>
          <w:lang w:eastAsia="en-GB"/>
          <w14:ligatures w14:val="standardContextual"/>
        </w:rPr>
      </w:pPr>
      <w:r>
        <w:rPr>
          <w:noProof/>
        </w:rPr>
        <w:t>3.2.5.</w:t>
      </w:r>
      <w:r>
        <w:rPr>
          <w:rFonts w:asciiTheme="minorHAnsi" w:eastAsiaTheme="minorEastAsia" w:hAnsiTheme="minorHAnsi" w:cstheme="minorBidi"/>
          <w:noProof/>
          <w:kern w:val="2"/>
          <w:sz w:val="22"/>
          <w:lang w:eastAsia="en-GB"/>
          <w14:ligatures w14:val="standardContextual"/>
        </w:rPr>
        <w:tab/>
      </w:r>
      <w:r>
        <w:rPr>
          <w:noProof/>
        </w:rPr>
        <w:t>Overview of estimated impact on digital technology-related investments</w:t>
      </w:r>
      <w:r>
        <w:rPr>
          <w:noProof/>
          <w:webHidden/>
        </w:rPr>
        <w:tab/>
        <w:t>28</w:t>
      </w:r>
    </w:p>
    <w:p>
      <w:pPr>
        <w:pStyle w:val="TOC3"/>
        <w:rPr>
          <w:rFonts w:asciiTheme="minorHAnsi" w:eastAsiaTheme="minorEastAsia" w:hAnsiTheme="minorHAnsi" w:cstheme="minorBidi"/>
          <w:noProof/>
          <w:kern w:val="2"/>
          <w:sz w:val="22"/>
          <w:lang w:eastAsia="en-GB"/>
          <w14:ligatures w14:val="standardContextual"/>
        </w:rPr>
      </w:pPr>
      <w:r>
        <w:rPr>
          <w:noProof/>
        </w:rPr>
        <w:t>3.2.6.</w:t>
      </w:r>
      <w:r>
        <w:rPr>
          <w:rFonts w:asciiTheme="minorHAnsi" w:eastAsiaTheme="minorEastAsia" w:hAnsiTheme="minorHAnsi" w:cstheme="minorBidi"/>
          <w:noProof/>
          <w:kern w:val="2"/>
          <w:sz w:val="22"/>
          <w:lang w:eastAsia="en-GB"/>
          <w14:ligatures w14:val="standardContextual"/>
        </w:rPr>
        <w:tab/>
      </w:r>
      <w:r>
        <w:rPr>
          <w:noProof/>
        </w:rPr>
        <w:t>Compatibility with the current multiannual financial framework</w:t>
      </w:r>
      <w:r>
        <w:rPr>
          <w:noProof/>
          <w:webHidden/>
        </w:rPr>
        <w:tab/>
        <w:t>28</w:t>
      </w:r>
    </w:p>
    <w:p>
      <w:pPr>
        <w:pStyle w:val="TOC3"/>
        <w:rPr>
          <w:rFonts w:asciiTheme="minorHAnsi" w:eastAsiaTheme="minorEastAsia" w:hAnsiTheme="minorHAnsi" w:cstheme="minorBidi"/>
          <w:noProof/>
          <w:kern w:val="2"/>
          <w:sz w:val="22"/>
          <w:lang w:eastAsia="en-GB"/>
          <w14:ligatures w14:val="standardContextual"/>
        </w:rPr>
      </w:pPr>
      <w:r>
        <w:rPr>
          <w:noProof/>
        </w:rPr>
        <w:t>3.2.7.</w:t>
      </w:r>
      <w:r>
        <w:rPr>
          <w:rFonts w:asciiTheme="minorHAnsi" w:eastAsiaTheme="minorEastAsia" w:hAnsiTheme="minorHAnsi" w:cstheme="minorBidi"/>
          <w:noProof/>
          <w:kern w:val="2"/>
          <w:sz w:val="22"/>
          <w:lang w:eastAsia="en-GB"/>
          <w14:ligatures w14:val="standardContextual"/>
        </w:rPr>
        <w:tab/>
      </w:r>
      <w:r>
        <w:rPr>
          <w:noProof/>
        </w:rPr>
        <w:t>Third-party contributions</w:t>
      </w:r>
      <w:r>
        <w:rPr>
          <w:noProof/>
          <w:webHidden/>
        </w:rPr>
        <w:tab/>
        <w:t>28</w:t>
      </w:r>
    </w:p>
    <w:p>
      <w:pPr>
        <w:pStyle w:val="TOC2"/>
        <w:rPr>
          <w:rFonts w:asciiTheme="minorHAnsi" w:eastAsiaTheme="minorEastAsia" w:hAnsiTheme="minorHAnsi" w:cstheme="minorBidi"/>
          <w:noProof/>
          <w:kern w:val="2"/>
          <w:sz w:val="22"/>
          <w:lang w:eastAsia="en-GB"/>
          <w14:ligatures w14:val="standardContextual"/>
        </w:rPr>
      </w:pPr>
      <w:r>
        <w:rPr>
          <w:noProof/>
        </w:rPr>
        <w:t>3.3.</w:t>
      </w:r>
      <w:r>
        <w:rPr>
          <w:rFonts w:asciiTheme="minorHAnsi" w:eastAsiaTheme="minorEastAsia" w:hAnsiTheme="minorHAnsi" w:cstheme="minorBidi"/>
          <w:noProof/>
          <w:kern w:val="2"/>
          <w:sz w:val="22"/>
          <w:lang w:eastAsia="en-GB"/>
          <w14:ligatures w14:val="standardContextual"/>
        </w:rPr>
        <w:tab/>
      </w:r>
      <w:r>
        <w:rPr>
          <w:noProof/>
        </w:rPr>
        <w:t>Estimated impact on revenue</w:t>
      </w:r>
      <w:r>
        <w:rPr>
          <w:noProof/>
          <w:webHidden/>
        </w:rPr>
        <w:tab/>
        <w:t>29</w:t>
      </w:r>
    </w:p>
    <w:p>
      <w:pPr>
        <w:pStyle w:val="TOC1"/>
        <w:rPr>
          <w:rFonts w:asciiTheme="minorHAnsi" w:eastAsiaTheme="minorEastAsia" w:hAnsiTheme="minorHAnsi" w:cstheme="minorBidi"/>
          <w:noProof/>
          <w:kern w:val="2"/>
          <w:sz w:val="22"/>
          <w:lang w:eastAsia="en-GB"/>
          <w14:ligatures w14:val="standardContextual"/>
        </w:rPr>
      </w:pPr>
      <w:r>
        <w:rPr>
          <w:noProof/>
        </w:rPr>
        <w:t>4.</w:t>
      </w:r>
      <w:r>
        <w:rPr>
          <w:rFonts w:asciiTheme="minorHAnsi" w:eastAsiaTheme="minorEastAsia" w:hAnsiTheme="minorHAnsi" w:cstheme="minorBidi"/>
          <w:noProof/>
          <w:kern w:val="2"/>
          <w:sz w:val="22"/>
          <w:lang w:eastAsia="en-GB"/>
          <w14:ligatures w14:val="standardContextual"/>
        </w:rPr>
        <w:tab/>
      </w:r>
      <w:r>
        <w:rPr>
          <w:caps/>
          <w:noProof/>
        </w:rPr>
        <w:t>Digital dimensions</w:t>
      </w:r>
      <w:r>
        <w:rPr>
          <w:noProof/>
          <w:webHidden/>
        </w:rPr>
        <w:tab/>
        <w:t>29</w:t>
      </w:r>
    </w:p>
    <w:p>
      <w:pPr>
        <w:pStyle w:val="TOC2"/>
        <w:rPr>
          <w:rFonts w:asciiTheme="minorHAnsi" w:eastAsiaTheme="minorEastAsia" w:hAnsiTheme="minorHAnsi" w:cstheme="minorBidi"/>
          <w:noProof/>
          <w:kern w:val="2"/>
          <w:sz w:val="22"/>
          <w:lang w:eastAsia="en-GB"/>
          <w14:ligatures w14:val="standardContextual"/>
        </w:rPr>
      </w:pPr>
      <w:r>
        <w:rPr>
          <w:noProof/>
        </w:rPr>
        <w:t>4.1.</w:t>
      </w:r>
      <w:r>
        <w:rPr>
          <w:rFonts w:asciiTheme="minorHAnsi" w:eastAsiaTheme="minorEastAsia" w:hAnsiTheme="minorHAnsi" w:cstheme="minorBidi"/>
          <w:noProof/>
          <w:kern w:val="2"/>
          <w:sz w:val="22"/>
          <w:lang w:eastAsia="en-GB"/>
          <w14:ligatures w14:val="standardContextual"/>
        </w:rPr>
        <w:tab/>
      </w:r>
      <w:r>
        <w:rPr>
          <w:noProof/>
        </w:rPr>
        <w:t>Requirements of digital relevance</w:t>
      </w:r>
      <w:r>
        <w:rPr>
          <w:noProof/>
          <w:webHidden/>
        </w:rPr>
        <w:tab/>
        <w:t>30</w:t>
      </w:r>
    </w:p>
    <w:p>
      <w:pPr>
        <w:pStyle w:val="TOC2"/>
        <w:rPr>
          <w:rFonts w:asciiTheme="minorHAnsi" w:eastAsiaTheme="minorEastAsia" w:hAnsiTheme="minorHAnsi" w:cstheme="minorBidi"/>
          <w:noProof/>
          <w:kern w:val="2"/>
          <w:sz w:val="22"/>
          <w:lang w:eastAsia="en-GB"/>
          <w14:ligatures w14:val="standardContextual"/>
        </w:rPr>
      </w:pPr>
      <w:r>
        <w:rPr>
          <w:noProof/>
        </w:rPr>
        <w:t>4.2.</w:t>
      </w:r>
      <w:r>
        <w:rPr>
          <w:rFonts w:asciiTheme="minorHAnsi" w:eastAsiaTheme="minorEastAsia" w:hAnsiTheme="minorHAnsi" w:cstheme="minorBidi"/>
          <w:noProof/>
          <w:kern w:val="2"/>
          <w:sz w:val="22"/>
          <w:lang w:eastAsia="en-GB"/>
          <w14:ligatures w14:val="standardContextual"/>
        </w:rPr>
        <w:tab/>
      </w:r>
      <w:r>
        <w:rPr>
          <w:noProof/>
        </w:rPr>
        <w:t>Data</w:t>
      </w:r>
      <w:r>
        <w:rPr>
          <w:noProof/>
          <w:webHidden/>
        </w:rPr>
        <w:tab/>
        <w:t>30</w:t>
      </w:r>
    </w:p>
    <w:p>
      <w:pPr>
        <w:pStyle w:val="TOC2"/>
        <w:rPr>
          <w:rFonts w:asciiTheme="minorHAnsi" w:eastAsiaTheme="minorEastAsia" w:hAnsiTheme="minorHAnsi" w:cstheme="minorBidi"/>
          <w:noProof/>
          <w:kern w:val="2"/>
          <w:sz w:val="22"/>
          <w:lang w:eastAsia="en-GB"/>
          <w14:ligatures w14:val="standardContextual"/>
        </w:rPr>
      </w:pPr>
      <w:r>
        <w:rPr>
          <w:noProof/>
        </w:rPr>
        <w:t>4.3.</w:t>
      </w:r>
      <w:r>
        <w:rPr>
          <w:rFonts w:asciiTheme="minorHAnsi" w:eastAsiaTheme="minorEastAsia" w:hAnsiTheme="minorHAnsi" w:cstheme="minorBidi"/>
          <w:noProof/>
          <w:kern w:val="2"/>
          <w:sz w:val="22"/>
          <w:lang w:eastAsia="en-GB"/>
          <w14:ligatures w14:val="standardContextual"/>
        </w:rPr>
        <w:tab/>
      </w:r>
      <w:r>
        <w:rPr>
          <w:noProof/>
        </w:rPr>
        <w:t>Digital solutions</w:t>
      </w:r>
      <w:r>
        <w:rPr>
          <w:noProof/>
          <w:webHidden/>
        </w:rPr>
        <w:tab/>
        <w:t>31</w:t>
      </w:r>
    </w:p>
    <w:p>
      <w:pPr>
        <w:pStyle w:val="TOC2"/>
        <w:rPr>
          <w:rFonts w:asciiTheme="minorHAnsi" w:eastAsiaTheme="minorEastAsia" w:hAnsiTheme="minorHAnsi" w:cstheme="minorBidi"/>
          <w:noProof/>
          <w:kern w:val="2"/>
          <w:sz w:val="22"/>
          <w:lang w:eastAsia="en-GB"/>
          <w14:ligatures w14:val="standardContextual"/>
        </w:rPr>
      </w:pPr>
      <w:r>
        <w:rPr>
          <w:bCs/>
          <w:noProof/>
        </w:rPr>
        <w:t>4.4.</w:t>
      </w:r>
      <w:r>
        <w:rPr>
          <w:rFonts w:asciiTheme="minorHAnsi" w:eastAsiaTheme="minorEastAsia" w:hAnsiTheme="minorHAnsi" w:cstheme="minorBidi"/>
          <w:noProof/>
          <w:kern w:val="2"/>
          <w:sz w:val="22"/>
          <w:lang w:eastAsia="en-GB"/>
          <w14:ligatures w14:val="standardContextual"/>
        </w:rPr>
        <w:tab/>
      </w:r>
      <w:r>
        <w:rPr>
          <w:bCs/>
          <w:noProof/>
        </w:rPr>
        <w:t>Interoperability assessment</w:t>
      </w:r>
      <w:r>
        <w:rPr>
          <w:noProof/>
          <w:webHidden/>
        </w:rPr>
        <w:tab/>
        <w:t>31</w:t>
      </w:r>
    </w:p>
    <w:p>
      <w:pPr>
        <w:pStyle w:val="TOC2"/>
        <w:rPr>
          <w:rFonts w:asciiTheme="minorHAnsi" w:eastAsiaTheme="minorEastAsia" w:hAnsiTheme="minorHAnsi" w:cstheme="minorBidi"/>
          <w:noProof/>
          <w:kern w:val="2"/>
          <w:sz w:val="22"/>
          <w:lang w:eastAsia="en-GB"/>
          <w14:ligatures w14:val="standardContextual"/>
        </w:rPr>
      </w:pPr>
      <w:r>
        <w:rPr>
          <w:noProof/>
        </w:rPr>
        <w:t>4.5.</w:t>
      </w:r>
      <w:r>
        <w:rPr>
          <w:rFonts w:asciiTheme="minorHAnsi" w:eastAsiaTheme="minorEastAsia" w:hAnsiTheme="minorHAnsi" w:cstheme="minorBidi"/>
          <w:noProof/>
          <w:kern w:val="2"/>
          <w:sz w:val="22"/>
          <w:lang w:eastAsia="en-GB"/>
          <w14:ligatures w14:val="standardContextual"/>
        </w:rPr>
        <w:tab/>
      </w:r>
      <w:r>
        <w:rPr>
          <w:noProof/>
        </w:rPr>
        <w:t>Measures to support digital implementation</w:t>
      </w:r>
      <w:r>
        <w:rPr>
          <w:noProof/>
          <w:webHidden/>
        </w:rPr>
        <w:tab/>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0" w:name="_Toc514938007"/>
      <w:bookmarkStart w:id="1" w:name="_Toc520485025"/>
      <w:bookmarkStart w:id="2" w:name="_Toc160804567"/>
      <w:bookmarkStart w:id="3" w:name="_Toc167220259"/>
      <w:bookmarkStart w:id="4" w:name="_Toc177548992"/>
      <w:r>
        <w:rPr>
          <w:noProof/>
        </w:rPr>
        <w:t>1.</w:t>
      </w:r>
      <w:r>
        <w:rPr>
          <w:noProof/>
        </w:rPr>
        <w:tab/>
        <w:t>FRAMEWORK OF THE PROPOSAL/INITIATIVE</w:t>
      </w:r>
      <w:bookmarkEnd w:id="0"/>
      <w:bookmarkEnd w:id="1"/>
      <w:bookmarkEnd w:id="2"/>
      <w:bookmarkEnd w:id="3"/>
      <w:bookmarkEnd w:id="4"/>
      <w:r>
        <w:rPr>
          <w:noProof/>
        </w:rPr>
        <w:t xml:space="preserve"> </w:t>
      </w:r>
    </w:p>
    <w:p>
      <w:pPr>
        <w:pStyle w:val="ManualHeading2"/>
        <w:rPr>
          <w:noProof/>
        </w:rPr>
      </w:pPr>
      <w:bookmarkStart w:id="5" w:name="_Toc514938008"/>
      <w:bookmarkStart w:id="6" w:name="_Toc520485026"/>
      <w:bookmarkStart w:id="7" w:name="_Toc160804568"/>
      <w:bookmarkStart w:id="8" w:name="_Toc167220260"/>
      <w:bookmarkStart w:id="9" w:name="_Toc177548993"/>
      <w:r>
        <w:rPr>
          <w:noProof/>
        </w:rPr>
        <w:t>1.1.</w:t>
      </w:r>
      <w:r>
        <w:rPr>
          <w:noProof/>
        </w:rPr>
        <w:tab/>
        <w:t>Title of the proposal/initiative</w:t>
      </w:r>
      <w:bookmarkEnd w:id="5"/>
      <w:bookmarkEnd w:id="6"/>
      <w:bookmarkEnd w:id="7"/>
      <w:bookmarkEnd w:id="8"/>
      <w:bookmarkEnd w:id="9"/>
    </w:p>
    <w:p>
      <w:pPr>
        <w:pStyle w:val="Text1"/>
        <w:pBdr>
          <w:top w:val="single" w:sz="4" w:space="1" w:color="auto"/>
          <w:left w:val="single" w:sz="4" w:space="4" w:color="auto"/>
          <w:bottom w:val="single" w:sz="4" w:space="1" w:color="auto"/>
          <w:right w:val="single" w:sz="4" w:space="4" w:color="auto"/>
        </w:pBdr>
        <w:rPr>
          <w:noProof/>
        </w:rPr>
      </w:pPr>
      <w:r>
        <w:rPr>
          <w:noProof/>
        </w:rPr>
        <w:t>Proposal for a Council Regulation opening and providing for the management of autonomous Union tariff quotas for certain fishery products for the period 1 January – 31 December 2027.</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i/>
          <w:noProof/>
        </w:rPr>
      </w:pPr>
      <w:bookmarkStart w:id="10" w:name="_Toc514938011"/>
      <w:bookmarkStart w:id="11" w:name="_Toc520485027"/>
      <w:bookmarkStart w:id="12" w:name="_Toc160804569"/>
      <w:bookmarkStart w:id="13" w:name="_Toc167220261"/>
      <w:bookmarkStart w:id="14" w:name="_Toc177548994"/>
      <w:r>
        <w:rPr>
          <w:noProof/>
        </w:rPr>
        <w:t>1.2.</w:t>
      </w:r>
      <w:r>
        <w:rPr>
          <w:noProof/>
        </w:rPr>
        <w:tab/>
        <w:t>Policy area(s) concerned</w:t>
      </w:r>
      <w:bookmarkEnd w:id="10"/>
      <w:bookmarkEnd w:id="11"/>
      <w:bookmarkEnd w:id="12"/>
      <w:bookmarkEnd w:id="13"/>
      <w:bookmarkEnd w:id="14"/>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EU trade and fisheries policies.</w:t>
      </w:r>
    </w:p>
    <w:p>
      <w:pPr>
        <w:pStyle w:val="ManualHeading2"/>
        <w:rPr>
          <w:noProof/>
        </w:rPr>
      </w:pPr>
      <w:bookmarkStart w:id="15" w:name="_Toc514938015"/>
      <w:bookmarkStart w:id="16" w:name="_Toc520485029"/>
      <w:bookmarkStart w:id="17" w:name="_Toc160804571"/>
      <w:bookmarkStart w:id="18" w:name="_Toc167220263"/>
      <w:bookmarkStart w:id="19" w:name="_Toc177548995"/>
      <w:r>
        <w:rPr>
          <w:noProof/>
        </w:rPr>
        <w:t>1.3.</w:t>
      </w:r>
      <w:r>
        <w:rPr>
          <w:noProof/>
        </w:rPr>
        <w:tab/>
        <w:t>Objective(s)</w:t>
      </w:r>
      <w:bookmarkEnd w:id="15"/>
      <w:bookmarkEnd w:id="16"/>
      <w:bookmarkEnd w:id="17"/>
      <w:bookmarkEnd w:id="18"/>
      <w:bookmarkEnd w:id="19"/>
    </w:p>
    <w:p>
      <w:pPr>
        <w:pStyle w:val="ManualHeading3"/>
        <w:rPr>
          <w:noProof/>
        </w:rPr>
      </w:pPr>
      <w:bookmarkStart w:id="20" w:name="_Toc514938016"/>
      <w:bookmarkStart w:id="21" w:name="_Toc520485030"/>
      <w:bookmarkStart w:id="22" w:name="_Toc160804572"/>
      <w:bookmarkStart w:id="23" w:name="_Toc167220264"/>
      <w:bookmarkStart w:id="24" w:name="_Toc177548996"/>
      <w:r>
        <w:rPr>
          <w:noProof/>
        </w:rPr>
        <w:t>1.3.1.</w:t>
      </w:r>
      <w:r>
        <w:rPr>
          <w:noProof/>
        </w:rPr>
        <w:tab/>
        <w:t>General objective(s)</w:t>
      </w:r>
      <w:bookmarkEnd w:id="20"/>
      <w:bookmarkEnd w:id="21"/>
      <w:bookmarkEnd w:id="22"/>
      <w:bookmarkEnd w:id="23"/>
      <w:bookmarkEnd w:id="24"/>
    </w:p>
    <w:p>
      <w:pPr>
        <w:pStyle w:val="Text1"/>
        <w:pBdr>
          <w:top w:val="single" w:sz="4" w:space="1" w:color="auto"/>
          <w:left w:val="single" w:sz="4" w:space="4" w:color="auto"/>
          <w:bottom w:val="single" w:sz="4" w:space="1" w:color="auto"/>
          <w:right w:val="single" w:sz="4" w:space="4" w:color="auto"/>
        </w:pBdr>
        <w:rPr>
          <w:noProof/>
        </w:rPr>
      </w:pPr>
      <w:r>
        <w:rPr>
          <w:noProof/>
          <w:lang w:val="en-IE"/>
        </w:rPr>
        <w:t>The general objective of the ATQ regime is to address a structural trade deficit in the EU aquatic food market and support the competitiveness of the EU processing sector</w:t>
      </w:r>
      <w:r>
        <w:rPr>
          <w:noProof/>
        </w:rPr>
        <w:t>.</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25" w:name="_Toc514938018"/>
      <w:bookmarkStart w:id="26" w:name="_Toc520485031"/>
      <w:bookmarkStart w:id="27" w:name="_Toc160804573"/>
      <w:bookmarkStart w:id="28" w:name="_Toc167220265"/>
      <w:bookmarkStart w:id="29" w:name="_Toc177548997"/>
      <w:r>
        <w:rPr>
          <w:noProof/>
        </w:rPr>
        <w:t>1.3.2.</w:t>
      </w:r>
      <w:r>
        <w:rPr>
          <w:noProof/>
        </w:rPr>
        <w:tab/>
        <w:t>Specific objective(s)</w:t>
      </w:r>
      <w:bookmarkEnd w:id="25"/>
      <w:bookmarkEnd w:id="26"/>
      <w:bookmarkEnd w:id="27"/>
      <w:bookmarkEnd w:id="28"/>
      <w:bookmarkEnd w:id="29"/>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Improving the accessibility and availability of raw materials and or semi-finished goods that are not available through EU production (fishing or aquaculture) in sufficient quantities and/or at a competitive price; and</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Ensuring that ATQs are adapted to market conditions (for example, structural gap between EU demand and limits of EU production, and changes in trade flows) and the needs of EU seafood processors (for example, growing demand for a specific product), without adversely impacting EU producers.</w:t>
      </w:r>
    </w:p>
    <w:p>
      <w:pPr>
        <w:pStyle w:val="ManualHeading3"/>
        <w:rPr>
          <w:noProof/>
        </w:rPr>
      </w:pPr>
      <w:bookmarkStart w:id="30" w:name="_Toc514938019"/>
      <w:bookmarkStart w:id="31" w:name="_Toc520485032"/>
      <w:bookmarkStart w:id="32" w:name="_Toc160804574"/>
      <w:bookmarkStart w:id="33" w:name="_Toc167220266"/>
      <w:bookmarkStart w:id="34" w:name="_Toc177548998"/>
      <w:r>
        <w:rPr>
          <w:noProof/>
        </w:rPr>
        <w:t>1.3.3.</w:t>
      </w:r>
      <w:r>
        <w:rPr>
          <w:noProof/>
        </w:rPr>
        <w:tab/>
        <w:t>Expected result(s) and impact</w:t>
      </w:r>
      <w:bookmarkEnd w:id="30"/>
      <w:bookmarkEnd w:id="31"/>
      <w:bookmarkEnd w:id="32"/>
      <w:bookmarkEnd w:id="33"/>
      <w:bookmarkEnd w:id="34"/>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The expected result of the ATQ regime in terms of outputs is a list of raw materials and their volume for which custom duties are exempted partially or totally, that are consistent with the need of the EU processing sector. In the medium to long-term, the  ATQ regime is expected to improve competitiveness of EU aquatic food processors, without adversely impacting EU producers.</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35" w:name="_Toc514938023"/>
      <w:bookmarkStart w:id="36" w:name="_Toc520485033"/>
      <w:bookmarkStart w:id="37" w:name="_Toc160804575"/>
      <w:bookmarkStart w:id="38" w:name="_Toc167220267"/>
      <w:bookmarkStart w:id="39" w:name="_Toc177548999"/>
      <w:r>
        <w:rPr>
          <w:noProof/>
        </w:rPr>
        <w:t>1.3.4.</w:t>
      </w:r>
      <w:r>
        <w:rPr>
          <w:noProof/>
        </w:rPr>
        <w:tab/>
        <w:t>Indicators of performance</w:t>
      </w:r>
      <w:bookmarkEnd w:id="35"/>
      <w:bookmarkEnd w:id="36"/>
      <w:bookmarkEnd w:id="37"/>
      <w:bookmarkEnd w:id="38"/>
      <w:bookmarkEnd w:id="39"/>
    </w:p>
    <w:p>
      <w:pPr>
        <w:pStyle w:val="Text1"/>
        <w:rPr>
          <w:i/>
          <w:noProof/>
          <w:sz w:val="20"/>
        </w:rPr>
      </w:pPr>
      <w:r>
        <w:rPr>
          <w:i/>
          <w:noProof/>
          <w:sz w:val="20"/>
        </w:rPr>
        <w:t>Specify the indicators for monitoring progress and achievements.</w:t>
      </w:r>
    </w:p>
    <w:p>
      <w:pPr>
        <w:pStyle w:val="Text1"/>
        <w:pBdr>
          <w:top w:val="single" w:sz="4" w:space="1" w:color="auto"/>
          <w:left w:val="single" w:sz="4" w:space="4" w:color="auto"/>
          <w:bottom w:val="single" w:sz="4" w:space="1" w:color="auto"/>
          <w:right w:val="single" w:sz="4" w:space="4" w:color="auto"/>
        </w:pBdr>
        <w:rPr>
          <w:noProof/>
        </w:rPr>
      </w:pPr>
      <w:r>
        <w:rPr>
          <w:noProof/>
        </w:rPr>
        <w:t xml:space="preserve">EU processing industry’s access to raw materials and semi-finished goods is maintained or improved in terms of volume and price as over the period 2024-2026. The ATQ regime has remained responsive to evolving market conditions and stakeholders’ needs throughout 2027. </w:t>
      </w:r>
    </w:p>
    <w:p>
      <w:pPr>
        <w:pStyle w:val="ManualHeading2"/>
        <w:rPr>
          <w:noProof/>
        </w:rPr>
      </w:pPr>
      <w:bookmarkStart w:id="40" w:name="_Toc177549000"/>
      <w:r>
        <w:rPr>
          <w:noProof/>
        </w:rPr>
        <w:t>1.4.</w:t>
      </w:r>
      <w:r>
        <w:rPr>
          <w:noProof/>
        </w:rPr>
        <w:tab/>
        <w:t>The proposal/initiative relates to:</w:t>
      </w:r>
      <w:bookmarkEnd w:id="40"/>
      <w:r>
        <w:rPr>
          <w:noProof/>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w:t>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 following a pilot project / preparatory action</w:t>
      </w:r>
      <w:r>
        <w:rPr>
          <w:rStyle w:val="FootnoteReference"/>
          <w:noProof/>
        </w:rPr>
        <w:footnoteReference w:id="3"/>
      </w:r>
      <w:r>
        <w:rPr>
          <w:noProof/>
          <w:sz w:val="22"/>
        </w:rPr>
        <w:t xml:space="preserve"> </w:t>
      </w:r>
    </w:p>
    <w:p>
      <w:pPr>
        <w:pStyle w:val="Text1"/>
        <w:rPr>
          <w:noProof/>
          <w:sz w:val="22"/>
        </w:rPr>
      </w:pPr>
      <w:r>
        <w:rPr>
          <w:rFonts w:ascii="Wingdings" w:eastAsia="Wingdings" w:hAnsi="Wingdings" w:cs="Wingdings"/>
          <w:noProof/>
          <w:sz w:val="22"/>
        </w:rPr>
        <w:t>x</w:t>
      </w:r>
      <w:r>
        <w:rPr>
          <w:i/>
          <w:iCs/>
          <w:noProof/>
          <w:sz w:val="22"/>
        </w:rPr>
        <w:t xml:space="preserve"> </w:t>
      </w:r>
      <w:r>
        <w:rPr>
          <w:noProof/>
        </w:rPr>
        <w:t>the extension of an existing action</w:t>
      </w:r>
      <w:r>
        <w:rPr>
          <w:noProof/>
          <w:sz w:val="22"/>
        </w:rPr>
        <w:t xml:space="preserve"> </w:t>
      </w:r>
    </w:p>
    <w:p>
      <w:pPr>
        <w:pStyle w:val="Text1"/>
        <w:rPr>
          <w:noProof/>
        </w:rPr>
      </w:pPr>
      <w:r>
        <w:rPr>
          <w:rFonts w:ascii="Wingdings" w:eastAsia="Wingdings" w:hAnsi="Wingdings" w:cs="Wingdings"/>
          <w:noProof/>
          <w:sz w:val="22"/>
        </w:rPr>
        <w:t>¨</w:t>
      </w:r>
      <w:r>
        <w:rPr>
          <w:i/>
          <w:iCs/>
          <w:noProof/>
          <w:sz w:val="22"/>
        </w:rPr>
        <w:t xml:space="preserve"> </w:t>
      </w:r>
      <w:r>
        <w:rPr>
          <w:noProof/>
        </w:rPr>
        <w:t>a merger or redirection of one or more actions towards another/a new action</w:t>
      </w:r>
    </w:p>
    <w:p>
      <w:pPr>
        <w:pStyle w:val="ManualHeading2"/>
        <w:rPr>
          <w:bCs/>
          <w:noProof/>
          <w:szCs w:val="24"/>
        </w:rPr>
      </w:pPr>
      <w:bookmarkStart w:id="41" w:name="_Toc514938025"/>
      <w:bookmarkStart w:id="42" w:name="_Toc520485034"/>
      <w:bookmarkStart w:id="43" w:name="_Toc160804576"/>
      <w:bookmarkStart w:id="44" w:name="_Toc167220268"/>
      <w:bookmarkStart w:id="45" w:name="_Toc177549001"/>
      <w:r>
        <w:rPr>
          <w:noProof/>
        </w:rPr>
        <w:t>1.5.</w:t>
      </w:r>
      <w:r>
        <w:rPr>
          <w:noProof/>
        </w:rPr>
        <w:tab/>
        <w:t>Grounds for the proposal/initiative</w:t>
      </w:r>
      <w:bookmarkEnd w:id="41"/>
      <w:bookmarkEnd w:id="42"/>
      <w:bookmarkEnd w:id="43"/>
      <w:bookmarkEnd w:id="44"/>
      <w:bookmarkEnd w:id="45"/>
      <w:r>
        <w:rPr>
          <w:noProof/>
        </w:rPr>
        <w:t xml:space="preserve"> </w:t>
      </w:r>
    </w:p>
    <w:p>
      <w:pPr>
        <w:pStyle w:val="ManualHeading3"/>
        <w:rPr>
          <w:noProof/>
        </w:rPr>
      </w:pPr>
      <w:bookmarkStart w:id="46" w:name="_Toc514938026"/>
      <w:bookmarkStart w:id="47" w:name="_Toc520485035"/>
      <w:bookmarkStart w:id="48" w:name="_Toc160804577"/>
      <w:bookmarkStart w:id="49" w:name="_Toc167220269"/>
      <w:bookmarkStart w:id="50" w:name="_Toc177549002"/>
      <w:r>
        <w:rPr>
          <w:noProof/>
        </w:rPr>
        <w:t>1.5.1.</w:t>
      </w:r>
      <w:r>
        <w:rPr>
          <w:noProof/>
        </w:rPr>
        <w:tab/>
        <w:t>Requirement(s) to be met in the short or long term including a detailed timeline for roll-out of the implementation of the initiative</w:t>
      </w:r>
      <w:bookmarkEnd w:id="46"/>
      <w:bookmarkEnd w:id="47"/>
      <w:bookmarkEnd w:id="48"/>
      <w:bookmarkEnd w:id="49"/>
      <w:bookmarkEnd w:id="50"/>
    </w:p>
    <w:p>
      <w:pPr>
        <w:pStyle w:val="Text1"/>
        <w:pBdr>
          <w:top w:val="single" w:sz="4" w:space="1" w:color="auto"/>
          <w:left w:val="single" w:sz="4" w:space="4" w:color="auto"/>
          <w:bottom w:val="single" w:sz="4" w:space="1" w:color="auto"/>
          <w:right w:val="single" w:sz="4" w:space="4" w:color="auto"/>
        </w:pBdr>
        <w:rPr>
          <w:noProof/>
        </w:rPr>
      </w:pPr>
      <w:r>
        <w:rPr>
          <w:noProof/>
        </w:rPr>
        <w:t xml:space="preserve"> The proposal extends the validity of the autonomous tariff quotas laid down in the Council Regulation (EU) 2023/2720 until 31 December 2027.  </w:t>
      </w:r>
    </w:p>
    <w:p>
      <w:pPr>
        <w:pStyle w:val="ManualHeading3"/>
        <w:rPr>
          <w:bCs/>
          <w:noProof/>
          <w:szCs w:val="24"/>
        </w:rPr>
      </w:pPr>
      <w:bookmarkStart w:id="51" w:name="_Toc514938029"/>
      <w:bookmarkStart w:id="52" w:name="_Toc520485036"/>
      <w:bookmarkStart w:id="53" w:name="_Toc160804578"/>
      <w:bookmarkStart w:id="54" w:name="_Toc167220270"/>
      <w:bookmarkStart w:id="55" w:name="_Toc177549003"/>
      <w:r>
        <w:rPr>
          <w:noProof/>
        </w:rPr>
        <w:t>1.5.2.</w:t>
      </w:r>
      <w:r>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51"/>
      <w:bookmarkEnd w:id="52"/>
      <w:bookmarkEnd w:id="53"/>
      <w:bookmarkEnd w:id="54"/>
      <w:bookmarkEnd w:id="55"/>
    </w:p>
    <w:p>
      <w:pPr>
        <w:pStyle w:val="Text1"/>
        <w:pBdr>
          <w:top w:val="single" w:sz="4" w:space="1" w:color="auto"/>
          <w:left w:val="single" w:sz="4" w:space="4" w:color="auto"/>
          <w:bottom w:val="single" w:sz="4" w:space="1" w:color="auto"/>
          <w:right w:val="single" w:sz="4" w:space="4" w:color="auto"/>
        </w:pBdr>
        <w:rPr>
          <w:noProof/>
        </w:rPr>
      </w:pPr>
      <w:r>
        <w:rPr>
          <w:noProof/>
        </w:rPr>
        <w:t>The ATQ regime provides clear EU added value because its objectives cannot be achieved by Member States acting individually. Under Article 3(1)(a) TFEU, the customs union is an area of exclusive EU competence, meaning that Member States cannot set national customs duties, tariff suspensions, or autonomous quotas.</w:t>
      </w:r>
    </w:p>
    <w:p>
      <w:pPr>
        <w:pStyle w:val="Text1"/>
        <w:pBdr>
          <w:top w:val="single" w:sz="4" w:space="1" w:color="auto"/>
          <w:left w:val="single" w:sz="4" w:space="4" w:color="auto"/>
          <w:bottom w:val="single" w:sz="4" w:space="1" w:color="auto"/>
          <w:right w:val="single" w:sz="4" w:space="4" w:color="auto"/>
        </w:pBdr>
        <w:rPr>
          <w:noProof/>
        </w:rPr>
      </w:pPr>
      <w:r>
        <w:rPr>
          <w:noProof/>
        </w:rPr>
        <w:t xml:space="preserve">ATQ regime ensures uniform access conditions for raw materials across the single market, avoids competitive distortions that would arise from divergent national approaches, and provides predictable tariff conditions for EU processors. </w:t>
      </w:r>
    </w:p>
    <w:p>
      <w:pPr>
        <w:pStyle w:val="ManualHeading3"/>
        <w:rPr>
          <w:noProof/>
        </w:rPr>
      </w:pPr>
      <w:bookmarkStart w:id="56" w:name="_Toc514938030"/>
      <w:bookmarkStart w:id="57" w:name="_Toc520485037"/>
      <w:bookmarkStart w:id="58" w:name="_Toc160804579"/>
      <w:bookmarkStart w:id="59" w:name="_Toc167220271"/>
      <w:bookmarkStart w:id="60" w:name="_Toc177549004"/>
      <w:r>
        <w:rPr>
          <w:noProof/>
        </w:rPr>
        <w:t>1.5.3.</w:t>
      </w:r>
      <w:r>
        <w:rPr>
          <w:noProof/>
        </w:rPr>
        <w:tab/>
        <w:t>Lessons learned from similar experiences in the past</w:t>
      </w:r>
      <w:bookmarkEnd w:id="56"/>
      <w:bookmarkEnd w:id="57"/>
      <w:bookmarkEnd w:id="58"/>
      <w:bookmarkEnd w:id="59"/>
      <w:bookmarkEnd w:id="60"/>
    </w:p>
    <w:p>
      <w:pPr>
        <w:pStyle w:val="Text1"/>
        <w:pBdr>
          <w:top w:val="single" w:sz="4" w:space="1" w:color="auto"/>
          <w:left w:val="single" w:sz="4" w:space="4" w:color="auto"/>
          <w:bottom w:val="single" w:sz="4" w:space="1" w:color="auto"/>
          <w:right w:val="single" w:sz="4" w:space="4" w:color="auto"/>
        </w:pBdr>
        <w:rPr>
          <w:noProof/>
        </w:rPr>
      </w:pPr>
      <w:r>
        <w:rPr>
          <w:noProof/>
        </w:rPr>
        <w:t xml:space="preserve">Past experiences on the ATQ regime’s implementation demonstrate that the regime is relevant for addressing structural economic needs in the EU aquatic food sector, including from an employment perspective. The EU is a long-standing net importer of aquatic food, and ATQs facilitate access and availability of raw materials for processors. The number of quota requests and species covered has evolved over time, in line with evolving market needs.   </w:t>
      </w:r>
    </w:p>
    <w:p>
      <w:pPr>
        <w:pStyle w:val="ManualHeading3"/>
        <w:rPr>
          <w:noProof/>
        </w:rPr>
      </w:pPr>
      <w:bookmarkStart w:id="61" w:name="_Toc514938033"/>
      <w:bookmarkStart w:id="62" w:name="_Toc520485038"/>
      <w:bookmarkStart w:id="63" w:name="_Toc160804580"/>
      <w:bookmarkStart w:id="64" w:name="_Toc167220272"/>
      <w:bookmarkStart w:id="65" w:name="_Toc177549005"/>
      <w:r>
        <w:rPr>
          <w:noProof/>
        </w:rPr>
        <w:t>1.5.4.</w:t>
      </w:r>
      <w:r>
        <w:rPr>
          <w:noProof/>
        </w:rPr>
        <w:tab/>
        <w:t>Compatibility with the multiannual financial framework and possible synergies with other appropriate instruments</w:t>
      </w:r>
      <w:bookmarkEnd w:id="61"/>
      <w:bookmarkEnd w:id="62"/>
      <w:bookmarkEnd w:id="63"/>
      <w:bookmarkEnd w:id="64"/>
      <w:bookmarkEnd w:id="65"/>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ManualHeading3"/>
        <w:rPr>
          <w:noProof/>
        </w:rPr>
      </w:pPr>
      <w:bookmarkStart w:id="66" w:name="_Toc514938036"/>
      <w:bookmarkStart w:id="67" w:name="_Toc520485039"/>
      <w:bookmarkStart w:id="68" w:name="_Toc160804581"/>
      <w:bookmarkStart w:id="69" w:name="_Toc167220273"/>
      <w:bookmarkStart w:id="70" w:name="_Toc177549006"/>
      <w:r>
        <w:rPr>
          <w:noProof/>
        </w:rPr>
        <w:t>1.5.5.</w:t>
      </w:r>
      <w:r>
        <w:rPr>
          <w:noProof/>
        </w:rPr>
        <w:tab/>
        <w:t>Assessment of the different available financing options, including scope for redeployment</w:t>
      </w:r>
      <w:bookmarkEnd w:id="66"/>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ManualHeading2"/>
        <w:rPr>
          <w:bCs/>
          <w:noProof/>
          <w:szCs w:val="24"/>
        </w:rPr>
      </w:pPr>
      <w:r>
        <w:rPr>
          <w:noProof/>
        </w:rPr>
        <w:br w:type="page"/>
      </w:r>
      <w:bookmarkStart w:id="71" w:name="_Toc514938039"/>
      <w:bookmarkStart w:id="72" w:name="_Toc520485040"/>
      <w:bookmarkStart w:id="73" w:name="_Toc160804582"/>
      <w:bookmarkStart w:id="74" w:name="_Toc167220274"/>
      <w:bookmarkStart w:id="75" w:name="_Toc177549007"/>
      <w:r>
        <w:rPr>
          <w:noProof/>
        </w:rPr>
        <w:t>1.6.</w:t>
      </w:r>
      <w:r>
        <w:rPr>
          <w:noProof/>
        </w:rPr>
        <w:tab/>
        <w:t>Duration of the proposal/initiative</w:t>
      </w:r>
      <w:bookmarkEnd w:id="71"/>
      <w:bookmarkEnd w:id="72"/>
      <w:r>
        <w:rPr>
          <w:noProof/>
        </w:rPr>
        <w:t xml:space="preserve"> and of its financial impact</w:t>
      </w:r>
      <w:bookmarkEnd w:id="73"/>
      <w:bookmarkEnd w:id="74"/>
      <w:bookmarkEnd w:id="75"/>
    </w:p>
    <w:p>
      <w:pPr>
        <w:pStyle w:val="Text1"/>
        <w:rPr>
          <w:noProof/>
        </w:rPr>
      </w:pPr>
      <w:r>
        <w:rPr>
          <w:rFonts w:ascii="Wingdings" w:eastAsia="Wingdings" w:hAnsi="Wingdings" w:cs="Wingdings"/>
          <w:noProof/>
        </w:rPr>
        <w:t>x</w:t>
      </w:r>
      <w:r>
        <w:rPr>
          <w:b/>
          <w:i/>
          <w:noProof/>
        </w:rPr>
        <w:t xml:space="preserve"> </w:t>
      </w:r>
      <w:r>
        <w:rPr>
          <w:b/>
          <w:noProof/>
        </w:rPr>
        <w:t xml:space="preserve">limited duration </w:t>
      </w:r>
    </w:p>
    <w:p>
      <w:pPr>
        <w:pStyle w:val="ListDash2"/>
        <w:rPr>
          <w:noProof/>
        </w:rPr>
      </w:pPr>
      <w:r>
        <w:rPr>
          <w:rFonts w:ascii="Wingdings" w:eastAsia="Wingdings" w:hAnsi="Wingdings" w:cs="Wingdings"/>
          <w:noProof/>
        </w:rPr>
        <w:t>x</w:t>
      </w:r>
      <w:r>
        <w:rPr>
          <w:noProof/>
        </w:rPr>
        <w:tab/>
        <w:t xml:space="preserve">in effect from [01/01]2027 to [31/12]2027 </w:t>
      </w:r>
    </w:p>
    <w:p>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pPr>
        <w:pStyle w:val="Text1"/>
        <w:rPr>
          <w:noProof/>
        </w:rPr>
      </w:pPr>
      <w:r>
        <w:rPr>
          <w:rFonts w:ascii="Wingdings" w:eastAsia="Wingdings" w:hAnsi="Wingdings" w:cs="Wingdings"/>
          <w:noProof/>
        </w:rPr>
        <w:t>¨</w:t>
      </w:r>
      <w:r>
        <w:rPr>
          <w:b/>
          <w:i/>
          <w:noProof/>
        </w:rPr>
        <w:t xml:space="preserve"> </w:t>
      </w:r>
      <w:r>
        <w:rPr>
          <w:b/>
          <w:noProof/>
        </w:rPr>
        <w:t>unlimited duration</w:t>
      </w:r>
    </w:p>
    <w:p>
      <w:pPr>
        <w:pStyle w:val="ListDash1"/>
        <w:rPr>
          <w:noProof/>
        </w:rPr>
      </w:pPr>
      <w:r>
        <w:rPr>
          <w:noProof/>
        </w:rPr>
        <w:t>Implementation with a start-up period from YYYY to YYYY,</w:t>
      </w:r>
    </w:p>
    <w:p>
      <w:pPr>
        <w:pStyle w:val="ListDash1"/>
        <w:rPr>
          <w:noProof/>
        </w:rPr>
      </w:pPr>
      <w:r>
        <w:rPr>
          <w:noProof/>
        </w:rPr>
        <w:t>followed by full-scale operation.</w:t>
      </w:r>
    </w:p>
    <w:p>
      <w:pPr>
        <w:pStyle w:val="ManualHeading2"/>
        <w:rPr>
          <w:noProof/>
        </w:rPr>
      </w:pPr>
      <w:bookmarkStart w:id="76" w:name="_Toc514938040"/>
      <w:bookmarkStart w:id="77" w:name="_Toc520485041"/>
      <w:bookmarkStart w:id="78" w:name="_Toc160804583"/>
      <w:bookmarkStart w:id="79" w:name="_Toc167220275"/>
      <w:bookmarkStart w:id="80" w:name="_Toc177549008"/>
      <w:r>
        <w:rPr>
          <w:noProof/>
        </w:rPr>
        <w:t>1.7.</w:t>
      </w:r>
      <w:r>
        <w:rPr>
          <w:noProof/>
        </w:rPr>
        <w:tab/>
        <w:t>Method(s) of budget implementation planned</w:t>
      </w:r>
      <w:bookmarkEnd w:id="76"/>
      <w:bookmarkEnd w:id="77"/>
      <w:bookmarkEnd w:id="78"/>
      <w:bookmarkEnd w:id="79"/>
      <w:bookmarkEnd w:id="80"/>
      <w:r>
        <w:rPr>
          <w:noProof/>
        </w:rPr>
        <w:t xml:space="preserve"> </w:t>
      </w:r>
    </w:p>
    <w:p>
      <w:pPr>
        <w:pStyle w:val="ManualHeading2"/>
        <w:ind w:left="0" w:firstLine="0"/>
        <w:rPr>
          <w:noProof/>
        </w:rPr>
      </w:pPr>
      <w:hyperlink r:id="rId18" w:history="1">
        <w:r>
          <w:rPr>
            <w:rStyle w:val="Hyperlink"/>
            <w:noProof/>
          </w:rPr>
          <w:t>https://myintracomm.ec.europa.eu/corp/budget/financial-rules/budget-implementation/Pages/implementation-methods.aspx</w:t>
        </w:r>
      </w:hyperlink>
    </w:p>
    <w:p>
      <w:pPr>
        <w:pStyle w:val="Text1"/>
        <w:rPr>
          <w:noProof/>
        </w:rPr>
      </w:pPr>
      <w:r>
        <w:rPr>
          <w:rFonts w:ascii="Wingdings" w:eastAsia="Wingdings" w:hAnsi="Wingdings" w:cs="Wingdings"/>
          <w:noProof/>
        </w:rPr>
        <w:t>¨</w:t>
      </w:r>
      <w:r>
        <w:rPr>
          <w:i/>
          <w:noProof/>
        </w:rPr>
        <w:t xml:space="preserve"> </w:t>
      </w:r>
      <w:r>
        <w:rPr>
          <w:b/>
          <w:noProof/>
        </w:rPr>
        <w:t>Direct management</w:t>
      </w:r>
      <w:r>
        <w:rPr>
          <w:noProof/>
        </w:rPr>
        <w:t xml:space="preserve"> by the Commission</w:t>
      </w:r>
    </w:p>
    <w:p>
      <w:pPr>
        <w:pStyle w:val="ListDash2"/>
        <w:rPr>
          <w:rFonts w:cs="EUAlbertina"/>
          <w:noProof/>
        </w:rPr>
      </w:pPr>
      <w:r>
        <w:rPr>
          <w:rFonts w:ascii="Wingdings" w:eastAsia="Wingdings" w:hAnsi="Wingdings" w:cs="Wingdings"/>
          <w:noProof/>
        </w:rPr>
        <w:t>¨</w:t>
      </w:r>
      <w:r>
        <w:rPr>
          <w:noProof/>
        </w:rPr>
        <w:t xml:space="preserve"> by its departments, including by its staff in the Union delegations; </w:t>
      </w:r>
    </w:p>
    <w:p>
      <w:pPr>
        <w:pStyle w:val="ListDash2"/>
        <w:rPr>
          <w:noProof/>
        </w:rPr>
      </w:pPr>
      <w:r>
        <w:rPr>
          <w:rFonts w:ascii="Wingdings" w:eastAsia="Wingdings" w:hAnsi="Wingdings" w:cs="Wingdings"/>
          <w:noProof/>
        </w:rPr>
        <w:t>¨</w:t>
      </w:r>
      <w:r>
        <w:rPr>
          <w:noProof/>
        </w:rPr>
        <w:t xml:space="preserve"> by the executive agencies </w:t>
      </w:r>
    </w:p>
    <w:p>
      <w:pPr>
        <w:pStyle w:val="Text1"/>
        <w:rPr>
          <w:noProof/>
        </w:rPr>
      </w:pPr>
      <w:r>
        <w:rPr>
          <w:rFonts w:ascii="Wingdings" w:eastAsia="Wingdings" w:hAnsi="Wingdings" w:cs="Wingdings"/>
          <w:noProof/>
        </w:rPr>
        <w:t>¨</w:t>
      </w:r>
      <w:r>
        <w:rPr>
          <w:i/>
          <w:iCs/>
          <w:noProof/>
        </w:rPr>
        <w:t xml:space="preserve"> </w:t>
      </w:r>
      <w:r>
        <w:rPr>
          <w:b/>
          <w:bCs/>
          <w:noProof/>
        </w:rPr>
        <w:t>Shared management</w:t>
      </w:r>
      <w:r>
        <w:rPr>
          <w:noProof/>
        </w:rPr>
        <w:t xml:space="preserve"> with the Member States </w:t>
      </w:r>
    </w:p>
    <w:p>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pPr>
        <w:pStyle w:val="ListDash2"/>
        <w:rPr>
          <w:noProof/>
        </w:rPr>
      </w:pPr>
      <w:r>
        <w:rPr>
          <w:rFonts w:ascii="Wingdings" w:eastAsia="Wingdings" w:hAnsi="Wingdings" w:cs="Wingdings"/>
          <w:noProof/>
        </w:rPr>
        <w:t>¨</w:t>
      </w:r>
      <w:r>
        <w:rPr>
          <w:noProof/>
        </w:rPr>
        <w:t xml:space="preserve"> third countries or the bodies they have designated</w:t>
      </w:r>
    </w:p>
    <w:p>
      <w:pPr>
        <w:pStyle w:val="ListDash2"/>
        <w:rPr>
          <w:noProof/>
        </w:rPr>
      </w:pPr>
      <w:r>
        <w:rPr>
          <w:rFonts w:ascii="Wingdings" w:eastAsia="Wingdings" w:hAnsi="Wingdings" w:cs="Wingdings"/>
          <w:noProof/>
        </w:rPr>
        <w:t>¨</w:t>
      </w:r>
      <w:r>
        <w:rPr>
          <w:noProof/>
        </w:rPr>
        <w:t xml:space="preserve"> international organisations and their agencies (to be specified)</w:t>
      </w:r>
    </w:p>
    <w:p>
      <w:pPr>
        <w:pStyle w:val="ListDash2"/>
        <w:rPr>
          <w:noProof/>
        </w:rPr>
      </w:pPr>
      <w:r>
        <w:rPr>
          <w:rFonts w:ascii="Wingdings" w:eastAsia="Wingdings" w:hAnsi="Wingdings" w:cs="Wingdings"/>
          <w:noProof/>
        </w:rPr>
        <w:t>¨</w:t>
      </w:r>
      <w:r>
        <w:rPr>
          <w:noProof/>
        </w:rPr>
        <w:t xml:space="preserve"> the European Investment Bank and the European Investment Fund</w:t>
      </w:r>
    </w:p>
    <w:p>
      <w:pPr>
        <w:pStyle w:val="ListDash2"/>
        <w:rPr>
          <w:noProof/>
        </w:rPr>
      </w:pPr>
      <w:r>
        <w:rPr>
          <w:rFonts w:ascii="Wingdings" w:eastAsia="Wingdings" w:hAnsi="Wingdings" w:cs="Wingdings"/>
          <w:noProof/>
        </w:rPr>
        <w:t>¨</w:t>
      </w:r>
      <w:r>
        <w:rPr>
          <w:noProof/>
        </w:rPr>
        <w:t xml:space="preserve"> bodies referred to in Articles 70 and 71 of the Financial Regulation</w:t>
      </w:r>
    </w:p>
    <w:p>
      <w:pPr>
        <w:pStyle w:val="ListDash2"/>
        <w:rPr>
          <w:noProof/>
        </w:rPr>
      </w:pPr>
      <w:r>
        <w:rPr>
          <w:rFonts w:ascii="Wingdings" w:eastAsia="Wingdings" w:hAnsi="Wingdings" w:cs="Wingdings"/>
          <w:noProof/>
        </w:rPr>
        <w:t>¨</w:t>
      </w:r>
      <w:r>
        <w:rPr>
          <w:noProof/>
        </w:rPr>
        <w:t xml:space="preserve"> public law bodies</w:t>
      </w:r>
    </w:p>
    <w:p>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pPr>
        <w:pStyle w:val="ListDash2"/>
        <w:rPr>
          <w:noProof/>
        </w:rPr>
      </w:pPr>
      <w:r>
        <w:rPr>
          <w:rFonts w:ascii="Wingdings" w:eastAsia="Wingdings" w:hAnsi="Wingdings" w:cs="Wingdings"/>
          <w:noProof/>
        </w:rPr>
        <w:t xml:space="preserve">¨ </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r>
        <w:rPr>
          <w:noProof/>
        </w:rPr>
        <w:t>N/A</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81" w:name="_Toc514938041"/>
      <w:bookmarkStart w:id="82" w:name="_Toc520485042"/>
      <w:bookmarkStart w:id="83" w:name="_Toc160804584"/>
      <w:bookmarkStart w:id="84" w:name="_Toc167220276"/>
      <w:bookmarkStart w:id="85" w:name="_Toc177549009"/>
      <w:r>
        <w:rPr>
          <w:noProof/>
        </w:rPr>
        <w:t>2.</w:t>
      </w:r>
      <w:r>
        <w:rPr>
          <w:noProof/>
        </w:rPr>
        <w:tab/>
        <w:t>MANAGEMENT MEASURES</w:t>
      </w:r>
      <w:bookmarkEnd w:id="81"/>
      <w:bookmarkEnd w:id="82"/>
      <w:bookmarkEnd w:id="83"/>
      <w:bookmarkEnd w:id="84"/>
      <w:bookmarkEnd w:id="85"/>
      <w:r>
        <w:rPr>
          <w:noProof/>
        </w:rPr>
        <w:t xml:space="preserve"> </w:t>
      </w:r>
    </w:p>
    <w:p>
      <w:pPr>
        <w:pStyle w:val="ManualHeading2"/>
        <w:rPr>
          <w:noProof/>
        </w:rPr>
      </w:pPr>
      <w:bookmarkStart w:id="86" w:name="_Toc514938042"/>
      <w:bookmarkStart w:id="87" w:name="_Toc520485043"/>
      <w:bookmarkStart w:id="88" w:name="_Toc160804585"/>
      <w:bookmarkStart w:id="89" w:name="_Toc167220277"/>
      <w:bookmarkStart w:id="90" w:name="_Toc177549010"/>
      <w:r>
        <w:rPr>
          <w:noProof/>
        </w:rPr>
        <w:t>2.1.</w:t>
      </w:r>
      <w:r>
        <w:rPr>
          <w:noProof/>
        </w:rPr>
        <w:tab/>
        <w:t>Monitoring and reporting rules</w:t>
      </w:r>
      <w:bookmarkEnd w:id="86"/>
      <w:bookmarkEnd w:id="87"/>
      <w:bookmarkEnd w:id="88"/>
      <w:bookmarkEnd w:id="89"/>
      <w:bookmarkEnd w:id="9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rFonts w:eastAsia="Times New Roman"/>
          <w:noProof/>
          <w:szCs w:val="24"/>
        </w:rPr>
        <w:t>The ATQ regime operates under the broader EU customs and tariff suspension system, and the administrative steps required for a processor to benefit from the ATQs is not separate from general import compliance.</w:t>
      </w:r>
      <w:r>
        <w:rPr>
          <w:noProof/>
        </w:rPr>
        <w:t xml:space="preserve"> The ATQ Regulation does not set any specific monitoring or reporting rules on its own.</w:t>
      </w:r>
    </w:p>
    <w:p>
      <w:pPr>
        <w:pStyle w:val="ManualHeading2"/>
        <w:rPr>
          <w:bCs/>
          <w:noProof/>
          <w:szCs w:val="24"/>
        </w:rPr>
      </w:pPr>
      <w:bookmarkStart w:id="91" w:name="_Toc514938045"/>
      <w:bookmarkStart w:id="92" w:name="_Toc520485044"/>
      <w:bookmarkStart w:id="93" w:name="_Toc160804586"/>
      <w:bookmarkStart w:id="94" w:name="_Toc167220278"/>
      <w:bookmarkStart w:id="95" w:name="_Toc177549011"/>
      <w:r>
        <w:rPr>
          <w:noProof/>
        </w:rPr>
        <w:t>2.2.</w:t>
      </w:r>
      <w:r>
        <w:rPr>
          <w:noProof/>
        </w:rPr>
        <w:tab/>
        <w:t>Management and control system(s)</w:t>
      </w:r>
      <w:bookmarkEnd w:id="91"/>
      <w:bookmarkEnd w:id="92"/>
      <w:bookmarkEnd w:id="93"/>
      <w:bookmarkEnd w:id="94"/>
      <w:bookmarkEnd w:id="95"/>
      <w:r>
        <w:rPr>
          <w:noProof/>
        </w:rPr>
        <w:t xml:space="preserve"> </w:t>
      </w:r>
    </w:p>
    <w:p>
      <w:pPr>
        <w:pStyle w:val="ManualHeading3"/>
        <w:rPr>
          <w:noProof/>
        </w:rPr>
      </w:pPr>
      <w:bookmarkStart w:id="96" w:name="_Toc514938046"/>
      <w:bookmarkStart w:id="97" w:name="_Toc520485045"/>
      <w:bookmarkStart w:id="98" w:name="_Toc160804587"/>
      <w:bookmarkStart w:id="99" w:name="_Toc167220279"/>
      <w:bookmarkStart w:id="100" w:name="_Toc177549012"/>
      <w:r>
        <w:rPr>
          <w:noProof/>
        </w:rPr>
        <w:t>2.2.1.</w:t>
      </w:r>
      <w:r>
        <w:rPr>
          <w:noProof/>
        </w:rPr>
        <w:tab/>
        <w:t>Justification of the budget implementation method(s), the funding implementation mechanism(s), the payment modalities and the control strategy proposed</w:t>
      </w:r>
      <w:bookmarkEnd w:id="96"/>
      <w:bookmarkEnd w:id="97"/>
      <w:bookmarkEnd w:id="98"/>
      <w:bookmarkEnd w:id="99"/>
      <w:bookmarkEnd w:id="100"/>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bookmarkStart w:id="101" w:name="_Toc514938047"/>
      <w:bookmarkStart w:id="102" w:name="_Toc520485046"/>
      <w:bookmarkStart w:id="103" w:name="_Toc160804588"/>
      <w:bookmarkStart w:id="104" w:name="_Toc167220280"/>
      <w:bookmarkStart w:id="105" w:name="_Toc177549013"/>
      <w:r>
        <w:rPr>
          <w:noProof/>
        </w:rPr>
        <w:t>2.2.2.</w:t>
      </w:r>
      <w:r>
        <w:rPr>
          <w:noProof/>
        </w:rPr>
        <w:tab/>
        <w:t>Information concerning the risks identified and the internal control system(s) set up to mitigate them</w:t>
      </w:r>
      <w:bookmarkEnd w:id="101"/>
      <w:bookmarkEnd w:id="102"/>
      <w:bookmarkEnd w:id="103"/>
      <w:bookmarkEnd w:id="104"/>
      <w:bookmarkEnd w:id="105"/>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106" w:name="_Toc514938048"/>
      <w:bookmarkStart w:id="107" w:name="_Toc520485047"/>
      <w:bookmarkStart w:id="108" w:name="_Toc160804589"/>
      <w:bookmarkStart w:id="109" w:name="_Toc167220281"/>
      <w:bookmarkStart w:id="110" w:name="_Toc177549014"/>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bookmarkEnd w:id="106"/>
      <w:bookmarkEnd w:id="107"/>
      <w:bookmarkEnd w:id="108"/>
      <w:bookmarkEnd w:id="109"/>
      <w:bookmarkEnd w:id="11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111" w:name="_Toc514938049"/>
      <w:bookmarkStart w:id="112" w:name="_Toc520485048"/>
      <w:bookmarkStart w:id="113" w:name="_Toc160804590"/>
      <w:bookmarkStart w:id="114" w:name="_Toc167220282"/>
      <w:bookmarkStart w:id="115" w:name="_Toc177549015"/>
      <w:r>
        <w:rPr>
          <w:noProof/>
        </w:rPr>
        <w:t>2.3.</w:t>
      </w:r>
      <w:r>
        <w:rPr>
          <w:noProof/>
        </w:rPr>
        <w:tab/>
        <w:t>Measures to prevent fraud and irregularities</w:t>
      </w:r>
      <w:bookmarkEnd w:id="111"/>
      <w:bookmarkEnd w:id="112"/>
      <w:bookmarkEnd w:id="113"/>
      <w:bookmarkEnd w:id="114"/>
      <w:bookmarkEnd w:id="11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16" w:name="_Toc514938050"/>
      <w:bookmarkStart w:id="117" w:name="_Toc520485049"/>
      <w:bookmarkStart w:id="118" w:name="_Toc160804591"/>
      <w:bookmarkStart w:id="119" w:name="_Toc167220283"/>
      <w:bookmarkStart w:id="120" w:name="_Toc177549016"/>
      <w:r>
        <w:rPr>
          <w:noProof/>
        </w:rPr>
        <w:t>3.</w:t>
      </w:r>
      <w:r>
        <w:rPr>
          <w:noProof/>
        </w:rPr>
        <w:tab/>
        <w:t>ESTIMATED FINANCIAL IMPACT OF THE PROPOSAL/INITIATIVE</w:t>
      </w:r>
      <w:bookmarkEnd w:id="116"/>
      <w:bookmarkEnd w:id="117"/>
      <w:bookmarkEnd w:id="118"/>
      <w:bookmarkEnd w:id="119"/>
      <w:bookmarkEnd w:id="120"/>
      <w:r>
        <w:rPr>
          <w:noProof/>
        </w:rPr>
        <w:t xml:space="preserve"> </w:t>
      </w:r>
    </w:p>
    <w:p>
      <w:pPr>
        <w:pStyle w:val="ManualHeading2"/>
        <w:rPr>
          <w:noProof/>
        </w:rPr>
      </w:pPr>
      <w:bookmarkStart w:id="121" w:name="_Toc514938051"/>
      <w:bookmarkStart w:id="122" w:name="_Toc520485050"/>
      <w:bookmarkStart w:id="123" w:name="_Toc160804592"/>
      <w:bookmarkStart w:id="124" w:name="_Toc167220284"/>
      <w:bookmarkStart w:id="125" w:name="_Toc177549017"/>
      <w:r>
        <w:rPr>
          <w:noProof/>
        </w:rPr>
        <w:t>3.1.</w:t>
      </w:r>
      <w:r>
        <w:rPr>
          <w:noProof/>
        </w:rPr>
        <w:tab/>
        <w:t>Heading(s) of the multiannual financial framework and expenditure budget line(s) affected</w:t>
      </w:r>
      <w:bookmarkEnd w:id="121"/>
      <w:bookmarkEnd w:id="122"/>
      <w:bookmarkEnd w:id="123"/>
      <w:bookmarkEnd w:id="124"/>
      <w:bookmarkEnd w:id="125"/>
      <w:r>
        <w:rPr>
          <w:noProof/>
        </w:rPr>
        <w:t xml:space="preserve"> </w:t>
      </w:r>
    </w:p>
    <w:bookmarkStart w:id="126" w:name="_Hlk157691648"/>
    <w:p>
      <w:pPr>
        <w:pStyle w:val="Text1"/>
        <w:rPr>
          <w:noProof/>
        </w:rPr>
      </w:pPr>
      <w:r>
        <w:rPr>
          <w:noProof/>
        </w:rPr>
        <w:fldChar w:fldCharType="begin"/>
      </w:r>
      <w:r>
        <w:rPr>
          <w:noProof/>
        </w:rPr>
        <w:instrText>HYPERLINK "https://myintracomm.ec.europa.eu/corp/budget/financial-rules/budget-implementation/Pages/financial-statement.aspx"</w:instrText>
      </w:r>
      <w:r>
        <w:rPr>
          <w:noProof/>
        </w:rPr>
        <w:fldChar w:fldCharType="separate"/>
      </w:r>
      <w:r>
        <w:rPr>
          <w:noProof/>
        </w:rPr>
        <w:fldChar w:fldCharType="end"/>
      </w:r>
      <w:bookmarkEnd w:id="126"/>
    </w:p>
    <w:p>
      <w:pPr>
        <w:pStyle w:val="ListBullet1"/>
        <w:rPr>
          <w:noProof/>
        </w:rPr>
      </w:pPr>
      <w:r>
        <w:rPr>
          <w:noProof/>
        </w:rPr>
        <w:t xml:space="preserve">Existing budget lines </w:t>
      </w:r>
    </w:p>
    <w:p>
      <w:pPr>
        <w:pStyle w:val="Text1"/>
        <w:rPr>
          <w:i/>
          <w:noProof/>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lang w:val="en-IE"/>
              </w:rPr>
            </w:pPr>
            <w:r>
              <w:rPr>
                <w:noProof/>
                <w:sz w:val="18"/>
                <w:lang w:val="en-IE"/>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rPr>
              <w:t xml:space="preserve">Contribution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rPr>
              <w:t>Diff./Non-diff.</w:t>
            </w:r>
            <w:r>
              <w:rPr>
                <w:rStyle w:val="FootnoteReference"/>
                <w:noProof/>
                <w:sz w:val="18"/>
              </w:rPr>
              <w:footnoteReference w:id="4"/>
            </w:r>
          </w:p>
        </w:tc>
        <w:tc>
          <w:tcPr>
            <w:tcW w:w="966" w:type="dxa"/>
            <w:vAlign w:val="center"/>
          </w:tcPr>
          <w:p>
            <w:pPr>
              <w:jc w:val="center"/>
              <w:rPr>
                <w:b/>
                <w:noProof/>
                <w:sz w:val="18"/>
              </w:rPr>
            </w:pPr>
            <w:r>
              <w:rPr>
                <w:noProof/>
                <w:sz w:val="18"/>
              </w:rPr>
              <w:t>from EFTA countries</w:t>
            </w:r>
            <w:r>
              <w:rPr>
                <w:rStyle w:val="FootnoteReference"/>
                <w:noProof/>
                <w:sz w:val="18"/>
              </w:rPr>
              <w:footnoteReference w:id="5"/>
            </w:r>
          </w:p>
        </w:tc>
        <w:tc>
          <w:tcPr>
            <w:tcW w:w="1092" w:type="dxa"/>
            <w:vAlign w:val="center"/>
          </w:tcPr>
          <w:p>
            <w:pPr>
              <w:jc w:val="center"/>
              <w:rPr>
                <w:noProof/>
                <w:sz w:val="18"/>
                <w:lang w:val="en-IE"/>
              </w:rPr>
            </w:pPr>
            <w:r>
              <w:rPr>
                <w:noProof/>
                <w:sz w:val="18"/>
                <w:lang w:val="en-IE"/>
              </w:rPr>
              <w:t>from candidate countries and potential candidates</w:t>
            </w:r>
            <w:r>
              <w:rPr>
                <w:rStyle w:val="FootnoteReference"/>
                <w:noProof/>
                <w:sz w:val="18"/>
              </w:rPr>
              <w:footnoteReference w:id="6"/>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lang w:val="en-IE"/>
              </w:rPr>
              <w:t>other assigned revenue</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Diff./Non-diff.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noProof/>
                <w:sz w:val="20"/>
                <w:szCs w:val="20"/>
              </w:rPr>
              <w:t>YES/NO</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Diff./Non-diff.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noProof/>
                <w:sz w:val="20"/>
                <w:szCs w:val="20"/>
              </w:rPr>
              <w:t>YES/NO</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Diff./Non-diff.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noProof/>
                <w:sz w:val="20"/>
                <w:szCs w:val="20"/>
              </w:rPr>
              <w:t>YES/NO</w:t>
            </w:r>
          </w:p>
        </w:tc>
      </w:tr>
    </w:tbl>
    <w:p>
      <w:pPr>
        <w:pStyle w:val="ListBullet1"/>
        <w:rPr>
          <w:noProof/>
        </w:rPr>
      </w:pPr>
      <w:r>
        <w:rPr>
          <w:noProof/>
        </w:rPr>
        <w:t xml:space="preserve">New budget lines requested </w:t>
      </w:r>
    </w:p>
    <w:p>
      <w:pPr>
        <w:pStyle w:val="Text1"/>
        <w:rPr>
          <w:i/>
          <w:noProof/>
          <w:sz w:val="20"/>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lang w:val="en-IE"/>
              </w:rPr>
            </w:pPr>
            <w:r>
              <w:rPr>
                <w:noProof/>
                <w:sz w:val="18"/>
                <w:lang w:val="en-IE"/>
              </w:rPr>
              <w:t>Heading of multiannual financial framework</w:t>
            </w:r>
          </w:p>
        </w:tc>
        <w:tc>
          <w:tcPr>
            <w:tcW w:w="3960"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Type of expenditure</w:t>
            </w:r>
          </w:p>
        </w:tc>
        <w:tc>
          <w:tcPr>
            <w:tcW w:w="4440" w:type="dxa"/>
            <w:gridSpan w:val="4"/>
            <w:vAlign w:val="center"/>
          </w:tcPr>
          <w:p>
            <w:pPr>
              <w:spacing w:before="60" w:after="60"/>
              <w:jc w:val="center"/>
              <w:rPr>
                <w:noProof/>
              </w:rPr>
            </w:pPr>
            <w:r>
              <w:rPr>
                <w:noProof/>
                <w:sz w:val="20"/>
              </w:rPr>
              <w:t xml:space="preserve">Contribution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Number </w:t>
            </w:r>
            <w:r>
              <w:rPr>
                <w:noProof/>
                <w:sz w:val="22"/>
              </w:rPr>
              <w:br/>
            </w:r>
          </w:p>
        </w:tc>
        <w:tc>
          <w:tcPr>
            <w:tcW w:w="1080" w:type="dxa"/>
            <w:vAlign w:val="center"/>
          </w:tcPr>
          <w:p>
            <w:pPr>
              <w:jc w:val="center"/>
              <w:rPr>
                <w:noProof/>
              </w:rPr>
            </w:pPr>
            <w:r>
              <w:rPr>
                <w:noProof/>
                <w:sz w:val="18"/>
              </w:rPr>
              <w:t>Diff./Non-diff.</w:t>
            </w:r>
          </w:p>
        </w:tc>
        <w:tc>
          <w:tcPr>
            <w:tcW w:w="956" w:type="dxa"/>
            <w:vAlign w:val="center"/>
          </w:tcPr>
          <w:p>
            <w:pPr>
              <w:jc w:val="center"/>
              <w:rPr>
                <w:noProof/>
                <w:sz w:val="18"/>
              </w:rPr>
            </w:pPr>
            <w:r>
              <w:rPr>
                <w:noProof/>
                <w:sz w:val="18"/>
              </w:rPr>
              <w:t>from EFTA countries</w:t>
            </w:r>
          </w:p>
        </w:tc>
        <w:tc>
          <w:tcPr>
            <w:tcW w:w="1080" w:type="dxa"/>
            <w:vAlign w:val="center"/>
          </w:tcPr>
          <w:p>
            <w:pPr>
              <w:jc w:val="center"/>
              <w:rPr>
                <w:noProof/>
                <w:sz w:val="18"/>
                <w:lang w:val="en-IE"/>
              </w:rPr>
            </w:pPr>
            <w:r>
              <w:rPr>
                <w:noProof/>
                <w:sz w:val="18"/>
                <w:lang w:val="en-IE"/>
              </w:rPr>
              <w:t>from candidate countries and potential candidates</w:t>
            </w:r>
          </w:p>
        </w:tc>
        <w:tc>
          <w:tcPr>
            <w:tcW w:w="956" w:type="dxa"/>
            <w:vAlign w:val="center"/>
          </w:tcPr>
          <w:p>
            <w:pPr>
              <w:jc w:val="center"/>
              <w:rPr>
                <w:noProof/>
                <w:sz w:val="18"/>
              </w:rPr>
            </w:pPr>
            <w:r>
              <w:rPr>
                <w:noProof/>
                <w:sz w:val="18"/>
              </w:rPr>
              <w:t>from other third countries</w:t>
            </w:r>
          </w:p>
        </w:tc>
        <w:tc>
          <w:tcPr>
            <w:tcW w:w="1448" w:type="dxa"/>
            <w:vAlign w:val="center"/>
          </w:tcPr>
          <w:p>
            <w:pPr>
              <w:jc w:val="center"/>
              <w:rPr>
                <w:noProof/>
              </w:rPr>
            </w:pPr>
            <w:r>
              <w:rPr>
                <w:noProof/>
                <w:sz w:val="18"/>
                <w:szCs w:val="18"/>
                <w:lang w:val="en-IE"/>
              </w:rPr>
              <w:t xml:space="preserve">other assigned revenue </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Diff./Non-diff.</w:t>
            </w:r>
          </w:p>
        </w:tc>
        <w:tc>
          <w:tcPr>
            <w:tcW w:w="956" w:type="dxa"/>
            <w:vAlign w:val="center"/>
          </w:tcPr>
          <w:p>
            <w:pPr>
              <w:jc w:val="center"/>
              <w:rPr>
                <w:noProof/>
                <w:sz w:val="20"/>
                <w:szCs w:val="20"/>
              </w:rPr>
            </w:pPr>
            <w:r>
              <w:rPr>
                <w:noProof/>
                <w:sz w:val="20"/>
                <w:szCs w:val="20"/>
              </w:rPr>
              <w:t>YES/NO</w:t>
            </w:r>
          </w:p>
        </w:tc>
        <w:tc>
          <w:tcPr>
            <w:tcW w:w="1080" w:type="dxa"/>
            <w:vAlign w:val="center"/>
          </w:tcPr>
          <w:p>
            <w:pPr>
              <w:jc w:val="center"/>
              <w:rPr>
                <w:noProof/>
                <w:sz w:val="20"/>
                <w:szCs w:val="20"/>
              </w:rPr>
            </w:pPr>
            <w:r>
              <w:rPr>
                <w:noProof/>
                <w:sz w:val="20"/>
                <w:szCs w:val="20"/>
              </w:rPr>
              <w:t>YES/NO</w:t>
            </w:r>
          </w:p>
        </w:tc>
        <w:tc>
          <w:tcPr>
            <w:tcW w:w="956" w:type="dxa"/>
            <w:vAlign w:val="center"/>
          </w:tcPr>
          <w:p>
            <w:pPr>
              <w:jc w:val="center"/>
              <w:rPr>
                <w:noProof/>
                <w:sz w:val="20"/>
                <w:szCs w:val="20"/>
              </w:rPr>
            </w:pPr>
            <w:r>
              <w:rPr>
                <w:noProof/>
                <w:sz w:val="20"/>
                <w:szCs w:val="20"/>
              </w:rPr>
              <w:t>YES/NO</w:t>
            </w:r>
          </w:p>
        </w:tc>
        <w:tc>
          <w:tcPr>
            <w:tcW w:w="1448" w:type="dxa"/>
            <w:vAlign w:val="center"/>
          </w:tcPr>
          <w:p>
            <w:pPr>
              <w:jc w:val="center"/>
              <w:rPr>
                <w:noProof/>
                <w:sz w:val="20"/>
                <w:szCs w:val="20"/>
              </w:rPr>
            </w:pPr>
            <w:r>
              <w:rPr>
                <w:noProof/>
                <w:sz w:val="20"/>
                <w:szCs w:val="20"/>
              </w:rPr>
              <w:t>YES/NO</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Diff./Non-diff.</w:t>
            </w:r>
          </w:p>
        </w:tc>
        <w:tc>
          <w:tcPr>
            <w:tcW w:w="956" w:type="dxa"/>
            <w:vAlign w:val="center"/>
          </w:tcPr>
          <w:p>
            <w:pPr>
              <w:jc w:val="center"/>
              <w:rPr>
                <w:noProof/>
                <w:sz w:val="20"/>
                <w:szCs w:val="20"/>
              </w:rPr>
            </w:pPr>
            <w:r>
              <w:rPr>
                <w:noProof/>
                <w:sz w:val="20"/>
                <w:szCs w:val="20"/>
              </w:rPr>
              <w:t>YES/NO</w:t>
            </w:r>
          </w:p>
        </w:tc>
        <w:tc>
          <w:tcPr>
            <w:tcW w:w="1080" w:type="dxa"/>
            <w:vAlign w:val="center"/>
          </w:tcPr>
          <w:p>
            <w:pPr>
              <w:jc w:val="center"/>
              <w:rPr>
                <w:noProof/>
                <w:sz w:val="20"/>
                <w:szCs w:val="20"/>
              </w:rPr>
            </w:pPr>
            <w:r>
              <w:rPr>
                <w:noProof/>
                <w:sz w:val="20"/>
                <w:szCs w:val="20"/>
              </w:rPr>
              <w:t>YES/NO</w:t>
            </w:r>
          </w:p>
        </w:tc>
        <w:tc>
          <w:tcPr>
            <w:tcW w:w="956" w:type="dxa"/>
            <w:vAlign w:val="center"/>
          </w:tcPr>
          <w:p>
            <w:pPr>
              <w:jc w:val="center"/>
              <w:rPr>
                <w:noProof/>
                <w:sz w:val="20"/>
                <w:szCs w:val="20"/>
              </w:rPr>
            </w:pPr>
            <w:r>
              <w:rPr>
                <w:noProof/>
                <w:sz w:val="20"/>
                <w:szCs w:val="20"/>
              </w:rPr>
              <w:t>YES/NO</w:t>
            </w:r>
          </w:p>
        </w:tc>
        <w:tc>
          <w:tcPr>
            <w:tcW w:w="1448" w:type="dxa"/>
            <w:vAlign w:val="center"/>
          </w:tcPr>
          <w:p>
            <w:pPr>
              <w:jc w:val="center"/>
              <w:rPr>
                <w:noProof/>
                <w:sz w:val="20"/>
                <w:szCs w:val="20"/>
              </w:rPr>
            </w:pPr>
            <w:r>
              <w:rPr>
                <w:noProof/>
                <w:sz w:val="20"/>
                <w:szCs w:val="20"/>
              </w:rPr>
              <w:t>YES/NO</w:t>
            </w:r>
          </w:p>
        </w:tc>
      </w:tr>
      <w:tr>
        <w:trPr>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r>
              <w:rPr>
                <w:noProof/>
                <w:sz w:val="22"/>
              </w:rPr>
              <w:t>Diff./Non-diff.</w:t>
            </w:r>
          </w:p>
        </w:tc>
        <w:tc>
          <w:tcPr>
            <w:tcW w:w="956" w:type="dxa"/>
            <w:vAlign w:val="center"/>
          </w:tcPr>
          <w:p>
            <w:pPr>
              <w:jc w:val="center"/>
              <w:rPr>
                <w:noProof/>
                <w:sz w:val="20"/>
                <w:szCs w:val="20"/>
              </w:rPr>
            </w:pPr>
            <w:r>
              <w:rPr>
                <w:noProof/>
                <w:sz w:val="20"/>
                <w:szCs w:val="20"/>
              </w:rPr>
              <w:t>YES/NO</w:t>
            </w:r>
          </w:p>
        </w:tc>
        <w:tc>
          <w:tcPr>
            <w:tcW w:w="1080" w:type="dxa"/>
            <w:vAlign w:val="center"/>
          </w:tcPr>
          <w:p>
            <w:pPr>
              <w:jc w:val="center"/>
              <w:rPr>
                <w:noProof/>
                <w:color w:val="0000FF"/>
                <w:sz w:val="20"/>
                <w:szCs w:val="20"/>
              </w:rPr>
            </w:pPr>
            <w:r>
              <w:rPr>
                <w:noProof/>
                <w:sz w:val="20"/>
                <w:szCs w:val="20"/>
              </w:rPr>
              <w:t>YES/NO</w:t>
            </w:r>
          </w:p>
        </w:tc>
        <w:tc>
          <w:tcPr>
            <w:tcW w:w="956" w:type="dxa"/>
            <w:vAlign w:val="center"/>
          </w:tcPr>
          <w:p>
            <w:pPr>
              <w:jc w:val="center"/>
              <w:rPr>
                <w:noProof/>
                <w:color w:val="0000FF"/>
                <w:sz w:val="20"/>
                <w:szCs w:val="20"/>
              </w:rPr>
            </w:pPr>
            <w:r>
              <w:rPr>
                <w:noProof/>
                <w:sz w:val="20"/>
                <w:szCs w:val="20"/>
              </w:rPr>
              <w:t>YES/NO</w:t>
            </w:r>
          </w:p>
        </w:tc>
        <w:tc>
          <w:tcPr>
            <w:tcW w:w="1448" w:type="dxa"/>
            <w:vAlign w:val="center"/>
          </w:tcPr>
          <w:p>
            <w:pPr>
              <w:jc w:val="center"/>
              <w:rPr>
                <w:noProof/>
                <w:sz w:val="20"/>
                <w:szCs w:val="20"/>
              </w:rPr>
            </w:pPr>
            <w:r>
              <w:rPr>
                <w:noProof/>
                <w:sz w:val="20"/>
                <w:szCs w:val="20"/>
              </w:rPr>
              <w:t>YES/NO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Pr>
          <w:noProof/>
        </w:rPr>
        <w:t>3.2.</w:t>
      </w:r>
      <w:r>
        <w:rPr>
          <w:noProof/>
        </w:rPr>
        <w:tab/>
        <w:t>Estimated financial impact of the proposal on appropriations</w:t>
      </w:r>
      <w:bookmarkEnd w:id="127"/>
      <w:bookmarkEnd w:id="128"/>
      <w:bookmarkEnd w:id="129"/>
      <w:bookmarkEnd w:id="130"/>
      <w:bookmarkEnd w:id="131"/>
      <w:r>
        <w:rPr>
          <w:noProof/>
        </w:rPr>
        <w:t xml:space="preserve"> </w:t>
      </w:r>
    </w:p>
    <w:p>
      <w:pPr>
        <w:pStyle w:val="ManualHeading3"/>
        <w:rPr>
          <w:noProof/>
        </w:rPr>
      </w:pPr>
      <w:bookmarkStart w:id="132" w:name="_Toc514938053"/>
      <w:bookmarkStart w:id="133" w:name="_Toc520485052"/>
      <w:bookmarkStart w:id="134" w:name="_Toc160804594"/>
      <w:bookmarkStart w:id="135" w:name="_Toc167220286"/>
      <w:bookmarkStart w:id="136" w:name="_Toc177549019"/>
      <w:r>
        <w:rPr>
          <w:noProof/>
        </w:rPr>
        <w:t>3.2.1.</w:t>
      </w:r>
      <w:r>
        <w:rPr>
          <w:noProof/>
        </w:rPr>
        <w:tab/>
        <w:t>Summary of estimated impact on operational appropriations</w:t>
      </w:r>
      <w:bookmarkEnd w:id="132"/>
      <w:bookmarkEnd w:id="133"/>
      <w:bookmarkEnd w:id="134"/>
      <w:bookmarkEnd w:id="135"/>
      <w:bookmarkEnd w:id="136"/>
      <w:r>
        <w:rPr>
          <w:noProof/>
        </w:rPr>
        <w:t xml:space="preserve"> </w:t>
      </w:r>
    </w:p>
    <w:p>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pPr>
        <w:pStyle w:val="ListDash1"/>
        <w:rPr>
          <w:noProof/>
        </w:rPr>
      </w:pPr>
      <w:r>
        <w:rPr>
          <w:rFonts w:ascii="Wingdings" w:eastAsia="Wingdings" w:hAnsi="Wingdings" w:cs="Wingdings"/>
          <w:noProof/>
        </w:rPr>
        <w:t>¨</w:t>
      </w:r>
      <w:r>
        <w:rPr>
          <w:noProof/>
        </w:rPr>
        <w:tab/>
        <w:t>The proposal/initiative requires the use of operational appropriations, as explained below</w:t>
      </w:r>
    </w:p>
    <w:p>
      <w:pPr>
        <w:pStyle w:val="ManualHeading3"/>
        <w:rPr>
          <w:noProof/>
        </w:rPr>
      </w:pPr>
      <w:bookmarkStart w:id="137" w:name="_Toc160804595"/>
      <w:bookmarkStart w:id="138" w:name="_Toc167220287"/>
      <w:bookmarkStart w:id="139" w:name="_Toc177549020"/>
      <w:r>
        <w:rPr>
          <w:noProof/>
        </w:rPr>
        <w:t>3.2.1.1.</w:t>
      </w:r>
      <w:r>
        <w:rPr>
          <w:noProof/>
        </w:rPr>
        <w:tab/>
        <w:t>Appropriations from voted budget</w:t>
      </w:r>
      <w:bookmarkEnd w:id="137"/>
      <w:bookmarkEnd w:id="138"/>
      <w:bookmarkEnd w:id="139"/>
    </w:p>
    <w:p>
      <w:pPr>
        <w:jc w:val="right"/>
        <w:rPr>
          <w:noProof/>
          <w:sz w:val="18"/>
          <w:szCs w:val="18"/>
          <w:lang w:val="en-IE"/>
        </w:rPr>
      </w:pPr>
      <w:r>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lang w:val="en-IE"/>
              </w:rPr>
            </w:pPr>
            <w:r>
              <w:rPr>
                <w:b/>
                <w:noProof/>
                <w:sz w:val="22"/>
                <w:lang w:val="en-IE"/>
              </w:rPr>
              <w:t xml:space="preserve">Heading of multiannual financial 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35"/>
        <w:gridCol w:w="1503"/>
        <w:gridCol w:w="1411"/>
        <w:gridCol w:w="1411"/>
        <w:gridCol w:w="1411"/>
        <w:gridCol w:w="1402"/>
        <w:gridCol w:w="9"/>
        <w:gridCol w:w="1394"/>
        <w:gridCol w:w="1644"/>
      </w:tblGrid>
      <w:tr>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r>
              <w:rPr>
                <w:noProof/>
                <w:color w:val="000000"/>
                <w:sz w:val="21"/>
                <w:szCs w:val="21"/>
                <w:lang w:val="en-IE" w:eastAsia="en-IE"/>
              </w:rPr>
              <w:t xml:space="preserve">Operational appropriations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5000" w:type="pct"/>
            <w:gridSpan w:val="9"/>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val="en-IE" w:eastAsia="en-IE"/>
              </w:rPr>
            </w:pPr>
          </w:p>
        </w:tc>
        <w:tc>
          <w:tcPr>
            <w:tcW w:w="52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r>
              <w:rPr>
                <w:noProof/>
                <w:color w:val="000000"/>
                <w:sz w:val="21"/>
                <w:szCs w:val="21"/>
                <w:lang w:val="en-IE" w:eastAsia="en-IE"/>
              </w:rPr>
              <w:t xml:space="preserve">Operational appropriations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5000" w:type="pct"/>
            <w:gridSpan w:val="9"/>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lang w:val="en-IE" w:eastAsia="en-IE"/>
              </w:rPr>
            </w:pPr>
            <w:r>
              <w:rPr>
                <w:b/>
                <w:bCs/>
                <w:noProof/>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val="en-IE" w:eastAsia="en-IE"/>
              </w:rPr>
            </w:pP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operational appropriations </w:t>
            </w:r>
            <w:r>
              <w:rPr>
                <w:noProof/>
                <w:color w:val="000000"/>
                <w:sz w:val="21"/>
                <w:szCs w:val="21"/>
                <w:lang w:val="en-IE" w:eastAsia="en-IE"/>
              </w:rPr>
              <w:br/>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 &lt;….&gt;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lang w:val="en-IE" w:eastAsia="en-IE"/>
              </w:rPr>
            </w:pPr>
            <w:r>
              <w:rPr>
                <w:noProof/>
                <w:color w:val="000000"/>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lang w:val="en-IE"/>
              </w:rPr>
            </w:pPr>
            <w:r>
              <w:rPr>
                <w:b/>
                <w:noProof/>
                <w:sz w:val="22"/>
                <w:lang w:val="en-IE"/>
              </w:rPr>
              <w:t xml:space="preserve">Heading of multiannual financial </w:t>
            </w:r>
            <w:r>
              <w:rPr>
                <w:noProof/>
                <w:sz w:val="22"/>
                <w:lang w:val="en-IE"/>
              </w:rPr>
              <w:br/>
            </w:r>
            <w:r>
              <w:rPr>
                <w:b/>
                <w:noProof/>
                <w:sz w:val="22"/>
                <w:lang w:val="en-IE"/>
              </w:rPr>
              <w:t xml:space="preserve">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p>
        </w:tc>
      </w:tr>
    </w:tbl>
    <w:p>
      <w:pPr>
        <w:rPr>
          <w:noProof/>
        </w:rPr>
      </w:pPr>
    </w:p>
    <w:tbl>
      <w:tblPr>
        <w:tblW w:w="5000" w:type="pct"/>
        <w:tblLook w:val="04A0" w:firstRow="1" w:lastRow="0" w:firstColumn="1" w:lastColumn="0" w:noHBand="0" w:noVBand="1"/>
      </w:tblPr>
      <w:tblGrid>
        <w:gridCol w:w="4329"/>
        <w:gridCol w:w="1399"/>
        <w:gridCol w:w="1960"/>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val="en-IE"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Operational appropriations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lang w:val="en-IE" w:eastAsia="en-IE"/>
              </w:rPr>
            </w:pPr>
            <w:r>
              <w:rPr>
                <w:b/>
                <w:bCs/>
                <w:noProof/>
                <w:color w:val="000000"/>
                <w:sz w:val="20"/>
                <w:szCs w:val="20"/>
                <w:lang w:val="en-IE" w:eastAsia="en-IE"/>
              </w:rPr>
              <w:t>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lang w:val="en-IE" w:eastAsia="en-IE"/>
              </w:rPr>
            </w:pPr>
            <w:r>
              <w:rPr>
                <w:b/>
                <w:bCs/>
                <w:noProof/>
                <w:color w:val="000000"/>
                <w:sz w:val="20"/>
                <w:szCs w:val="20"/>
                <w:lang w:val="en-IE" w:eastAsia="en-IE"/>
              </w:rPr>
              <w:t>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val="en-IE"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val="en-IE"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492"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688"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 +3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bl>
    <w:p>
      <w:pPr>
        <w:rPr>
          <w:noProof/>
        </w:rPr>
      </w:pPr>
    </w:p>
    <w:tbl>
      <w:tblPr>
        <w:tblW w:w="5000" w:type="pct"/>
        <w:tblLook w:val="04A0" w:firstRow="1" w:lastRow="0" w:firstColumn="1" w:lastColumn="0" w:noHBand="0" w:noVBand="1"/>
      </w:tblPr>
      <w:tblGrid>
        <w:gridCol w:w="4329"/>
        <w:gridCol w:w="1340"/>
        <w:gridCol w:w="2019"/>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val="en-IE"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Operational appropriations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lang w:val="en-IE" w:eastAsia="en-IE"/>
              </w:rPr>
            </w:pPr>
            <w:r>
              <w:rPr>
                <w:b/>
                <w:bCs/>
                <w:noProof/>
                <w:color w:val="000000"/>
                <w:sz w:val="20"/>
                <w:szCs w:val="20"/>
                <w:lang w:val="en-IE" w:eastAsia="en-IE"/>
              </w:rPr>
              <w:t>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lang w:val="en-IE" w:eastAsia="en-IE"/>
              </w:rPr>
            </w:pPr>
            <w:r>
              <w:rPr>
                <w:b/>
                <w:bCs/>
                <w:noProof/>
                <w:color w:val="000000"/>
                <w:sz w:val="20"/>
                <w:szCs w:val="20"/>
                <w:lang w:val="en-IE" w:eastAsia="en-IE"/>
              </w:rPr>
              <w:t>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val="en-IE"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val="en-IE"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471"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709"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 +3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bl>
    <w:p>
      <w:pPr>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lang w:val="en-IE" w:eastAsia="en-IE"/>
              </w:rPr>
            </w:pPr>
            <w:r>
              <w:rPr>
                <w:b/>
                <w:bCs/>
                <w:noProof/>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operational appropriations </w:t>
            </w:r>
            <w:r>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lang w:val="en-IE" w:eastAsia="en-IE"/>
              </w:rPr>
            </w:pPr>
            <w:r>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val="en-IE"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val="en-IE"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rFonts w:ascii="Calibri" w:hAnsi="Calibri" w:cs="Calibri"/>
                <w:noProof/>
                <w:color w:val="000000"/>
                <w:sz w:val="21"/>
                <w:szCs w:val="21"/>
                <w:lang w:val="en-IE" w:eastAsia="en-IE"/>
              </w:rPr>
              <w:t xml:space="preserve">• </w:t>
            </w:r>
            <w:r>
              <w:rPr>
                <w:noProof/>
                <w:color w:val="000000"/>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lang w:val="en-IE" w:eastAsia="en-IE"/>
              </w:rPr>
            </w:pPr>
            <w:r>
              <w:rPr>
                <w:rFonts w:ascii="Calibri" w:hAnsi="Calibri" w:cs="Calibri"/>
                <w:noProof/>
                <w:color w:val="000000"/>
                <w:sz w:val="21"/>
                <w:szCs w:val="21"/>
                <w:lang w:val="en-IE" w:eastAsia="en-IE"/>
              </w:rPr>
              <w:t>•</w:t>
            </w:r>
            <w:r>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 1 to 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lang w:val="en-IE" w:eastAsia="en-IE"/>
              </w:rPr>
            </w:pPr>
            <w:r>
              <w:rPr>
                <w:noProof/>
                <w:color w:val="000000"/>
                <w:sz w:val="20"/>
                <w:szCs w:val="20"/>
                <w:lang w:val="en-IE" w:eastAsia="en-IE"/>
              </w:rPr>
              <w:t>of the multiannual financial framework</w:t>
            </w:r>
            <w:r>
              <w:rPr>
                <w:noProof/>
                <w:color w:val="000000"/>
                <w:sz w:val="20"/>
                <w:szCs w:val="20"/>
                <w:lang w:val="en-IE" w:eastAsia="en-IE"/>
              </w:rPr>
              <w:br/>
              <w:t>(Reference amount)</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trPr>
          <w:jc w:val="center"/>
        </w:trPr>
        <w:tc>
          <w:tcPr>
            <w:tcW w:w="1739" w:type="pct"/>
            <w:gridSpan w:val="2"/>
            <w:shd w:val="thinDiagStripe" w:color="C0C0C0" w:fill="auto"/>
            <w:vAlign w:val="center"/>
          </w:tcPr>
          <w:p>
            <w:pPr>
              <w:spacing w:before="60" w:after="60"/>
              <w:jc w:val="center"/>
              <w:rPr>
                <w:b/>
                <w:noProof/>
                <w:lang w:val="en-IE"/>
              </w:rPr>
            </w:pPr>
            <w:r>
              <w:rPr>
                <w:noProof/>
                <w:sz w:val="22"/>
                <w:lang w:val="en-IE"/>
              </w:rPr>
              <w:br w:type="page"/>
            </w:r>
            <w:r>
              <w:rPr>
                <w:b/>
                <w:noProof/>
                <w:sz w:val="22"/>
                <w:lang w:val="en-IE"/>
              </w:rPr>
              <w:t xml:space="preserve">Heading of multiannual financial  framework </w:t>
            </w:r>
          </w:p>
        </w:tc>
        <w:tc>
          <w:tcPr>
            <w:tcW w:w="396" w:type="pct"/>
            <w:shd w:val="thinDiagStripe" w:color="C0C0C0" w:fill="auto"/>
            <w:vAlign w:val="center"/>
          </w:tcPr>
          <w:p>
            <w:pPr>
              <w:spacing w:before="60" w:after="60"/>
              <w:jc w:val="center"/>
              <w:rPr>
                <w:noProof/>
              </w:rPr>
            </w:pPr>
            <w:r>
              <w:rPr>
                <w:b/>
                <w:noProof/>
                <w:sz w:val="22"/>
              </w:rPr>
              <w:t>7</w:t>
            </w:r>
          </w:p>
        </w:tc>
        <w:tc>
          <w:tcPr>
            <w:tcW w:w="2865" w:type="pct"/>
            <w:gridSpan w:val="8"/>
            <w:vAlign w:val="center"/>
          </w:tcPr>
          <w:p>
            <w:pPr>
              <w:spacing w:before="60" w:after="60"/>
              <w:rPr>
                <w:noProof/>
              </w:rPr>
            </w:pPr>
            <w:r>
              <w:rPr>
                <w:noProof/>
                <w:sz w:val="22"/>
              </w:rPr>
              <w:t>‘Administrative expenditure’</w:t>
            </w:r>
            <w:r>
              <w:rPr>
                <w:noProof/>
              </w:rPr>
              <w:t xml:space="preserve"> </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lang w:val="en-IE" w:eastAsia="en-IE"/>
              </w:rPr>
            </w:pPr>
            <w:r>
              <w:rPr>
                <w:noProof/>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TOTAL DG </w:t>
            </w:r>
            <w:r>
              <w:rPr>
                <w:noProof/>
                <w:color w:val="000000"/>
                <w:sz w:val="22"/>
                <w:lang w:val="en-IE" w:eastAsia="en-IE"/>
              </w:rPr>
              <w:t>&lt;…….&gt;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lang w:val="en-IE" w:eastAsia="en-IE"/>
              </w:rPr>
            </w:pPr>
            <w:r>
              <w:rPr>
                <w:noProof/>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val="en-IE"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465" w:type="pct"/>
            <w:tcBorders>
              <w:top w:val="nil"/>
              <w:left w:val="nil"/>
              <w:bottom w:val="nil"/>
              <w:right w:val="nil"/>
            </w:tcBorders>
            <w:noWrap/>
            <w:vAlign w:val="bottom"/>
            <w:hideMark/>
          </w:tcPr>
          <w:p>
            <w:pPr>
              <w:spacing w:before="0" w:after="0"/>
              <w:jc w:val="left"/>
              <w:rPr>
                <w:noProof/>
                <w:sz w:val="20"/>
                <w:szCs w:val="20"/>
                <w:lang w:val="en-IE"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lang w:val="en-IE" w:eastAsia="en-IE"/>
              </w:rPr>
            </w:pPr>
            <w:r>
              <w:rPr>
                <w:noProof/>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TOTAL DG </w:t>
            </w:r>
            <w:r>
              <w:rPr>
                <w:noProof/>
                <w:color w:val="000000"/>
                <w:sz w:val="22"/>
                <w:lang w:val="en-IE" w:eastAsia="en-IE"/>
              </w:rPr>
              <w:t>&lt;…….&gt;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lang w:val="en-IE" w:eastAsia="en-IE"/>
              </w:rPr>
            </w:pPr>
            <w:r>
              <w:rPr>
                <w:noProof/>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val="en-IE"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465" w:type="pct"/>
            <w:tcBorders>
              <w:top w:val="nil"/>
              <w:left w:val="nil"/>
              <w:bottom w:val="nil"/>
              <w:right w:val="nil"/>
            </w:tcBorders>
            <w:noWrap/>
            <w:vAlign w:val="bottom"/>
            <w:hideMark/>
          </w:tcPr>
          <w:p>
            <w:pPr>
              <w:spacing w:before="0" w:after="0"/>
              <w:jc w:val="left"/>
              <w:rPr>
                <w:noProof/>
                <w:sz w:val="20"/>
                <w:szCs w:val="20"/>
                <w:lang w:val="en-IE"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TOTAL appropriations under HEADING 7 of the multiannual financial framework </w:t>
            </w:r>
          </w:p>
        </w:tc>
        <w:tc>
          <w:tcPr>
            <w:tcW w:w="449"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(Total commitments = Total payments)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bl>
    <w:p>
      <w:pPr>
        <w:jc w:val="right"/>
        <w:rPr>
          <w:noProof/>
          <w:sz w:val="20"/>
          <w:lang w:val="en-IE"/>
        </w:rPr>
      </w:pPr>
      <w:r>
        <w:rPr>
          <w:noProof/>
          <w:sz w:val="20"/>
          <w:lang w:val="en-IE"/>
        </w:rPr>
        <w:t>EUR million (to three decimal places)</w:t>
      </w:r>
    </w:p>
    <w:tbl>
      <w:tblPr>
        <w:tblW w:w="5000" w:type="pct"/>
        <w:tblLook w:val="04A0" w:firstRow="1" w:lastRow="0" w:firstColumn="1" w:lastColumn="0" w:noHBand="0" w:noVBand="1"/>
      </w:tblPr>
      <w:tblGrid>
        <w:gridCol w:w="5607"/>
        <w:gridCol w:w="2080"/>
        <w:gridCol w:w="1255"/>
        <w:gridCol w:w="1254"/>
        <w:gridCol w:w="1254"/>
        <w:gridCol w:w="1254"/>
        <w:gridCol w:w="1516"/>
      </w:tblGrid>
      <w:tr>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lang w:val="en-IE" w:eastAsia="en-IE"/>
              </w:rPr>
            </w:pPr>
            <w:r>
              <w:rPr>
                <w:noProof/>
                <w:color w:val="000000"/>
                <w:szCs w:val="24"/>
                <w:lang w:val="en-IE" w:eastAsia="en-IE"/>
              </w:rPr>
              <w:t> </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val="en-IE"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HEADINGS 1 to 7</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r>
      <w:tr>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lang w:val="en-IE" w:eastAsia="en-IE"/>
              </w:rPr>
            </w:pPr>
            <w:r>
              <w:rPr>
                <w:noProof/>
                <w:color w:val="000000"/>
                <w:sz w:val="22"/>
                <w:lang w:val="en-IE" w:eastAsia="en-IE"/>
              </w:rPr>
              <w:t>of the multiannual financial framework</w:t>
            </w:r>
            <w:r>
              <w:rPr>
                <w:b/>
                <w:bCs/>
                <w:noProof/>
                <w:color w:val="000000"/>
                <w:sz w:val="22"/>
                <w:lang w:val="en-IE" w:eastAsia="en-IE"/>
              </w:rPr>
              <w:t xml:space="preserve"> </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r>
    </w:tbl>
    <w:p>
      <w:pPr>
        <w:pStyle w:val="ManualHeading3"/>
        <w:rPr>
          <w:noProof/>
        </w:rPr>
      </w:pPr>
      <w:bookmarkStart w:id="140" w:name="_Toc160804596"/>
      <w:bookmarkStart w:id="141" w:name="_Toc167220288"/>
      <w:bookmarkStart w:id="142" w:name="_Toc177549021"/>
      <w:r>
        <w:rPr>
          <w:noProof/>
        </w:rPr>
        <w:t>3.2.1.2.</w:t>
      </w:r>
      <w:r>
        <w:rPr>
          <w:noProof/>
        </w:rPr>
        <w:tab/>
        <w:t>Appropriations from external assigned revenues</w:t>
      </w:r>
      <w:bookmarkEnd w:id="140"/>
      <w:bookmarkEnd w:id="141"/>
      <w:bookmarkEnd w:id="142"/>
    </w:p>
    <w:p>
      <w:pPr>
        <w:jc w:val="right"/>
        <w:rPr>
          <w:noProof/>
          <w:sz w:val="18"/>
          <w:szCs w:val="18"/>
          <w:lang w:val="en-IE"/>
        </w:rPr>
      </w:pPr>
      <w:r>
        <w:rPr>
          <w:noProof/>
          <w:sz w:val="18"/>
          <w:szCs w:val="18"/>
          <w:lang w:val="en-IE"/>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lang w:val="en-IE"/>
              </w:rPr>
            </w:pPr>
            <w:r>
              <w:rPr>
                <w:b/>
                <w:noProof/>
                <w:sz w:val="22"/>
                <w:lang w:val="en-IE"/>
              </w:rPr>
              <w:t xml:space="preserve">Heading of multiannual financial 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35"/>
        <w:gridCol w:w="909"/>
        <w:gridCol w:w="594"/>
        <w:gridCol w:w="532"/>
        <w:gridCol w:w="879"/>
        <w:gridCol w:w="1411"/>
        <w:gridCol w:w="1411"/>
        <w:gridCol w:w="1402"/>
        <w:gridCol w:w="9"/>
        <w:gridCol w:w="1394"/>
        <w:gridCol w:w="1644"/>
      </w:tblGrid>
      <w:tr>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r>
              <w:rPr>
                <w:noProof/>
                <w:color w:val="000000"/>
                <w:sz w:val="21"/>
                <w:szCs w:val="21"/>
                <w:lang w:val="en-IE" w:eastAsia="en-IE"/>
              </w:rPr>
              <w:t xml:space="preserve">Operational appropriations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r>
              <w:rPr>
                <w:noProof/>
                <w:color w:val="000000"/>
                <w:sz w:val="21"/>
                <w:szCs w:val="21"/>
                <w:lang w:val="en-IE" w:eastAsia="en-IE"/>
              </w:rPr>
              <w:t xml:space="preserve">Operational appropriations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lang w:val="en-IE" w:eastAsia="en-IE"/>
              </w:rPr>
            </w:pPr>
            <w:r>
              <w:rPr>
                <w:b/>
                <w:bCs/>
                <w:noProof/>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val="en-IE" w:eastAsia="en-IE"/>
              </w:rPr>
            </w:pP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operational appropriations </w:t>
            </w:r>
            <w:r>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appropriations of an administrative nature financed from the envelope for specific programmes </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lang w:val="en-IE" w:eastAsia="en-IE"/>
              </w:rPr>
            </w:pPr>
            <w:r>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2"/>
            <w:shd w:val="thinDiagStripe" w:color="C0C0C0" w:fill="auto"/>
            <w:vAlign w:val="center"/>
          </w:tcPr>
          <w:p>
            <w:pPr>
              <w:spacing w:before="60" w:after="60"/>
              <w:jc w:val="center"/>
              <w:rPr>
                <w:b/>
                <w:noProof/>
                <w:lang w:val="en-IE"/>
              </w:rPr>
            </w:pPr>
            <w:r>
              <w:rPr>
                <w:b/>
                <w:noProof/>
                <w:sz w:val="22"/>
                <w:lang w:val="en-IE"/>
              </w:rPr>
              <w:t xml:space="preserve">Heading of multiannual financial framework </w:t>
            </w:r>
          </w:p>
        </w:tc>
        <w:tc>
          <w:tcPr>
            <w:tcW w:w="396" w:type="pct"/>
            <w:gridSpan w:val="2"/>
            <w:vAlign w:val="center"/>
          </w:tcPr>
          <w:p>
            <w:pPr>
              <w:spacing w:before="60" w:after="60"/>
              <w:jc w:val="center"/>
              <w:rPr>
                <w:noProof/>
              </w:rPr>
            </w:pPr>
            <w:r>
              <w:rPr>
                <w:noProof/>
                <w:sz w:val="22"/>
              </w:rPr>
              <w:t>Number</w:t>
            </w:r>
          </w:p>
        </w:tc>
        <w:tc>
          <w:tcPr>
            <w:tcW w:w="2865" w:type="pct"/>
            <w:gridSpan w:val="7"/>
            <w:vAlign w:val="center"/>
          </w:tcPr>
          <w:p>
            <w:pPr>
              <w:spacing w:before="60" w:after="60"/>
              <w:rPr>
                <w:noProof/>
              </w:rPr>
            </w:pPr>
          </w:p>
        </w:tc>
      </w:tr>
    </w:tbl>
    <w:p>
      <w:pPr>
        <w:spacing w:before="0" w:after="200" w:line="276" w:lineRule="auto"/>
        <w:jc w:val="left"/>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288"/>
        </w:trPr>
        <w:tc>
          <w:tcPr>
            <w:tcW w:w="2444" w:type="pct"/>
            <w:gridSpan w:val="6"/>
            <w:vMerge/>
            <w:vAlign w:val="center"/>
            <w:hideMark/>
          </w:tcPr>
          <w:p>
            <w:pPr>
              <w:spacing w:before="0" w:after="0"/>
              <w:jc w:val="left"/>
              <w:rPr>
                <w:noProof/>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0" w:type="pct"/>
            <w:gridSpan w:val="2"/>
            <w:vMerge/>
            <w:vAlign w:val="center"/>
            <w:hideMark/>
          </w:tcPr>
          <w:p>
            <w:pPr>
              <w:spacing w:before="0" w:after="0"/>
              <w:jc w:val="left"/>
              <w:rPr>
                <w:b/>
                <w:bCs/>
                <w:noProof/>
                <w:color w:val="000000"/>
                <w:sz w:val="20"/>
                <w:szCs w:val="20"/>
                <w:lang w:val="en-IE"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r>
              <w:rPr>
                <w:noProof/>
                <w:color w:val="000000"/>
                <w:sz w:val="21"/>
                <w:szCs w:val="21"/>
                <w:lang w:val="en-IE" w:eastAsia="en-IE"/>
              </w:rPr>
              <w:t xml:space="preserve">Operational appropriations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ign w:val="center"/>
            <w:hideMark/>
          </w:tcPr>
          <w:p>
            <w:pPr>
              <w:spacing w:before="0" w:after="0"/>
              <w:jc w:val="left"/>
              <w:rPr>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ign w:val="center"/>
            <w:hideMark/>
          </w:tcPr>
          <w:p>
            <w:pPr>
              <w:spacing w:before="0" w:after="0"/>
              <w:jc w:val="left"/>
              <w:rPr>
                <w:noProof/>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vAlign w:val="center"/>
            <w:hideMark/>
          </w:tcPr>
          <w:p>
            <w:pPr>
              <w:spacing w:before="0" w:after="0"/>
              <w:jc w:val="center"/>
              <w:rPr>
                <w:b/>
                <w:bCs/>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lang w:val="en-IE" w:eastAsia="en-IE"/>
              </w:rPr>
            </w:pPr>
            <w:r>
              <w:rPr>
                <w:noProof/>
                <w:color w:val="000000"/>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r>
              <w:rPr>
                <w:noProof/>
                <w:color w:val="000000"/>
                <w:sz w:val="21"/>
                <w:szCs w:val="21"/>
                <w:lang w:val="en-IE" w:eastAsia="en-IE"/>
              </w:rPr>
              <w:t xml:space="preserve">Operational appropriations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lang w:val="en-IE" w:eastAsia="en-IE"/>
              </w:rPr>
            </w:pPr>
            <w:r>
              <w:rPr>
                <w:noProof/>
                <w:color w:val="000000"/>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lang w:val="en-IE" w:eastAsia="en-IE"/>
              </w:rPr>
            </w:pPr>
            <w:r>
              <w:rPr>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lang w:val="en-IE" w:eastAsia="en-IE"/>
              </w:rPr>
            </w:pPr>
            <w:r>
              <w:rPr>
                <w:noProof/>
                <w:color w:val="000000"/>
                <w:sz w:val="22"/>
                <w:lang w:val="en-IE" w:eastAsia="en-IE"/>
              </w:rPr>
              <w:t>Appropriations of an administrative nature financed from the envelope of specific programmes</w:t>
            </w:r>
            <w:r>
              <w:rPr>
                <w:noProof/>
              </w:rPr>
              <w:t xml:space="preserv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val="en-IE" w:eastAsia="en-IE"/>
              </w:rPr>
            </w:pPr>
            <w:r>
              <w:rPr>
                <w:noProof/>
                <w:color w:val="000000"/>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val="en-IE" w:eastAsia="en-IE"/>
              </w:rPr>
            </w:pPr>
            <w:r>
              <w:rPr>
                <w:noProof/>
                <w:color w:val="000000"/>
                <w:sz w:val="18"/>
                <w:szCs w:val="18"/>
                <w:lang w:val="en-IE" w:eastAsia="en-IE"/>
              </w:rPr>
              <w:t>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w:t>
            </w:r>
          </w:p>
          <w:p>
            <w:pPr>
              <w:spacing w:before="0" w:after="0"/>
              <w:jc w:val="center"/>
              <w:rPr>
                <w:b/>
                <w:bCs/>
                <w:noProof/>
                <w:color w:val="000000"/>
                <w:sz w:val="22"/>
                <w:lang w:val="en-IE" w:eastAsia="en-IE"/>
              </w:rPr>
            </w:pPr>
            <w:r>
              <w:rPr>
                <w:b/>
                <w:bCs/>
                <w:noProof/>
                <w:color w:val="000000"/>
                <w:sz w:val="22"/>
                <w:lang w:val="en-IE" w:eastAsia="en-IE"/>
              </w:rPr>
              <w:t xml:space="preserve">for DG </w:t>
            </w:r>
            <w:r>
              <w:rPr>
                <w:noProof/>
                <w:color w:val="000000"/>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lang w:val="en-IE" w:eastAsia="en-IE"/>
              </w:rPr>
            </w:pPr>
            <w:r>
              <w:rPr>
                <w:b/>
                <w:bCs/>
                <w:noProof/>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val="en-IE"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operational appropriations </w:t>
            </w:r>
            <w:r>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noProof/>
                <w:color w:val="000000"/>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lang w:val="en-IE" w:eastAsia="en-IE"/>
              </w:rPr>
            </w:pPr>
            <w:r>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val="en-IE"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pPr>
              <w:spacing w:before="0" w:after="0"/>
              <w:jc w:val="left"/>
              <w:rPr>
                <w:noProof/>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val="en-IE"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pPr>
              <w:spacing w:before="0" w:after="0"/>
              <w:jc w:val="left"/>
              <w:rPr>
                <w:noProof/>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lang w:val="en-IE" w:eastAsia="en-IE"/>
              </w:rPr>
            </w:pPr>
            <w:r>
              <w:rPr>
                <w:rFonts w:ascii="Calibri" w:hAnsi="Calibri" w:cs="Calibri"/>
                <w:noProof/>
                <w:color w:val="000000"/>
                <w:sz w:val="21"/>
                <w:szCs w:val="21"/>
                <w:lang w:val="en-IE" w:eastAsia="en-IE"/>
              </w:rPr>
              <w:t xml:space="preserve">• </w:t>
            </w:r>
            <w:r>
              <w:rPr>
                <w:noProof/>
                <w:color w:val="000000"/>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lang w:val="en-IE" w:eastAsia="en-IE"/>
              </w:rPr>
            </w:pPr>
            <w:r>
              <w:rPr>
                <w:rFonts w:ascii="Calibri" w:hAnsi="Calibri" w:cs="Calibri"/>
                <w:noProof/>
                <w:color w:val="000000"/>
                <w:sz w:val="21"/>
                <w:szCs w:val="21"/>
                <w:lang w:val="en-IE" w:eastAsia="en-IE"/>
              </w:rPr>
              <w:t>•</w:t>
            </w:r>
            <w:r>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Headings 1 to 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lang w:val="en-IE" w:eastAsia="en-IE"/>
              </w:rPr>
            </w:pPr>
            <w:r>
              <w:rPr>
                <w:noProof/>
                <w:color w:val="000000"/>
                <w:sz w:val="20"/>
                <w:szCs w:val="20"/>
                <w:lang w:val="en-IE" w:eastAsia="en-IE"/>
              </w:rPr>
              <w:t>of the multiannual financial framework (Reference amount)</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lang w:val="en-IE" w:eastAsia="en-IE"/>
              </w:rPr>
            </w:pPr>
            <w:r>
              <w:rPr>
                <w:noProof/>
                <w:color w:val="000000"/>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lang w:val="en-IE"/>
              </w:rPr>
            </w:pPr>
            <w:r>
              <w:rPr>
                <w:noProof/>
                <w:sz w:val="22"/>
                <w:lang w:val="en-IE"/>
              </w:rPr>
              <w:br w:type="page"/>
            </w:r>
            <w:r>
              <w:rPr>
                <w:b/>
                <w:noProof/>
                <w:sz w:val="22"/>
                <w:lang w:val="en-IE"/>
              </w:rPr>
              <w:t xml:space="preserve">Heading of multiannual financial framework </w:t>
            </w:r>
          </w:p>
        </w:tc>
        <w:tc>
          <w:tcPr>
            <w:tcW w:w="380" w:type="pct"/>
            <w:shd w:val="thinDiagStripe" w:color="C0C0C0" w:fill="auto"/>
            <w:vAlign w:val="center"/>
          </w:tcPr>
          <w:p>
            <w:pPr>
              <w:spacing w:before="60" w:after="60"/>
              <w:jc w:val="center"/>
              <w:rPr>
                <w:noProof/>
              </w:rPr>
            </w:pPr>
            <w:r>
              <w:rPr>
                <w:b/>
                <w:noProof/>
                <w:sz w:val="22"/>
              </w:rPr>
              <w:t>7</w:t>
            </w:r>
          </w:p>
        </w:tc>
        <w:tc>
          <w:tcPr>
            <w:tcW w:w="2749" w:type="pct"/>
            <w:vAlign w:val="center"/>
          </w:tcPr>
          <w:p>
            <w:pPr>
              <w:spacing w:before="60" w:after="60"/>
              <w:rPr>
                <w:noProof/>
              </w:rPr>
            </w:pPr>
            <w:r>
              <w:rPr>
                <w:noProof/>
                <w:sz w:val="22"/>
              </w:rPr>
              <w:t>‘Administrative expenditure’</w:t>
            </w:r>
            <w:r>
              <w:rPr>
                <w:noProof/>
              </w:rPr>
              <w:t xml:space="preserve"> </w:t>
            </w:r>
          </w:p>
        </w:tc>
      </w:tr>
    </w:tbl>
    <w:p>
      <w:pPr>
        <w:jc w:val="right"/>
        <w:rPr>
          <w:noProof/>
          <w:sz w:val="20"/>
          <w:lang w:val="en-IE"/>
        </w:rPr>
      </w:pPr>
      <w:r>
        <w:rPr>
          <w:noProof/>
          <w:sz w:val="20"/>
          <w:lang w:val="en-IE"/>
        </w:rPr>
        <w:t>EUR million (to three decimal places)</w:t>
      </w:r>
    </w:p>
    <w:tbl>
      <w:tblPr>
        <w:tblW w:w="13140"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lang w:val="en-IE" w:eastAsia="en-IE"/>
              </w:rPr>
            </w:pPr>
            <w:r>
              <w:rPr>
                <w:noProof/>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TOTAL DG </w:t>
            </w:r>
            <w:r>
              <w:rPr>
                <w:noProof/>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lang w:val="en-IE" w:eastAsia="en-IE"/>
              </w:rPr>
            </w:pPr>
            <w:r>
              <w:rPr>
                <w:noProof/>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val="en-IE" w:eastAsia="en-IE"/>
              </w:rPr>
            </w:pPr>
          </w:p>
        </w:tc>
        <w:tc>
          <w:tcPr>
            <w:tcW w:w="2477"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244" w:type="dxa"/>
            <w:tcBorders>
              <w:top w:val="nil"/>
              <w:left w:val="nil"/>
              <w:bottom w:val="nil"/>
              <w:right w:val="nil"/>
            </w:tcBorders>
            <w:noWrap/>
            <w:vAlign w:val="bottom"/>
            <w:hideMark/>
          </w:tcPr>
          <w:p>
            <w:pPr>
              <w:spacing w:before="0" w:after="0"/>
              <w:jc w:val="left"/>
              <w:rPr>
                <w:noProof/>
                <w:sz w:val="20"/>
                <w:szCs w:val="20"/>
                <w:lang w:val="en-IE" w:eastAsia="en-IE"/>
              </w:rPr>
            </w:pPr>
          </w:p>
        </w:tc>
      </w:tr>
      <w:tr>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lang w:val="en-IE" w:eastAsia="en-IE"/>
              </w:rPr>
            </w:pPr>
            <w:r>
              <w:rPr>
                <w:noProof/>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lang w:val="en-IE" w:eastAsia="en-IE"/>
              </w:rPr>
            </w:pPr>
            <w:r>
              <w:rPr>
                <w:rFonts w:ascii="Wingdings" w:hAnsi="Wingdings" w:cs="Calibri"/>
                <w:noProof/>
                <w:color w:val="000000"/>
                <w:sz w:val="22"/>
                <w:lang w:val="en-IE" w:eastAsia="en-IE"/>
              </w:rPr>
              <w:t>Ÿ</w:t>
            </w:r>
            <w:r>
              <w:rPr>
                <w:noProof/>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lang w:val="en-IE" w:eastAsia="en-IE"/>
              </w:rPr>
            </w:pPr>
            <w:r>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TOTAL DG </w:t>
            </w:r>
            <w:r>
              <w:rPr>
                <w:noProof/>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lang w:val="en-IE" w:eastAsia="en-IE"/>
              </w:rPr>
            </w:pPr>
            <w:r>
              <w:rPr>
                <w:noProof/>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val="en-IE" w:eastAsia="en-IE"/>
              </w:rPr>
            </w:pPr>
          </w:p>
        </w:tc>
        <w:tc>
          <w:tcPr>
            <w:tcW w:w="2477"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pPr>
              <w:spacing w:before="0" w:after="0"/>
              <w:jc w:val="left"/>
              <w:rPr>
                <w:noProof/>
                <w:sz w:val="20"/>
                <w:szCs w:val="20"/>
                <w:lang w:val="en-IE" w:eastAsia="en-IE"/>
              </w:rPr>
            </w:pPr>
          </w:p>
        </w:tc>
        <w:tc>
          <w:tcPr>
            <w:tcW w:w="1244" w:type="dxa"/>
            <w:tcBorders>
              <w:top w:val="nil"/>
              <w:left w:val="nil"/>
              <w:bottom w:val="nil"/>
              <w:right w:val="nil"/>
            </w:tcBorders>
            <w:noWrap/>
            <w:vAlign w:val="bottom"/>
            <w:hideMark/>
          </w:tcPr>
          <w:p>
            <w:pPr>
              <w:spacing w:before="0" w:after="0"/>
              <w:jc w:val="left"/>
              <w:rPr>
                <w:noProof/>
                <w:sz w:val="20"/>
                <w:szCs w:val="20"/>
                <w:lang w:val="en-IE" w:eastAsia="en-IE"/>
              </w:rPr>
            </w:pPr>
          </w:p>
        </w:tc>
      </w:tr>
      <w:tr>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lang w:val="en-IE" w:eastAsia="en-IE"/>
              </w:rPr>
            </w:pPr>
            <w:r>
              <w:rPr>
                <w:b/>
                <w:bCs/>
                <w:noProof/>
                <w:color w:val="000000"/>
                <w:sz w:val="22"/>
                <w:lang w:val="en-IE" w:eastAsia="en-IE"/>
              </w:rPr>
              <w:t xml:space="preserve">TOTAL appropriations under HEADING 7 of the multiannual financial framework </w:t>
            </w:r>
          </w:p>
        </w:tc>
        <w:tc>
          <w:tcPr>
            <w:tcW w:w="1010" w:type="dxa"/>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(Total commitments = Total payments)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val="en-IE" w:eastAsia="en-IE"/>
              </w:rPr>
            </w:pPr>
            <w:r>
              <w:rPr>
                <w:b/>
                <w:bCs/>
                <w:noProof/>
                <w:color w:val="000000"/>
                <w:sz w:val="20"/>
                <w:szCs w:val="20"/>
                <w:lang w:val="en-IE" w:eastAsia="en-IE"/>
              </w:rPr>
              <w:t>0.000</w:t>
            </w:r>
          </w:p>
        </w:tc>
      </w:tr>
    </w:tbl>
    <w:p>
      <w:pPr>
        <w:jc w:val="right"/>
        <w:rPr>
          <w:noProof/>
          <w:sz w:val="20"/>
          <w:lang w:val="en-IE"/>
        </w:rPr>
      </w:pPr>
      <w:r>
        <w:rPr>
          <w:noProof/>
          <w:sz w:val="20"/>
          <w:lang w:val="en-IE"/>
        </w:rPr>
        <w:t>EUR million (to three decimal places)</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lang w:val="en-IE" w:eastAsia="en-IE"/>
              </w:rPr>
            </w:pPr>
            <w:r>
              <w:rPr>
                <w:noProof/>
                <w:color w:val="000000"/>
                <w:szCs w:val="24"/>
                <w:lang w:val="en-IE" w:eastAsia="en-IE"/>
              </w:rPr>
              <w:t> </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TOTAL MFF 2021-2027</w:t>
            </w:r>
          </w:p>
        </w:tc>
      </w:tr>
      <w:tr>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val="en-IE" w:eastAsia="en-IE"/>
              </w:rPr>
            </w:pP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val="en-IE" w:eastAsia="en-IE"/>
              </w:rPr>
            </w:pPr>
          </w:p>
        </w:tc>
      </w:tr>
      <w:tr>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lang w:val="en-IE" w:eastAsia="en-IE"/>
              </w:rPr>
            </w:pPr>
            <w:r>
              <w:rPr>
                <w:b/>
                <w:bCs/>
                <w:noProof/>
                <w:color w:val="000000"/>
                <w:sz w:val="22"/>
                <w:lang w:val="en-IE" w:eastAsia="en-IE"/>
              </w:rPr>
              <w:t>TOTAL appropriations under HEADINGS 1 to 7</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Commitments</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r>
      <w:tr>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lang w:val="en-IE" w:eastAsia="en-IE"/>
              </w:rPr>
            </w:pPr>
            <w:r>
              <w:rPr>
                <w:noProof/>
                <w:color w:val="000000"/>
                <w:sz w:val="22"/>
                <w:lang w:val="en-IE" w:eastAsia="en-IE"/>
              </w:rPr>
              <w:t>of the multiannual financial framework</w:t>
            </w:r>
            <w:r>
              <w:rPr>
                <w:b/>
                <w:bCs/>
                <w:noProof/>
                <w:color w:val="000000"/>
                <w:sz w:val="22"/>
                <w:lang w:val="en-IE" w:eastAsia="en-IE"/>
              </w:rPr>
              <w:t xml:space="preserve"> </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lang w:val="en-IE" w:eastAsia="en-IE"/>
              </w:rPr>
            </w:pPr>
            <w:r>
              <w:rPr>
                <w:noProof/>
                <w:color w:val="000000"/>
                <w:sz w:val="18"/>
                <w:szCs w:val="18"/>
                <w:lang w:val="en-IE" w:eastAsia="en-IE"/>
              </w:rPr>
              <w:t>Payments</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lang w:val="en-IE" w:eastAsia="en-IE"/>
              </w:rPr>
            </w:pPr>
            <w:r>
              <w:rPr>
                <w:b/>
                <w:bCs/>
                <w:noProof/>
                <w:color w:val="000000"/>
                <w:szCs w:val="24"/>
                <w:lang w:val="en-IE" w:eastAsia="en-IE"/>
              </w:rPr>
              <w:t>0.000</w:t>
            </w:r>
          </w:p>
        </w:tc>
      </w:tr>
    </w:tbl>
    <w:p>
      <w:pPr>
        <w:pStyle w:val="ManualHeading3"/>
        <w:rPr>
          <w:bCs/>
          <w:noProof/>
          <w:szCs w:val="24"/>
        </w:rPr>
      </w:pPr>
      <w:bookmarkStart w:id="143" w:name="_Toc514938054"/>
      <w:bookmarkStart w:id="144" w:name="_Toc520485053"/>
      <w:bookmarkStart w:id="145" w:name="_Toc160804597"/>
      <w:bookmarkStart w:id="146" w:name="_Toc167220289"/>
      <w:bookmarkStart w:id="147" w:name="_Toc177549022"/>
      <w:r>
        <w:rPr>
          <w:noProof/>
        </w:rPr>
        <w:t>3.2.2.</w:t>
      </w:r>
      <w:r>
        <w:rPr>
          <w:noProof/>
        </w:rPr>
        <w:tab/>
        <w:t>Estimated output funded from operational appropriations</w:t>
      </w:r>
      <w:bookmarkEnd w:id="143"/>
      <w:bookmarkEnd w:id="144"/>
      <w:r>
        <w:rPr>
          <w:noProof/>
        </w:rPr>
        <w:t xml:space="preserve"> (not to be completed for decentralised agencies)</w:t>
      </w:r>
      <w:bookmarkEnd w:id="145"/>
      <w:bookmarkEnd w:id="146"/>
      <w:bookmarkEnd w:id="147"/>
    </w:p>
    <w:p>
      <w:pPr>
        <w:jc w:val="right"/>
        <w:rPr>
          <w:noProof/>
          <w:sz w:val="20"/>
          <w:lang w:val="en-IE"/>
        </w:rPr>
      </w:pPr>
      <w:r>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Indicate objectives and outputs </w:t>
            </w:r>
          </w:p>
          <w:p>
            <w:pPr>
              <w:ind w:right="-29"/>
              <w:jc w:val="center"/>
              <w:rPr>
                <w:b/>
                <w:noProof/>
                <w:sz w:val="18"/>
                <w:szCs w:val="18"/>
              </w:rPr>
            </w:pPr>
          </w:p>
          <w:p>
            <w:pPr>
              <w:ind w:right="-29"/>
              <w:jc w:val="center"/>
              <w:rPr>
                <w:noProof/>
                <w:sz w:val="18"/>
                <w:szCs w:val="18"/>
              </w:rPr>
            </w:pPr>
            <w:r>
              <w:rPr>
                <w:rFonts w:ascii="Wingdings" w:eastAsia="Wingdings" w:hAnsi="Wingdings" w:cs="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Year </w:t>
            </w:r>
            <w:r>
              <w:rPr>
                <w:noProof/>
                <w:sz w:val="22"/>
              </w:rPr>
              <w:br/>
            </w:r>
            <w:r>
              <w:rPr>
                <w:b/>
                <w:noProof/>
                <w:sz w:val="18"/>
              </w:rPr>
              <w:t>2024</w:t>
            </w:r>
          </w:p>
        </w:tc>
        <w:tc>
          <w:tcPr>
            <w:tcW w:w="126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2025</w:t>
            </w:r>
          </w:p>
        </w:tc>
        <w:tc>
          <w:tcPr>
            <w:tcW w:w="144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2026</w:t>
            </w:r>
          </w:p>
        </w:tc>
        <w:tc>
          <w:tcPr>
            <w:tcW w:w="1620" w:type="dxa"/>
            <w:gridSpan w:val="3"/>
            <w:vAlign w:val="center"/>
          </w:tcPr>
          <w:p>
            <w:pPr>
              <w:ind w:right="-29"/>
              <w:jc w:val="center"/>
              <w:rPr>
                <w:noProof/>
                <w:sz w:val="18"/>
                <w:szCs w:val="18"/>
              </w:rPr>
            </w:pPr>
            <w:r>
              <w:rPr>
                <w:noProof/>
                <w:sz w:val="18"/>
              </w:rPr>
              <w:t xml:space="preserve">Year </w:t>
            </w:r>
            <w:r>
              <w:rPr>
                <w:noProof/>
                <w:sz w:val="22"/>
              </w:rPr>
              <w:br/>
            </w:r>
            <w:r>
              <w:rPr>
                <w:b/>
                <w:noProof/>
                <w:sz w:val="18"/>
              </w:rPr>
              <w:t>2027</w:t>
            </w:r>
          </w:p>
        </w:tc>
        <w:tc>
          <w:tcPr>
            <w:tcW w:w="3600" w:type="dxa"/>
            <w:gridSpan w:val="6"/>
            <w:vAlign w:val="center"/>
          </w:tcPr>
          <w:p>
            <w:pPr>
              <w:jc w:val="center"/>
              <w:rPr>
                <w:noProof/>
                <w:sz w:val="18"/>
                <w:szCs w:val="18"/>
                <w:lang w:val="en-IE"/>
              </w:rPr>
            </w:pPr>
            <w:r>
              <w:rPr>
                <w:noProof/>
                <w:sz w:val="18"/>
                <w:lang w:val="en-IE"/>
              </w:rPr>
              <w:t>Enter as many years as necessary to show the duration of the impact (see Section1.6)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7"/>
            </w:r>
          </w:p>
          <w:p>
            <w:pPr>
              <w:spacing w:before="0" w:after="0"/>
              <w:jc w:val="center"/>
              <w:rPr>
                <w:noProof/>
                <w:sz w:val="18"/>
                <w:szCs w:val="18"/>
              </w:rPr>
            </w:pPr>
          </w:p>
        </w:tc>
        <w:tc>
          <w:tcPr>
            <w:tcW w:w="701" w:type="dxa"/>
            <w:vAlign w:val="center"/>
          </w:tcPr>
          <w:p>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pPr>
              <w:jc w:val="center"/>
              <w:rPr>
                <w:noProof/>
                <w:sz w:val="18"/>
                <w:szCs w:val="18"/>
              </w:rPr>
            </w:pPr>
            <w:r>
              <w:rPr>
                <w:noProof/>
                <w:sz w:val="18"/>
              </w:rPr>
              <w:t>Total cost</w:t>
            </w: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1</w:t>
            </w:r>
            <w:r>
              <w:rPr>
                <w:rStyle w:val="FootnoteReference"/>
                <w:noProof/>
                <w:sz w:val="18"/>
              </w:rPr>
              <w:footnoteReference w:id="8"/>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lang w:val="en-IE"/>
              </w:rPr>
            </w:pPr>
            <w:r>
              <w:rPr>
                <w:noProof/>
                <w:sz w:val="18"/>
                <w:lang w:val="en-IE"/>
              </w:rPr>
              <w:t>Subtotal for specific objective No 1</w:t>
            </w:r>
          </w:p>
        </w:tc>
        <w:tc>
          <w:tcPr>
            <w:tcW w:w="504"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54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900" w:type="dxa"/>
            <w:tcBorders>
              <w:bottom w:val="single" w:sz="12" w:space="0" w:color="auto"/>
            </w:tcBorders>
          </w:tcPr>
          <w:p>
            <w:pPr>
              <w:ind w:right="-29"/>
              <w:jc w:val="center"/>
              <w:rPr>
                <w:noProof/>
                <w:sz w:val="18"/>
                <w:szCs w:val="18"/>
                <w:lang w:val="en-IE"/>
              </w:rPr>
            </w:pPr>
          </w:p>
        </w:tc>
        <w:tc>
          <w:tcPr>
            <w:tcW w:w="720" w:type="dxa"/>
            <w:gridSpan w:val="2"/>
            <w:tcBorders>
              <w:bottom w:val="single" w:sz="12" w:space="0" w:color="auto"/>
            </w:tcBorders>
          </w:tcPr>
          <w:p>
            <w:pPr>
              <w:ind w:right="-29"/>
              <w:jc w:val="center"/>
              <w:rPr>
                <w:noProof/>
                <w:sz w:val="18"/>
                <w:szCs w:val="18"/>
                <w:lang w:val="en-IE"/>
              </w:rPr>
            </w:pPr>
          </w:p>
        </w:tc>
        <w:tc>
          <w:tcPr>
            <w:tcW w:w="540" w:type="dxa"/>
            <w:tcBorders>
              <w:bottom w:val="single" w:sz="12" w:space="0" w:color="auto"/>
            </w:tcBorders>
          </w:tcPr>
          <w:p>
            <w:pPr>
              <w:ind w:right="-29"/>
              <w:jc w:val="center"/>
              <w:rPr>
                <w:noProof/>
                <w:sz w:val="18"/>
                <w:szCs w:val="18"/>
                <w:lang w:val="en-IE"/>
              </w:rPr>
            </w:pPr>
          </w:p>
        </w:tc>
        <w:tc>
          <w:tcPr>
            <w:tcW w:w="648" w:type="dxa"/>
            <w:tcBorders>
              <w:bottom w:val="single" w:sz="12" w:space="0" w:color="auto"/>
            </w:tcBorders>
          </w:tcPr>
          <w:p>
            <w:pPr>
              <w:ind w:right="-29"/>
              <w:jc w:val="center"/>
              <w:rPr>
                <w:noProof/>
                <w:sz w:val="18"/>
                <w:szCs w:val="18"/>
                <w:lang w:val="en-IE"/>
              </w:rPr>
            </w:pPr>
          </w:p>
        </w:tc>
        <w:tc>
          <w:tcPr>
            <w:tcW w:w="432"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54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900" w:type="dxa"/>
            <w:tcBorders>
              <w:bottom w:val="single" w:sz="12" w:space="0" w:color="auto"/>
            </w:tcBorders>
          </w:tcPr>
          <w:p>
            <w:pPr>
              <w:ind w:right="-29"/>
              <w:jc w:val="center"/>
              <w:rPr>
                <w:noProof/>
                <w:sz w:val="18"/>
                <w:szCs w:val="18"/>
                <w:lang w:val="en-IE"/>
              </w:rPr>
            </w:pP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lang w:val="en-IE"/>
              </w:rPr>
            </w:pPr>
            <w:r>
              <w:rPr>
                <w:noProof/>
                <w:sz w:val="18"/>
                <w:lang w:val="en-IE"/>
              </w:rPr>
              <w:t>Subtotal for specific objective No 2</w:t>
            </w:r>
          </w:p>
        </w:tc>
        <w:tc>
          <w:tcPr>
            <w:tcW w:w="504"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54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951" w:type="dxa"/>
            <w:gridSpan w:val="2"/>
            <w:tcBorders>
              <w:bottom w:val="single" w:sz="12" w:space="0" w:color="auto"/>
            </w:tcBorders>
          </w:tcPr>
          <w:p>
            <w:pPr>
              <w:ind w:right="-29"/>
              <w:jc w:val="center"/>
              <w:rPr>
                <w:noProof/>
                <w:sz w:val="18"/>
                <w:szCs w:val="18"/>
                <w:lang w:val="en-IE"/>
              </w:rPr>
            </w:pPr>
          </w:p>
        </w:tc>
        <w:tc>
          <w:tcPr>
            <w:tcW w:w="669" w:type="dxa"/>
            <w:tcBorders>
              <w:bottom w:val="single" w:sz="12" w:space="0" w:color="auto"/>
            </w:tcBorders>
          </w:tcPr>
          <w:p>
            <w:pPr>
              <w:ind w:right="-29"/>
              <w:jc w:val="center"/>
              <w:rPr>
                <w:noProof/>
                <w:sz w:val="18"/>
                <w:szCs w:val="18"/>
                <w:lang w:val="en-IE"/>
              </w:rPr>
            </w:pPr>
          </w:p>
        </w:tc>
        <w:tc>
          <w:tcPr>
            <w:tcW w:w="540" w:type="dxa"/>
            <w:tcBorders>
              <w:bottom w:val="single" w:sz="12" w:space="0" w:color="auto"/>
            </w:tcBorders>
          </w:tcPr>
          <w:p>
            <w:pPr>
              <w:ind w:right="-29"/>
              <w:jc w:val="center"/>
              <w:rPr>
                <w:noProof/>
                <w:sz w:val="18"/>
                <w:szCs w:val="18"/>
                <w:lang w:val="en-IE"/>
              </w:rPr>
            </w:pPr>
          </w:p>
        </w:tc>
        <w:tc>
          <w:tcPr>
            <w:tcW w:w="648" w:type="dxa"/>
            <w:tcBorders>
              <w:bottom w:val="single" w:sz="12" w:space="0" w:color="auto"/>
            </w:tcBorders>
          </w:tcPr>
          <w:p>
            <w:pPr>
              <w:ind w:right="-29"/>
              <w:jc w:val="center"/>
              <w:rPr>
                <w:noProof/>
                <w:sz w:val="18"/>
                <w:szCs w:val="18"/>
                <w:lang w:val="en-IE"/>
              </w:rPr>
            </w:pPr>
          </w:p>
        </w:tc>
        <w:tc>
          <w:tcPr>
            <w:tcW w:w="432"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54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720" w:type="dxa"/>
            <w:tcBorders>
              <w:bottom w:val="single" w:sz="12" w:space="0" w:color="auto"/>
            </w:tcBorders>
          </w:tcPr>
          <w:p>
            <w:pPr>
              <w:ind w:right="-29"/>
              <w:jc w:val="center"/>
              <w:rPr>
                <w:noProof/>
                <w:sz w:val="18"/>
                <w:szCs w:val="18"/>
                <w:lang w:val="en-IE"/>
              </w:rPr>
            </w:pPr>
          </w:p>
        </w:tc>
        <w:tc>
          <w:tcPr>
            <w:tcW w:w="900" w:type="dxa"/>
            <w:tcBorders>
              <w:bottom w:val="single" w:sz="12" w:space="0" w:color="auto"/>
            </w:tcBorders>
          </w:tcPr>
          <w:p>
            <w:pPr>
              <w:ind w:right="-29"/>
              <w:jc w:val="center"/>
              <w:rPr>
                <w:noProof/>
                <w:sz w:val="18"/>
                <w:szCs w:val="18"/>
                <w:lang w:val="en-IE"/>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9"/>
          <w:footerReference w:type="default" r:id="rId20"/>
          <w:pgSz w:w="16840" w:h="11907" w:orient="landscape" w:code="9"/>
          <w:pgMar w:top="1134" w:right="1418" w:bottom="567" w:left="1418" w:header="709" w:footer="709" w:gutter="0"/>
          <w:cols w:space="708"/>
          <w:docGrid w:linePitch="360"/>
        </w:sectPr>
      </w:pPr>
    </w:p>
    <w:p>
      <w:pPr>
        <w:pStyle w:val="ManualHeading3"/>
        <w:rPr>
          <w:bCs/>
          <w:noProof/>
          <w:szCs w:val="24"/>
        </w:rPr>
      </w:pPr>
      <w:bookmarkStart w:id="148" w:name="_Toc514938055"/>
      <w:bookmarkStart w:id="149" w:name="_Toc520485054"/>
      <w:bookmarkStart w:id="150" w:name="_Toc160804598"/>
      <w:bookmarkStart w:id="151" w:name="_Toc167220290"/>
      <w:bookmarkStart w:id="152" w:name="_Toc177549023"/>
      <w:r>
        <w:rPr>
          <w:noProof/>
        </w:rPr>
        <w:t>3.2.3.</w:t>
      </w:r>
      <w:r>
        <w:rPr>
          <w:noProof/>
        </w:rPr>
        <w:tab/>
        <w:t>Summary of estimated impact on administrative appropriations</w:t>
      </w:r>
      <w:bookmarkEnd w:id="148"/>
      <w:bookmarkEnd w:id="149"/>
      <w:bookmarkEnd w:id="150"/>
      <w:bookmarkEnd w:id="151"/>
      <w:bookmarkEnd w:id="152"/>
      <w:r>
        <w:rPr>
          <w:noProof/>
        </w:rPr>
        <w:t xml:space="preserve"> </w:t>
      </w:r>
    </w:p>
    <w:p>
      <w:pPr>
        <w:pStyle w:val="ListDash1"/>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pPr>
        <w:pStyle w:val="ListDash1"/>
        <w:rPr>
          <w:noProof/>
        </w:rPr>
      </w:pPr>
      <w:r>
        <w:rPr>
          <w:rFonts w:ascii="Wingdings" w:eastAsia="Wingdings" w:hAnsi="Wingdings" w:cs="Wingdings"/>
          <w:noProof/>
        </w:rPr>
        <w:t>¨</w:t>
      </w:r>
      <w:r>
        <w:rPr>
          <w:noProof/>
        </w:rPr>
        <w:tab/>
        <w:t>The proposal/initiative requires the use of appropriations of an administrative nature, as explained below</w:t>
      </w:r>
    </w:p>
    <w:p>
      <w:pPr>
        <w:pStyle w:val="ListDash1"/>
        <w:rPr>
          <w:noProof/>
        </w:rPr>
      </w:pPr>
    </w:p>
    <w:p>
      <w:pPr>
        <w:pStyle w:val="ListDash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ListDash1"/>
        <w:rPr>
          <w:noProof/>
        </w:rPr>
      </w:pPr>
    </w:p>
    <w:p>
      <w:pPr>
        <w:pStyle w:val="ManualHeading3"/>
        <w:rPr>
          <w:noProof/>
        </w:rPr>
      </w:pPr>
      <w:bookmarkStart w:id="153" w:name="_Toc167220291"/>
      <w:bookmarkStart w:id="154" w:name="_Toc177549024"/>
      <w:r>
        <w:rPr>
          <w:noProof/>
        </w:rPr>
        <w:t xml:space="preserve">3.2.3.1. Appropriations </w:t>
      </w:r>
      <w:r>
        <w:rPr>
          <w:rFonts w:eastAsia="Calibri"/>
          <w:noProof/>
        </w:rPr>
        <w:t>from</w:t>
      </w:r>
      <w:r>
        <w:rPr>
          <w:noProof/>
        </w:rPr>
        <w:t xml:space="preserve"> voted budget</w:t>
      </w:r>
      <w:bookmarkEnd w:id="153"/>
      <w:bookmarkEnd w:id="154"/>
    </w:p>
    <w:tbl>
      <w:tblPr>
        <w:tblW w:w="5000" w:type="pct"/>
        <w:tblLook w:val="04A0" w:firstRow="1" w:lastRow="0" w:firstColumn="1" w:lastColumn="0" w:noHBand="0" w:noVBand="1"/>
      </w:tblPr>
      <w:tblGrid>
        <w:gridCol w:w="4027"/>
        <w:gridCol w:w="1027"/>
        <w:gridCol w:w="1027"/>
        <w:gridCol w:w="1027"/>
        <w:gridCol w:w="1027"/>
        <w:gridCol w:w="1154"/>
      </w:tblGrid>
      <w:tr>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 2021 - 2027</w:t>
            </w:r>
          </w:p>
        </w:tc>
      </w:tr>
      <w:tr>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lang w:val="en-IE" w:eastAsia="en-IE"/>
              </w:rPr>
            </w:pPr>
            <w:r>
              <w:rPr>
                <w:b/>
                <w:bCs/>
                <w:noProof/>
                <w:sz w:val="16"/>
                <w:szCs w:val="16"/>
                <w:lang w:val="en-IE" w:eastAsia="en-IE"/>
              </w:rPr>
              <w:t>HEADING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lang w:val="en-IE" w:eastAsia="en-IE"/>
              </w:rPr>
            </w:pPr>
            <w:r>
              <w:rPr>
                <w:b/>
                <w:bCs/>
                <w:noProof/>
                <w:sz w:val="16"/>
                <w:szCs w:val="16"/>
                <w:lang w:val="en-IE" w:eastAsia="en-IE"/>
              </w:rPr>
              <w:t>Outside HEADING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lang w:val="en-IE" w:eastAsia="en-IE"/>
              </w:rPr>
            </w:pPr>
            <w:r>
              <w:rPr>
                <w:noProof/>
                <w:color w:val="000000"/>
                <w:sz w:val="16"/>
                <w:szCs w:val="16"/>
                <w:lang w:val="en-IE" w:eastAsia="en-IE"/>
              </w:rPr>
              <w:t> </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bl>
    <w:p>
      <w:pPr>
        <w:pStyle w:val="ManualHeading3"/>
        <w:rPr>
          <w:noProof/>
        </w:rPr>
      </w:pPr>
      <w:bookmarkStart w:id="155" w:name="_Toc167220292"/>
      <w:bookmarkStart w:id="156" w:name="_Toc177549025"/>
      <w:r>
        <w:rPr>
          <w:noProof/>
        </w:rPr>
        <w:t>3.2.3.2.</w:t>
      </w:r>
      <w:r>
        <w:rPr>
          <w:noProof/>
        </w:rPr>
        <w:tab/>
        <w:t>Appropriations from external assigned revenues</w:t>
      </w:r>
      <w:bookmarkEnd w:id="155"/>
      <w:bookmarkEnd w:id="156"/>
    </w:p>
    <w:tbl>
      <w:tblPr>
        <w:tblW w:w="5000" w:type="pct"/>
        <w:tblLook w:val="04A0" w:firstRow="1" w:lastRow="0" w:firstColumn="1" w:lastColumn="0" w:noHBand="0" w:noVBand="1"/>
      </w:tblPr>
      <w:tblGrid>
        <w:gridCol w:w="4025"/>
        <w:gridCol w:w="1027"/>
        <w:gridCol w:w="1027"/>
        <w:gridCol w:w="1027"/>
        <w:gridCol w:w="1027"/>
        <w:gridCol w:w="1156"/>
      </w:tblGrid>
      <w:tr>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EXTERNAL ASSIGNED REVENUES</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 2021 - 2027</w:t>
            </w:r>
          </w:p>
        </w:tc>
      </w:tr>
      <w:tr>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lang w:val="en-IE" w:eastAsia="en-IE"/>
              </w:rPr>
            </w:pPr>
            <w:r>
              <w:rPr>
                <w:b/>
                <w:bCs/>
                <w:noProof/>
                <w:sz w:val="16"/>
                <w:szCs w:val="16"/>
                <w:lang w:val="en-IE" w:eastAsia="en-IE"/>
              </w:rPr>
              <w:t>HEADING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lang w:val="en-IE" w:eastAsia="en-IE"/>
              </w:rPr>
            </w:pPr>
            <w:r>
              <w:rPr>
                <w:b/>
                <w:bCs/>
                <w:noProof/>
                <w:sz w:val="16"/>
                <w:szCs w:val="16"/>
                <w:lang w:val="en-IE" w:eastAsia="en-IE"/>
              </w:rPr>
              <w:t>Outside HEADING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lang w:val="en-IE" w:eastAsia="en-IE"/>
              </w:rPr>
            </w:pPr>
            <w:r>
              <w:rPr>
                <w:noProof/>
                <w:color w:val="000000"/>
                <w:sz w:val="16"/>
                <w:szCs w:val="16"/>
                <w:lang w:val="en-IE" w:eastAsia="en-IE"/>
              </w:rPr>
              <w:t> </w:t>
            </w:r>
          </w:p>
        </w:tc>
      </w:tr>
      <w:tr>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bl>
    <w:p>
      <w:pPr>
        <w:pStyle w:val="ManualHeading3"/>
        <w:rPr>
          <w:noProof/>
        </w:rPr>
      </w:pPr>
      <w:bookmarkStart w:id="157" w:name="_Toc167220293"/>
      <w:bookmarkStart w:id="158" w:name="_Toc177549026"/>
      <w:r>
        <w:rPr>
          <w:noProof/>
        </w:rPr>
        <w:t>3.2.3.3.</w:t>
      </w:r>
      <w:r>
        <w:rPr>
          <w:noProof/>
        </w:rPr>
        <w:tab/>
        <w:t>Total appropriations</w:t>
      </w:r>
      <w:bookmarkEnd w:id="157"/>
      <w:bookmarkEnd w:id="158"/>
    </w:p>
    <w:tbl>
      <w:tblPr>
        <w:tblW w:w="8680" w:type="dxa"/>
        <w:tblLook w:val="04A0" w:firstRow="1" w:lastRow="0" w:firstColumn="1" w:lastColumn="0" w:noHBand="0" w:noVBand="1"/>
      </w:tblPr>
      <w:tblGrid>
        <w:gridCol w:w="3760"/>
        <w:gridCol w:w="960"/>
        <w:gridCol w:w="960"/>
        <w:gridCol w:w="960"/>
        <w:gridCol w:w="960"/>
        <w:gridCol w:w="1080"/>
      </w:tblGrid>
      <w:tr>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w:t>
            </w:r>
            <w:r>
              <w:rPr>
                <w:b/>
                <w:bCs/>
                <w:noProof/>
                <w:color w:val="000000"/>
                <w:sz w:val="18"/>
                <w:szCs w:val="18"/>
                <w:lang w:val="en-IE" w:eastAsia="en-IE"/>
              </w:rPr>
              <w:br/>
              <w:t>VOTED APPROPRIATIONS                            +                                                               EXTERNAL ASSIGNED REVENUES</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 2021 - 2027</w:t>
            </w:r>
          </w:p>
        </w:tc>
      </w:tr>
      <w:tr>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lang w:val="en-IE" w:eastAsia="en-IE"/>
              </w:rPr>
            </w:pPr>
            <w:r>
              <w:rPr>
                <w:b/>
                <w:bCs/>
                <w:noProof/>
                <w:sz w:val="16"/>
                <w:szCs w:val="16"/>
                <w:lang w:val="en-IE" w:eastAsia="en-IE"/>
              </w:rPr>
              <w:t>HEADING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lang w:val="en-IE" w:eastAsia="en-IE"/>
              </w:rPr>
            </w:pPr>
            <w:r>
              <w:rPr>
                <w:b/>
                <w:bCs/>
                <w:noProof/>
                <w:sz w:val="16"/>
                <w:szCs w:val="16"/>
                <w:lang w:val="en-IE" w:eastAsia="en-IE"/>
              </w:rPr>
              <w:t>Outside HEADING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lang w:val="en-IE" w:eastAsia="en-IE"/>
              </w:rPr>
            </w:pPr>
            <w:r>
              <w:rPr>
                <w:noProof/>
                <w:color w:val="000000"/>
                <w:sz w:val="16"/>
                <w:szCs w:val="16"/>
                <w:lang w:val="en-IE" w:eastAsia="en-IE"/>
              </w:rPr>
              <w:t> </w:t>
            </w:r>
          </w:p>
        </w:tc>
      </w:tr>
      <w:tr>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bl>
    <w:p>
      <w:pPr>
        <w:pStyle w:val="ManualHeading3"/>
        <w:rPr>
          <w:bCs/>
          <w:noProof/>
          <w:szCs w:val="24"/>
        </w:rPr>
      </w:pPr>
      <w:bookmarkStart w:id="159" w:name="_Toc167220294"/>
      <w:bookmarkStart w:id="160" w:name="_Toc177549027"/>
      <w:r>
        <w:rPr>
          <w:noProof/>
        </w:rPr>
        <w:t>3.2.4.</w:t>
      </w:r>
      <w:r>
        <w:rPr>
          <w:noProof/>
        </w:rPr>
        <w:tab/>
        <w:t>Estimated requirements of human resources</w:t>
      </w:r>
      <w:bookmarkEnd w:id="159"/>
      <w:bookmarkEnd w:id="160"/>
      <w:r>
        <w:rPr>
          <w:noProof/>
        </w:rPr>
        <w:t xml:space="preserve"> </w:t>
      </w:r>
    </w:p>
    <w:p>
      <w:pPr>
        <w:pStyle w:val="ListDash1"/>
        <w:rPr>
          <w:noProof/>
        </w:rPr>
      </w:pPr>
      <w:r>
        <w:rPr>
          <w:rFonts w:ascii="Wingdings" w:eastAsia="Wingdings" w:hAnsi="Wingdings" w:cs="Wingdings"/>
          <w:noProof/>
        </w:rPr>
        <w:t>¨</w:t>
      </w:r>
      <w:r>
        <w:rPr>
          <w:noProof/>
        </w:rPr>
        <w:tab/>
        <w:t xml:space="preserve">The proposal/initiative does not require the use of human resources </w:t>
      </w:r>
    </w:p>
    <w:p>
      <w:pPr>
        <w:pStyle w:val="ListDash1"/>
        <w:rPr>
          <w:noProof/>
        </w:rPr>
      </w:pPr>
      <w:r>
        <w:rPr>
          <w:rFonts w:ascii="Wingdings" w:eastAsia="Wingdings" w:hAnsi="Wingdings" w:cs="Wingdings"/>
          <w:noProof/>
        </w:rPr>
        <w:t>¨</w:t>
      </w:r>
      <w:r>
        <w:rPr>
          <w:noProof/>
        </w:rPr>
        <w:tab/>
        <w:t>The proposal/initiative requires the use of human resources, as explained below</w:t>
      </w:r>
    </w:p>
    <w:p>
      <w:pPr>
        <w:pStyle w:val="ListDash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ListDash1"/>
        <w:rPr>
          <w:noProof/>
        </w:rPr>
      </w:pPr>
    </w:p>
    <w:p>
      <w:pPr>
        <w:pStyle w:val="ManualHeading3"/>
        <w:rPr>
          <w:noProof/>
        </w:rPr>
      </w:pPr>
      <w:bookmarkStart w:id="161" w:name="_Toc167220295"/>
      <w:bookmarkStart w:id="162" w:name="_Toc177549028"/>
      <w:r>
        <w:rPr>
          <w:noProof/>
        </w:rPr>
        <w:t>3.2.4.1.</w:t>
      </w:r>
      <w:r>
        <w:rPr>
          <w:noProof/>
        </w:rPr>
        <w:tab/>
        <w:t>Financed from voted budget</w:t>
      </w:r>
      <w:bookmarkEnd w:id="161"/>
      <w:bookmarkEnd w:id="162"/>
    </w:p>
    <w:p>
      <w:pPr>
        <w:spacing w:after="60"/>
        <w:jc w:val="right"/>
        <w:rPr>
          <w:i/>
          <w:noProof/>
          <w:sz w:val="20"/>
          <w:lang w:val="en-IE"/>
        </w:rPr>
      </w:pPr>
      <w:r>
        <w:rPr>
          <w:i/>
          <w:noProof/>
          <w:sz w:val="20"/>
          <w:lang w:val="en-IE"/>
        </w:rPr>
        <w:t>Estimate to be expressed in full-time equivalent units (FTEs)</w:t>
      </w:r>
    </w:p>
    <w:p>
      <w:pPr>
        <w:pStyle w:val="Text1"/>
        <w:spacing w:before="60" w:after="60"/>
        <w:ind w:left="-426" w:right="-427"/>
        <w:rPr>
          <w:b/>
          <w:noProof/>
          <w:sz w:val="18"/>
          <w:szCs w:val="18"/>
          <w:lang w:val="en-IE"/>
        </w:rPr>
      </w:pPr>
      <w:bookmarkStart w:id="163" w:name="_Hlk156979231"/>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val="en-IE" w:eastAsia="en-IE"/>
              </w:rPr>
            </w:pPr>
            <w:r>
              <w:rPr>
                <w:rFonts w:ascii="Wingdings" w:hAnsi="Wingdings" w:cs="Calibri"/>
                <w:b/>
                <w:bCs/>
                <w:noProof/>
                <w:color w:val="000000"/>
                <w:sz w:val="16"/>
                <w:szCs w:val="16"/>
                <w:lang w:val="en-IE" w:eastAsia="en-IE"/>
              </w:rPr>
              <w:t>Ÿ</w:t>
            </w:r>
            <w:r>
              <w:rPr>
                <w:b/>
                <w:bCs/>
                <w:noProof/>
                <w:color w:val="000000"/>
                <w:sz w:val="16"/>
                <w:szCs w:val="16"/>
                <w:lang w:val="en-IE" w:eastAsia="en-IE"/>
              </w:rPr>
              <w:t xml:space="preserve"> Establishment plan posts (officials and temporary staff)</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20 01 02 01</w:t>
            </w:r>
            <w:r>
              <w:rPr>
                <w:rFonts w:ascii="Arial Narrow" w:hAnsi="Arial Narrow"/>
                <w:noProof/>
                <w:color w:val="000000"/>
                <w:sz w:val="20"/>
                <w:szCs w:val="20"/>
                <w:lang w:val="en-IE" w:eastAsia="en-IE"/>
              </w:rPr>
              <w:t xml:space="preserve"> </w:t>
            </w:r>
            <w:r>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01 01 01 01</w:t>
            </w:r>
            <w:r>
              <w:rPr>
                <w:rFonts w:ascii="Arial Narrow" w:hAnsi="Arial Narrow"/>
                <w:noProof/>
                <w:color w:val="000000"/>
                <w:sz w:val="20"/>
                <w:szCs w:val="20"/>
                <w:lang w:val="en-IE" w:eastAsia="en-IE"/>
              </w:rPr>
              <w:t xml:space="preserve"> </w:t>
            </w:r>
            <w:r>
              <w:rPr>
                <w:noProof/>
                <w:color w:val="000000"/>
                <w:sz w:val="16"/>
                <w:szCs w:val="16"/>
                <w:lang w:val="en-IE"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val="en-IE" w:eastAsia="en-IE"/>
              </w:rPr>
            </w:pPr>
            <w:r>
              <w:rPr>
                <w:rFonts w:ascii="Calibri" w:hAnsi="Calibri" w:cs="Calibri"/>
                <w:b/>
                <w:bCs/>
                <w:noProof/>
                <w:color w:val="000000"/>
                <w:sz w:val="16"/>
                <w:szCs w:val="16"/>
                <w:lang w:val="en-IE" w:eastAsia="en-IE"/>
              </w:rPr>
              <w:t>•</w:t>
            </w:r>
            <w:r>
              <w:rPr>
                <w:b/>
                <w:bCs/>
                <w:noProof/>
                <w:color w:val="000000"/>
                <w:sz w:val="16"/>
                <w:szCs w:val="16"/>
                <w:lang w:val="en-IE" w:eastAsia="en-IE"/>
              </w:rPr>
              <w:t xml:space="preserve"> External staff (inFTEs)</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20 02 01</w:t>
            </w:r>
            <w:r>
              <w:rPr>
                <w:rFonts w:ascii="Arial Narrow" w:hAnsi="Arial Narrow"/>
                <w:noProof/>
                <w:color w:val="000000"/>
                <w:sz w:val="20"/>
                <w:szCs w:val="20"/>
                <w:lang w:val="en-IE" w:eastAsia="en-IE"/>
              </w:rPr>
              <w:t xml:space="preserve"> </w:t>
            </w:r>
            <w:r>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lang w:val="en-IE" w:eastAsia="en-IE"/>
              </w:rPr>
            </w:pPr>
            <w:r>
              <w:rPr>
                <w:noProof/>
                <w:color w:val="000000"/>
                <w:sz w:val="16"/>
                <w:szCs w:val="16"/>
                <w:lang w:val="en-IE" w:eastAsia="en-IE"/>
              </w:rPr>
              <w:t>Admin. Support line</w:t>
            </w:r>
            <w:r>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01 01 01 02</w:t>
            </w:r>
            <w:r>
              <w:rPr>
                <w:rFonts w:ascii="Arial Narrow" w:hAnsi="Arial Narrow"/>
                <w:noProof/>
                <w:color w:val="000000"/>
                <w:sz w:val="20"/>
                <w:szCs w:val="20"/>
                <w:lang w:val="en-IE" w:eastAsia="en-IE"/>
              </w:rPr>
              <w:t xml:space="preserve"> </w:t>
            </w:r>
            <w:r>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lang w:val="en-IE" w:eastAsia="en-IE"/>
              </w:rPr>
            </w:pPr>
            <w:r>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r>
    </w:tbl>
    <w:p>
      <w:pPr>
        <w:pStyle w:val="ManualHeading3"/>
        <w:rPr>
          <w:noProof/>
        </w:rPr>
      </w:pPr>
      <w:bookmarkStart w:id="164" w:name="_Toc167220296"/>
      <w:bookmarkStart w:id="165" w:name="_Toc177549029"/>
      <w:r>
        <w:rPr>
          <w:noProof/>
        </w:rPr>
        <w:t>3.2.4.2.</w:t>
      </w:r>
      <w:r>
        <w:rPr>
          <w:noProof/>
        </w:rPr>
        <w:tab/>
        <w:t>Financed from external assigned revenues</w:t>
      </w:r>
      <w:bookmarkEnd w:id="164"/>
      <w:bookmarkEnd w:id="165"/>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EXTERNAL ASSIGNED REVENUES</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val="en-IE" w:eastAsia="en-IE"/>
              </w:rPr>
            </w:pPr>
            <w:r>
              <w:rPr>
                <w:rFonts w:ascii="Wingdings" w:hAnsi="Wingdings" w:cs="Calibri"/>
                <w:b/>
                <w:bCs/>
                <w:noProof/>
                <w:color w:val="000000"/>
                <w:sz w:val="16"/>
                <w:szCs w:val="16"/>
                <w:lang w:val="en-IE" w:eastAsia="en-IE"/>
              </w:rPr>
              <w:t>Ÿ</w:t>
            </w:r>
            <w:r>
              <w:rPr>
                <w:b/>
                <w:bCs/>
                <w:noProof/>
                <w:color w:val="000000"/>
                <w:sz w:val="16"/>
                <w:szCs w:val="16"/>
                <w:lang w:val="en-IE" w:eastAsia="en-IE"/>
              </w:rPr>
              <w:t xml:space="preserve"> Establishment plan posts (officials and temporary staff)</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20 01 02 01</w:t>
            </w:r>
            <w:r>
              <w:rPr>
                <w:rFonts w:ascii="Arial Narrow" w:hAnsi="Arial Narrow"/>
                <w:noProof/>
                <w:color w:val="000000"/>
                <w:sz w:val="20"/>
                <w:szCs w:val="20"/>
                <w:lang w:val="en-IE" w:eastAsia="en-IE"/>
              </w:rPr>
              <w:t xml:space="preserve"> </w:t>
            </w:r>
            <w:r>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val="en-IE" w:eastAsia="en-IE"/>
              </w:rPr>
            </w:pPr>
            <w:r>
              <w:rPr>
                <w:rFonts w:ascii="Calibri" w:hAnsi="Calibri" w:cs="Calibri"/>
                <w:b/>
                <w:bCs/>
                <w:noProof/>
                <w:color w:val="000000"/>
                <w:sz w:val="16"/>
                <w:szCs w:val="16"/>
                <w:lang w:val="en-IE" w:eastAsia="en-IE"/>
              </w:rPr>
              <w:t>•</w:t>
            </w:r>
            <w:r>
              <w:rPr>
                <w:b/>
                <w:bCs/>
                <w:noProof/>
                <w:color w:val="000000"/>
                <w:sz w:val="16"/>
                <w:szCs w:val="16"/>
                <w:lang w:val="en-IE" w:eastAsia="en-IE"/>
              </w:rPr>
              <w:t xml:space="preserve"> External staff (in full time equivalent units)</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20 02 01</w:t>
            </w:r>
            <w:r>
              <w:rPr>
                <w:rFonts w:ascii="Arial Narrow" w:hAnsi="Arial Narrow"/>
                <w:noProof/>
                <w:color w:val="000000"/>
                <w:sz w:val="20"/>
                <w:szCs w:val="20"/>
                <w:lang w:val="en-IE" w:eastAsia="en-IE"/>
              </w:rPr>
              <w:t xml:space="preserve"> </w:t>
            </w:r>
            <w:r>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lang w:val="en-IE" w:eastAsia="en-IE"/>
              </w:rPr>
            </w:pPr>
            <w:r>
              <w:rPr>
                <w:noProof/>
                <w:color w:val="000000"/>
                <w:sz w:val="16"/>
                <w:szCs w:val="16"/>
                <w:lang w:val="en-IE" w:eastAsia="en-IE"/>
              </w:rPr>
              <w:t xml:space="preserve">Admin. Support line </w:t>
            </w:r>
            <w:r>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01 01 01 02</w:t>
            </w:r>
            <w:r>
              <w:rPr>
                <w:rFonts w:ascii="Arial Narrow" w:hAnsi="Arial Narrow"/>
                <w:noProof/>
                <w:color w:val="000000"/>
                <w:sz w:val="20"/>
                <w:szCs w:val="20"/>
                <w:lang w:val="en-IE" w:eastAsia="en-IE"/>
              </w:rPr>
              <w:t xml:space="preserve"> </w:t>
            </w:r>
            <w:r>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lang w:val="en-IE" w:eastAsia="en-IE"/>
              </w:rPr>
            </w:pPr>
            <w:r>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r>
    </w:tbl>
    <w:p>
      <w:pPr>
        <w:pStyle w:val="ManualHeading3"/>
        <w:rPr>
          <w:noProof/>
        </w:rPr>
      </w:pPr>
      <w:bookmarkStart w:id="166" w:name="_Toc167220297"/>
      <w:bookmarkStart w:id="167" w:name="_Toc177549030"/>
      <w:r>
        <w:rPr>
          <w:noProof/>
        </w:rPr>
        <w:t>3.2.4.3.</w:t>
      </w:r>
      <w:r>
        <w:rPr>
          <w:noProof/>
        </w:rPr>
        <w:tab/>
        <w:t>Total requirements of human resources</w:t>
      </w:r>
      <w:bookmarkEnd w:id="166"/>
      <w:bookmarkEnd w:id="167"/>
    </w:p>
    <w:tbl>
      <w:tblPr>
        <w:tblW w:w="9200" w:type="dxa"/>
        <w:tblLook w:val="04A0" w:firstRow="1" w:lastRow="0" w:firstColumn="1" w:lastColumn="0" w:noHBand="0" w:noVBand="1"/>
      </w:tblPr>
      <w:tblGrid>
        <w:gridCol w:w="1500"/>
        <w:gridCol w:w="3860"/>
        <w:gridCol w:w="960"/>
        <w:gridCol w:w="960"/>
        <w:gridCol w:w="960"/>
        <w:gridCol w:w="960"/>
      </w:tblGrid>
      <w:tr>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 VOTED APPROPRIATIONS                                                   +                                                                                               EXTERNAL ASSIGNED REVENUES</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val="en-IE" w:eastAsia="en-IE"/>
              </w:rPr>
            </w:pPr>
            <w:r>
              <w:rPr>
                <w:noProof/>
                <w:color w:val="000000"/>
                <w:sz w:val="20"/>
                <w:szCs w:val="20"/>
                <w:lang w:val="en-IE" w:eastAsia="en-IE"/>
              </w:rPr>
              <w:t>Year</w:t>
            </w:r>
          </w:p>
        </w:tc>
      </w:tr>
      <w:tr>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val="en-IE" w:eastAsia="en-IE"/>
              </w:rPr>
            </w:pPr>
            <w:r>
              <w:rPr>
                <w:b/>
                <w:bCs/>
                <w:noProof/>
                <w:color w:val="000000"/>
                <w:sz w:val="20"/>
                <w:szCs w:val="20"/>
                <w:lang w:val="en-IE" w:eastAsia="en-IE"/>
              </w:rPr>
              <w:t>2027</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val="en-IE" w:eastAsia="en-IE"/>
              </w:rPr>
            </w:pPr>
            <w:r>
              <w:rPr>
                <w:rFonts w:ascii="Wingdings" w:hAnsi="Wingdings" w:cs="Calibri"/>
                <w:b/>
                <w:bCs/>
                <w:noProof/>
                <w:color w:val="000000"/>
                <w:sz w:val="16"/>
                <w:szCs w:val="16"/>
                <w:lang w:val="en-IE" w:eastAsia="en-IE"/>
              </w:rPr>
              <w:t>Ÿ</w:t>
            </w:r>
            <w:r>
              <w:rPr>
                <w:b/>
                <w:bCs/>
                <w:noProof/>
                <w:color w:val="000000"/>
                <w:sz w:val="16"/>
                <w:szCs w:val="16"/>
                <w:lang w:val="en-IE" w:eastAsia="en-IE"/>
              </w:rPr>
              <w:t xml:space="preserve"> Establishment plan posts (officials and temporary staff)</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20 01 02 01</w:t>
            </w:r>
            <w:r>
              <w:rPr>
                <w:rFonts w:ascii="Arial Narrow" w:hAnsi="Arial Narrow"/>
                <w:noProof/>
                <w:color w:val="000000"/>
                <w:sz w:val="20"/>
                <w:szCs w:val="20"/>
                <w:lang w:val="en-IE" w:eastAsia="en-IE"/>
              </w:rPr>
              <w:t xml:space="preserve"> </w:t>
            </w:r>
            <w:r>
              <w:rPr>
                <w:noProof/>
                <w:color w:val="000000"/>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01 01 01 01</w:t>
            </w:r>
            <w:r>
              <w:rPr>
                <w:rFonts w:ascii="Arial Narrow" w:hAnsi="Arial Narrow"/>
                <w:noProof/>
                <w:color w:val="000000"/>
                <w:sz w:val="20"/>
                <w:szCs w:val="20"/>
                <w:lang w:val="en-IE" w:eastAsia="en-IE"/>
              </w:rPr>
              <w:t xml:space="preserve"> </w:t>
            </w:r>
            <w:r>
              <w:rPr>
                <w:noProof/>
                <w:color w:val="000000"/>
                <w:sz w:val="16"/>
                <w:szCs w:val="16"/>
                <w:lang w:val="en-IE" w:eastAsia="en-IE"/>
              </w:rPr>
              <w:t>(Indirect research)</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val="en-IE" w:eastAsia="en-IE"/>
              </w:rPr>
            </w:pPr>
            <w:r>
              <w:rPr>
                <w:rFonts w:ascii="Calibri" w:hAnsi="Calibri" w:cs="Calibri"/>
                <w:b/>
                <w:bCs/>
                <w:noProof/>
                <w:color w:val="000000"/>
                <w:sz w:val="16"/>
                <w:szCs w:val="16"/>
                <w:lang w:val="en-IE" w:eastAsia="en-IE"/>
              </w:rPr>
              <w:t>•</w:t>
            </w:r>
            <w:r>
              <w:rPr>
                <w:b/>
                <w:bCs/>
                <w:noProof/>
                <w:color w:val="000000"/>
                <w:sz w:val="16"/>
                <w:szCs w:val="16"/>
                <w:lang w:val="en-IE" w:eastAsia="en-IE"/>
              </w:rPr>
              <w:t xml:space="preserve"> External staff (in full time equivalent units)</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20 02 01</w:t>
            </w:r>
            <w:r>
              <w:rPr>
                <w:rFonts w:ascii="Arial Narrow" w:hAnsi="Arial Narrow"/>
                <w:noProof/>
                <w:color w:val="000000"/>
                <w:sz w:val="20"/>
                <w:szCs w:val="20"/>
                <w:lang w:val="en-IE" w:eastAsia="en-IE"/>
              </w:rPr>
              <w:t xml:space="preserve"> </w:t>
            </w:r>
            <w:r>
              <w:rPr>
                <w:noProof/>
                <w:color w:val="000000"/>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lang w:val="en-IE" w:eastAsia="en-IE"/>
              </w:rPr>
            </w:pPr>
            <w:r>
              <w:rPr>
                <w:noProof/>
                <w:color w:val="000000"/>
                <w:sz w:val="16"/>
                <w:szCs w:val="16"/>
                <w:lang w:val="en-IE" w:eastAsia="en-IE"/>
              </w:rPr>
              <w:t xml:space="preserve">Admin. Support line </w:t>
            </w:r>
            <w:r>
              <w:rPr>
                <w:noProof/>
                <w:color w:val="000000"/>
                <w:sz w:val="16"/>
                <w:szCs w:val="16"/>
                <w:lang w:val="en-IE" w:eastAsia="en-IE"/>
              </w:rPr>
              <w:br/>
              <w:t>[XX.01.YY.YY]</w:t>
            </w: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at Headquarters</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1500" w:type="dxa"/>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01 01 01 02</w:t>
            </w:r>
            <w:r>
              <w:rPr>
                <w:rFonts w:ascii="Arial Narrow" w:hAnsi="Arial Narrow"/>
                <w:noProof/>
                <w:color w:val="000000"/>
                <w:sz w:val="20"/>
                <w:szCs w:val="20"/>
                <w:lang w:val="en-IE" w:eastAsia="en-IE"/>
              </w:rPr>
              <w:t xml:space="preserve"> </w:t>
            </w:r>
            <w:r>
              <w:rPr>
                <w:noProof/>
                <w:color w:val="000000"/>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 xml:space="preserve"> 01 01 01 12 (AC, END - Direct research)</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val="en-IE" w:eastAsia="en-IE"/>
              </w:rPr>
            </w:pPr>
            <w:r>
              <w:rPr>
                <w:noProof/>
                <w:color w:val="000000"/>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val="en-IE" w:eastAsia="en-IE"/>
              </w:rPr>
            </w:pPr>
            <w:r>
              <w:rPr>
                <w:noProof/>
                <w:color w:val="000000"/>
                <w:sz w:val="16"/>
                <w:szCs w:val="16"/>
                <w:lang w:val="en-IE" w:eastAsia="en-IE"/>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lang w:val="en-IE" w:eastAsia="en-IE"/>
              </w:rPr>
            </w:pPr>
            <w:r>
              <w:rPr>
                <w:b/>
                <w:bCs/>
                <w:noProof/>
                <w:color w:val="000000"/>
                <w:sz w:val="16"/>
                <w:szCs w:val="16"/>
                <w:lang w:val="en-IE" w:eastAsia="en-IE"/>
              </w:rPr>
              <w:t>TOTAL</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0</w:t>
            </w:r>
          </w:p>
        </w:tc>
      </w:tr>
    </w:tbl>
    <w:p>
      <w:pPr>
        <w:pStyle w:val="Text1"/>
        <w:ind w:left="-426" w:right="-427"/>
        <w:rPr>
          <w:noProof/>
        </w:rPr>
      </w:pPr>
      <w:bookmarkStart w:id="168" w:name="_Hlk167692843"/>
      <w:bookmarkEnd w:id="163"/>
      <w:r>
        <w:rPr>
          <w:noProof/>
        </w:rPr>
        <w:t>The  human resources required will be met by staff from the DG who are already assigned to the management of the action and/or have been redeployed within the DG or other Commission services.</w:t>
      </w:r>
    </w:p>
    <w:p>
      <w:pPr>
        <w:pStyle w:val="Text1"/>
        <w:ind w:left="-426"/>
        <w:rPr>
          <w:noProof/>
          <w:color w:val="000000" w:themeColor="text1"/>
        </w:rPr>
      </w:pPr>
      <w:r>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bCs/>
                <w:noProof/>
                <w:sz w:val="22"/>
              </w:rPr>
              <w:t xml:space="preserve">To be covered by current staff available in the Commission services </w:t>
            </w:r>
          </w:p>
        </w:tc>
        <w:tc>
          <w:tcPr>
            <w:tcW w:w="5611" w:type="dxa"/>
            <w:gridSpan w:val="3"/>
          </w:tcPr>
          <w:p>
            <w:pPr>
              <w:pStyle w:val="Text1"/>
              <w:ind w:left="0"/>
              <w:jc w:val="center"/>
              <w:rPr>
                <w:b/>
                <w:bCs/>
                <w:noProof/>
                <w:sz w:val="22"/>
              </w:rPr>
            </w:pPr>
            <w:r>
              <w:rPr>
                <w:b/>
                <w:bCs/>
                <w:noProof/>
                <w:sz w:val="22"/>
              </w:rPr>
              <w:t>Exceptional additional staff*</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bCs/>
                <w:noProof/>
                <w:sz w:val="22"/>
              </w:rPr>
              <w:t>To be financed under Heading 7 or Research</w:t>
            </w:r>
          </w:p>
        </w:tc>
        <w:tc>
          <w:tcPr>
            <w:tcW w:w="1938" w:type="dxa"/>
          </w:tcPr>
          <w:p>
            <w:pPr>
              <w:pStyle w:val="Text1"/>
              <w:ind w:left="0"/>
              <w:jc w:val="center"/>
              <w:rPr>
                <w:b/>
                <w:bCs/>
                <w:noProof/>
                <w:sz w:val="22"/>
                <w:szCs w:val="28"/>
              </w:rPr>
            </w:pPr>
            <w:r>
              <w:rPr>
                <w:b/>
                <w:bCs/>
                <w:noProof/>
                <w:sz w:val="22"/>
                <w:szCs w:val="28"/>
              </w:rPr>
              <w:t>To be financed from BA line</w:t>
            </w:r>
          </w:p>
        </w:tc>
        <w:tc>
          <w:tcPr>
            <w:tcW w:w="1748" w:type="dxa"/>
          </w:tcPr>
          <w:p>
            <w:pPr>
              <w:pStyle w:val="Text1"/>
              <w:ind w:left="0"/>
              <w:jc w:val="center"/>
              <w:rPr>
                <w:b/>
                <w:bCs/>
                <w:noProof/>
                <w:sz w:val="22"/>
                <w:szCs w:val="28"/>
              </w:rPr>
            </w:pPr>
            <w:r>
              <w:rPr>
                <w:b/>
                <w:bCs/>
                <w:noProof/>
                <w:sz w:val="22"/>
                <w:szCs w:val="28"/>
              </w:rPr>
              <w:t>To be financed from fees</w:t>
            </w:r>
          </w:p>
        </w:tc>
      </w:tr>
      <w:tr>
        <w:trPr>
          <w:trHeight w:val="300"/>
        </w:trPr>
        <w:tc>
          <w:tcPr>
            <w:tcW w:w="1845" w:type="dxa"/>
          </w:tcPr>
          <w:p>
            <w:pPr>
              <w:pStyle w:val="Text1"/>
              <w:ind w:left="0"/>
              <w:rPr>
                <w:noProof/>
                <w:sz w:val="22"/>
                <w:szCs w:val="28"/>
              </w:rPr>
            </w:pPr>
            <w:r>
              <w:rPr>
                <w:noProof/>
                <w:sz w:val="22"/>
                <w:szCs w:val="28"/>
              </w:rPr>
              <w:t>Establishment plan posts</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r>
              <w:rPr>
                <w:noProof/>
                <w:sz w:val="22"/>
                <w:szCs w:val="28"/>
              </w:rPr>
              <w:t>N/A</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szCs w:val="28"/>
              </w:rPr>
              <w:t>External staff (CA, SNEs, INT)</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rPr>
          <w:noProof/>
        </w:rPr>
      </w:pPr>
      <w:r>
        <w:rPr>
          <w:noProof/>
        </w:rPr>
        <w:t>*</w:t>
      </w:r>
    </w:p>
    <w:p>
      <w:pPr>
        <w:pStyle w:val="Text1"/>
        <w:ind w:left="-426" w:right="-427"/>
        <w:rPr>
          <w:noProof/>
          <w:lang w:val="en-IE"/>
        </w:rPr>
      </w:pPr>
      <w:r>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rPr>
                <w:noProof/>
                <w:sz w:val="20"/>
              </w:rPr>
            </w:pPr>
          </w:p>
        </w:tc>
      </w:tr>
      <w:tr>
        <w:tc>
          <w:tcPr>
            <w:tcW w:w="3240" w:type="dxa"/>
          </w:tcPr>
          <w:p>
            <w:pPr>
              <w:spacing w:before="60" w:after="60"/>
              <w:rPr>
                <w:noProof/>
                <w:sz w:val="20"/>
              </w:rPr>
            </w:pPr>
            <w:r>
              <w:rPr>
                <w:noProof/>
                <w:sz w:val="20"/>
              </w:rPr>
              <w:t>External staff</w:t>
            </w:r>
          </w:p>
        </w:tc>
        <w:tc>
          <w:tcPr>
            <w:tcW w:w="7200" w:type="dxa"/>
          </w:tcPr>
          <w:p>
            <w:pPr>
              <w:rPr>
                <w:noProof/>
                <w:sz w:val="20"/>
              </w:rPr>
            </w:pPr>
          </w:p>
        </w:tc>
      </w:tr>
    </w:tbl>
    <w:p>
      <w:pPr>
        <w:pStyle w:val="ManualHeading3"/>
        <w:rPr>
          <w:noProof/>
        </w:rPr>
      </w:pPr>
      <w:bookmarkStart w:id="169" w:name="_Toc177549031"/>
      <w:r>
        <w:rPr>
          <w:noProof/>
        </w:rPr>
        <w:t>3.2.5.</w:t>
      </w:r>
      <w:r>
        <w:rPr>
          <w:noProof/>
        </w:rPr>
        <w:tab/>
        <w:t>Overview of estimated impact on digital technology-related investments</w:t>
      </w:r>
      <w:bookmarkEnd w:id="169"/>
    </w:p>
    <w:tbl>
      <w:tblPr>
        <w:tblW w:w="0" w:type="auto"/>
        <w:tblLayout w:type="fixed"/>
        <w:tblLook w:val="04A0" w:firstRow="1" w:lastRow="0" w:firstColumn="1" w:lastColumn="0" w:noHBand="0" w:noVBand="1"/>
      </w:tblPr>
      <w:tblGrid>
        <w:gridCol w:w="3214"/>
        <w:gridCol w:w="835"/>
        <w:gridCol w:w="835"/>
        <w:gridCol w:w="835"/>
        <w:gridCol w:w="835"/>
        <w:gridCol w:w="981"/>
      </w:tblGrid>
      <w:tr>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bCs/>
                <w:noProof/>
                <w:color w:val="000000" w:themeColor="text1"/>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bCs/>
                <w:noProof/>
                <w:color w:val="000000" w:themeColor="text1"/>
                <w:sz w:val="18"/>
                <w:szCs w:val="18"/>
              </w:rPr>
              <w:t>TOTAL MFF 2021 - 2027</w:t>
            </w:r>
          </w:p>
        </w:tc>
      </w:tr>
      <w:tr>
        <w:trPr>
          <w:trHeight w:val="525"/>
        </w:trPr>
        <w:tc>
          <w:tcPr>
            <w:tcW w:w="3214" w:type="dxa"/>
            <w:vMerge/>
            <w:tcBorders>
              <w:top w:val="single" w:sz="8" w:space="0" w:color="auto"/>
              <w:left w:val="single" w:sz="4" w:space="0" w:color="auto"/>
              <w:right w:val="single" w:sz="4" w:space="0" w:color="auto"/>
            </w:tcBorders>
            <w:vAlign w:val="center"/>
          </w:tcPr>
          <w:p>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bCs/>
                <w:noProof/>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bCs/>
                <w:noProof/>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bCs/>
                <w:noProof/>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bCs/>
                <w:noProof/>
                <w:color w:val="000000" w:themeColor="text1"/>
                <w:sz w:val="18"/>
                <w:szCs w:val="18"/>
              </w:rPr>
              <w:t>2027</w:t>
            </w:r>
          </w:p>
        </w:tc>
        <w:tc>
          <w:tcPr>
            <w:tcW w:w="981" w:type="dxa"/>
            <w:vMerge/>
            <w:tcBorders>
              <w:bottom w:val="single" w:sz="4" w:space="0" w:color="auto"/>
              <w:right w:val="single" w:sz="4" w:space="0" w:color="auto"/>
            </w:tcBorders>
            <w:vAlign w:val="center"/>
          </w:tcPr>
          <w:p>
            <w:pPr>
              <w:rPr>
                <w:noProof/>
              </w:rPr>
            </w:pPr>
          </w:p>
        </w:tc>
      </w:tr>
      <w:tr>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bCs/>
                <w:noProof/>
                <w:sz w:val="16"/>
                <w:szCs w:val="16"/>
              </w:rPr>
              <w:t>HEADING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noProof/>
                <w:color w:val="000000" w:themeColor="text1"/>
                <w:sz w:val="16"/>
                <w:szCs w:val="16"/>
              </w:rPr>
            </w:pPr>
            <w:r>
              <w:rPr>
                <w:rFonts w:ascii="Arial Narrow" w:eastAsia="Arial Narrow" w:hAnsi="Arial Narrow" w:cs="Arial Narrow"/>
                <w:noProof/>
                <w:color w:val="000000" w:themeColor="text1"/>
                <w:sz w:val="20"/>
                <w:szCs w:val="20"/>
              </w:rPr>
              <w:t>IT expenditure (corporate)</w:t>
            </w:r>
            <w:r>
              <w:rPr>
                <w:noProof/>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bCs/>
                <w:noProof/>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bCs/>
                <w:noProof/>
                <w:sz w:val="16"/>
                <w:szCs w:val="16"/>
              </w:rPr>
              <w:t>Outside HEADING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ascii="Arial Narrow" w:eastAsia="Arial Narrow" w:hAnsi="Arial Narrow" w:cs="Arial Narrow"/>
                <w:noProof/>
                <w:color w:val="000000" w:themeColor="text1"/>
                <w:sz w:val="20"/>
                <w:szCs w:val="20"/>
              </w:rPr>
            </w:pPr>
            <w:r>
              <w:rPr>
                <w:rFonts w:ascii="Arial Narrow" w:eastAsia="Arial Narrow" w:hAnsi="Arial Narrow" w:cs="Arial Narrow"/>
                <w:noProof/>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bCs/>
                <w:noProof/>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noProof/>
                <w:color w:val="000000" w:themeColor="text1"/>
                <w:sz w:val="16"/>
                <w:szCs w:val="16"/>
              </w:rPr>
            </w:pPr>
            <w:r>
              <w:rPr>
                <w:noProof/>
                <w:color w:val="000000" w:themeColor="text1"/>
                <w:sz w:val="16"/>
                <w:szCs w:val="16"/>
              </w:rPr>
              <w:t xml:space="preserve"> </w:t>
            </w:r>
          </w:p>
        </w:tc>
      </w:tr>
      <w:tr>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pPr>
              <w:spacing w:before="0" w:after="0"/>
              <w:jc w:val="center"/>
              <w:rPr>
                <w:b/>
                <w:bCs/>
                <w:noProof/>
                <w:color w:val="000000" w:themeColor="text1"/>
                <w:sz w:val="16"/>
                <w:szCs w:val="16"/>
              </w:rPr>
            </w:pPr>
            <w:r>
              <w:rPr>
                <w:b/>
                <w:bCs/>
                <w:noProof/>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bCs/>
                <w:noProof/>
                <w:color w:val="000000" w:themeColor="text1"/>
                <w:sz w:val="16"/>
                <w:szCs w:val="16"/>
              </w:rPr>
              <w:t>0.000</w:t>
            </w:r>
          </w:p>
        </w:tc>
      </w:tr>
    </w:tbl>
    <w:p>
      <w:pPr>
        <w:pStyle w:val="ManualHeading3"/>
        <w:rPr>
          <w:noProof/>
        </w:rPr>
      </w:pPr>
      <w:bookmarkStart w:id="170" w:name="_Toc514938056"/>
      <w:bookmarkStart w:id="171" w:name="_Toc520485055"/>
      <w:bookmarkStart w:id="172" w:name="_Toc160804599"/>
      <w:bookmarkStart w:id="173" w:name="_Toc167220298"/>
      <w:bookmarkStart w:id="174" w:name="_Toc177549032"/>
      <w:bookmarkEnd w:id="168"/>
      <w:r>
        <w:rPr>
          <w:noProof/>
        </w:rPr>
        <w:t>3.2.6.</w:t>
      </w:r>
      <w:r>
        <w:rPr>
          <w:noProof/>
        </w:rPr>
        <w:tab/>
        <w:t>Compatibility with the current multiannual financial framework</w:t>
      </w:r>
      <w:bookmarkEnd w:id="170"/>
      <w:bookmarkEnd w:id="171"/>
      <w:bookmarkEnd w:id="172"/>
      <w:bookmarkEnd w:id="173"/>
      <w:bookmarkEnd w:id="174"/>
      <w:r>
        <w:rPr>
          <w:noProof/>
        </w:rPr>
        <w:t xml:space="preserve"> </w:t>
      </w:r>
    </w:p>
    <w:p>
      <w:pPr>
        <w:pStyle w:val="Text1"/>
        <w:rPr>
          <w:noProof/>
        </w:rPr>
      </w:pPr>
      <w:r>
        <w:rPr>
          <w:noProof/>
        </w:rPr>
        <w:t>The proposal/initiative:</w:t>
      </w:r>
    </w:p>
    <w:p>
      <w:pPr>
        <w:pStyle w:val="ListDash1"/>
        <w:rPr>
          <w:noProof/>
        </w:rPr>
      </w:pPr>
      <w:r>
        <w:rPr>
          <w:rFonts w:ascii="Wingdings" w:eastAsia="Wingdings" w:hAnsi="Wingdings" w:cs="Wingdings"/>
          <w:noProof/>
        </w:rPr>
        <w:t>¨</w:t>
      </w:r>
      <w:r>
        <w:rPr>
          <w:noProof/>
        </w:rPr>
        <w:tab/>
        <w:t>can be fully financed through redeployment within the relevant heading of the multiannual financial framework (MFF)</w:t>
      </w:r>
    </w:p>
    <w:p>
      <w:pPr>
        <w:pStyle w:val="ListDash1"/>
        <w:rPr>
          <w:noProof/>
        </w:rPr>
      </w:pPr>
      <w:r>
        <w:rPr>
          <w:rFonts w:ascii="Wingdings" w:eastAsia="Wingdings" w:hAnsi="Wingdings" w:cs="Wingdings"/>
          <w:noProof/>
        </w:rPr>
        <w:t>¨</w:t>
      </w:r>
      <w:r>
        <w:rPr>
          <w:noProof/>
        </w:rPr>
        <w:tab/>
        <w:t>requires use of the unallocated margin under the relevant heading of the MFF and/or use of the special instruments as defined in the MFF Regulation</w:t>
      </w:r>
    </w:p>
    <w:p>
      <w:pPr>
        <w:pStyle w:val="ListDash1"/>
        <w:rPr>
          <w:noProof/>
        </w:rPr>
      </w:pPr>
      <w:r>
        <w:rPr>
          <w:rFonts w:ascii="Wingdings" w:eastAsia="Wingdings" w:hAnsi="Wingdings" w:cs="Wingdings"/>
          <w:noProof/>
        </w:rPr>
        <w:t>¨</w:t>
      </w:r>
      <w:r>
        <w:rPr>
          <w:noProof/>
        </w:rPr>
        <w:tab/>
        <w:t>requires a revision of the MFF</w:t>
      </w:r>
    </w:p>
    <w:p>
      <w:pPr>
        <w:pStyle w:val="ManualHeading3"/>
        <w:rPr>
          <w:noProof/>
        </w:rPr>
      </w:pPr>
      <w:bookmarkStart w:id="175" w:name="_Toc514938058"/>
      <w:bookmarkStart w:id="176" w:name="_Toc520485056"/>
      <w:bookmarkStart w:id="177" w:name="_Toc160804600"/>
      <w:bookmarkStart w:id="178" w:name="_Toc167220299"/>
      <w:bookmarkStart w:id="179" w:name="_Toc177549033"/>
      <w:r>
        <w:rPr>
          <w:noProof/>
        </w:rPr>
        <w:t>3.2.7.</w:t>
      </w:r>
      <w:r>
        <w:rPr>
          <w:noProof/>
        </w:rPr>
        <w:tab/>
        <w:t>Third-party contributions</w:t>
      </w:r>
      <w:bookmarkEnd w:id="175"/>
      <w:bookmarkEnd w:id="176"/>
      <w:bookmarkEnd w:id="177"/>
      <w:bookmarkEnd w:id="178"/>
      <w:bookmarkEnd w:id="179"/>
      <w:r>
        <w:rPr>
          <w:noProof/>
        </w:rPr>
        <w:t xml:space="preserve"> </w:t>
      </w:r>
    </w:p>
    <w:p>
      <w:pPr>
        <w:pStyle w:val="Text1"/>
        <w:rPr>
          <w:noProof/>
        </w:rPr>
      </w:pPr>
      <w:r>
        <w:rPr>
          <w:noProof/>
        </w:rPr>
        <w:t>The proposal/initiative:</w:t>
      </w:r>
    </w:p>
    <w:p>
      <w:pPr>
        <w:pStyle w:val="ListDash1"/>
        <w:rPr>
          <w:noProof/>
        </w:rPr>
      </w:pPr>
      <w:r>
        <w:rPr>
          <w:rFonts w:ascii="Wingdings" w:eastAsia="Wingdings" w:hAnsi="Wingdings" w:cs="Wingdings"/>
          <w:noProof/>
        </w:rPr>
        <w:t>¨</w:t>
      </w:r>
      <w:r>
        <w:rPr>
          <w:noProof/>
        </w:rPr>
        <w:tab/>
        <w:t>does not provide for co-financing by third parties</w:t>
      </w:r>
    </w:p>
    <w:p>
      <w:pPr>
        <w:pStyle w:val="ListDash1"/>
        <w:rPr>
          <w:noProof/>
        </w:rPr>
      </w:pPr>
      <w:r>
        <w:rPr>
          <w:rFonts w:ascii="Wingdings" w:eastAsia="Wingdings" w:hAnsi="Wingdings" w:cs="Wingdings"/>
          <w:noProof/>
        </w:rPr>
        <w:t>¨</w:t>
      </w:r>
      <w:r>
        <w:rPr>
          <w:noProof/>
        </w:rPr>
        <w:tab/>
        <w:t>provides for the co-financing by third parties estimated below:</w:t>
      </w:r>
    </w:p>
    <w:p>
      <w:pPr>
        <w:jc w:val="right"/>
        <w:rPr>
          <w:noProof/>
          <w:sz w:val="20"/>
          <w:lang w:val="en-IE"/>
        </w:rPr>
      </w:pPr>
      <w:r>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lang w:val="en-IE"/>
              </w:rPr>
            </w:pPr>
          </w:p>
        </w:tc>
        <w:tc>
          <w:tcPr>
            <w:tcW w:w="655" w:type="pct"/>
            <w:vAlign w:val="center"/>
          </w:tcPr>
          <w:p>
            <w:pPr>
              <w:jc w:val="center"/>
              <w:rPr>
                <w:noProof/>
                <w:sz w:val="20"/>
              </w:rPr>
            </w:pPr>
            <w:r>
              <w:rPr>
                <w:noProof/>
                <w:sz w:val="20"/>
              </w:rPr>
              <w:t xml:space="preserve">Year </w:t>
            </w:r>
            <w:r>
              <w:rPr>
                <w:noProof/>
                <w:sz w:val="22"/>
              </w:rPr>
              <w:br/>
            </w:r>
            <w:r>
              <w:rPr>
                <w:b/>
                <w:noProof/>
                <w:sz w:val="20"/>
              </w:rPr>
              <w:t>2024</w:t>
            </w:r>
          </w:p>
        </w:tc>
        <w:tc>
          <w:tcPr>
            <w:tcW w:w="655" w:type="pct"/>
            <w:vAlign w:val="center"/>
          </w:tcPr>
          <w:p>
            <w:pPr>
              <w:jc w:val="center"/>
              <w:rPr>
                <w:noProof/>
                <w:sz w:val="20"/>
              </w:rPr>
            </w:pPr>
            <w:r>
              <w:rPr>
                <w:noProof/>
                <w:sz w:val="20"/>
              </w:rPr>
              <w:t xml:space="preserve">Year </w:t>
            </w:r>
            <w:r>
              <w:rPr>
                <w:noProof/>
                <w:sz w:val="22"/>
              </w:rPr>
              <w:br/>
            </w:r>
            <w:r>
              <w:rPr>
                <w:b/>
                <w:noProof/>
                <w:sz w:val="20"/>
              </w:rPr>
              <w:t>2025</w:t>
            </w:r>
          </w:p>
        </w:tc>
        <w:tc>
          <w:tcPr>
            <w:tcW w:w="655" w:type="pct"/>
            <w:vAlign w:val="center"/>
          </w:tcPr>
          <w:p>
            <w:pPr>
              <w:jc w:val="center"/>
              <w:rPr>
                <w:noProof/>
                <w:sz w:val="20"/>
              </w:rPr>
            </w:pPr>
            <w:r>
              <w:rPr>
                <w:noProof/>
                <w:sz w:val="20"/>
              </w:rPr>
              <w:t xml:space="preserve">Year </w:t>
            </w:r>
            <w:r>
              <w:rPr>
                <w:noProof/>
                <w:sz w:val="22"/>
              </w:rPr>
              <w:br/>
            </w:r>
            <w:r>
              <w:rPr>
                <w:b/>
                <w:noProof/>
                <w:sz w:val="20"/>
              </w:rPr>
              <w:t>2026</w:t>
            </w:r>
          </w:p>
        </w:tc>
        <w:tc>
          <w:tcPr>
            <w:tcW w:w="655" w:type="pct"/>
            <w:vAlign w:val="center"/>
          </w:tcPr>
          <w:p>
            <w:pPr>
              <w:jc w:val="center"/>
              <w:rPr>
                <w:noProof/>
                <w:sz w:val="20"/>
              </w:rPr>
            </w:pPr>
            <w:r>
              <w:rPr>
                <w:noProof/>
                <w:sz w:val="20"/>
              </w:rPr>
              <w:t xml:space="preserve">Year </w:t>
            </w:r>
            <w:r>
              <w:rPr>
                <w:noProof/>
                <w:sz w:val="22"/>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lang w:val="en-IE"/>
              </w:rPr>
            </w:pPr>
            <w:r>
              <w:rPr>
                <w:noProof/>
                <w:sz w:val="20"/>
                <w:lang w:val="en-IE"/>
              </w:rPr>
              <w:t>Specify the co-financing body</w:t>
            </w:r>
            <w:r>
              <w:rPr>
                <w:i/>
                <w:noProof/>
                <w:sz w:val="20"/>
                <w:lang w:val="en-IE"/>
              </w:rPr>
              <w:t xml:space="preserve"> </w:t>
            </w:r>
          </w:p>
        </w:tc>
        <w:tc>
          <w:tcPr>
            <w:tcW w:w="655" w:type="pct"/>
            <w:vAlign w:val="center"/>
          </w:tcPr>
          <w:p>
            <w:pPr>
              <w:spacing w:before="60" w:after="60"/>
              <w:jc w:val="center"/>
              <w:rPr>
                <w:noProof/>
                <w:sz w:val="20"/>
                <w:lang w:val="en-IE"/>
              </w:rPr>
            </w:pPr>
          </w:p>
        </w:tc>
        <w:tc>
          <w:tcPr>
            <w:tcW w:w="655" w:type="pct"/>
            <w:vAlign w:val="center"/>
          </w:tcPr>
          <w:p>
            <w:pPr>
              <w:spacing w:before="60" w:after="60"/>
              <w:jc w:val="center"/>
              <w:rPr>
                <w:noProof/>
                <w:sz w:val="20"/>
                <w:lang w:val="en-IE"/>
              </w:rPr>
            </w:pPr>
          </w:p>
        </w:tc>
        <w:tc>
          <w:tcPr>
            <w:tcW w:w="655" w:type="pct"/>
            <w:vAlign w:val="center"/>
          </w:tcPr>
          <w:p>
            <w:pPr>
              <w:spacing w:before="60" w:after="60"/>
              <w:jc w:val="center"/>
              <w:rPr>
                <w:noProof/>
                <w:sz w:val="20"/>
                <w:lang w:val="en-IE"/>
              </w:rPr>
            </w:pPr>
          </w:p>
        </w:tc>
        <w:tc>
          <w:tcPr>
            <w:tcW w:w="655" w:type="pct"/>
            <w:vAlign w:val="center"/>
          </w:tcPr>
          <w:p>
            <w:pPr>
              <w:spacing w:before="60" w:after="60"/>
              <w:jc w:val="center"/>
              <w:rPr>
                <w:noProof/>
                <w:sz w:val="20"/>
                <w:lang w:val="en-IE"/>
              </w:rPr>
            </w:pPr>
          </w:p>
        </w:tc>
        <w:tc>
          <w:tcPr>
            <w:tcW w:w="787" w:type="pct"/>
            <w:vAlign w:val="center"/>
          </w:tcPr>
          <w:p>
            <w:pPr>
              <w:spacing w:before="60" w:after="60"/>
              <w:jc w:val="center"/>
              <w:rPr>
                <w:noProof/>
                <w:sz w:val="20"/>
                <w:lang w:val="en-IE"/>
              </w:rPr>
            </w:pPr>
          </w:p>
        </w:tc>
      </w:tr>
      <w:tr>
        <w:trPr>
          <w:cantSplit/>
        </w:trPr>
        <w:tc>
          <w:tcPr>
            <w:tcW w:w="1591" w:type="pct"/>
          </w:tcPr>
          <w:p>
            <w:pPr>
              <w:spacing w:before="60" w:after="60"/>
              <w:jc w:val="left"/>
              <w:rPr>
                <w:noProof/>
                <w:sz w:val="20"/>
              </w:rPr>
            </w:pPr>
            <w:r>
              <w:rPr>
                <w:noProof/>
                <w:sz w:val="20"/>
              </w:rPr>
              <w:t xml:space="preserve">TOTAL appropriations co-financed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br/>
      </w:r>
      <w:bookmarkStart w:id="180" w:name="_Toc514938059"/>
      <w:bookmarkStart w:id="181" w:name="_Toc520485057"/>
      <w:bookmarkStart w:id="182" w:name="_Toc160804602"/>
      <w:bookmarkStart w:id="183" w:name="_Toc167220300"/>
      <w:bookmarkStart w:id="184" w:name="_Toc177549034"/>
      <w:bookmarkStart w:id="185" w:name="_Hlk166860179"/>
      <w:r>
        <w:rPr>
          <w:noProof/>
        </w:rPr>
        <w:t>3.3.</w:t>
      </w:r>
      <w:r>
        <w:rPr>
          <w:noProof/>
        </w:rPr>
        <w:tab/>
        <w:t>Estimated impact on revenue</w:t>
      </w:r>
      <w:bookmarkEnd w:id="180"/>
      <w:bookmarkEnd w:id="181"/>
      <w:bookmarkEnd w:id="182"/>
      <w:bookmarkEnd w:id="183"/>
      <w:bookmarkEnd w:id="184"/>
      <w:r>
        <w:rPr>
          <w:noProof/>
        </w:rPr>
        <w:t xml:space="preserve"> </w:t>
      </w:r>
    </w:p>
    <w:bookmarkEnd w:id="185"/>
    <w:p>
      <w:pPr>
        <w:pStyle w:val="ListDash1"/>
        <w:rPr>
          <w:noProof/>
        </w:rPr>
      </w:pPr>
      <w:r>
        <w:rPr>
          <w:rFonts w:ascii="Wingdings" w:eastAsia="Wingdings" w:hAnsi="Wingdings" w:cs="Wingdings"/>
          <w:noProof/>
        </w:rPr>
        <w:t>¨</w:t>
      </w:r>
      <w:r>
        <w:rPr>
          <w:noProof/>
        </w:rPr>
        <w:tab/>
        <w:t>The proposal/initiative has no financial impact on revenue.</w:t>
      </w:r>
    </w:p>
    <w:p>
      <w:pPr>
        <w:pStyle w:val="ListDash1"/>
        <w:rPr>
          <w:noProof/>
        </w:rPr>
      </w:pPr>
      <w:r>
        <w:rPr>
          <w:rFonts w:ascii="Wingdings" w:eastAsia="Wingdings" w:hAnsi="Wingdings" w:cs="Wingdings"/>
          <w:noProof/>
        </w:rPr>
        <w:t>¨</w:t>
      </w:r>
      <w:r>
        <w:rPr>
          <w:noProof/>
        </w:rPr>
        <w:tab/>
        <w:t>The proposal/initiative has the following financial impact:</w:t>
      </w:r>
    </w:p>
    <w:p>
      <w:pPr>
        <w:pStyle w:val="ListNumberLevel3"/>
        <w:rPr>
          <w:noProof/>
        </w:rPr>
      </w:pPr>
      <w:r>
        <w:rPr>
          <w:rFonts w:ascii="Wingdings" w:eastAsia="Wingdings" w:hAnsi="Wingdings" w:cs="Wingdings"/>
          <w:noProof/>
        </w:rPr>
        <w:t>x</w:t>
      </w:r>
      <w:r>
        <w:rPr>
          <w:noProof/>
        </w:rPr>
        <w:tab/>
        <w:t xml:space="preserve">on own resources </w:t>
      </w:r>
    </w:p>
    <w:p>
      <w:pPr>
        <w:pStyle w:val="ListNumberLevel3"/>
        <w:rPr>
          <w:noProof/>
        </w:rPr>
      </w:pPr>
      <w:r>
        <w:rPr>
          <w:rFonts w:ascii="Wingdings" w:eastAsia="Wingdings" w:hAnsi="Wingdings" w:cs="Wingdings"/>
          <w:noProof/>
        </w:rPr>
        <w:t>¨</w:t>
      </w:r>
      <w:r>
        <w:rPr>
          <w:noProof/>
        </w:rPr>
        <w:tab/>
        <w:t>on other revenue</w:t>
      </w:r>
    </w:p>
    <w:p>
      <w:pPr>
        <w:pStyle w:val="ListNumberLevel3"/>
        <w:rPr>
          <w:noProof/>
        </w:rPr>
      </w:pPr>
      <w:r>
        <w:rPr>
          <w:rFonts w:ascii="Wingdings" w:eastAsia="Wingdings" w:hAnsi="Wingdings" w:cs="Wingdings"/>
          <w:noProof/>
        </w:rPr>
        <w:t>¨</w:t>
      </w:r>
      <w:r>
        <w:rPr>
          <w:rFonts w:ascii="Wingdings" w:eastAsia="Wingdings" w:hAnsi="Wingdings" w:cs="Wingdings"/>
          <w:noProof/>
        </w:rPr>
        <w:tab/>
      </w:r>
      <w:r>
        <w:rPr>
          <w:noProof/>
        </w:rPr>
        <w:t>please indicate, if the revenue is assigned to expenditure lines</w:t>
      </w:r>
    </w:p>
    <w:p>
      <w:pPr>
        <w:jc w:val="right"/>
        <w:rPr>
          <w:noProof/>
          <w:sz w:val="20"/>
          <w:lang w:val="en-IE"/>
        </w:rPr>
      </w:pPr>
      <w:r>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6"/>
        <w:gridCol w:w="1614"/>
        <w:gridCol w:w="528"/>
        <w:gridCol w:w="282"/>
        <w:gridCol w:w="282"/>
        <w:gridCol w:w="3937"/>
      </w:tblGrid>
      <w:tr>
        <w:trPr>
          <w:trHeight w:val="388"/>
        </w:trPr>
        <w:tc>
          <w:tcPr>
            <w:tcW w:w="1424" w:type="pct"/>
            <w:vMerge w:val="restart"/>
            <w:vAlign w:val="center"/>
          </w:tcPr>
          <w:p>
            <w:pPr>
              <w:spacing w:before="40" w:after="40"/>
              <w:rPr>
                <w:noProof/>
                <w:sz w:val="18"/>
              </w:rPr>
            </w:pPr>
            <w:r>
              <w:rPr>
                <w:noProof/>
                <w:sz w:val="18"/>
              </w:rPr>
              <w:t>Budget revenue line:</w:t>
            </w:r>
          </w:p>
        </w:tc>
        <w:tc>
          <w:tcPr>
            <w:tcW w:w="869" w:type="pct"/>
            <w:vMerge w:val="restart"/>
            <w:vAlign w:val="center"/>
          </w:tcPr>
          <w:p>
            <w:pPr>
              <w:jc w:val="center"/>
              <w:rPr>
                <w:noProof/>
                <w:sz w:val="18"/>
                <w:lang w:val="en-IE"/>
              </w:rPr>
            </w:pPr>
            <w:r>
              <w:rPr>
                <w:noProof/>
                <w:sz w:val="18"/>
                <w:lang w:val="en-IE"/>
              </w:rPr>
              <w:t>Appropriations available for the current financial year</w:t>
            </w:r>
          </w:p>
        </w:tc>
        <w:tc>
          <w:tcPr>
            <w:tcW w:w="2707" w:type="pct"/>
            <w:gridSpan w:val="4"/>
            <w:vAlign w:val="center"/>
          </w:tcPr>
          <w:p>
            <w:pPr>
              <w:jc w:val="center"/>
              <w:rPr>
                <w:noProof/>
                <w:sz w:val="18"/>
                <w:lang w:val="en-IE"/>
              </w:rPr>
            </w:pPr>
            <w:r>
              <w:rPr>
                <w:noProof/>
                <w:sz w:val="18"/>
                <w:szCs w:val="18"/>
                <w:lang w:val="en-IE"/>
              </w:rPr>
              <w:t>Impact of the proposal/initiative</w:t>
            </w:r>
            <w:r>
              <w:rPr>
                <w:rStyle w:val="FootnoteReference"/>
                <w:noProof/>
                <w:sz w:val="18"/>
                <w:szCs w:val="18"/>
              </w:rPr>
              <w:footnoteReference w:id="9"/>
            </w:r>
          </w:p>
        </w:tc>
      </w:tr>
      <w:tr>
        <w:trPr>
          <w:trHeight w:val="388"/>
        </w:trPr>
        <w:tc>
          <w:tcPr>
            <w:tcW w:w="1424" w:type="pct"/>
            <w:vMerge/>
          </w:tcPr>
          <w:p>
            <w:pPr>
              <w:spacing w:before="40" w:after="40"/>
              <w:rPr>
                <w:noProof/>
                <w:sz w:val="18"/>
                <w:lang w:val="en-IE"/>
              </w:rPr>
            </w:pPr>
          </w:p>
        </w:tc>
        <w:tc>
          <w:tcPr>
            <w:tcW w:w="869" w:type="pct"/>
            <w:vMerge/>
          </w:tcPr>
          <w:p>
            <w:pPr>
              <w:spacing w:beforeLines="40" w:before="96" w:afterLines="40" w:after="96"/>
              <w:rPr>
                <w:i/>
                <w:noProof/>
                <w:sz w:val="18"/>
                <w:lang w:val="en-IE"/>
              </w:rPr>
            </w:pPr>
          </w:p>
        </w:tc>
        <w:tc>
          <w:tcPr>
            <w:tcW w:w="284" w:type="pct"/>
            <w:vAlign w:val="center"/>
          </w:tcPr>
          <w:p>
            <w:pPr>
              <w:jc w:val="center"/>
              <w:rPr>
                <w:noProof/>
                <w:sz w:val="18"/>
              </w:rPr>
            </w:pPr>
          </w:p>
        </w:tc>
        <w:tc>
          <w:tcPr>
            <w:tcW w:w="152" w:type="pct"/>
            <w:vAlign w:val="center"/>
          </w:tcPr>
          <w:p>
            <w:pPr>
              <w:jc w:val="center"/>
              <w:rPr>
                <w:noProof/>
                <w:sz w:val="18"/>
              </w:rPr>
            </w:pPr>
          </w:p>
        </w:tc>
        <w:tc>
          <w:tcPr>
            <w:tcW w:w="152" w:type="pct"/>
            <w:vAlign w:val="center"/>
          </w:tcPr>
          <w:p>
            <w:pPr>
              <w:jc w:val="center"/>
              <w:rPr>
                <w:noProof/>
                <w:sz w:val="18"/>
              </w:rPr>
            </w:pPr>
          </w:p>
        </w:tc>
        <w:tc>
          <w:tcPr>
            <w:tcW w:w="2119" w:type="pct"/>
            <w:vAlign w:val="center"/>
          </w:tcPr>
          <w:p>
            <w:pPr>
              <w:jc w:val="center"/>
              <w:rPr>
                <w:noProof/>
                <w:sz w:val="18"/>
              </w:rPr>
            </w:pPr>
            <w:r>
              <w:rPr>
                <w:noProof/>
                <w:sz w:val="18"/>
              </w:rPr>
              <w:t xml:space="preserve">Year </w:t>
            </w:r>
            <w:r>
              <w:rPr>
                <w:b/>
                <w:noProof/>
                <w:sz w:val="18"/>
              </w:rPr>
              <w:t>2027</w:t>
            </w:r>
          </w:p>
        </w:tc>
      </w:tr>
      <w:tr>
        <w:trPr>
          <w:trHeight w:val="388"/>
        </w:trPr>
        <w:tc>
          <w:tcPr>
            <w:tcW w:w="1424" w:type="pct"/>
            <w:vAlign w:val="center"/>
          </w:tcPr>
          <w:p>
            <w:pPr>
              <w:spacing w:before="40" w:after="40"/>
              <w:rPr>
                <w:rFonts w:eastAsia="Times New Roman"/>
                <w:noProof/>
                <w:sz w:val="18"/>
                <w:szCs w:val="18"/>
              </w:rPr>
            </w:pPr>
            <w:r>
              <w:rPr>
                <w:rFonts w:eastAsia="Times New Roman"/>
                <w:noProof/>
                <w:szCs w:val="24"/>
              </w:rPr>
              <w:t>Article 1.2.0</w:t>
            </w:r>
          </w:p>
        </w:tc>
        <w:tc>
          <w:tcPr>
            <w:tcW w:w="869" w:type="pct"/>
          </w:tcPr>
          <w:p>
            <w:pPr>
              <w:spacing w:beforeLines="40" w:before="96" w:afterLines="40" w:after="96"/>
              <w:jc w:val="center"/>
              <w:rPr>
                <w:i/>
                <w:noProof/>
                <w:sz w:val="18"/>
              </w:rPr>
            </w:pPr>
            <w:r>
              <w:rPr>
                <w:i/>
                <w:noProof/>
                <w:sz w:val="18"/>
              </w:rPr>
              <w:t>X</w:t>
            </w:r>
          </w:p>
        </w:tc>
        <w:tc>
          <w:tcPr>
            <w:tcW w:w="284" w:type="pct"/>
          </w:tcPr>
          <w:p>
            <w:pPr>
              <w:spacing w:beforeLines="40" w:before="96" w:afterLines="40" w:after="96"/>
              <w:jc w:val="center"/>
              <w:rPr>
                <w:noProof/>
                <w:sz w:val="18"/>
                <w:szCs w:val="18"/>
              </w:rPr>
            </w:pPr>
          </w:p>
        </w:tc>
        <w:tc>
          <w:tcPr>
            <w:tcW w:w="152" w:type="pct"/>
          </w:tcPr>
          <w:p>
            <w:pPr>
              <w:spacing w:beforeLines="40" w:before="96" w:afterLines="40" w:after="96"/>
              <w:jc w:val="center"/>
              <w:rPr>
                <w:noProof/>
                <w:sz w:val="18"/>
                <w:szCs w:val="18"/>
              </w:rPr>
            </w:pPr>
          </w:p>
        </w:tc>
        <w:tc>
          <w:tcPr>
            <w:tcW w:w="152" w:type="pct"/>
          </w:tcPr>
          <w:p>
            <w:pPr>
              <w:spacing w:beforeLines="40" w:before="96" w:afterLines="40" w:after="96"/>
              <w:jc w:val="center"/>
              <w:rPr>
                <w:noProof/>
                <w:sz w:val="18"/>
                <w:szCs w:val="18"/>
              </w:rPr>
            </w:pPr>
          </w:p>
        </w:tc>
        <w:tc>
          <w:tcPr>
            <w:tcW w:w="2119" w:type="pct"/>
          </w:tcPr>
          <w:p>
            <w:pPr>
              <w:spacing w:beforeLines="40" w:before="96" w:afterLines="40" w:after="96"/>
              <w:jc w:val="center"/>
              <w:rPr>
                <w:noProof/>
                <w:sz w:val="18"/>
                <w:szCs w:val="18"/>
              </w:rPr>
            </w:pPr>
            <w:r>
              <w:rPr>
                <w:noProof/>
                <w:sz w:val="18"/>
                <w:szCs w:val="18"/>
              </w:rPr>
              <w:t>272,04</w:t>
            </w:r>
          </w:p>
        </w:tc>
      </w:tr>
    </w:tbl>
    <w:p>
      <w:pPr>
        <w:pStyle w:val="Text1"/>
        <w:pBdr>
          <w:top w:val="single" w:sz="4" w:space="1" w:color="auto"/>
          <w:left w:val="single" w:sz="4" w:space="4" w:color="auto"/>
          <w:bottom w:val="single" w:sz="4" w:space="1" w:color="auto"/>
          <w:right w:val="single" w:sz="4" w:space="4" w:color="auto"/>
        </w:pBdr>
        <w:ind w:left="0"/>
        <w:rPr>
          <w:noProof/>
        </w:rPr>
      </w:pPr>
      <w:r>
        <w:rPr>
          <w:noProof/>
        </w:rPr>
        <w:t>The main impact of the Regulation is the loss of revenue for the European Union. Taking the most recent complete statistics (2021-2022) as a basis, the impact on the loss of revenue resulting from this Regulation may be estimated at €272,04 million for 2027.</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stated amount has been calculated on the basis of MFN duty rates, full utilisation of quotas, average price (€) per ton and the fact that 80% of the duties are included in the EU budget. It marks, therefore, the maximum level of loss of revenue since the Union grants more favourable trade preferences to different groups of third countries (GSP, GSP+, FTAs). </w:t>
      </w:r>
    </w:p>
    <w:p>
      <w:pPr>
        <w:pStyle w:val="Text1"/>
        <w:pBdr>
          <w:top w:val="single" w:sz="4" w:space="1" w:color="auto"/>
          <w:left w:val="single" w:sz="4" w:space="4" w:color="auto"/>
          <w:bottom w:val="single" w:sz="4" w:space="1" w:color="auto"/>
          <w:right w:val="single" w:sz="4" w:space="4" w:color="auto"/>
        </w:pBdr>
        <w:rPr>
          <w:noProof/>
        </w:rPr>
      </w:pPr>
      <w:r>
        <w:rPr>
          <w:noProof/>
        </w:rPr>
        <w:t>Therefore, the actual loss of revenue tends to result in a lower amount since MFN duties do not apply across the board and the quotas laid down in the Regulation are not fully used.</w:t>
      </w:r>
    </w:p>
    <w:p>
      <w:pPr>
        <w:pStyle w:val="Text1"/>
        <w:pBdr>
          <w:top w:val="single" w:sz="4" w:space="1" w:color="auto"/>
          <w:left w:val="single" w:sz="4" w:space="4" w:color="auto"/>
          <w:bottom w:val="single" w:sz="4" w:space="1" w:color="auto"/>
          <w:right w:val="single" w:sz="4" w:space="4" w:color="auto"/>
        </w:pBdr>
        <w:rPr>
          <w:noProof/>
        </w:rPr>
      </w:pPr>
      <w:r>
        <w:rPr>
          <w:noProof/>
        </w:rPr>
        <w:t>Checks on the end-use of some of the products covered by this Council Regulation are carried out in accordance with Article 254 of Regulation (EU) No 952/2013 laying down provisions for the implementation of the Community Customs Code.</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lang w:val="pt-PT"/>
        </w:rPr>
      </w:pPr>
      <w:bookmarkStart w:id="186" w:name="_Toc167220301"/>
      <w:bookmarkStart w:id="187" w:name="_Toc177549035"/>
      <w:r>
        <w:rPr>
          <w:noProof/>
          <w:lang w:val="pt-PT"/>
        </w:rPr>
        <w:t>4.</w:t>
      </w:r>
      <w:r>
        <w:rPr>
          <w:noProof/>
          <w:lang w:val="pt-PT"/>
        </w:rPr>
        <w:tab/>
      </w:r>
      <w:bookmarkStart w:id="188" w:name="_Hlk167692977"/>
      <w:r>
        <w:rPr>
          <w:caps/>
          <w:noProof/>
          <w:lang w:val="pt-PT"/>
        </w:rPr>
        <w:t>Digital dimensions</w:t>
      </w:r>
      <w:bookmarkEnd w:id="186"/>
      <w:bookmarkEnd w:id="187"/>
    </w:p>
    <w:p>
      <w:pPr>
        <w:pStyle w:val="ManualHeading2"/>
        <w:tabs>
          <w:tab w:val="clear" w:pos="850"/>
          <w:tab w:val="left" w:pos="0"/>
        </w:tabs>
        <w:ind w:left="0" w:firstLine="0"/>
        <w:rPr>
          <w:b w:val="0"/>
          <w:noProof/>
          <w:lang w:val="pt-PT"/>
        </w:rPr>
      </w:pPr>
      <w:hyperlink r:id="rId21" w:history="1">
        <w:r>
          <w:rPr>
            <w:rStyle w:val="Hyperlink"/>
            <w:noProof/>
            <w:lang w:val="pt-PT"/>
          </w:rPr>
          <w:t>http://data.europa.eu/eli/reg/2024/903/oj</w:t>
        </w:r>
      </w:hyperlink>
      <w:bookmarkStart w:id="189" w:name="_Toc177549036"/>
      <w:bookmarkEnd w:id="189"/>
    </w:p>
    <w:p>
      <w:pPr>
        <w:rPr>
          <w:noProof/>
        </w:rPr>
      </w:pPr>
      <w:bookmarkStart w:id="190" w:name="_Toc167220302"/>
      <w:bookmarkStart w:id="191" w:name="_Toc177549037"/>
      <w:r>
        <w:rPr>
          <w:noProof/>
        </w:rPr>
        <w:t>4.1.</w:t>
      </w:r>
      <w:r>
        <w:rPr>
          <w:noProof/>
        </w:rPr>
        <w:tab/>
        <w:t>Requirements of digital relevance</w:t>
      </w:r>
      <w:bookmarkEnd w:id="190"/>
      <w:bookmarkEnd w:id="191"/>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rPr>
            </w:pPr>
          </w:p>
          <w:p>
            <w:pPr>
              <w:rPr>
                <w:noProof/>
              </w:rPr>
            </w:pPr>
            <w:r>
              <w:rPr>
                <w:noProof/>
              </w:rPr>
              <w:t xml:space="preserve">The amendment of the regulation has no requirement of digital relevance. The regulation has no binding requirement that has an effect in the development or implementation of digital public services and information systems used for its provisions. </w:t>
            </w:r>
          </w:p>
          <w:p>
            <w:pPr>
              <w:pStyle w:val="ListParagraph"/>
              <w:numPr>
                <w:ilvl w:val="0"/>
                <w:numId w:val="17"/>
              </w:numPr>
              <w:rPr>
                <w:noProof/>
                <w:color w:val="0000FF"/>
              </w:rPr>
            </w:pPr>
          </w:p>
        </w:tc>
      </w:tr>
    </w:tbl>
    <w:p>
      <w:pPr>
        <w:pStyle w:val="ManualHeading2"/>
        <w:rPr>
          <w:noProof/>
        </w:rPr>
      </w:pPr>
      <w:bookmarkStart w:id="192" w:name="_Toc167220303"/>
      <w:bookmarkStart w:id="193" w:name="_Toc177549038"/>
      <w:r>
        <w:rPr>
          <w:noProof/>
        </w:rPr>
        <w:t>4.2.</w:t>
      </w:r>
      <w:r>
        <w:rPr>
          <w:noProof/>
        </w:rPr>
        <w:tab/>
        <w:t>Data</w:t>
      </w:r>
      <w:bookmarkEnd w:id="192"/>
      <w:bookmarkEnd w:id="193"/>
    </w:p>
    <w:tbl>
      <w:tblPr>
        <w:tblStyle w:val="TableGrid"/>
        <w:tblW w:w="0" w:type="auto"/>
        <w:tblLook w:val="04A0" w:firstRow="1" w:lastRow="0" w:firstColumn="1" w:lastColumn="0" w:noHBand="0" w:noVBand="1"/>
      </w:tblPr>
      <w:tblGrid>
        <w:gridCol w:w="9063"/>
      </w:tblGrid>
      <w:tr>
        <w:tc>
          <w:tcPr>
            <w:tcW w:w="9063" w:type="dxa"/>
          </w:tcPr>
          <w:p>
            <w:pPr>
              <w:rPr>
                <w:noProof/>
              </w:rPr>
            </w:pPr>
          </w:p>
          <w:p>
            <w:pPr>
              <w:rPr>
                <w:rFonts w:eastAsiaTheme="minorHAnsi"/>
                <w:noProof/>
                <w:szCs w:val="22"/>
                <w:lang w:eastAsia="en-US"/>
              </w:rPr>
            </w:pPr>
            <w:r>
              <w:rPr>
                <w:noProof/>
              </w:rPr>
              <w:t>N/A</w:t>
            </w:r>
            <w:hyperlink r:id="rId22" w:history="1">
              <w:r>
                <w:rPr>
                  <w:rStyle w:val="Hyperlink"/>
                  <w:noProof/>
                </w:rPr>
                <w:t>https://commission.europa.eu/strategy-and-policy/priorities-2019-2024/europe-fit-digital-age/european-data-strategy_en</w:t>
              </w:r>
            </w:hyperlink>
          </w:p>
        </w:tc>
      </w:tr>
    </w:tbl>
    <w:p>
      <w:pPr>
        <w:pStyle w:val="ManualHeading2"/>
        <w:rPr>
          <w:noProof/>
        </w:rPr>
      </w:pPr>
      <w:bookmarkStart w:id="194" w:name="_Toc167220305"/>
      <w:bookmarkStart w:id="195" w:name="_Toc177549039"/>
      <w:r>
        <w:rPr>
          <w:noProof/>
        </w:rPr>
        <w:t>4.3.</w:t>
      </w:r>
      <w:r>
        <w:rPr>
          <w:noProof/>
        </w:rPr>
        <w:tab/>
        <w:t>Digital solutions</w:t>
      </w:r>
      <w:bookmarkEnd w:id="194"/>
      <w:bookmarkEnd w:id="19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N/A</w:t>
            </w:r>
          </w:p>
          <w:p>
            <w:pPr>
              <w:rPr>
                <w:noProof/>
              </w:rPr>
            </w:pPr>
          </w:p>
        </w:tc>
      </w:tr>
    </w:tbl>
    <w:p>
      <w:pPr>
        <w:pStyle w:val="ManualHeading2"/>
        <w:rPr>
          <w:rStyle w:val="Emphasis"/>
          <w:b w:val="0"/>
          <w:bCs/>
          <w:i w:val="0"/>
          <w:iCs w:val="0"/>
          <w:noProof/>
        </w:rPr>
      </w:pPr>
      <w:bookmarkStart w:id="196" w:name="_Toc167220304"/>
      <w:bookmarkStart w:id="197" w:name="_Toc177549040"/>
      <w:r>
        <w:rPr>
          <w:rStyle w:val="Emphasis"/>
          <w:bCs/>
          <w:noProof/>
        </w:rPr>
        <w:t>4.4.</w:t>
      </w:r>
      <w:r>
        <w:rPr>
          <w:noProof/>
        </w:rPr>
        <w:tab/>
      </w:r>
      <w:r>
        <w:rPr>
          <w:rStyle w:val="Emphasis"/>
          <w:bCs/>
          <w:noProof/>
        </w:rPr>
        <w:t>Interoperability assessment</w:t>
      </w:r>
      <w:bookmarkEnd w:id="196"/>
      <w:bookmarkEnd w:id="197"/>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rPr>
            </w:pPr>
            <w:r>
              <w:rPr>
                <w:noProof/>
              </w:rPr>
              <w:t>N/A</w:t>
            </w:r>
          </w:p>
          <w:p>
            <w:pPr>
              <w:rPr>
                <w:i/>
                <w:iCs/>
                <w:noProof/>
                <w:color w:val="215868" w:themeColor="accent5" w:themeShade="80"/>
              </w:rPr>
            </w:pPr>
          </w:p>
        </w:tc>
      </w:tr>
    </w:tbl>
    <w:p>
      <w:pPr>
        <w:pStyle w:val="ManualHeading2"/>
        <w:rPr>
          <w:noProof/>
        </w:rPr>
      </w:pPr>
      <w:bookmarkStart w:id="198" w:name="_Toc167220306"/>
      <w:bookmarkStart w:id="199" w:name="_Toc177549041"/>
      <w:r>
        <w:rPr>
          <w:noProof/>
        </w:rPr>
        <w:t>4.5.</w:t>
      </w:r>
      <w:r>
        <w:rPr>
          <w:noProof/>
        </w:rPr>
        <w:tab/>
        <w:t>Measures to support digital implementation</w:t>
      </w:r>
      <w:bookmarkEnd w:id="198"/>
      <w:bookmarkEnd w:id="19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rPr>
            </w:pPr>
            <w:r>
              <w:rPr>
                <w:noProof/>
              </w:rPr>
              <w:t>N/A</w:t>
            </w:r>
          </w:p>
          <w:p>
            <w:pPr>
              <w:rPr>
                <w:noProof/>
                <w:color w:val="0000FF"/>
              </w:rPr>
            </w:pPr>
          </w:p>
        </w:tc>
      </w:tr>
      <w:bookmarkEnd w:id="188"/>
    </w:tbl>
    <w:p>
      <w:pPr>
        <w:rPr>
          <w:noProof/>
          <w:color w:val="008000"/>
        </w:rPr>
      </w:pPr>
    </w:p>
    <w:sectPr>
      <w:headerReference w:type="default" r:id="rId23"/>
      <w:footerReference w:type="defaul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EUAlbertina">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sz w:val="18"/>
          <w:szCs w:val="18"/>
          <w:lang w:val="en-US"/>
        </w:rPr>
      </w:pPr>
      <w:r>
        <w:rPr>
          <w:rStyle w:val="FootnoteReference"/>
        </w:rPr>
        <w:footnoteRef/>
      </w:r>
      <w:r>
        <w:rPr>
          <w:sz w:val="18"/>
          <w:szCs w:val="18"/>
          <w:lang w:val="en-US"/>
        </w:rPr>
        <w:tab/>
        <w:t>OJ L, 2023/2720, 6.12.2023, p. 1</w:t>
      </w:r>
    </w:p>
  </w:footnote>
  <w:footnote w:id="2">
    <w:p>
      <w:pPr>
        <w:pStyle w:val="FootnoteText"/>
        <w:ind w:left="0" w:firstLine="0"/>
        <w:rPr>
          <w:lang w:val="en-IE"/>
        </w:rPr>
      </w:pPr>
      <w:r>
        <w:rPr>
          <w:rStyle w:val="FootnoteReference"/>
        </w:rPr>
        <w:footnoteRef/>
      </w:r>
      <w:r>
        <w:rPr>
          <w:lang w:val="en-IE"/>
        </w:rPr>
        <w:tab/>
        <w:t>Council Regulation (EU) 2023/2720 of 27 November 2023 opening and providing for the management of the Union autonomous tariff quotas for certain fishery products for the 2024–2026 period (OJ L, 2023/2720, 6.12.2023, ELI: http://data.europa.eu/eli/reg/2023/2720/oj)</w:t>
      </w:r>
    </w:p>
  </w:footnote>
  <w:footnote w:id="3">
    <w:p>
      <w:pPr>
        <w:pStyle w:val="FootnoteText"/>
      </w:pPr>
      <w:r>
        <w:rPr>
          <w:rStyle w:val="FootnoteReference"/>
        </w:rPr>
        <w:footnoteRef/>
      </w:r>
      <w:r>
        <w:tab/>
        <w:t>As referred to in Article 58(2), point (a) or (b) of the Financial Regulation.</w:t>
      </w:r>
    </w:p>
  </w:footnote>
  <w:footnote w:id="4">
    <w:p>
      <w:pPr>
        <w:pStyle w:val="FootnoteText"/>
        <w:rPr>
          <w:szCs w:val="24"/>
        </w:rPr>
      </w:pPr>
      <w:r>
        <w:rPr>
          <w:rStyle w:val="FootnoteReference"/>
        </w:rPr>
        <w:footnoteRef/>
      </w:r>
      <w:r>
        <w:tab/>
        <w:t>Diff. = Differentiated appropriations / Non-diff. = Non-differentiated appropriations.</w:t>
      </w:r>
    </w:p>
  </w:footnote>
  <w:footnote w:id="5">
    <w:p>
      <w:pPr>
        <w:pStyle w:val="FootnoteText"/>
        <w:rPr>
          <w:szCs w:val="24"/>
        </w:rPr>
      </w:pPr>
      <w:r>
        <w:rPr>
          <w:rStyle w:val="FootnoteReference"/>
        </w:rPr>
        <w:footnoteRef/>
      </w:r>
      <w:r>
        <w:tab/>
        <w:t xml:space="preserve">EFTA: European Free Trade Association. </w:t>
      </w:r>
    </w:p>
  </w:footnote>
  <w:footnote w:id="6">
    <w:p>
      <w:pPr>
        <w:pStyle w:val="FootnoteText"/>
        <w:rPr>
          <w:szCs w:val="24"/>
        </w:rPr>
      </w:pPr>
      <w:r>
        <w:rPr>
          <w:rStyle w:val="FootnoteReference"/>
        </w:rPr>
        <w:footnoteRef/>
      </w:r>
      <w:r>
        <w:tab/>
        <w:t>Candidate countries and, where applicable, potential candidates from the Western Balkans.</w:t>
      </w:r>
    </w:p>
  </w:footnote>
  <w:footnote w:id="7">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8">
    <w:p>
      <w:pPr>
        <w:pStyle w:val="FootnoteText"/>
        <w:rPr>
          <w:szCs w:val="24"/>
        </w:rPr>
      </w:pPr>
      <w:r>
        <w:rPr>
          <w:rStyle w:val="FootnoteReference"/>
        </w:rPr>
        <w:footnoteRef/>
      </w:r>
      <w:r>
        <w:tab/>
        <w:t xml:space="preserve">As described in Section 1.3.2. ‘Specific objective(s)’ </w:t>
      </w:r>
    </w:p>
  </w:footnote>
  <w:footnote w:id="9">
    <w:p>
      <w:pPr>
        <w:pStyle w:val="FootnoteText"/>
        <w:rPr>
          <w:szCs w:val="24"/>
        </w:rPr>
      </w:pPr>
      <w:r>
        <w:rPr>
          <w:rStyle w:val="FootnoteReference"/>
        </w:rPr>
        <w:footnoteRef/>
      </w:r>
      <w:r>
        <w:tab/>
        <w:t>As regards traditional own resources (customs duties, sugar levies), the amounts indicated must be net amounts, i.e. gross amounts after deduction of 20%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F334971"/>
    <w:multiLevelType w:val="hybridMultilevel"/>
    <w:tmpl w:val="BB2062B2"/>
    <w:lvl w:ilvl="0" w:tplc="D9FE987C">
      <w:numFmt w:val="bullet"/>
      <w:lvlText w:val="•"/>
      <w:lvlJc w:val="left"/>
      <w:pPr>
        <w:ind w:left="1212" w:hanging="852"/>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1"/>
  </w:num>
  <w:num w:numId="18">
    <w:abstractNumId w:val="31"/>
    <w:lvlOverride w:ilvl="0">
      <w:startOverride w:val="1"/>
    </w:lvlOverride>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5"/>
  </w:num>
  <w:num w:numId="26">
    <w:abstractNumId w:val="26"/>
  </w:num>
  <w:num w:numId="27">
    <w:abstractNumId w:val="4"/>
  </w:num>
  <w:num w:numId="28">
    <w:abstractNumId w:val="16"/>
  </w:num>
  <w:num w:numId="29">
    <w:abstractNumId w:val="22"/>
  </w:num>
  <w:num w:numId="30">
    <w:abstractNumId w:val="23"/>
  </w:num>
  <w:num w:numId="31">
    <w:abstractNumId w:val="6"/>
  </w:num>
  <w:num w:numId="32">
    <w:abstractNumId w:val="20"/>
  </w:num>
  <w:num w:numId="33">
    <w:abstractNumId w:val="31"/>
  </w:num>
  <w:num w:numId="34">
    <w:abstractNumId w:val="24"/>
  </w:num>
  <w:num w:numId="35">
    <w:abstractNumId w:val="13"/>
  </w:num>
  <w:num w:numId="36">
    <w:abstractNumId w:val="27"/>
  </w:num>
  <w:num w:numId="37">
    <w:abstractNumId w:val="7"/>
  </w:num>
  <w:num w:numId="38">
    <w:abstractNumId w:val="14"/>
  </w:num>
  <w:num w:numId="39">
    <w:abstractNumId w:val="15"/>
  </w:num>
  <w:num w:numId="40">
    <w:abstractNumId w:val="5"/>
  </w:num>
  <w:num w:numId="41">
    <w:abstractNumId w:val="26"/>
  </w:num>
  <w:num w:numId="42">
    <w:abstractNumId w:val="4"/>
  </w:num>
  <w:num w:numId="43">
    <w:abstractNumId w:val="16"/>
  </w:num>
  <w:num w:numId="44">
    <w:abstractNumId w:val="22"/>
  </w:num>
  <w:num w:numId="45">
    <w:abstractNumId w:val="23"/>
  </w:num>
  <w:num w:numId="46">
    <w:abstractNumId w:val="6"/>
  </w:num>
  <w:num w:numId="47">
    <w:abstractNumId w:val="20"/>
  </w:num>
  <w:num w:numId="4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09:04: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5C2E419-7AA2-4894-9577-AD683B96D0DF"/>
    <w:docVar w:name="LW_COVERPAGE_TYPE" w:val="1"/>
    <w:docVar w:name="LW_CreatedUtc" w:val="2026-05-11T12:53:51.0057481Z"/>
    <w:docVar w:name="LW_CROSSREFERENCE" w:val="&lt;UNUSED&gt;"/>
    <w:docVar w:name="LW_DocType" w:val="COM"/>
    <w:docVar w:name="LW_EMISSION" w:val="8.9.2026"/>
    <w:docVar w:name="LW_EMISSION_ISODATE" w:val="2026-09-08"/>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52"/>
    <w:docVar w:name="LW_REF.II.NEW.CP_YEAR" w:val="2026"/>
    <w:docVar w:name="LW_REF.INST.NEW" w:val="COM"/>
    <w:docVar w:name="LW_REF.INST.NEW_ADOPTED" w:val="final"/>
    <w:docVar w:name="LW_REF.INST.NEW_TEXT" w:val="(2026) 4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Council Regulation 2023/2720 opening and providing for the management of autonomous Union tariff quotas for certain fishery products for the 2024-2026 period"/>
    <w:docVar w:name="LW_TYPE.DOC.CP" w:val="COUNCIL REGULAT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9B0CD4FB-A4C5-4F8F-AF9B-A99003E4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val="fr-FR" w:eastAsia="en-GB"/>
    </w:rPr>
  </w:style>
  <w:style w:type="paragraph" w:styleId="ListBullet2">
    <w:name w:val="List Bullet 2"/>
    <w:basedOn w:val="Normal"/>
    <w:uiPriority w:val="99"/>
    <w:pPr>
      <w:numPr>
        <w:numId w:val="8"/>
      </w:numPr>
      <w:tabs>
        <w:tab w:val="clear" w:pos="1134"/>
      </w:tabs>
      <w:ind w:left="0" w:firstLine="0"/>
    </w:pPr>
    <w:rPr>
      <w:rFonts w:eastAsia="Times New Roman"/>
      <w:lang w:val="fr-FR" w:eastAsia="en-GB"/>
    </w:rPr>
  </w:style>
  <w:style w:type="paragraph" w:styleId="ListBullet3">
    <w:name w:val="List Bullet 3"/>
    <w:basedOn w:val="Normal"/>
    <w:pPr>
      <w:numPr>
        <w:numId w:val="9"/>
      </w:numPr>
      <w:tabs>
        <w:tab w:val="clear" w:pos="1134"/>
      </w:tabs>
      <w:ind w:left="0" w:firstLine="0"/>
    </w:pPr>
    <w:rPr>
      <w:rFonts w:eastAsia="Times New Roman"/>
      <w:lang w:val="fr-FR" w:eastAsia="en-GB"/>
    </w:rPr>
  </w:style>
  <w:style w:type="paragraph" w:styleId="ListNumber2">
    <w:name w:val="List Number 2"/>
    <w:basedOn w:val="Normal"/>
    <w:pPr>
      <w:numPr>
        <w:numId w:val="13"/>
      </w:numPr>
      <w:tabs>
        <w:tab w:val="clear" w:pos="1560"/>
      </w:tabs>
      <w:ind w:left="0" w:firstLine="0"/>
    </w:pPr>
    <w:rPr>
      <w:rFonts w:eastAsia="Times New Roman"/>
      <w:lang w:val="fr-FR" w:eastAsia="en-GB"/>
    </w:rPr>
  </w:style>
  <w:style w:type="paragraph" w:styleId="ListNumber3">
    <w:name w:val="List Number 3"/>
    <w:basedOn w:val="Normal"/>
    <w:pPr>
      <w:numPr>
        <w:numId w:val="14"/>
      </w:numPr>
      <w:tabs>
        <w:tab w:val="clear" w:pos="1560"/>
      </w:tabs>
      <w:ind w:left="0" w:firstLine="0"/>
    </w:pPr>
    <w:rPr>
      <w:rFonts w:eastAsia="Times New Roman"/>
      <w:lang w:val="fr-FR" w:eastAsia="en-GB"/>
    </w:rPr>
  </w:style>
  <w:style w:type="paragraph" w:styleId="ListNumber4">
    <w:name w:val="List Number 4"/>
    <w:basedOn w:val="Normal"/>
    <w:pPr>
      <w:numPr>
        <w:numId w:val="15"/>
      </w:numPr>
      <w:tabs>
        <w:tab w:val="clear" w:pos="1560"/>
      </w:tabs>
      <w:ind w:left="0" w:firstLine="0"/>
    </w:pPr>
    <w:rPr>
      <w:rFonts w:eastAsia="Times New Roman"/>
      <w:lang w:val="fr-FR" w:eastAsia="en-GB"/>
    </w:rPr>
  </w:style>
  <w:style w:type="paragraph" w:customStyle="1" w:styleId="ListDash3">
    <w:name w:val="List Dash 3"/>
    <w:basedOn w:val="Normal"/>
    <w:pPr>
      <w:numPr>
        <w:numId w:val="10"/>
      </w:numPr>
      <w:tabs>
        <w:tab w:val="clear" w:pos="1134"/>
      </w:tabs>
      <w:ind w:left="0" w:firstLine="0"/>
    </w:pPr>
    <w:rPr>
      <w:rFonts w:eastAsia="Times New Roman"/>
      <w:lang w:val="fr-FR" w:eastAsia="en-GB"/>
    </w:rPr>
  </w:style>
  <w:style w:type="paragraph" w:customStyle="1" w:styleId="ListDash4">
    <w:name w:val="List Dash 4"/>
    <w:basedOn w:val="Normal"/>
    <w:pPr>
      <w:numPr>
        <w:numId w:val="11"/>
      </w:numPr>
      <w:tabs>
        <w:tab w:val="clear" w:pos="1134"/>
      </w:tabs>
      <w:ind w:left="0" w:firstLine="0"/>
    </w:pPr>
    <w:rPr>
      <w:rFonts w:eastAsia="Times New Roman"/>
      <w:lang w:val="fr-FR" w:eastAsia="en-GB"/>
    </w:rPr>
  </w:style>
  <w:style w:type="paragraph" w:customStyle="1" w:styleId="ListNumber1">
    <w:name w:val="List Number 1"/>
    <w:basedOn w:val="Text1"/>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spacing w:line="360" w:lineRule="auto"/>
    </w:pPr>
    <w:rPr>
      <w:rFonts w:eastAsia="Times New Roman"/>
      <w:lang w:eastAsia="en-GB"/>
    </w:rPr>
  </w:style>
  <w:style w:type="paragraph" w:customStyle="1" w:styleId="LegalNumPar3">
    <w:name w:val="LegalNumPar3"/>
    <w:basedOn w:val="Normal"/>
    <w:p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semiHidden/>
    <w:unhideWhenUsed/>
    <w:rPr>
      <w:szCs w:val="24"/>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892323">
      <w:bodyDiv w:val="1"/>
      <w:marLeft w:val="0"/>
      <w:marRight w:val="0"/>
      <w:marTop w:val="0"/>
      <w:marBottom w:val="0"/>
      <w:divBdr>
        <w:top w:val="none" w:sz="0" w:space="0" w:color="auto"/>
        <w:left w:val="none" w:sz="0" w:space="0" w:color="auto"/>
        <w:bottom w:val="none" w:sz="0" w:space="0" w:color="auto"/>
        <w:right w:val="none" w:sz="0" w:space="0" w:color="auto"/>
      </w:divBdr>
      <w:divsChild>
        <w:div w:id="919412564">
          <w:marLeft w:val="0"/>
          <w:marRight w:val="0"/>
          <w:marTop w:val="0"/>
          <w:marBottom w:val="0"/>
          <w:divBdr>
            <w:top w:val="none" w:sz="0" w:space="0" w:color="auto"/>
            <w:left w:val="none" w:sz="0" w:space="0" w:color="auto"/>
            <w:bottom w:val="none" w:sz="0" w:space="0" w:color="auto"/>
            <w:right w:val="none" w:sz="0" w:space="0" w:color="auto"/>
          </w:divBdr>
          <w:divsChild>
            <w:div w:id="146245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3630">
      <w:bodyDiv w:val="1"/>
      <w:marLeft w:val="0"/>
      <w:marRight w:val="0"/>
      <w:marTop w:val="0"/>
      <w:marBottom w:val="0"/>
      <w:divBdr>
        <w:top w:val="none" w:sz="0" w:space="0" w:color="auto"/>
        <w:left w:val="none" w:sz="0" w:space="0" w:color="auto"/>
        <w:bottom w:val="none" w:sz="0" w:space="0" w:color="auto"/>
        <w:right w:val="none" w:sz="0" w:space="0" w:color="auto"/>
      </w:divBdr>
      <w:divsChild>
        <w:div w:id="1654869868">
          <w:marLeft w:val="0"/>
          <w:marRight w:val="0"/>
          <w:marTop w:val="0"/>
          <w:marBottom w:val="0"/>
          <w:divBdr>
            <w:top w:val="none" w:sz="0" w:space="0" w:color="auto"/>
            <w:left w:val="none" w:sz="0" w:space="0" w:color="auto"/>
            <w:bottom w:val="none" w:sz="0" w:space="0" w:color="auto"/>
            <w:right w:val="none" w:sz="0" w:space="0" w:color="auto"/>
          </w:divBdr>
          <w:divsChild>
            <w:div w:id="17801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myintracomm.ec.europa.eu/corp/budget/financial-rules/budget-implementation/Pages/implementation-methods.asp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data.europa.eu/eli/reg/2024/903/oj"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commission.europa.eu/strategy-and-policy/priorities-2019-2024/europe-fit-digital-age/european-data-strategy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6ed46a-4164-40b6-a09a-3a2f9edb41ee" xsi:nil="true"/>
    <lcf76f155ced4ddcb4097134ff3c332f xmlns="1124f467-e8a7-4788-95b6-921cce7bcfa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5" ma:contentTypeDescription="Create a new document." ma:contentTypeScope="" ma:versionID="d2d9abab3cebe89fe5dd2e8d94d58fd6">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c26076bd0eafb82ec168a81109ad6a33"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a1b116a-30a4-40f1-8a52-9de2fc57386a}"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4F2A1-412F-4200-9DED-3C790A50D01D}">
  <ds:schemaRefs>
    <ds:schemaRef ds:uri="http://schemas.microsoft.com/sharepoint/v3/contenttype/forms"/>
  </ds:schemaRefs>
</ds:datastoreItem>
</file>

<file path=customXml/itemProps2.xml><?xml version="1.0" encoding="utf-8"?>
<ds:datastoreItem xmlns:ds="http://schemas.openxmlformats.org/officeDocument/2006/customXml" ds:itemID="{ED9B2E9C-F9D7-4994-8751-0A3A28D699BF}">
  <ds:schemaRefs>
    <ds:schemaRef ds:uri="http://schemas.microsoft.com/office/2006/metadata/properties"/>
    <ds:schemaRef ds:uri="http://schemas.microsoft.com/office/infopath/2007/PartnerControls"/>
    <ds:schemaRef ds:uri="d56ed46a-4164-40b6-a09a-3a2f9edb41ee"/>
    <ds:schemaRef ds:uri="1124f467-e8a7-4788-95b6-921cce7bcfae"/>
  </ds:schemaRefs>
</ds:datastoreItem>
</file>

<file path=customXml/itemProps3.xml><?xml version="1.0" encoding="utf-8"?>
<ds:datastoreItem xmlns:ds="http://schemas.openxmlformats.org/officeDocument/2006/customXml" ds:itemID="{4A5B7080-5F0A-46A0-B0EA-8CB419661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207</TotalTime>
  <Pages>16</Pages>
  <Words>6051</Words>
  <Characters>34491</Characters>
  <Application>Microsoft Office Word</Application>
  <DocSecurity>0</DocSecurity>
  <Lines>287</Lines>
  <Paragraphs>80</Paragraphs>
  <ScaleCrop>false</ScaleCrop>
  <Manager/>
  <Company/>
  <LinksUpToDate>false</LinksUpToDate>
  <CharactersWithSpaces>40462</CharactersWithSpaces>
  <SharedDoc>false</SharedDoc>
  <HLinks>
    <vt:vector size="30" baseType="variant">
      <vt:variant>
        <vt:i4>5439606</vt:i4>
      </vt:variant>
      <vt:variant>
        <vt:i4>9</vt:i4>
      </vt:variant>
      <vt:variant>
        <vt:i4>0</vt:i4>
      </vt:variant>
      <vt:variant>
        <vt:i4>5</vt:i4>
      </vt:variant>
      <vt:variant>
        <vt:lpwstr>https://commission.europa.eu/strategy-and-policy/priorities-2019-2024/europe-fit-digital-age/european-data-strategy_en</vt:lpwstr>
      </vt:variant>
      <vt:variant>
        <vt:lpwstr/>
      </vt:variant>
      <vt:variant>
        <vt:i4>4980764</vt:i4>
      </vt:variant>
      <vt:variant>
        <vt:i4>6</vt:i4>
      </vt:variant>
      <vt:variant>
        <vt:i4>0</vt:i4>
      </vt:variant>
      <vt:variant>
        <vt:i4>5</vt:i4>
      </vt:variant>
      <vt:variant>
        <vt:lpwstr>http://data.europa.eu/eli/reg/2024/903/oj</vt:lpwstr>
      </vt:variant>
      <vt:variant>
        <vt:lpwstr/>
      </vt:variant>
      <vt:variant>
        <vt:i4>458767</vt:i4>
      </vt:variant>
      <vt:variant>
        <vt:i4>3</vt:i4>
      </vt:variant>
      <vt:variant>
        <vt:i4>0</vt:i4>
      </vt:variant>
      <vt:variant>
        <vt:i4>5</vt:i4>
      </vt:variant>
      <vt:variant>
        <vt:lpwstr>https://myintracomm.ec.europa.eu/corp/budget/financial-rules/budget-implementation/Pages/financial-statement.aspx</vt:lpwstr>
      </vt:variant>
      <vt:variant>
        <vt:lpwstr/>
      </vt: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ariant>
        <vt:i4>7012459</vt:i4>
      </vt:variant>
      <vt:variant>
        <vt:i4>0</vt:i4>
      </vt:variant>
      <vt:variant>
        <vt:i4>0</vt:i4>
      </vt:variant>
      <vt:variant>
        <vt:i4>5</vt:i4>
      </vt:variant>
      <vt:variant>
        <vt:lpwstr>http://data.europa.eu/eli/reg/2023/2720/oj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52</cp:revision>
  <dcterms:created xsi:type="dcterms:W3CDTF">2026-07-06T07:55:00Z</dcterms:created>
  <dcterms:modified xsi:type="dcterms:W3CDTF">2026-09-08T07:04:00Z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2026-05-11T14:25:47Z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7ea6572f-c820-4616-95b3-05ed7a8f5009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0x010100F6429E421B7D0B4085855E79BFBD84D8</vt:lpwstr>
  </property>
  <property fmtid="{D5CDD505-2E9C-101B-9397-08002B2CF9AE}" pid="19" name="MediaServiceImageTags">
    <vt:lpwstr/>
  </property>
  <property fmtid="{D5CDD505-2E9C-101B-9397-08002B2CF9AE}" pid="20" name="DQCStatus">
    <vt:lpwstr>Green (DQC version 03)</vt:lpwstr>
  </property>
</Properties>
</file>