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DD06D5-D278-4C5F-8615-91ECEBFEB9D0" style="width:455.25pt;height:371.25pt">
            <v:imagedata r:id="rId10" o:title=""/>
          </v:shape>
        </w:pict>
      </w:r>
    </w:p>
    <w:p>
      <w:pPr>
        <w:rPr>
          <w:noProof/>
        </w:rPr>
        <w:sectPr>
          <w:footerReference w:type="even" r:id="rId11"/>
          <w:footerReference w:type="default" r:id="rId12"/>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Justification et objectifs de la proposition</w:t>
      </w:r>
    </w:p>
    <w:p>
      <w:pPr>
        <w:widowControl w:val="0"/>
        <w:shd w:val="clear" w:color="auto" w:fill="FFFFFF"/>
        <w:autoSpaceDE w:val="0"/>
        <w:autoSpaceDN w:val="0"/>
        <w:adjustRightInd w:val="0"/>
        <w:spacing w:before="230" w:after="0" w:line="269" w:lineRule="exact"/>
        <w:ind w:right="86"/>
        <w:rPr>
          <w:noProof/>
        </w:rPr>
      </w:pPr>
      <w:r>
        <w:rPr>
          <w:noProof/>
        </w:rPr>
        <w:t>Le règlement (UE) 2023/2720 du Conseil</w:t>
      </w:r>
      <w:r>
        <w:rPr>
          <w:rStyle w:val="FootnoteReference"/>
          <w:noProof/>
        </w:rPr>
        <w:footnoteReference w:id="1"/>
      </w:r>
      <w:r>
        <w:rPr>
          <w:noProof/>
        </w:rPr>
        <w:t xml:space="preserve"> portant ouverture et mode de gestion de contingents tarifaires autonomes de l’Union pour certains produits de la pêche pour la période 2024-2026 a été adopté le 27 novembre 2023. </w:t>
      </w:r>
    </w:p>
    <w:p>
      <w:pPr>
        <w:widowControl w:val="0"/>
        <w:shd w:val="clear" w:color="auto" w:fill="FFFFFF"/>
        <w:autoSpaceDE w:val="0"/>
        <w:autoSpaceDN w:val="0"/>
        <w:adjustRightInd w:val="0"/>
        <w:spacing w:before="230" w:after="0" w:line="269" w:lineRule="exact"/>
        <w:ind w:right="86"/>
        <w:rPr>
          <w:noProof/>
        </w:rPr>
      </w:pPr>
      <w:r>
        <w:rPr>
          <w:noProof/>
        </w:rPr>
        <w:t>L’objectif du règlement est de garantir la compétitivité du secteur de la transformation dans l’Union et d’éviter de mettre en péril la production de produits de la pêche de l’Union en assurant au secteur un approvisionnement adéquat en produits de la pêche. À cette fin, le règlement réduit ou suspend les droits à l’importation pour un certain nombre de produits de la pêche dans le cadre de contingents tarifaires représentant un volume approprié. Il définit également quelle opération de transformation («opération qualifiante») permet l’utilisation des contingents tarifaires et laquelle ne le permet pas.</w:t>
      </w:r>
    </w:p>
    <w:p>
      <w:pPr>
        <w:widowControl w:val="0"/>
        <w:shd w:val="clear" w:color="auto" w:fill="FFFFFF"/>
        <w:autoSpaceDE w:val="0"/>
        <w:autoSpaceDN w:val="0"/>
        <w:adjustRightInd w:val="0"/>
        <w:spacing w:before="230" w:after="0" w:line="269" w:lineRule="exact"/>
        <w:ind w:right="86"/>
        <w:rPr>
          <w:noProof/>
        </w:rPr>
      </w:pPr>
      <w:r>
        <w:rPr>
          <w:noProof/>
        </w:rPr>
        <w:t xml:space="preserve">La présente proposition de la Commission vise à prolonger d’un an la validité de l’actuel règlement sur les contingents tarifaires autonomes, afin de garantir la continuité et la prévisibilité du régime actuel des contingents tarifaires autonomes pendant que la Commission achève ses travaux sur une évaluation couplée à une analyse d’impact concernant l’introduction de critères de durabilité dans le régime des contingents tarifaires autonomes. Ces nouveaux critères accompagneront la proposition de la Commission relative à l’introduction de critères de durabilité (dont l’adoption est prévue pour le premier trimestre de 2027). </w:t>
      </w:r>
    </w:p>
    <w:p>
      <w:pPr>
        <w:widowControl w:val="0"/>
        <w:shd w:val="clear" w:color="auto" w:fill="FFFFFF"/>
        <w:autoSpaceDE w:val="0"/>
        <w:autoSpaceDN w:val="0"/>
        <w:adjustRightInd w:val="0"/>
        <w:spacing w:before="230" w:after="0" w:line="269" w:lineRule="exact"/>
        <w:ind w:right="86"/>
        <w:rPr>
          <w:noProof/>
        </w:rPr>
      </w:pPr>
      <w:r>
        <w:rPr>
          <w:noProof/>
        </w:rPr>
        <w:t>La prolongation d’un an proposée traduit la nécessité d’un délai supplémentaire pour garantir une transition appropriée vers tout cadre futur.</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color w:val="000000"/>
          <w:u w:color="000000"/>
          <w:bdr w:val="nil"/>
        </w:rPr>
        <w:tab/>
      </w:r>
      <w:r>
        <w:rPr>
          <w:noProof/>
        </w:rPr>
        <w:t>Cohérence avec les dispositions existantes dans le domaine d’action</w:t>
      </w:r>
    </w:p>
    <w:p>
      <w:pPr>
        <w:pBdr>
          <w:top w:val="nil"/>
          <w:left w:val="nil"/>
          <w:bottom w:val="nil"/>
          <w:right w:val="nil"/>
          <w:between w:val="nil"/>
          <w:bar w:val="nil"/>
        </w:pBdr>
        <w:spacing w:before="0" w:after="240"/>
        <w:rPr>
          <w:rFonts w:eastAsia="Times New Roman"/>
          <w:noProof/>
          <w:szCs w:val="20"/>
        </w:rPr>
      </w:pPr>
      <w:r>
        <w:rPr>
          <w:noProof/>
        </w:rPr>
        <w:t>La proposition est cohérente avec la politique de l’UE visant à garantir un approvisionnement adéquat en produits de la pêche pour son industrie de transformation. Le régime des contingents tarifaires autonomes est un instrument de longue date s’inscrivant dans le cadre de la politique commerciale et de la politique de la pêche de l’UE. Il permet de suspendre ou de réduire les droits à l’importation sur des produits de la pêche spécifiques afin de faciliter l’accès de l’industrie de transformation de l’UE aux matières premières et aux produits semi-finis qui ne sont pas disponibles dans l’UE en quantités suffisantes.</w:t>
      </w:r>
    </w:p>
    <w:p>
      <w:pPr>
        <w:pBdr>
          <w:top w:val="nil"/>
          <w:left w:val="nil"/>
          <w:bottom w:val="nil"/>
          <w:right w:val="nil"/>
          <w:between w:val="nil"/>
          <w:bar w:val="nil"/>
        </w:pBdr>
        <w:spacing w:before="0" w:after="240"/>
        <w:rPr>
          <w:rFonts w:eastAsia="Times New Roman"/>
          <w:noProof/>
          <w:szCs w:val="20"/>
          <w:lang w:eastAsia="en-IE"/>
        </w:rPr>
      </w:pP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autres politiques de l’Union</w:t>
      </w:r>
    </w:p>
    <w:p>
      <w:pPr>
        <w:pBdr>
          <w:top w:val="nil"/>
          <w:left w:val="nil"/>
          <w:bottom w:val="nil"/>
          <w:right w:val="nil"/>
          <w:between w:val="nil"/>
          <w:bar w:val="nil"/>
        </w:pBdr>
        <w:spacing w:before="0" w:after="240"/>
        <w:rPr>
          <w:rFonts w:eastAsia="Times New Roman"/>
          <w:noProof/>
          <w:szCs w:val="20"/>
        </w:rPr>
      </w:pPr>
      <w:r>
        <w:rPr>
          <w:noProof/>
        </w:rPr>
        <w:t>La proposition est cohérente avec la politique de l’UE en matière de contingents autonomes, qui permet de suspendre ou de réduire les droits à l’importation sur des produits de la pêche spécifiques afin de faciliter l’accès de l’industrie de transformation de l’UE aux matières premières et aux produits semi-finis qui ne sont pas disponibles dans l’UE en quantités suffisantes.</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lastRenderedPageBreak/>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u w:color="000000"/>
          <w:bdr w:val="nil"/>
        </w:rPr>
        <w:tab/>
        <w:t>Base juridique</w:t>
      </w:r>
    </w:p>
    <w:p>
      <w:pPr>
        <w:pBdr>
          <w:top w:val="nil"/>
          <w:left w:val="nil"/>
          <w:bottom w:val="nil"/>
          <w:right w:val="nil"/>
          <w:between w:val="nil"/>
          <w:bar w:val="nil"/>
        </w:pBdr>
        <w:spacing w:before="0" w:after="240"/>
        <w:rPr>
          <w:rFonts w:eastAsia="Arial Unicode MS"/>
          <w:noProof/>
        </w:rPr>
      </w:pPr>
      <w:r>
        <w:rPr>
          <w:noProof/>
        </w:rPr>
        <w:t>Article 31 du TFUE – Tarif douanier commun.</w:t>
      </w:r>
    </w:p>
    <w:p>
      <w:pPr>
        <w:pStyle w:val="ManualHeading2"/>
        <w:rPr>
          <w:rFonts w:eastAsia="Arial Unicode MS"/>
          <w:noProof/>
          <w:u w:color="000000"/>
          <w:bdr w:val="nil"/>
        </w:rPr>
      </w:pPr>
      <w:r>
        <w:rPr>
          <w:noProof/>
          <w:u w:color="000000"/>
          <w:bdr w:val="nil"/>
        </w:rPr>
        <w:t>•</w:t>
      </w:r>
      <w:r>
        <w:rPr>
          <w:noProof/>
          <w:u w:color="000000"/>
          <w:bdr w:val="nil"/>
        </w:rPr>
        <w:tab/>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Les droits du tarif douanier commun relèvent de la compétence exclusive de l’Union. Le principe de subsidiarité ne s’applique donc pas à ces dispositions.</w:t>
      </w:r>
    </w:p>
    <w:p>
      <w:pPr>
        <w:pStyle w:val="ManualHeading2"/>
        <w:rPr>
          <w:rFonts w:eastAsia="Arial Unicode MS"/>
          <w:noProof/>
          <w:u w:color="000000"/>
          <w:bdr w:val="nil"/>
        </w:rPr>
      </w:pPr>
      <w:r>
        <w:rPr>
          <w:noProof/>
          <w:u w:color="000000"/>
          <w:bdr w:val="nil"/>
        </w:rPr>
        <w:t>•</w:t>
      </w:r>
      <w:r>
        <w:rPr>
          <w:noProof/>
          <w:u w:color="000000"/>
          <w:bdr w:val="nil"/>
        </w:rPr>
        <w:tab/>
        <w:t>Proportionnalité</w:t>
      </w:r>
    </w:p>
    <w:p>
      <w:pPr>
        <w:pBdr>
          <w:top w:val="nil"/>
          <w:left w:val="nil"/>
          <w:bottom w:val="nil"/>
          <w:right w:val="nil"/>
          <w:between w:val="nil"/>
          <w:bar w:val="nil"/>
        </w:pBdr>
        <w:spacing w:before="0" w:after="240"/>
        <w:rPr>
          <w:noProof/>
        </w:rPr>
      </w:pPr>
      <w:r>
        <w:rPr>
          <w:noProof/>
        </w:rPr>
        <w:t>La proposition est proportionnée car, pour chaque produit, seul un volume contingentaire peut être exonéré des droits de douane, pour une période limitée. Elle est adaptée à la réalisation de l’objectif d’approvisionnement en franchise de droits du marché de l’UE en matières premières issues de la pêche (transformateurs de produits de la mer et consommateurs de l’UE). Elle n’excède pas ce qui est nécessaire pour atteindre les objectifs recherchés.</w:t>
      </w:r>
    </w:p>
    <w:p>
      <w:pPr>
        <w:pStyle w:val="ManualHeading2"/>
        <w:rPr>
          <w:rFonts w:eastAsia="Arial Unicode MS"/>
          <w:noProof/>
          <w:u w:color="000000"/>
          <w:bdr w:val="nil"/>
        </w:rPr>
      </w:pPr>
      <w:r>
        <w:rPr>
          <w:noProof/>
          <w:u w:color="000000"/>
          <w:bdr w:val="nil"/>
        </w:rPr>
        <w:t>•</w:t>
      </w:r>
      <w:r>
        <w:rPr>
          <w:noProof/>
          <w:u w:color="000000"/>
          <w:bdr w:val="nil"/>
        </w:rPr>
        <w:tab/>
        <w:t>Choix de l’instrument</w:t>
      </w:r>
    </w:p>
    <w:p>
      <w:pPr>
        <w:pBdr>
          <w:top w:val="nil"/>
          <w:left w:val="nil"/>
          <w:bottom w:val="nil"/>
          <w:right w:val="nil"/>
          <w:between w:val="nil"/>
          <w:bar w:val="nil"/>
        </w:pBdr>
        <w:spacing w:before="0" w:after="240"/>
        <w:rPr>
          <w:noProof/>
        </w:rPr>
      </w:pPr>
      <w:r>
        <w:rPr>
          <w:noProof/>
        </w:rPr>
        <w:t>Un règlement du Conseil est proposé afin de modifier le règlement (UE) 2023/2720 du Conseil en vigueur.</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u w:color="000000"/>
          <w:bdr w:val="nil"/>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Consultation des parties intéressées</w:t>
      </w:r>
    </w:p>
    <w:p>
      <w:pPr>
        <w:pBdr>
          <w:top w:val="nil"/>
          <w:left w:val="nil"/>
          <w:bottom w:val="nil"/>
          <w:right w:val="nil"/>
          <w:between w:val="nil"/>
          <w:bar w:val="nil"/>
        </w:pBdr>
        <w:spacing w:before="0" w:after="240"/>
        <w:rPr>
          <w:rFonts w:eastAsia="Arial Unicode MS"/>
          <w:noProof/>
        </w:rPr>
      </w:pPr>
      <w:r>
        <w:rPr>
          <w:noProof/>
        </w:rPr>
        <w:t>Il n’y a pas eu de consultation des parties intéressées. La proposition maintient le statu quo du règlement actuellement en vigueur, qui a fait l’objet d’une vaste consultation des parties intéressées en 2023.</w:t>
      </w:r>
    </w:p>
    <w:p>
      <w:pPr>
        <w:pStyle w:val="ManualHeading2"/>
        <w:rPr>
          <w:rFonts w:eastAsia="Arial Unicode MS"/>
          <w:noProof/>
          <w:u w:color="000000"/>
          <w:bdr w:val="nil"/>
        </w:rPr>
      </w:pPr>
      <w:r>
        <w:rPr>
          <w:noProof/>
          <w:u w:color="000000"/>
          <w:bdr w:val="nil"/>
        </w:rPr>
        <w:t>•</w:t>
      </w:r>
      <w:r>
        <w:rPr>
          <w:noProof/>
          <w:u w:color="000000"/>
          <w:bdr w:val="nil"/>
        </w:rPr>
        <w:tab/>
        <w:t>Obtention et utilisation d’expertise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Analyse d’impact</w:t>
      </w:r>
    </w:p>
    <w:p>
      <w:pPr>
        <w:pBdr>
          <w:top w:val="nil"/>
          <w:left w:val="nil"/>
          <w:bottom w:val="nil"/>
          <w:right w:val="nil"/>
          <w:between w:val="nil"/>
          <w:bar w:val="nil"/>
        </w:pBdr>
        <w:spacing w:before="0" w:after="240"/>
        <w:rPr>
          <w:rFonts w:eastAsia="Arial Unicode MS"/>
          <w:noProof/>
        </w:rPr>
      </w:pPr>
      <w:r>
        <w:rPr>
          <w:noProof/>
        </w:rPr>
        <w:t xml:space="preserve">La proposition modifie la période de validité du règlement actuel, qui expire à la fin de 2026; il n’est donc pas nécessaire de procéder à une analyse d’impact. Toutefois, en vue d’établir des critères de durabilité qui s’appliqueraient à l’importation de produits de la pêche dans l’Union, une analyse d’impact est en cours concernant l’introduction éventuelle de tels critères dans les préférences autonomes pour certains produits de la pêche. </w:t>
      </w:r>
    </w:p>
    <w:p>
      <w:pPr>
        <w:pStyle w:val="ManualHeading2"/>
        <w:rPr>
          <w:rFonts w:eastAsia="Arial Unicode MS"/>
          <w:noProof/>
          <w:u w:color="000000"/>
          <w:bdr w:val="nil"/>
        </w:rPr>
      </w:pPr>
      <w:r>
        <w:rPr>
          <w:noProof/>
          <w:u w:color="000000"/>
          <w:bdr w:val="nil"/>
        </w:rPr>
        <w:t>•</w:t>
      </w:r>
      <w:r>
        <w:rPr>
          <w:noProof/>
          <w:u w:color="000000"/>
          <w:bdr w:val="nil"/>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Droits fondamentaux</w:t>
      </w:r>
    </w:p>
    <w:p>
      <w:pPr>
        <w:pBdr>
          <w:top w:val="nil"/>
          <w:left w:val="nil"/>
          <w:bottom w:val="nil"/>
          <w:right w:val="nil"/>
          <w:between w:val="nil"/>
          <w:bar w:val="nil"/>
        </w:pBdr>
        <w:spacing w:before="0" w:after="240"/>
        <w:rPr>
          <w:noProof/>
        </w:rPr>
      </w:pPr>
      <w:r>
        <w:rPr>
          <w:noProof/>
        </w:rPr>
        <w:t>Sans objet.</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proposition n’a pas d’incidence budgétaire pour la Commission. Toutefois, la proposition a une incidence budgétaire sur les recettes de l’UE en raison de la perte de droits de douane qui auraient été perçus sur les produits importés, comme expliqué dans la fiche financière législative.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u w:color="000000"/>
          <w:bdr w:val="nil"/>
        </w:rPr>
        <w:tab/>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u w:color="000000"/>
          <w:bdr w:val="nil"/>
        </w:rPr>
        <w:tab/>
        <w:t>Explication détaillée de certaines dispositions de la proposition</w:t>
      </w:r>
    </w:p>
    <w:p>
      <w:pPr>
        <w:pBdr>
          <w:top w:val="nil"/>
          <w:left w:val="nil"/>
          <w:bottom w:val="nil"/>
          <w:right w:val="nil"/>
          <w:between w:val="nil"/>
          <w:bar w:val="nil"/>
        </w:pBdr>
        <w:spacing w:before="0" w:after="240"/>
        <w:rPr>
          <w:rFonts w:eastAsia="Arial Unicode MS"/>
          <w:noProof/>
        </w:rPr>
      </w:pPr>
      <w:r>
        <w:rPr>
          <w:noProof/>
        </w:rPr>
        <w:t>La proposition modifie la période de validité du règlement (UE) 2023/2720 du Conseil et prolonge la validité des contingents fixée dans ce règlement jusqu’au 31 décembre 2027, délai nécessaire pour achever l’analyse d’impact du régime des contingents tarifaires autonomes et adopter une nouvelle proposition comprenant des exigences en matière de durabilité.</w:t>
      </w: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2026/0252 (NLE)</w:t>
      </w:r>
    </w:p>
    <w:p>
      <w:pPr>
        <w:pStyle w:val="Statut"/>
        <w:rPr>
          <w:noProof/>
        </w:rPr>
      </w:pPr>
      <w:r>
        <w:rPr>
          <w:noProof/>
        </w:rPr>
        <w:t>Proposition de</w:t>
      </w:r>
    </w:p>
    <w:p>
      <w:pPr>
        <w:pStyle w:val="Typedudocument"/>
        <w:rPr>
          <w:noProof/>
        </w:rPr>
      </w:pPr>
      <w:r>
        <w:rPr>
          <w:noProof/>
        </w:rPr>
        <w:t>RÈGLEMENT DU CONSEIL</w:t>
      </w:r>
    </w:p>
    <w:p>
      <w:pPr>
        <w:pStyle w:val="Titreobjet"/>
        <w:rPr>
          <w:noProof/>
        </w:rPr>
      </w:pPr>
      <w:r>
        <w:rPr>
          <w:noProof/>
        </w:rPr>
        <w:t>modifiant le règlement (UE) 2023/2720 du Conseil portant ouverture et mode de gestion de contingents tarifaires autonomes de l’Union pour certains produits de la pêche pour la période 2024-2026</w:t>
      </w:r>
    </w:p>
    <w:p>
      <w:pPr>
        <w:pStyle w:val="IntrtEEE"/>
        <w:rPr>
          <w:noProof/>
        </w:rPr>
      </w:pPr>
      <w:r>
        <w:rPr>
          <w:noProof/>
        </w:rPr>
        <w:t>(Texte présentant de l’intérêt pour l’EEE)</w:t>
      </w:r>
    </w:p>
    <w:p>
      <w:pPr>
        <w:pStyle w:val="Institutionquiagit"/>
        <w:rPr>
          <w:noProof/>
        </w:rPr>
      </w:pPr>
      <w:r>
        <w:rPr>
          <w:noProof/>
        </w:rPr>
        <w:t>LE CONSEIL DE L’UNION EUROPÉENNE,</w:t>
      </w:r>
    </w:p>
    <w:p>
      <w:pPr>
        <w:rPr>
          <w:noProof/>
        </w:rPr>
      </w:pPr>
      <w:r>
        <w:rPr>
          <w:noProof/>
        </w:rPr>
        <w:t>vu le traité sur le fonctionnement de l’Union européenne, et notamment son article 31,</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Le règlement (UE) 2023/2720 du Conseil</w:t>
      </w:r>
      <w:r>
        <w:rPr>
          <w:rStyle w:val="FootnoteReference"/>
          <w:noProof/>
        </w:rPr>
        <w:footnoteReference w:id="2"/>
      </w:r>
      <w:r>
        <w:rPr>
          <w:noProof/>
        </w:rPr>
        <w:t xml:space="preserve"> ouvre des contingents tarifaires autonomes de l’Union pour certains produits de la pêche pour la période 2024-2026 et en établit le mode de gestion. Ce règlement réduit ou suspend les droits à l’importation pour un certain nombre de produits de la pêche dans le cadre de contingents tarifaires représentant un volume approprié. Des volumes appropriés ont été déterminés pour chaque contingent tarifaire en vue d’assurer au secteur concerné de l’Union un approvisionnement suffisant pour cette période. Le règlement définit également les opérations de transformation qui permettent d’utiliser les contingents tarifaires.</w:t>
      </w:r>
    </w:p>
    <w:p>
      <w:pPr>
        <w:pStyle w:val="ManualConsidrant"/>
        <w:rPr>
          <w:noProof/>
        </w:rPr>
      </w:pPr>
      <w:r>
        <w:rPr>
          <w:noProof/>
        </w:rPr>
        <w:t>(2)</w:t>
      </w:r>
      <w:r>
        <w:rPr>
          <w:noProof/>
        </w:rPr>
        <w:tab/>
        <w:t>La proposition de nouveau règlement sur les contingents tarifaires autonomes en vue de l’application des préférences tarifaires autonomes pour la prochaine période est toujours en cours de finalisation en raison de l’intégration de conditions de durabilité visant à traduire les engagements de l’Union européenne en matière de durabilité dans le régime des contingents tarifaires autonomes.</w:t>
      </w:r>
    </w:p>
    <w:p>
      <w:pPr>
        <w:pStyle w:val="ManualConsidrant"/>
        <w:rPr>
          <w:noProof/>
        </w:rPr>
      </w:pPr>
      <w:r>
        <w:rPr>
          <w:noProof/>
        </w:rPr>
        <w:t>(3)</w:t>
      </w:r>
      <w:r>
        <w:rPr>
          <w:noProof/>
        </w:rPr>
        <w:tab/>
        <w:t>Afin d’éviter une interruption de l’approvisionnement de l’Union européenne en produits de la pêche en franchise de droits, il est nécessaire de prolonger la validité du règlement actuel jusqu’à la fin de 2027, le temps nécessaire pour permettre l’adoption de la nouvelle proposition,</w:t>
      </w:r>
    </w:p>
    <w:p>
      <w:pPr>
        <w:pStyle w:val="Formuledadoption"/>
        <w:rPr>
          <w:noProof/>
        </w:rPr>
      </w:pPr>
      <w:r>
        <w:rPr>
          <w:noProof/>
        </w:rPr>
        <w:t>A ADOPTÉ LE PRÉSENT RÈGLEMENT:</w:t>
      </w:r>
    </w:p>
    <w:p>
      <w:pPr>
        <w:pStyle w:val="Titrearticle"/>
        <w:rPr>
          <w:noProof/>
        </w:rPr>
      </w:pPr>
      <w:r>
        <w:rPr>
          <w:noProof/>
        </w:rPr>
        <w:t>Article premier</w:t>
      </w:r>
    </w:p>
    <w:p>
      <w:pPr>
        <w:rPr>
          <w:noProof/>
        </w:rPr>
      </w:pPr>
      <w:r>
        <w:rPr>
          <w:noProof/>
        </w:rPr>
        <w:t>L’article 6 du règlement (UE) 2023/2720 est modifié comme suit:</w:t>
      </w:r>
    </w:p>
    <w:p>
      <w:pPr>
        <w:rPr>
          <w:noProof/>
        </w:rPr>
      </w:pPr>
      <w:r>
        <w:rPr>
          <w:noProof/>
        </w:rPr>
        <w:tab/>
      </w:r>
      <w:r>
        <w:rPr>
          <w:noProof/>
        </w:rPr>
        <w:tab/>
      </w:r>
      <w:r>
        <w:rPr>
          <w:noProof/>
        </w:rPr>
        <w:tab/>
      </w:r>
      <w:r>
        <w:rPr>
          <w:noProof/>
        </w:rPr>
        <w:tab/>
        <w:t>«Article 6</w:t>
      </w:r>
    </w:p>
    <w:p>
      <w:pPr>
        <w:rPr>
          <w:noProof/>
        </w:rPr>
      </w:pPr>
      <w:r>
        <w:rPr>
          <w:noProof/>
        </w:rPr>
        <w:t xml:space="preserve">Le présent règlement entre en vigueur le vingtième jour suivant celui de sa publication au </w:t>
      </w:r>
      <w:r>
        <w:rPr>
          <w:i/>
          <w:iCs/>
          <w:noProof/>
        </w:rPr>
        <w:t>Journal officiel de l’Union européenne</w:t>
      </w:r>
      <w:r>
        <w:rPr>
          <w:noProof/>
        </w:rPr>
        <w:t>.</w:t>
      </w:r>
    </w:p>
    <w:p>
      <w:pPr>
        <w:rPr>
          <w:noProof/>
        </w:rPr>
      </w:pPr>
      <w:r>
        <w:rPr>
          <w:noProof/>
        </w:rPr>
        <w:t>Il est applicable du 1</w:t>
      </w:r>
      <w:r>
        <w:rPr>
          <w:noProof/>
          <w:vertAlign w:val="superscript"/>
        </w:rPr>
        <w:t>er</w:t>
      </w:r>
      <w:r>
        <w:rPr>
          <w:noProof/>
        </w:rPr>
        <w:t> janvier 2024 au 31 décembre 2027.</w:t>
      </w:r>
    </w:p>
    <w:p>
      <w:pPr>
        <w:rPr>
          <w:noProof/>
        </w:rPr>
      </w:pPr>
      <w:r>
        <w:rPr>
          <w:noProof/>
        </w:rPr>
        <w:t>Le présent règlement est obligatoire dans tous ses éléments et directement applicable dans tout État membre.»</w:t>
      </w:r>
    </w:p>
    <w:p>
      <w:pPr>
        <w:pStyle w:val="Titrearticle"/>
        <w:rPr>
          <w:noProof/>
        </w:rPr>
      </w:pPr>
      <w:r>
        <w:rPr>
          <w:noProof/>
        </w:rPr>
        <w:t>Article 2</w:t>
      </w:r>
    </w:p>
    <w:p>
      <w:pPr>
        <w:rPr>
          <w:noProof/>
        </w:rPr>
      </w:pPr>
      <w:r>
        <w:rPr>
          <w:noProof/>
        </w:rPr>
        <w:t>L’annexe du règlement (UE) 2023/2720 est modifiée comme suit:</w:t>
      </w:r>
    </w:p>
    <w:p>
      <w:pPr>
        <w:rPr>
          <w:i/>
          <w:iCs/>
          <w:noProof/>
        </w:rPr>
      </w:pPr>
      <w:r>
        <w:rPr>
          <w:noProof/>
        </w:rPr>
        <w:t xml:space="preserve">Dans la colonne «Période contingentaire» du tableau figurant à l’annexe du règlement (UE) 2023/2720, toutes les périodes de validité des contingents libellées «1.1.2024-31.12.2026» sont remplacées par les périodes de validité suivantes: </w:t>
      </w:r>
      <w:r>
        <w:rPr>
          <w:i/>
          <w:noProof/>
        </w:rPr>
        <w:t>«1.1.2024-31.12.2027».</w:t>
      </w:r>
    </w:p>
    <w:p>
      <w:pPr>
        <w:pStyle w:val="Titrearticle"/>
        <w:rPr>
          <w:noProof/>
        </w:rPr>
      </w:pPr>
      <w:r>
        <w:rPr>
          <w:noProof/>
        </w:rPr>
        <w:t>Article 3</w:t>
      </w:r>
    </w:p>
    <w:p>
      <w:pPr>
        <w:rPr>
          <w:noProof/>
        </w:rPr>
      </w:pPr>
      <w:r>
        <w:rPr>
          <w:noProof/>
        </w:rPr>
        <w:t xml:space="preserve">Le présent règlement entre en vigueur le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FICHE FINANCIÈRE ET NUMÉRIQUE LÉGISLATIVE</w:t>
      </w:r>
    </w:p>
    <w:p>
      <w:pPr>
        <w:pStyle w:val="TOC1"/>
        <w:rPr>
          <w:rFonts w:asciiTheme="minorHAnsi" w:eastAsiaTheme="minorEastAsia" w:hAnsiTheme="minorHAnsi" w:cstheme="minorBidi"/>
          <w:noProof/>
          <w:kern w:val="2"/>
          <w:sz w:val="22"/>
          <w14:ligatures w14:val="standardContextual"/>
        </w:rPr>
      </w:pPr>
      <w:r>
        <w:rPr>
          <w:noProof/>
        </w:rPr>
        <w:t>1.</w:t>
      </w:r>
      <w:r>
        <w:rPr>
          <w:rFonts w:asciiTheme="minorHAnsi" w:hAnsiTheme="minorHAnsi"/>
          <w:noProof/>
          <w:sz w:val="22"/>
        </w:rPr>
        <w:tab/>
      </w:r>
      <w:r>
        <w:rPr>
          <w:noProof/>
        </w:rPr>
        <w:t>CADRE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1.1.</w:t>
      </w:r>
      <w:r>
        <w:rPr>
          <w:rFonts w:asciiTheme="minorHAnsi" w:hAnsiTheme="minorHAnsi"/>
          <w:noProof/>
          <w:sz w:val="22"/>
        </w:rPr>
        <w:tab/>
      </w:r>
      <w:r>
        <w:rPr>
          <w:noProof/>
        </w:rPr>
        <w:t>Dénomination de la proposition/de l’initiative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1.2.</w:t>
      </w:r>
      <w:r>
        <w:rPr>
          <w:rFonts w:asciiTheme="minorHAnsi" w:hAnsiTheme="minorHAnsi"/>
          <w:noProof/>
          <w:sz w:val="22"/>
        </w:rPr>
        <w:tab/>
      </w:r>
      <w:r>
        <w:rPr>
          <w:noProof/>
        </w:rPr>
        <w:t>Domaine(s) politique(s) concerné(s)</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1.3.</w:t>
      </w:r>
      <w:r>
        <w:rPr>
          <w:rFonts w:asciiTheme="minorHAnsi" w:hAnsiTheme="minorHAnsi"/>
          <w:noProof/>
          <w:sz w:val="22"/>
        </w:rPr>
        <w:tab/>
      </w:r>
      <w:r>
        <w:rPr>
          <w:noProof/>
        </w:rPr>
        <w:t>Objectif(s)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1.3.1.</w:t>
      </w:r>
      <w:r>
        <w:rPr>
          <w:rFonts w:asciiTheme="minorHAnsi" w:hAnsiTheme="minorHAnsi"/>
          <w:noProof/>
          <w:sz w:val="22"/>
        </w:rPr>
        <w:tab/>
      </w:r>
      <w:r>
        <w:rPr>
          <w:noProof/>
        </w:rPr>
        <w:t>Objectif général/objectifs généraux</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1.3.2.</w:t>
      </w:r>
      <w:r>
        <w:rPr>
          <w:rFonts w:asciiTheme="minorHAnsi" w:hAnsiTheme="minorHAnsi"/>
          <w:noProof/>
          <w:sz w:val="22"/>
        </w:rPr>
        <w:tab/>
      </w:r>
      <w:r>
        <w:rPr>
          <w:noProof/>
        </w:rPr>
        <w:t>Objectif(s) spécifique(s)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1.3.3.</w:t>
      </w:r>
      <w:r>
        <w:rPr>
          <w:rFonts w:asciiTheme="minorHAnsi" w:hAnsiTheme="minorHAnsi"/>
          <w:noProof/>
          <w:sz w:val="22"/>
        </w:rPr>
        <w:tab/>
      </w:r>
      <w:r>
        <w:rPr>
          <w:noProof/>
        </w:rPr>
        <w:t>Résultat(s) et incidence(s) attendus</w:t>
      </w:r>
      <w:r>
        <w:rPr>
          <w:noProof/>
          <w:webHidden/>
        </w:rPr>
        <w:tab/>
        <w:t>3</w:t>
      </w:r>
    </w:p>
    <w:p>
      <w:pPr>
        <w:pStyle w:val="TOC3"/>
        <w:rPr>
          <w:rFonts w:asciiTheme="minorHAnsi" w:eastAsiaTheme="minorEastAsia" w:hAnsiTheme="minorHAnsi" w:cstheme="minorBidi"/>
          <w:noProof/>
          <w:kern w:val="2"/>
          <w:sz w:val="22"/>
          <w14:ligatures w14:val="standardContextual"/>
        </w:rPr>
      </w:pPr>
      <w:r>
        <w:rPr>
          <w:noProof/>
        </w:rPr>
        <w:t>1.3.4.</w:t>
      </w:r>
      <w:r>
        <w:rPr>
          <w:rFonts w:asciiTheme="minorHAnsi" w:hAnsiTheme="minorHAnsi"/>
          <w:noProof/>
          <w:sz w:val="22"/>
        </w:rPr>
        <w:tab/>
      </w:r>
      <w:r>
        <w:rPr>
          <w:noProof/>
        </w:rPr>
        <w:t>Indicateurs de performance</w:t>
      </w:r>
      <w:r>
        <w:rPr>
          <w:noProof/>
          <w:webHidden/>
        </w:rPr>
        <w:tab/>
        <w:t>3</w:t>
      </w:r>
    </w:p>
    <w:p>
      <w:pPr>
        <w:pStyle w:val="TOC2"/>
        <w:rPr>
          <w:rFonts w:asciiTheme="minorHAnsi" w:eastAsiaTheme="minorEastAsia" w:hAnsiTheme="minorHAnsi" w:cstheme="minorBidi"/>
          <w:noProof/>
          <w:kern w:val="2"/>
          <w:sz w:val="22"/>
          <w14:ligatures w14:val="standardContextual"/>
        </w:rPr>
      </w:pPr>
      <w:r>
        <w:rPr>
          <w:noProof/>
        </w:rPr>
        <w:t>1.4.</w:t>
      </w:r>
      <w:r>
        <w:rPr>
          <w:rFonts w:asciiTheme="minorHAnsi" w:hAnsiTheme="minorHAnsi"/>
          <w:noProof/>
          <w:sz w:val="22"/>
        </w:rPr>
        <w:tab/>
      </w:r>
      <w:r>
        <w:rPr>
          <w:noProof/>
        </w:rPr>
        <w:t>La proposition/l’initiative porte sur:</w:t>
      </w:r>
      <w:r>
        <w:rPr>
          <w:noProof/>
          <w:webHidden/>
        </w:rPr>
        <w:tab/>
        <w:t>4</w:t>
      </w:r>
    </w:p>
    <w:p>
      <w:pPr>
        <w:pStyle w:val="TOC2"/>
        <w:rPr>
          <w:rFonts w:asciiTheme="minorHAnsi" w:eastAsiaTheme="minorEastAsia" w:hAnsiTheme="minorHAnsi" w:cstheme="minorBidi"/>
          <w:noProof/>
          <w:kern w:val="2"/>
          <w:sz w:val="22"/>
          <w14:ligatures w14:val="standardContextual"/>
        </w:rPr>
      </w:pPr>
      <w:r>
        <w:rPr>
          <w:noProof/>
        </w:rPr>
        <w:t>1.5.</w:t>
      </w:r>
      <w:r>
        <w:rPr>
          <w:rFonts w:asciiTheme="minorHAnsi" w:hAnsiTheme="minorHAnsi"/>
          <w:noProof/>
          <w:sz w:val="22"/>
        </w:rPr>
        <w:tab/>
      </w:r>
      <w:r>
        <w:rPr>
          <w:noProof/>
        </w:rPr>
        <w:t>Justification(s) de la proposition/de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1.5.1.</w:t>
      </w:r>
      <w:r>
        <w:rPr>
          <w:rFonts w:asciiTheme="minorHAnsi" w:hAnsiTheme="minorHAnsi"/>
          <w:noProof/>
          <w:sz w:val="22"/>
        </w:rPr>
        <w:tab/>
      </w:r>
      <w:r>
        <w:rPr>
          <w:noProof/>
        </w:rPr>
        <w:t>Besoin(s) à satisfaire à court ou à long terme, assorti(s) d’un calendrier détaillé pour la mise en œuvre de l’initiative</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1.5.2.</w:t>
      </w:r>
      <w:r>
        <w:rPr>
          <w:rFonts w:asciiTheme="minorHAnsi" w:hAnsiTheme="minorHAnsi"/>
          <w:noProof/>
          <w:sz w:val="22"/>
        </w:rPr>
        <w:tab/>
      </w:r>
      <w:r>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1.5.3.</w:t>
      </w:r>
      <w:r>
        <w:rPr>
          <w:rFonts w:asciiTheme="minorHAnsi" w:hAnsiTheme="minorHAnsi"/>
          <w:noProof/>
          <w:sz w:val="22"/>
        </w:rPr>
        <w:tab/>
      </w:r>
      <w:r>
        <w:rPr>
          <w:noProof/>
        </w:rPr>
        <w:t>Leçons tirées d’expériences similaires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1.5.4.</w:t>
      </w:r>
      <w:r>
        <w:rPr>
          <w:rFonts w:asciiTheme="minorHAnsi" w:hAnsiTheme="minorHAnsi"/>
          <w:noProof/>
          <w:sz w:val="22"/>
        </w:rPr>
        <w:tab/>
      </w:r>
      <w:r>
        <w:rPr>
          <w:noProof/>
        </w:rPr>
        <w:t>Compatibilité avec le cadre financier pluriannuel et synergies éventuelles avec d’autres instruments appropriés</w:t>
      </w:r>
      <w:r>
        <w:rPr>
          <w:noProof/>
          <w:webHidden/>
        </w:rPr>
        <w:tab/>
        <w:t>4</w:t>
      </w:r>
    </w:p>
    <w:p>
      <w:pPr>
        <w:pStyle w:val="TOC3"/>
        <w:rPr>
          <w:rFonts w:asciiTheme="minorHAnsi" w:eastAsiaTheme="minorEastAsia" w:hAnsiTheme="minorHAnsi" w:cstheme="minorBidi"/>
          <w:noProof/>
          <w:kern w:val="2"/>
          <w:sz w:val="22"/>
          <w14:ligatures w14:val="standardContextual"/>
        </w:rPr>
      </w:pPr>
      <w:r>
        <w:rPr>
          <w:noProof/>
        </w:rPr>
        <w:t>1.5.5.</w:t>
      </w:r>
      <w:r>
        <w:rPr>
          <w:rFonts w:asciiTheme="minorHAnsi" w:hAnsiTheme="minorHAnsi"/>
          <w:noProof/>
          <w:sz w:val="22"/>
        </w:rPr>
        <w:tab/>
      </w:r>
      <w:r>
        <w:rPr>
          <w:noProof/>
        </w:rPr>
        <w:t>Évaluation des différentes possibilités de financement disponibles, y compris des possibilités de redéploiement</w:t>
      </w:r>
      <w:r>
        <w:rPr>
          <w:noProof/>
          <w:webHidden/>
        </w:rPr>
        <w:tab/>
        <w:t>5</w:t>
      </w:r>
    </w:p>
    <w:p>
      <w:pPr>
        <w:pStyle w:val="TOC2"/>
        <w:rPr>
          <w:rFonts w:asciiTheme="minorHAnsi" w:eastAsiaTheme="minorEastAsia" w:hAnsiTheme="minorHAnsi" w:cstheme="minorBidi"/>
          <w:noProof/>
          <w:kern w:val="2"/>
          <w:sz w:val="22"/>
          <w14:ligatures w14:val="standardContextual"/>
        </w:rPr>
      </w:pPr>
      <w:r>
        <w:rPr>
          <w:noProof/>
        </w:rPr>
        <w:t>1.6.</w:t>
      </w:r>
      <w:r>
        <w:rPr>
          <w:rFonts w:asciiTheme="minorHAnsi" w:hAnsiTheme="minorHAnsi"/>
          <w:noProof/>
          <w:sz w:val="22"/>
        </w:rPr>
        <w:tab/>
      </w:r>
      <w:r>
        <w:rPr>
          <w:noProof/>
        </w:rPr>
        <w:t>Durée de la proposition/de l’initiative et de son incidence financière</w:t>
      </w:r>
      <w:r>
        <w:rPr>
          <w:noProof/>
          <w:webHidden/>
        </w:rPr>
        <w:tab/>
        <w:t>6</w:t>
      </w:r>
    </w:p>
    <w:p>
      <w:pPr>
        <w:pStyle w:val="TOC2"/>
        <w:rPr>
          <w:rFonts w:asciiTheme="minorHAnsi" w:eastAsiaTheme="minorEastAsia" w:hAnsiTheme="minorHAnsi" w:cstheme="minorBidi"/>
          <w:noProof/>
          <w:kern w:val="2"/>
          <w:sz w:val="22"/>
          <w14:ligatures w14:val="standardContextual"/>
        </w:rPr>
      </w:pPr>
      <w:r>
        <w:rPr>
          <w:noProof/>
        </w:rPr>
        <w:t>1.7.</w:t>
      </w:r>
      <w:r>
        <w:rPr>
          <w:rFonts w:asciiTheme="minorHAnsi" w:hAnsiTheme="minorHAnsi"/>
          <w:noProof/>
          <w:sz w:val="22"/>
        </w:rPr>
        <w:tab/>
      </w:r>
      <w:r>
        <w:rPr>
          <w:noProof/>
        </w:rPr>
        <w:t>Mode(s) d’exécution budgétaire prévu(s)</w:t>
      </w:r>
      <w:r>
        <w:rPr>
          <w:noProof/>
          <w:webHidden/>
        </w:rPr>
        <w:tab/>
        <w:t>6</w:t>
      </w:r>
    </w:p>
    <w:p>
      <w:pPr>
        <w:pStyle w:val="TOC1"/>
        <w:rPr>
          <w:rFonts w:asciiTheme="minorHAnsi" w:eastAsiaTheme="minorEastAsia" w:hAnsiTheme="minorHAnsi" w:cstheme="minorBidi"/>
          <w:noProof/>
          <w:kern w:val="2"/>
          <w:sz w:val="22"/>
          <w14:ligatures w14:val="standardContextual"/>
        </w:rPr>
      </w:pPr>
      <w:r>
        <w:rPr>
          <w:noProof/>
        </w:rPr>
        <w:t>2.</w:t>
      </w:r>
      <w:r>
        <w:rPr>
          <w:rFonts w:asciiTheme="minorHAnsi" w:hAnsiTheme="minorHAnsi"/>
          <w:noProof/>
          <w:sz w:val="22"/>
        </w:rPr>
        <w:tab/>
      </w:r>
      <w:r>
        <w:rPr>
          <w:noProof/>
        </w:rPr>
        <w:t>MESURES DE GESTION</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2.1.</w:t>
      </w:r>
      <w:r>
        <w:rPr>
          <w:rFonts w:asciiTheme="minorHAnsi" w:hAnsiTheme="minorHAnsi"/>
          <w:noProof/>
          <w:sz w:val="22"/>
        </w:rPr>
        <w:tab/>
      </w:r>
      <w:r>
        <w:rPr>
          <w:noProof/>
        </w:rPr>
        <w:t>Dispositions en matière de suivi et de compte rendu</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2.2.</w:t>
      </w:r>
      <w:r>
        <w:rPr>
          <w:rFonts w:asciiTheme="minorHAnsi" w:hAnsiTheme="minorHAnsi"/>
          <w:noProof/>
          <w:sz w:val="22"/>
        </w:rPr>
        <w:tab/>
      </w:r>
      <w:r>
        <w:rPr>
          <w:noProof/>
        </w:rPr>
        <w:t>Système(s) de gestion et de contrôle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2.2.1.</w:t>
      </w:r>
      <w:r>
        <w:rPr>
          <w:rFonts w:asciiTheme="minorHAnsi" w:hAnsiTheme="minorHAnsi"/>
          <w:noProof/>
          <w:sz w:val="22"/>
        </w:rPr>
        <w:tab/>
      </w:r>
      <w:r>
        <w:rPr>
          <w:noProof/>
        </w:rPr>
        <w:t>Justification du (des) mode(s) d’exécution budgétaire, du (des) mécanisme(s) de mise en œuvre du financement, des modalités de paiement et de la stratégie de contrôle proposée</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2.2.2.</w:t>
      </w:r>
      <w:r>
        <w:rPr>
          <w:rFonts w:asciiTheme="minorHAnsi" w:hAnsiTheme="minorHAnsi"/>
          <w:noProof/>
          <w:sz w:val="22"/>
        </w:rPr>
        <w:tab/>
      </w:r>
      <w:r>
        <w:rPr>
          <w:noProof/>
        </w:rPr>
        <w:t>Informations sur les risques recensés et sur le(s) système(s) de contrôle interne mis en place pour les atténuer</w:t>
      </w:r>
      <w:r>
        <w:rPr>
          <w:noProof/>
          <w:webHidden/>
        </w:rPr>
        <w:tab/>
        <w:t>8</w:t>
      </w:r>
    </w:p>
    <w:p>
      <w:pPr>
        <w:pStyle w:val="TOC3"/>
        <w:rPr>
          <w:rFonts w:asciiTheme="minorHAnsi" w:eastAsiaTheme="minorEastAsia" w:hAnsiTheme="minorHAnsi" w:cstheme="minorBidi"/>
          <w:noProof/>
          <w:kern w:val="2"/>
          <w:sz w:val="22"/>
          <w14:ligatures w14:val="standardContextual"/>
        </w:rPr>
      </w:pPr>
      <w:r>
        <w:rPr>
          <w:noProof/>
        </w:rPr>
        <w:t>2.2.3.</w:t>
      </w:r>
      <w:r>
        <w:rPr>
          <w:rFonts w:asciiTheme="minorHAnsi" w:hAnsiTheme="minorHAnsi"/>
          <w:noProof/>
          <w:sz w:val="22"/>
        </w:rPr>
        <w:tab/>
      </w:r>
      <w:r>
        <w:rPr>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t>8</w:t>
      </w:r>
    </w:p>
    <w:p>
      <w:pPr>
        <w:pStyle w:val="TOC2"/>
        <w:rPr>
          <w:rFonts w:asciiTheme="minorHAnsi" w:eastAsiaTheme="minorEastAsia" w:hAnsiTheme="minorHAnsi" w:cstheme="minorBidi"/>
          <w:noProof/>
          <w:kern w:val="2"/>
          <w:sz w:val="22"/>
          <w14:ligatures w14:val="standardContextual"/>
        </w:rPr>
      </w:pPr>
      <w:r>
        <w:rPr>
          <w:noProof/>
        </w:rPr>
        <w:t>2.3.</w:t>
      </w:r>
      <w:r>
        <w:rPr>
          <w:rFonts w:asciiTheme="minorHAnsi" w:hAnsiTheme="minorHAnsi"/>
          <w:noProof/>
          <w:sz w:val="22"/>
        </w:rPr>
        <w:tab/>
      </w:r>
      <w:r>
        <w:rPr>
          <w:noProof/>
        </w:rPr>
        <w:t>Mesures de prévention des fraudes et irrégularités</w:t>
      </w:r>
      <w:r>
        <w:rPr>
          <w:noProof/>
          <w:webHidden/>
        </w:rPr>
        <w:tab/>
        <w:t>9</w:t>
      </w:r>
    </w:p>
    <w:p>
      <w:pPr>
        <w:pStyle w:val="TOC1"/>
        <w:rPr>
          <w:rFonts w:asciiTheme="minorHAnsi" w:eastAsiaTheme="minorEastAsia" w:hAnsiTheme="minorHAnsi" w:cstheme="minorBidi"/>
          <w:noProof/>
          <w:kern w:val="2"/>
          <w:sz w:val="22"/>
          <w14:ligatures w14:val="standardContextual"/>
        </w:rPr>
      </w:pPr>
      <w:r>
        <w:rPr>
          <w:noProof/>
        </w:rPr>
        <w:t>3.</w:t>
      </w:r>
      <w:r>
        <w:rPr>
          <w:rFonts w:asciiTheme="minorHAnsi" w:hAnsiTheme="minorHAnsi"/>
          <w:noProof/>
          <w:sz w:val="22"/>
        </w:rPr>
        <w:tab/>
      </w:r>
      <w:r>
        <w:rPr>
          <w:noProof/>
        </w:rPr>
        <w:t>INCIDENCE FINANCIÈRE ESTIMÉE DE LA PROPOSITION/DE L’INITIATIVE</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3.1.</w:t>
      </w:r>
      <w:r>
        <w:rPr>
          <w:rFonts w:asciiTheme="minorHAnsi" w:hAnsiTheme="minorHAnsi"/>
          <w:noProof/>
          <w:sz w:val="22"/>
        </w:rPr>
        <w:tab/>
      </w:r>
      <w:r>
        <w:rPr>
          <w:noProof/>
        </w:rPr>
        <w:t>Rubrique(s) du cadre financier pluriannuel et ligne(s) budgétaire(s) de dépenses concernée(s)</w:t>
      </w:r>
      <w:r>
        <w:rPr>
          <w:noProof/>
          <w:webHidden/>
        </w:rPr>
        <w:tab/>
        <w:t>10</w:t>
      </w:r>
    </w:p>
    <w:p>
      <w:pPr>
        <w:pStyle w:val="TOC2"/>
        <w:rPr>
          <w:rFonts w:asciiTheme="minorHAnsi" w:eastAsiaTheme="minorEastAsia" w:hAnsiTheme="minorHAnsi" w:cstheme="minorBidi"/>
          <w:noProof/>
          <w:kern w:val="2"/>
          <w:sz w:val="22"/>
          <w14:ligatures w14:val="standardContextual"/>
        </w:rPr>
      </w:pPr>
      <w:r>
        <w:rPr>
          <w:noProof/>
        </w:rPr>
        <w:t>3.2.</w:t>
      </w:r>
      <w:r>
        <w:rPr>
          <w:rFonts w:asciiTheme="minorHAnsi" w:hAnsiTheme="minorHAnsi"/>
          <w:noProof/>
          <w:sz w:val="22"/>
        </w:rPr>
        <w:tab/>
      </w:r>
      <w:r>
        <w:rPr>
          <w:noProof/>
        </w:rPr>
        <w:t>Incidence financière estimée de la proposition sur les crédits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w:t>
      </w:r>
      <w:r>
        <w:rPr>
          <w:rFonts w:asciiTheme="minorHAnsi" w:hAnsiTheme="minorHAnsi"/>
          <w:noProof/>
          <w:sz w:val="22"/>
        </w:rPr>
        <w:tab/>
      </w:r>
      <w:r>
        <w:rPr>
          <w:noProof/>
        </w:rPr>
        <w:t>Synthèse de l’incidence estimée sur les crédits opérationnels</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3.2.1.1.</w:t>
      </w:r>
      <w:r>
        <w:rPr>
          <w:rFonts w:asciiTheme="minorHAnsi" w:hAnsiTheme="minorHAnsi"/>
          <w:noProof/>
          <w:sz w:val="22"/>
        </w:rPr>
        <w:tab/>
      </w:r>
      <w:r>
        <w:rPr>
          <w:noProof/>
        </w:rPr>
        <w:t>Crédits issus du budget voté</w:t>
      </w:r>
      <w:r>
        <w:rPr>
          <w:noProof/>
          <w:webHidden/>
        </w:rPr>
        <w:tab/>
        <w:t>12</w:t>
      </w:r>
    </w:p>
    <w:p>
      <w:pPr>
        <w:pStyle w:val="TOC3"/>
        <w:rPr>
          <w:rFonts w:asciiTheme="minorHAnsi" w:eastAsiaTheme="minorEastAsia" w:hAnsiTheme="minorHAnsi" w:cstheme="minorBidi"/>
          <w:noProof/>
          <w:kern w:val="2"/>
          <w:sz w:val="22"/>
          <w14:ligatures w14:val="standardContextual"/>
        </w:rPr>
      </w:pPr>
      <w:r>
        <w:rPr>
          <w:noProof/>
        </w:rPr>
        <w:t>3.2.1.2.</w:t>
      </w:r>
      <w:r>
        <w:rPr>
          <w:rFonts w:asciiTheme="minorHAnsi" w:hAnsiTheme="minorHAnsi"/>
          <w:noProof/>
          <w:sz w:val="22"/>
        </w:rPr>
        <w:tab/>
      </w:r>
      <w:r>
        <w:rPr>
          <w:noProof/>
        </w:rPr>
        <w:t>Crédits issus de recettes affectées externes</w:t>
      </w:r>
      <w:r>
        <w:rPr>
          <w:noProof/>
          <w:webHidden/>
        </w:rPr>
        <w:tab/>
        <w:t>17</w:t>
      </w:r>
    </w:p>
    <w:p>
      <w:pPr>
        <w:pStyle w:val="TOC3"/>
        <w:rPr>
          <w:rFonts w:asciiTheme="minorHAnsi" w:eastAsiaTheme="minorEastAsia" w:hAnsiTheme="minorHAnsi" w:cstheme="minorBidi"/>
          <w:noProof/>
          <w:kern w:val="2"/>
          <w:sz w:val="22"/>
          <w14:ligatures w14:val="standardContextual"/>
        </w:rPr>
      </w:pPr>
      <w:r>
        <w:rPr>
          <w:noProof/>
        </w:rPr>
        <w:t>3.2.2.</w:t>
      </w:r>
      <w:r>
        <w:rPr>
          <w:rFonts w:asciiTheme="minorHAnsi" w:hAnsiTheme="minorHAnsi"/>
          <w:noProof/>
          <w:sz w:val="22"/>
        </w:rPr>
        <w:tab/>
      </w:r>
      <w:r>
        <w:rPr>
          <w:noProof/>
        </w:rPr>
        <w:t>Estimation des réalisations financées à partir des crédits opérationnels</w:t>
      </w:r>
      <w:r>
        <w:rPr>
          <w:noProof/>
          <w:webHidden/>
        </w:rPr>
        <w:tab/>
        <w:t>22</w:t>
      </w:r>
    </w:p>
    <w:p>
      <w:pPr>
        <w:pStyle w:val="TOC3"/>
        <w:rPr>
          <w:rFonts w:asciiTheme="minorHAnsi" w:eastAsiaTheme="minorEastAsia" w:hAnsiTheme="minorHAnsi" w:cstheme="minorBidi"/>
          <w:noProof/>
          <w:kern w:val="2"/>
          <w:sz w:val="22"/>
          <w14:ligatures w14:val="standardContextual"/>
        </w:rPr>
      </w:pPr>
      <w:r>
        <w:rPr>
          <w:noProof/>
        </w:rPr>
        <w:t>3.2.3.</w:t>
      </w:r>
      <w:r>
        <w:rPr>
          <w:rFonts w:asciiTheme="minorHAnsi" w:hAnsiTheme="minorHAnsi"/>
          <w:noProof/>
          <w:sz w:val="22"/>
        </w:rPr>
        <w:tab/>
      </w:r>
      <w:r>
        <w:rPr>
          <w:noProof/>
        </w:rPr>
        <w:t>Synthèse de l’incidence estimée sur les crédits administratifs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3.2.3.1. Crédits issus du budget voté</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3.2.3.2.</w:t>
      </w:r>
      <w:r>
        <w:rPr>
          <w:rFonts w:asciiTheme="minorHAnsi" w:hAnsiTheme="minorHAnsi"/>
          <w:noProof/>
          <w:sz w:val="22"/>
        </w:rPr>
        <w:tab/>
      </w:r>
      <w:r>
        <w:rPr>
          <w:noProof/>
        </w:rPr>
        <w:t>Crédits issus de recettes affectées externes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3.2.3.3.</w:t>
      </w:r>
      <w:r>
        <w:rPr>
          <w:rFonts w:asciiTheme="minorHAnsi" w:hAnsiTheme="minorHAnsi"/>
          <w:noProof/>
          <w:sz w:val="22"/>
        </w:rPr>
        <w:tab/>
      </w:r>
      <w:r>
        <w:rPr>
          <w:noProof/>
        </w:rPr>
        <w:t>Total des crédits</w:t>
      </w:r>
      <w:r>
        <w:rPr>
          <w:noProof/>
          <w:webHidden/>
        </w:rPr>
        <w:tab/>
        <w:t>24</w:t>
      </w:r>
    </w:p>
    <w:p>
      <w:pPr>
        <w:pStyle w:val="TOC3"/>
        <w:rPr>
          <w:rFonts w:asciiTheme="minorHAnsi" w:eastAsiaTheme="minorEastAsia" w:hAnsiTheme="minorHAnsi" w:cstheme="minorBidi"/>
          <w:noProof/>
          <w:kern w:val="2"/>
          <w:sz w:val="22"/>
          <w14:ligatures w14:val="standardContextual"/>
        </w:rPr>
      </w:pPr>
      <w:r>
        <w:rPr>
          <w:noProof/>
        </w:rPr>
        <w:t>3.2.4.</w:t>
      </w:r>
      <w:r>
        <w:rPr>
          <w:rFonts w:asciiTheme="minorHAnsi" w:hAnsiTheme="minorHAnsi"/>
          <w:noProof/>
          <w:sz w:val="22"/>
        </w:rPr>
        <w:tab/>
      </w:r>
      <w:r>
        <w:rPr>
          <w:noProof/>
        </w:rPr>
        <w:t>Besoins estimés en ressources humaines</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3.2.4.1.</w:t>
      </w:r>
      <w:r>
        <w:rPr>
          <w:rFonts w:asciiTheme="minorHAnsi" w:hAnsiTheme="minorHAnsi"/>
          <w:noProof/>
          <w:sz w:val="22"/>
        </w:rPr>
        <w:tab/>
      </w:r>
      <w:r>
        <w:rPr>
          <w:noProof/>
        </w:rPr>
        <w:t>Financement sur le budget voté</w:t>
      </w:r>
      <w:r>
        <w:rPr>
          <w:noProof/>
          <w:webHidden/>
        </w:rPr>
        <w:tab/>
        <w:t>25</w:t>
      </w:r>
    </w:p>
    <w:p>
      <w:pPr>
        <w:pStyle w:val="TOC3"/>
        <w:rPr>
          <w:rFonts w:asciiTheme="minorHAnsi" w:eastAsiaTheme="minorEastAsia" w:hAnsiTheme="minorHAnsi" w:cstheme="minorBidi"/>
          <w:noProof/>
          <w:kern w:val="2"/>
          <w:sz w:val="22"/>
          <w14:ligatures w14:val="standardContextual"/>
        </w:rPr>
      </w:pPr>
      <w:r>
        <w:rPr>
          <w:noProof/>
        </w:rPr>
        <w:t>3.2.4.2.</w:t>
      </w:r>
      <w:r>
        <w:rPr>
          <w:rFonts w:asciiTheme="minorHAnsi" w:hAnsiTheme="minorHAnsi"/>
          <w:noProof/>
          <w:sz w:val="22"/>
        </w:rPr>
        <w:tab/>
      </w:r>
      <w:r>
        <w:rPr>
          <w:noProof/>
        </w:rPr>
        <w:t>Financement par des recettes affectées externes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3.2.4.3.</w:t>
      </w:r>
      <w:r>
        <w:rPr>
          <w:rFonts w:asciiTheme="minorHAnsi" w:hAnsiTheme="minorHAnsi"/>
          <w:noProof/>
          <w:sz w:val="22"/>
        </w:rPr>
        <w:tab/>
      </w:r>
      <w:r>
        <w:rPr>
          <w:noProof/>
        </w:rPr>
        <w:t>Total des besoins en ressources humaines</w:t>
      </w:r>
      <w:r>
        <w:rPr>
          <w:noProof/>
          <w:webHidden/>
        </w:rPr>
        <w:tab/>
        <w:t>26</w:t>
      </w:r>
    </w:p>
    <w:p>
      <w:pPr>
        <w:pStyle w:val="TOC3"/>
        <w:rPr>
          <w:rFonts w:asciiTheme="minorHAnsi" w:eastAsiaTheme="minorEastAsia" w:hAnsiTheme="minorHAnsi" w:cstheme="minorBidi"/>
          <w:noProof/>
          <w:kern w:val="2"/>
          <w:sz w:val="22"/>
          <w14:ligatures w14:val="standardContextual"/>
        </w:rPr>
      </w:pPr>
      <w:r>
        <w:rPr>
          <w:noProof/>
        </w:rPr>
        <w:t>3.2.5.</w:t>
      </w:r>
      <w:r>
        <w:rPr>
          <w:rFonts w:asciiTheme="minorHAnsi" w:hAnsiTheme="minorHAnsi"/>
          <w:noProof/>
          <w:sz w:val="22"/>
        </w:rPr>
        <w:tab/>
      </w:r>
      <w:r>
        <w:rPr>
          <w:noProof/>
        </w:rPr>
        <w:t>Vue d’ensemble de l’incidence estimée sur les investissements liés aux technologies numériques</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3.2.6.</w:t>
      </w:r>
      <w:r>
        <w:rPr>
          <w:rFonts w:asciiTheme="minorHAnsi" w:hAnsiTheme="minorHAnsi"/>
          <w:noProof/>
          <w:sz w:val="22"/>
        </w:rPr>
        <w:tab/>
      </w:r>
      <w:r>
        <w:rPr>
          <w:noProof/>
        </w:rPr>
        <w:t>Compatibilité avec le cadre financier pluriannuel actuel</w:t>
      </w:r>
      <w:r>
        <w:rPr>
          <w:noProof/>
          <w:webHidden/>
        </w:rPr>
        <w:tab/>
        <w:t>28</w:t>
      </w:r>
    </w:p>
    <w:p>
      <w:pPr>
        <w:pStyle w:val="TOC3"/>
        <w:rPr>
          <w:rFonts w:asciiTheme="minorHAnsi" w:eastAsiaTheme="minorEastAsia" w:hAnsiTheme="minorHAnsi" w:cstheme="minorBidi"/>
          <w:noProof/>
          <w:kern w:val="2"/>
          <w:sz w:val="22"/>
          <w14:ligatures w14:val="standardContextual"/>
        </w:rPr>
      </w:pPr>
      <w:r>
        <w:rPr>
          <w:noProof/>
        </w:rPr>
        <w:t>3.2.7.</w:t>
      </w:r>
      <w:r>
        <w:rPr>
          <w:rFonts w:asciiTheme="minorHAnsi" w:hAnsiTheme="minorHAnsi"/>
          <w:noProof/>
          <w:sz w:val="22"/>
        </w:rPr>
        <w:tab/>
      </w:r>
      <w:r>
        <w:rPr>
          <w:noProof/>
        </w:rPr>
        <w:t>Participation de tiers au financement</w:t>
      </w:r>
      <w:r>
        <w:rPr>
          <w:noProof/>
          <w:webHidden/>
        </w:rPr>
        <w:tab/>
        <w:t>28</w:t>
      </w:r>
    </w:p>
    <w:p>
      <w:pPr>
        <w:pStyle w:val="TOC2"/>
        <w:rPr>
          <w:rFonts w:asciiTheme="minorHAnsi" w:eastAsiaTheme="minorEastAsia" w:hAnsiTheme="minorHAnsi" w:cstheme="minorBidi"/>
          <w:noProof/>
          <w:kern w:val="2"/>
          <w:sz w:val="22"/>
          <w14:ligatures w14:val="standardContextual"/>
        </w:rPr>
      </w:pPr>
      <w:r>
        <w:rPr>
          <w:noProof/>
        </w:rPr>
        <w:t>3.3.</w:t>
      </w:r>
      <w:r>
        <w:rPr>
          <w:rFonts w:asciiTheme="minorHAnsi" w:hAnsiTheme="minorHAnsi"/>
          <w:noProof/>
          <w:sz w:val="22"/>
        </w:rPr>
        <w:tab/>
      </w:r>
      <w:r>
        <w:rPr>
          <w:noProof/>
        </w:rPr>
        <w:t>Incidence estimée sur les recettes</w:t>
      </w:r>
      <w:r>
        <w:rPr>
          <w:noProof/>
          <w:webHidden/>
        </w:rPr>
        <w:tab/>
        <w:t>29</w:t>
      </w:r>
    </w:p>
    <w:p>
      <w:pPr>
        <w:pStyle w:val="TOC1"/>
        <w:rPr>
          <w:rFonts w:asciiTheme="minorHAnsi" w:eastAsiaTheme="minorEastAsia" w:hAnsiTheme="minorHAnsi" w:cstheme="minorBidi"/>
          <w:noProof/>
          <w:kern w:val="2"/>
          <w:sz w:val="22"/>
          <w14:ligatures w14:val="standardContextual"/>
        </w:rPr>
      </w:pPr>
      <w:r>
        <w:rPr>
          <w:noProof/>
        </w:rPr>
        <w:t>4.</w:t>
      </w:r>
      <w:r>
        <w:rPr>
          <w:rFonts w:asciiTheme="minorHAnsi" w:hAnsiTheme="minorHAnsi"/>
          <w:noProof/>
          <w:sz w:val="22"/>
        </w:rPr>
        <w:tab/>
      </w:r>
      <w:r>
        <w:rPr>
          <w:caps/>
          <w:noProof/>
        </w:rPr>
        <w:t>Dimensions numériques</w:t>
      </w:r>
      <w:r>
        <w:rPr>
          <w:noProof/>
          <w:webHidden/>
        </w:rPr>
        <w:tab/>
        <w:t>29</w:t>
      </w:r>
    </w:p>
    <w:p>
      <w:pPr>
        <w:pStyle w:val="TOC2"/>
        <w:rPr>
          <w:rFonts w:asciiTheme="minorHAnsi" w:eastAsiaTheme="minorEastAsia" w:hAnsiTheme="minorHAnsi" w:cstheme="minorBidi"/>
          <w:noProof/>
          <w:kern w:val="2"/>
          <w:sz w:val="22"/>
          <w14:ligatures w14:val="standardContextual"/>
        </w:rPr>
      </w:pPr>
      <w:r>
        <w:rPr>
          <w:noProof/>
        </w:rPr>
        <w:t>4.1.</w:t>
      </w:r>
      <w:r>
        <w:rPr>
          <w:rFonts w:asciiTheme="minorHAnsi" w:hAnsiTheme="minorHAnsi"/>
          <w:noProof/>
          <w:sz w:val="22"/>
        </w:rPr>
        <w:tab/>
      </w:r>
      <w:r>
        <w:rPr>
          <w:noProof/>
        </w:rPr>
        <w:t>Exigences pertinentes en matière numérique</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4.2.</w:t>
      </w:r>
      <w:r>
        <w:rPr>
          <w:rFonts w:asciiTheme="minorHAnsi" w:hAnsiTheme="minorHAnsi"/>
          <w:noProof/>
          <w:sz w:val="22"/>
        </w:rPr>
        <w:tab/>
      </w:r>
      <w:r>
        <w:rPr>
          <w:noProof/>
        </w:rPr>
        <w:t>Données</w:t>
      </w:r>
      <w:r>
        <w:rPr>
          <w:noProof/>
          <w:webHidden/>
        </w:rPr>
        <w:tab/>
        <w:t>30</w:t>
      </w:r>
    </w:p>
    <w:p>
      <w:pPr>
        <w:pStyle w:val="TOC2"/>
        <w:rPr>
          <w:rFonts w:asciiTheme="minorHAnsi" w:eastAsiaTheme="minorEastAsia" w:hAnsiTheme="minorHAnsi" w:cstheme="minorBidi"/>
          <w:noProof/>
          <w:kern w:val="2"/>
          <w:sz w:val="22"/>
          <w14:ligatures w14:val="standardContextual"/>
        </w:rPr>
      </w:pPr>
      <w:r>
        <w:rPr>
          <w:noProof/>
        </w:rPr>
        <w:t>4.3.</w:t>
      </w:r>
      <w:r>
        <w:rPr>
          <w:rFonts w:asciiTheme="minorHAnsi" w:hAnsiTheme="minorHAnsi"/>
          <w:noProof/>
          <w:sz w:val="22"/>
        </w:rPr>
        <w:tab/>
      </w:r>
      <w:r>
        <w:rPr>
          <w:noProof/>
        </w:rPr>
        <w:t>Solutions numériques</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4.4.</w:t>
      </w:r>
      <w:r>
        <w:rPr>
          <w:rFonts w:asciiTheme="minorHAnsi" w:hAnsiTheme="minorHAnsi"/>
          <w:noProof/>
          <w:sz w:val="22"/>
        </w:rPr>
        <w:tab/>
      </w:r>
      <w:r>
        <w:rPr>
          <w:noProof/>
        </w:rPr>
        <w:t>Évaluation de l’interopérabilité</w:t>
      </w:r>
      <w:r>
        <w:rPr>
          <w:noProof/>
          <w:webHidden/>
        </w:rPr>
        <w:tab/>
        <w:t>31</w:t>
      </w:r>
    </w:p>
    <w:p>
      <w:pPr>
        <w:pStyle w:val="TOC2"/>
        <w:rPr>
          <w:rFonts w:asciiTheme="minorHAnsi" w:eastAsiaTheme="minorEastAsia" w:hAnsiTheme="minorHAnsi" w:cstheme="minorBidi"/>
          <w:noProof/>
          <w:kern w:val="2"/>
          <w:sz w:val="22"/>
          <w14:ligatures w14:val="standardContextual"/>
        </w:rPr>
      </w:pPr>
      <w:r>
        <w:rPr>
          <w:noProof/>
        </w:rPr>
        <w:t>4.5.</w:t>
      </w:r>
      <w:r>
        <w:rPr>
          <w:rFonts w:asciiTheme="minorHAnsi" w:hAnsiTheme="minorHAnsi"/>
          <w:noProof/>
          <w:sz w:val="22"/>
        </w:rPr>
        <w:tab/>
      </w:r>
      <w:r>
        <w:rPr>
          <w:noProof/>
        </w:rPr>
        <w:t>Mesures de soutien de la mise en œuvre numérique</w:t>
      </w:r>
      <w:r>
        <w:rPr>
          <w:noProof/>
          <w:webHidden/>
        </w:rPr>
        <w:tab/>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0" w:name="_Toc514938007"/>
      <w:bookmarkStart w:id="1" w:name="_Toc520485025"/>
      <w:bookmarkStart w:id="2" w:name="_Toc160804567"/>
      <w:bookmarkStart w:id="3" w:name="_Toc167220259"/>
      <w:bookmarkStart w:id="4" w:name="_Toc177548992"/>
      <w:r>
        <w:rPr>
          <w:noProof/>
        </w:rPr>
        <w:t>1.</w:t>
      </w:r>
      <w:r>
        <w:rPr>
          <w:noProof/>
        </w:rPr>
        <w:tab/>
        <w:t>CADRE DE LA PROPOSITION/DE L’INITIATIVE</w:t>
      </w:r>
      <w:bookmarkEnd w:id="0"/>
      <w:bookmarkEnd w:id="1"/>
      <w:bookmarkEnd w:id="2"/>
      <w:bookmarkEnd w:id="3"/>
      <w:bookmarkEnd w:id="4"/>
      <w:r>
        <w:rPr>
          <w:noProof/>
        </w:rPr>
        <w:t xml:space="preserve"> </w:t>
      </w:r>
    </w:p>
    <w:p>
      <w:pPr>
        <w:pStyle w:val="ManualHeading2"/>
        <w:rPr>
          <w:noProof/>
        </w:rPr>
      </w:pPr>
      <w:bookmarkStart w:id="5" w:name="_Toc514938008"/>
      <w:bookmarkStart w:id="6" w:name="_Toc520485026"/>
      <w:bookmarkStart w:id="7" w:name="_Toc160804568"/>
      <w:bookmarkStart w:id="8" w:name="_Toc167220260"/>
      <w:bookmarkStart w:id="9" w:name="_Toc177548993"/>
      <w:r>
        <w:rPr>
          <w:noProof/>
        </w:rPr>
        <w:t>1.1.</w:t>
      </w:r>
      <w:r>
        <w:rPr>
          <w:noProof/>
        </w:rPr>
        <w:tab/>
        <w:t>Dénomination de la proposition/de l’initiative</w:t>
      </w:r>
      <w:bookmarkEnd w:id="5"/>
      <w:bookmarkEnd w:id="6"/>
      <w:bookmarkEnd w:id="7"/>
      <w:bookmarkEnd w:id="8"/>
      <w:bookmarkEnd w:id="9"/>
    </w:p>
    <w:p>
      <w:pPr>
        <w:pStyle w:val="Text1"/>
        <w:pBdr>
          <w:top w:val="single" w:sz="4" w:space="1" w:color="auto"/>
          <w:left w:val="single" w:sz="4" w:space="4" w:color="auto"/>
          <w:bottom w:val="single" w:sz="4" w:space="1" w:color="auto"/>
          <w:right w:val="single" w:sz="4" w:space="4" w:color="auto"/>
        </w:pBdr>
        <w:rPr>
          <w:noProof/>
        </w:rPr>
      </w:pPr>
      <w:r>
        <w:rPr>
          <w:noProof/>
        </w:rPr>
        <w:t>Proposition de règlement du Conseil portant ouverture et mode de gestion de contingents tarifaires autonomes de l’Union pour certains produits de la pêche pour la période allant du 1</w:t>
      </w:r>
      <w:r>
        <w:rPr>
          <w:noProof/>
          <w:vertAlign w:val="superscript"/>
        </w:rPr>
        <w:t>er</w:t>
      </w:r>
      <w:r>
        <w:rPr>
          <w:noProof/>
        </w:rPr>
        <w:t> janvier au 31 décembre 2027.</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i/>
          <w:noProof/>
        </w:rPr>
      </w:pPr>
      <w:bookmarkStart w:id="10" w:name="_Toc514938011"/>
      <w:bookmarkStart w:id="11" w:name="_Toc520485027"/>
      <w:bookmarkStart w:id="12" w:name="_Toc160804569"/>
      <w:bookmarkStart w:id="13" w:name="_Toc167220261"/>
      <w:bookmarkStart w:id="14" w:name="_Toc177548994"/>
      <w:r>
        <w:rPr>
          <w:noProof/>
        </w:rPr>
        <w:t>1.2.</w:t>
      </w:r>
      <w:r>
        <w:rPr>
          <w:noProof/>
        </w:rPr>
        <w:tab/>
        <w:t>Domaine(s) politique(s) concerné(s)</w:t>
      </w:r>
      <w:bookmarkEnd w:id="10"/>
      <w:bookmarkEnd w:id="11"/>
      <w:bookmarkEnd w:id="12"/>
      <w:bookmarkEnd w:id="13"/>
      <w:bookmarkEnd w:id="1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Politiques de l’UE en matière de commerce et de pêche.</w:t>
      </w:r>
    </w:p>
    <w:p>
      <w:pPr>
        <w:pStyle w:val="ManualHeading2"/>
        <w:rPr>
          <w:noProof/>
        </w:rPr>
      </w:pPr>
      <w:bookmarkStart w:id="15" w:name="_Toc514938015"/>
      <w:bookmarkStart w:id="16" w:name="_Toc520485029"/>
      <w:bookmarkStart w:id="17" w:name="_Toc160804571"/>
      <w:bookmarkStart w:id="18" w:name="_Toc167220263"/>
      <w:bookmarkStart w:id="19" w:name="_Toc177548995"/>
      <w:r>
        <w:rPr>
          <w:noProof/>
        </w:rPr>
        <w:t>1.3.</w:t>
      </w:r>
      <w:r>
        <w:rPr>
          <w:noProof/>
        </w:rPr>
        <w:tab/>
        <w:t>Objectif(s)</w:t>
      </w:r>
      <w:bookmarkEnd w:id="15"/>
      <w:bookmarkEnd w:id="16"/>
      <w:bookmarkEnd w:id="17"/>
      <w:bookmarkEnd w:id="18"/>
      <w:bookmarkEnd w:id="19"/>
    </w:p>
    <w:p>
      <w:pPr>
        <w:pStyle w:val="ManualHeading3"/>
        <w:rPr>
          <w:noProof/>
        </w:rPr>
      </w:pPr>
      <w:bookmarkStart w:id="20" w:name="_Toc514938016"/>
      <w:bookmarkStart w:id="21" w:name="_Toc520485030"/>
      <w:bookmarkStart w:id="22" w:name="_Toc160804572"/>
      <w:bookmarkStart w:id="23" w:name="_Toc167220264"/>
      <w:bookmarkStart w:id="24" w:name="_Toc177548996"/>
      <w:r>
        <w:rPr>
          <w:noProof/>
        </w:rPr>
        <w:t>1.3.1.</w:t>
      </w:r>
      <w:r>
        <w:rPr>
          <w:noProof/>
        </w:rPr>
        <w:tab/>
        <w:t>Objectif général/objectifs généraux</w:t>
      </w:r>
      <w:bookmarkEnd w:id="20"/>
      <w:bookmarkEnd w:id="21"/>
      <w:bookmarkEnd w:id="22"/>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rPr>
        <w:t>L’objectif général du régime des contingents tarifaires autonomes est de remédier à un déficit commercial structurel sur le marché des aliments d’origine aquatique de l’UE et de soutenir la compétitivité du secteur de la transformation de l’UE.</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25" w:name="_Toc514938018"/>
      <w:bookmarkStart w:id="26" w:name="_Toc520485031"/>
      <w:bookmarkStart w:id="27" w:name="_Toc160804573"/>
      <w:bookmarkStart w:id="28" w:name="_Toc167220265"/>
      <w:bookmarkStart w:id="29" w:name="_Toc177548997"/>
      <w:r>
        <w:rPr>
          <w:noProof/>
        </w:rPr>
        <w:t>1.3.2.</w:t>
      </w:r>
      <w:r>
        <w:rPr>
          <w:noProof/>
        </w:rPr>
        <w:tab/>
        <w:t>Objectif(s) spécifique(s)</w:t>
      </w:r>
      <w:bookmarkEnd w:id="25"/>
      <w:bookmarkEnd w:id="26"/>
      <w:bookmarkEnd w:id="27"/>
      <w:bookmarkEnd w:id="28"/>
      <w:bookmarkEnd w:id="29"/>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Améliorer l’accessibilité et la disponibilité des matières premières et/ou des produits semi-finis qui ne sont pas disponibles dans le cadre de la production de l’UE (pêche ou aquaculture) en quantités suffisantes et/ou à un prix compétitif; et</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Veiller à ce que les contingents tarifaires autonomes soient adaptés aux conditions du marché (par exemple, l’écart structurel entre la demande de l’UE et les limites de la production de l’UE, et l’évolution des flux commerciaux) et aux besoins des transformateurs de produits de la mer de l’UE (par exemple, la demande croissante d’un produit spécifique), sans avoir d’incidence négative sur les producteurs de l’UE.</w:t>
      </w:r>
    </w:p>
    <w:p>
      <w:pPr>
        <w:pStyle w:val="ManualHeading3"/>
        <w:rPr>
          <w:noProof/>
        </w:rPr>
      </w:pPr>
      <w:bookmarkStart w:id="30" w:name="_Toc514938019"/>
      <w:bookmarkStart w:id="31" w:name="_Toc520485032"/>
      <w:bookmarkStart w:id="32" w:name="_Toc160804574"/>
      <w:bookmarkStart w:id="33" w:name="_Toc167220266"/>
      <w:bookmarkStart w:id="34" w:name="_Toc177548998"/>
      <w:r>
        <w:rPr>
          <w:noProof/>
        </w:rPr>
        <w:t>1.3.3.</w:t>
      </w:r>
      <w:r>
        <w:rPr>
          <w:noProof/>
        </w:rPr>
        <w:tab/>
        <w:t>Résultat(s) et incidence(s) attendus</w:t>
      </w:r>
      <w:bookmarkEnd w:id="30"/>
      <w:bookmarkEnd w:id="31"/>
      <w:bookmarkEnd w:id="32"/>
      <w:bookmarkEnd w:id="33"/>
      <w:bookmarkEnd w:id="34"/>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Le résultat attendu du régime des contingents tarifaires autonomes en ce qui concerne les réalisations est une liste de matières premières et des volumes correspondants qui bénéficient d’une exonération partielle ou totale des droits de douane et qui sont conformes aux besoins du secteur de la transformation de l’UE. À moyen et à long terme, le régime des contingents tarifaires autonomes devrait améliorer la compétitivité des transformateurs d’aliments d’origine aquatique de l’UE, sans avoir d’incidence négative sur les producteurs de l’UE.</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35" w:name="_Toc514938023"/>
      <w:bookmarkStart w:id="36" w:name="_Toc520485033"/>
      <w:bookmarkStart w:id="37" w:name="_Toc160804575"/>
      <w:bookmarkStart w:id="38" w:name="_Toc167220267"/>
      <w:bookmarkStart w:id="39" w:name="_Toc177548999"/>
      <w:r>
        <w:rPr>
          <w:noProof/>
        </w:rPr>
        <w:t>1.3.4.</w:t>
      </w:r>
      <w:r>
        <w:rPr>
          <w:noProof/>
        </w:rPr>
        <w:tab/>
        <w:t>Indicateurs de performance</w:t>
      </w:r>
      <w:bookmarkEnd w:id="35"/>
      <w:bookmarkEnd w:id="36"/>
      <w:bookmarkEnd w:id="37"/>
      <w:bookmarkEnd w:id="38"/>
      <w:bookmarkEnd w:id="39"/>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L’accès de l’industrie de transformation de l’UE aux matières premières et aux produits semi-finis est maintenu ou amélioré en ce qui concerne le volume et les prix au cours de la période 2024-2026. Le régime des contingents tarifaires autonomes est resté adapté à l’évolution des conditions du marché et aux besoins des parties intéressées tout au long de l’année 2027. </w:t>
      </w:r>
    </w:p>
    <w:p>
      <w:pPr>
        <w:pStyle w:val="ManualHeading2"/>
        <w:rPr>
          <w:noProof/>
        </w:rPr>
      </w:pPr>
      <w:bookmarkStart w:id="40" w:name="_Toc177549000"/>
      <w:r>
        <w:rPr>
          <w:noProof/>
        </w:rPr>
        <w:t>1.4.</w:t>
      </w:r>
      <w:r>
        <w:rPr>
          <w:noProof/>
        </w:rPr>
        <w:tab/>
        <w:t>La proposition/l’initiative porte sur:</w:t>
      </w:r>
      <w:bookmarkEnd w:id="40"/>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3"/>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41" w:name="_Toc514938025"/>
      <w:bookmarkStart w:id="42" w:name="_Toc520485034"/>
      <w:bookmarkStart w:id="43" w:name="_Toc160804576"/>
      <w:bookmarkStart w:id="44" w:name="_Toc167220268"/>
      <w:bookmarkStart w:id="45" w:name="_Toc177549001"/>
      <w:r>
        <w:rPr>
          <w:noProof/>
        </w:rPr>
        <w:t>1.5.</w:t>
      </w:r>
      <w:r>
        <w:rPr>
          <w:noProof/>
        </w:rPr>
        <w:tab/>
        <w:t>Justification(s) de la proposition/de l’initiative</w:t>
      </w:r>
      <w:bookmarkEnd w:id="41"/>
      <w:bookmarkEnd w:id="42"/>
      <w:bookmarkEnd w:id="43"/>
      <w:bookmarkEnd w:id="44"/>
      <w:bookmarkEnd w:id="45"/>
      <w:r>
        <w:rPr>
          <w:noProof/>
        </w:rPr>
        <w:t xml:space="preserve"> </w:t>
      </w:r>
    </w:p>
    <w:p>
      <w:pPr>
        <w:pStyle w:val="ManualHeading3"/>
        <w:rPr>
          <w:noProof/>
        </w:rPr>
      </w:pPr>
      <w:bookmarkStart w:id="46" w:name="_Toc514938026"/>
      <w:bookmarkStart w:id="47" w:name="_Toc520485035"/>
      <w:bookmarkStart w:id="48" w:name="_Toc160804577"/>
      <w:bookmarkStart w:id="49" w:name="_Toc167220269"/>
      <w:bookmarkStart w:id="50" w:name="_Toc177549002"/>
      <w:r>
        <w:rPr>
          <w:noProof/>
        </w:rPr>
        <w:t>1.5.1.</w:t>
      </w:r>
      <w:r>
        <w:rPr>
          <w:noProof/>
        </w:rPr>
        <w:tab/>
        <w:t>Besoin(s) à satisfaire à court ou à long terme, assorti(s) d’un calendrier détaillé pour la mise en œuvre de l’initiative</w:t>
      </w:r>
      <w:bookmarkEnd w:id="46"/>
      <w:bookmarkEnd w:id="47"/>
      <w:bookmarkEnd w:id="48"/>
      <w:bookmarkEnd w:id="49"/>
      <w:bookmarkEnd w:id="50"/>
    </w:p>
    <w:p>
      <w:pPr>
        <w:pStyle w:val="Text1"/>
        <w:pBdr>
          <w:top w:val="single" w:sz="4" w:space="1" w:color="auto"/>
          <w:left w:val="single" w:sz="4" w:space="4" w:color="auto"/>
          <w:bottom w:val="single" w:sz="4" w:space="1" w:color="auto"/>
          <w:right w:val="single" w:sz="4" w:space="4" w:color="auto"/>
        </w:pBdr>
        <w:rPr>
          <w:noProof/>
        </w:rPr>
      </w:pPr>
      <w:r>
        <w:rPr>
          <w:noProof/>
        </w:rPr>
        <w:t xml:space="preserve"> La proposition prolonge la validité des contingents tarifaires autonomes fixés dans le règlement (UE) 2023/2720 du Conseil jusqu’au 31 décembre 2027.  </w:t>
      </w:r>
    </w:p>
    <w:p>
      <w:pPr>
        <w:pStyle w:val="ManualHeading3"/>
        <w:rPr>
          <w:bCs/>
          <w:noProof/>
          <w:szCs w:val="24"/>
        </w:rPr>
      </w:pPr>
      <w:bookmarkStart w:id="51" w:name="_Toc514938029"/>
      <w:bookmarkStart w:id="52" w:name="_Toc520485036"/>
      <w:bookmarkStart w:id="53" w:name="_Toc160804578"/>
      <w:bookmarkStart w:id="54" w:name="_Toc167220270"/>
      <w:bookmarkStart w:id="55" w:name="_Toc177549003"/>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1"/>
      <w:bookmarkEnd w:id="52"/>
      <w:bookmarkEnd w:id="53"/>
      <w:bookmarkEnd w:id="54"/>
      <w:bookmarkEnd w:id="55"/>
    </w:p>
    <w:p>
      <w:pPr>
        <w:pStyle w:val="Text1"/>
        <w:pBdr>
          <w:top w:val="single" w:sz="4" w:space="1" w:color="auto"/>
          <w:left w:val="single" w:sz="4" w:space="4" w:color="auto"/>
          <w:bottom w:val="single" w:sz="4" w:space="1" w:color="auto"/>
          <w:right w:val="single" w:sz="4" w:space="4" w:color="auto"/>
        </w:pBdr>
        <w:rPr>
          <w:noProof/>
        </w:rPr>
      </w:pPr>
      <w:r>
        <w:rPr>
          <w:noProof/>
        </w:rPr>
        <w:t>Le régime des contingents tarifaires autonomes apporte une valeur ajoutée européenne manifeste, étant donné que ses objectifs ne peuvent être atteints par les États membres agissant individuellement. En vertu de l’article 3, paragraphe 1, point a), du TFUE, l’union douanière est un domaine relevant de la compétence exclusive de l’UE, ce qui signifie que les États membres ne peuvent pas fixer de droits de douane, de suspensions tarifaires ou de contingents autonomes nationaux.</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régime des contingents tarifaires autonomes garantit des conditions d’accès uniformes pour les matières premières dans l’ensemble du marché unique, évite les distorsions de concurrence qui résulteraient d’approches nationales divergentes et prévoit des conditions tarifaires prévisibles pour les transformateurs de l’UE. </w:t>
      </w:r>
    </w:p>
    <w:p>
      <w:pPr>
        <w:pStyle w:val="ManualHeading3"/>
        <w:rPr>
          <w:noProof/>
        </w:rPr>
      </w:pPr>
      <w:bookmarkStart w:id="56" w:name="_Toc514938030"/>
      <w:bookmarkStart w:id="57" w:name="_Toc520485037"/>
      <w:bookmarkStart w:id="58" w:name="_Toc160804579"/>
      <w:bookmarkStart w:id="59" w:name="_Toc167220271"/>
      <w:bookmarkStart w:id="60" w:name="_Toc177549004"/>
      <w:r>
        <w:rPr>
          <w:noProof/>
        </w:rPr>
        <w:t>1.5.3.</w:t>
      </w:r>
      <w:r>
        <w:rPr>
          <w:noProof/>
        </w:rPr>
        <w:tab/>
        <w:t>Leçons tirées d’expériences similaires</w:t>
      </w:r>
      <w:bookmarkEnd w:id="56"/>
      <w:bookmarkEnd w:id="57"/>
      <w:bookmarkEnd w:id="58"/>
      <w:bookmarkEnd w:id="59"/>
      <w:bookmarkEnd w:id="60"/>
    </w:p>
    <w:p>
      <w:pPr>
        <w:pStyle w:val="Text1"/>
        <w:pBdr>
          <w:top w:val="single" w:sz="4" w:space="1" w:color="auto"/>
          <w:left w:val="single" w:sz="4" w:space="4" w:color="auto"/>
          <w:bottom w:val="single" w:sz="4" w:space="1" w:color="auto"/>
          <w:right w:val="single" w:sz="4" w:space="4" w:color="auto"/>
        </w:pBdr>
        <w:rPr>
          <w:noProof/>
        </w:rPr>
      </w:pPr>
      <w:r>
        <w:rPr>
          <w:noProof/>
        </w:rPr>
        <w:t xml:space="preserve">L’expérience acquise dans le cadre de la mise en œuvre du régime des contingents tarifaires autonomes montre que le régime est pertinent pour répondre aux besoins économiques structurels du secteur de l’alimentation d’origine aquatique de l’UE, y compris du point de vue de l’emploi. L’UE est un importateur net de longue date d’aliments d’origine aquatique, et les contingents tarifaires autonomes facilitent l’accès aux matières premières et leur disponibilité pour les transformateurs. Le nombre de demandes de contingents et d’espèces couvertes a évolué au fil du temps pour répondre à l’évolution des besoins du marché.   </w:t>
      </w:r>
    </w:p>
    <w:p>
      <w:pPr>
        <w:pStyle w:val="ManualHeading3"/>
        <w:rPr>
          <w:noProof/>
        </w:rPr>
      </w:pPr>
      <w:bookmarkStart w:id="61" w:name="_Toc514938033"/>
      <w:bookmarkStart w:id="62" w:name="_Toc520485038"/>
      <w:bookmarkStart w:id="63" w:name="_Toc160804580"/>
      <w:bookmarkStart w:id="64" w:name="_Toc167220272"/>
      <w:bookmarkStart w:id="65" w:name="_Toc177549005"/>
      <w:r>
        <w:rPr>
          <w:noProof/>
        </w:rPr>
        <w:t>1.5.4.</w:t>
      </w:r>
      <w:r>
        <w:rPr>
          <w:noProof/>
        </w:rPr>
        <w:tab/>
        <w:t>Compatibilité avec le cadre financier pluriannuel et synergies éventuelles avec d’autres instruments appropriés</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ManualHeading3"/>
        <w:rPr>
          <w:noProof/>
        </w:rPr>
      </w:pPr>
      <w:bookmarkStart w:id="66" w:name="_Toc514938036"/>
      <w:bookmarkStart w:id="67" w:name="_Toc520485039"/>
      <w:bookmarkStart w:id="68" w:name="_Toc160804581"/>
      <w:bookmarkStart w:id="69" w:name="_Toc167220273"/>
      <w:bookmarkStart w:id="70" w:name="_Toc177549006"/>
      <w:r>
        <w:rPr>
          <w:noProof/>
        </w:rPr>
        <w:t>1.5.5.</w:t>
      </w:r>
      <w:r>
        <w:rPr>
          <w:noProof/>
        </w:rPr>
        <w:tab/>
        <w:t>Évaluation des différentes possibilités de financement disponibles, y compris des possibilités de redéploiement</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ManualHeading2"/>
        <w:rPr>
          <w:bCs/>
          <w:noProof/>
          <w:szCs w:val="24"/>
        </w:rPr>
      </w:pPr>
      <w:r>
        <w:rPr>
          <w:noProof/>
        </w:rPr>
        <w:br w:type="page"/>
      </w:r>
      <w:bookmarkStart w:id="71" w:name="_Toc514938039"/>
      <w:bookmarkStart w:id="72" w:name="_Toc520485040"/>
      <w:bookmarkStart w:id="73" w:name="_Toc160804582"/>
      <w:bookmarkStart w:id="74" w:name="_Toc167220274"/>
      <w:bookmarkStart w:id="75" w:name="_Toc177549007"/>
      <w:r>
        <w:rPr>
          <w:noProof/>
        </w:rPr>
        <w:t>1.6.</w:t>
      </w:r>
      <w:r>
        <w:rPr>
          <w:noProof/>
        </w:rPr>
        <w:tab/>
        <w:t>Durée de la proposition/de l’initiative</w:t>
      </w:r>
      <w:bookmarkEnd w:id="71"/>
      <w:r>
        <w:rPr>
          <w:noProof/>
        </w:rPr>
        <w:t xml:space="preserve"> </w:t>
      </w:r>
      <w:bookmarkEnd w:id="72"/>
      <w:r>
        <w:rPr>
          <w:noProof/>
        </w:rPr>
        <w:t>et de son incidence financière</w:t>
      </w:r>
      <w:bookmarkEnd w:id="73"/>
      <w:bookmarkEnd w:id="74"/>
      <w:bookmarkEnd w:id="75"/>
    </w:p>
    <w:p>
      <w:pPr>
        <w:pStyle w:val="Text1"/>
        <w:rPr>
          <w:noProof/>
        </w:rPr>
      </w:pPr>
      <w:r>
        <w:rPr>
          <w:rFonts w:ascii="Wingdings" w:hAnsi="Wingdings"/>
          <w:noProof/>
        </w:rPr>
        <w:t>x</w:t>
      </w:r>
      <w:r>
        <w:rPr>
          <w:b/>
          <w:i/>
          <w:noProof/>
        </w:rPr>
        <w:t xml:space="preserve"> </w:t>
      </w:r>
      <w:r>
        <w:rPr>
          <w:b/>
          <w:noProof/>
        </w:rPr>
        <w:t xml:space="preserve">Durée limitée </w:t>
      </w:r>
    </w:p>
    <w:p>
      <w:pPr>
        <w:pStyle w:val="ListDash2"/>
        <w:rPr>
          <w:noProof/>
        </w:rPr>
      </w:pPr>
      <w:r>
        <w:rPr>
          <w:rFonts w:ascii="Wingdings" w:hAnsi="Wingdings"/>
          <w:noProof/>
        </w:rPr>
        <w:t>x</w:t>
      </w:r>
      <w:r>
        <w:rPr>
          <w:noProof/>
        </w:rPr>
        <w:tab/>
        <w:t xml:space="preserve">en vigueur à partir du [1/1]2027 jusqu’au [31/12]2027 </w:t>
      </w:r>
    </w:p>
    <w:p>
      <w:pPr>
        <w:pStyle w:val="ListDash2"/>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w:t>
      </w:r>
      <w:r>
        <w:rPr>
          <w:b/>
          <w:i/>
          <w:noProof/>
        </w:rPr>
        <w:t xml:space="preserve"> </w:t>
      </w:r>
      <w:r>
        <w:rPr>
          <w:b/>
          <w:noProof/>
        </w:rPr>
        <w:t>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noProof/>
        </w:rPr>
      </w:pPr>
      <w:bookmarkStart w:id="76" w:name="_Toc514938040"/>
      <w:bookmarkStart w:id="77" w:name="_Toc520485041"/>
      <w:bookmarkStart w:id="78" w:name="_Toc160804583"/>
      <w:bookmarkStart w:id="79" w:name="_Toc167220275"/>
      <w:bookmarkStart w:id="80" w:name="_Toc177549008"/>
      <w:r>
        <w:rPr>
          <w:noProof/>
        </w:rPr>
        <w:t>1.7.</w:t>
      </w:r>
      <w:r>
        <w:rPr>
          <w:noProof/>
        </w:rPr>
        <w:tab/>
        <w:t>Mode(s) d’exécution budgétaire prévu(s)</w:t>
      </w:r>
      <w:bookmarkEnd w:id="76"/>
      <w:bookmarkEnd w:id="77"/>
      <w:bookmarkEnd w:id="78"/>
      <w:bookmarkEnd w:id="79"/>
      <w:bookmarkEnd w:id="80"/>
      <w:r>
        <w:rPr>
          <w:noProof/>
        </w:rPr>
        <w:t xml:space="preserve"> </w:t>
      </w:r>
    </w:p>
    <w:p>
      <w:pPr>
        <w:pStyle w:val="ManualHeading2"/>
        <w:ind w:left="0" w:firstLine="0"/>
        <w:rPr>
          <w:noProof/>
        </w:rPr>
      </w:pPr>
      <w:hyperlink r:id="rId18" w:history="1">
        <w:r>
          <w:rPr>
            <w:rStyle w:val="Hyperlink"/>
            <w:noProof/>
          </w:rPr>
          <w:t>https://myintracomm.ec.europa.eu/corp/budget/financial-rules/budget-implementation/Pages/implementation-methods.aspx</w:t>
        </w:r>
      </w:hyperlink>
    </w:p>
    <w:p>
      <w:pPr>
        <w:pStyle w:val="Text1"/>
        <w:rPr>
          <w:noProof/>
        </w:rPr>
      </w:pPr>
      <w:r>
        <w:rPr>
          <w:rFonts w:ascii="Wingdings" w:hAnsi="Wingdings"/>
          <w:noProof/>
        </w:rPr>
        <w:t>¨</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w:t>
      </w:r>
      <w:r>
        <w:rPr>
          <w:noProof/>
        </w:rPr>
        <w:t xml:space="preserve"> par ses services, y compris par l’intermédiaire de son personnel dans les délégations de l’UE </w:t>
      </w:r>
    </w:p>
    <w:p>
      <w:pPr>
        <w:pStyle w:val="ListDash2"/>
        <w:rPr>
          <w:noProof/>
        </w:rPr>
      </w:pPr>
      <w:r>
        <w:rPr>
          <w:rFonts w:ascii="Wingdings" w:hAnsi="Wingdings"/>
          <w:noProof/>
        </w:rPr>
        <w:t>¨</w:t>
      </w:r>
      <w:r>
        <w:rPr>
          <w:noProof/>
        </w:rPr>
        <w:t xml:space="preserve"> par les agences exécutives </w:t>
      </w:r>
    </w:p>
    <w:p>
      <w:pPr>
        <w:pStyle w:val="Text1"/>
        <w:rPr>
          <w:noProof/>
        </w:rPr>
      </w:pPr>
      <w:r>
        <w:rPr>
          <w:rFonts w:ascii="Wingdings" w:hAnsi="Wingdings"/>
          <w:noProof/>
        </w:rPr>
        <w:t>¨</w:t>
      </w:r>
      <w:r>
        <w:rPr>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w:t>
      </w:r>
      <w:r>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S.O.</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1" w:name="_Toc514938041"/>
      <w:bookmarkStart w:id="82" w:name="_Toc520485042"/>
      <w:bookmarkStart w:id="83" w:name="_Toc160804584"/>
      <w:bookmarkStart w:id="84" w:name="_Toc167220276"/>
      <w:bookmarkStart w:id="85" w:name="_Toc177549009"/>
      <w:r>
        <w:rPr>
          <w:noProof/>
        </w:rPr>
        <w:t>2.</w:t>
      </w:r>
      <w:r>
        <w:rPr>
          <w:noProof/>
        </w:rPr>
        <w:tab/>
        <w:t>MESURES DE GESTION</w:t>
      </w:r>
      <w:bookmarkEnd w:id="81"/>
      <w:bookmarkEnd w:id="82"/>
      <w:bookmarkEnd w:id="83"/>
      <w:bookmarkEnd w:id="84"/>
      <w:bookmarkEnd w:id="85"/>
      <w:r>
        <w:rPr>
          <w:noProof/>
        </w:rPr>
        <w:t xml:space="preserve"> </w:t>
      </w:r>
    </w:p>
    <w:p>
      <w:pPr>
        <w:pStyle w:val="ManualHeading2"/>
        <w:rPr>
          <w:noProof/>
        </w:rPr>
      </w:pPr>
      <w:bookmarkStart w:id="86" w:name="_Toc514938042"/>
      <w:bookmarkStart w:id="87" w:name="_Toc520485043"/>
      <w:bookmarkStart w:id="88" w:name="_Toc160804585"/>
      <w:bookmarkStart w:id="89" w:name="_Toc167220277"/>
      <w:bookmarkStart w:id="90" w:name="_Toc177549010"/>
      <w:r>
        <w:rPr>
          <w:noProof/>
        </w:rPr>
        <w:t>2.1.</w:t>
      </w:r>
      <w:r>
        <w:rPr>
          <w:noProof/>
        </w:rPr>
        <w:tab/>
        <w:t>Dispositions en matière de suivi et de compte rendu</w:t>
      </w:r>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Le régime des contingents tarifaires autonomes s’inscrit dans le cadre plus large du système douanier et de suspensions tarifaires de l’UE, et les étapes administratives nécessaires pour qu’un transformateur puisse bénéficier des contingents tarifaires autonomes ne sont pas distinctes de la conformité générale en matière d’importation. Le règlement sur les contingents tarifaires autonomes ne fixe pas à lui seul de dispositions spécifiques en matière de suivi ou de compte rendu.</w:t>
      </w:r>
    </w:p>
    <w:p>
      <w:pPr>
        <w:pStyle w:val="ManualHeading2"/>
        <w:rPr>
          <w:bCs/>
          <w:noProof/>
          <w:szCs w:val="24"/>
        </w:rPr>
      </w:pPr>
      <w:bookmarkStart w:id="91" w:name="_Toc514938045"/>
      <w:bookmarkStart w:id="92" w:name="_Toc520485044"/>
      <w:bookmarkStart w:id="93" w:name="_Toc160804586"/>
      <w:bookmarkStart w:id="94" w:name="_Toc167220278"/>
      <w:bookmarkStart w:id="95" w:name="_Toc177549011"/>
      <w:r>
        <w:rPr>
          <w:noProof/>
        </w:rPr>
        <w:t>2.2.</w:t>
      </w:r>
      <w:r>
        <w:rPr>
          <w:noProof/>
        </w:rPr>
        <w:tab/>
        <w:t>Système(s) de gestion et de contrôle</w:t>
      </w:r>
      <w:bookmarkEnd w:id="91"/>
      <w:bookmarkEnd w:id="92"/>
      <w:bookmarkEnd w:id="93"/>
      <w:bookmarkEnd w:id="94"/>
      <w:bookmarkEnd w:id="95"/>
      <w:r>
        <w:rPr>
          <w:noProof/>
        </w:rPr>
        <w:t xml:space="preserve"> </w:t>
      </w:r>
    </w:p>
    <w:p>
      <w:pPr>
        <w:pStyle w:val="ManualHeading3"/>
        <w:rPr>
          <w:noProof/>
        </w:rPr>
      </w:pPr>
      <w:bookmarkStart w:id="96" w:name="_Toc514938046"/>
      <w:bookmarkStart w:id="97" w:name="_Toc520485045"/>
      <w:bookmarkStart w:id="98" w:name="_Toc160804587"/>
      <w:bookmarkStart w:id="99" w:name="_Toc167220279"/>
      <w:bookmarkStart w:id="100" w:name="_Toc177549012"/>
      <w:r>
        <w:rPr>
          <w:noProof/>
        </w:rPr>
        <w:t>2.2.1.</w:t>
      </w:r>
      <w:r>
        <w:rPr>
          <w:noProof/>
        </w:rPr>
        <w:tab/>
        <w:t>Justification du (des) mode(s) d’exécution budgétaire, du (des) mécanisme(s) de mise en œuvre du financement, des modalités de paiement et de la stratégie de contrôle proposée</w:t>
      </w:r>
      <w:bookmarkEnd w:id="96"/>
      <w:bookmarkEnd w:id="97"/>
      <w:bookmarkEnd w:id="98"/>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101" w:name="_Toc514938047"/>
      <w:bookmarkStart w:id="102" w:name="_Toc520485046"/>
      <w:bookmarkStart w:id="103" w:name="_Toc160804588"/>
      <w:bookmarkStart w:id="104" w:name="_Toc167220280"/>
      <w:bookmarkStart w:id="105" w:name="_Toc177549013"/>
      <w:r>
        <w:rPr>
          <w:noProof/>
        </w:rPr>
        <w:t>2.2.2.</w:t>
      </w:r>
      <w:r>
        <w:rPr>
          <w:noProof/>
        </w:rPr>
        <w:tab/>
        <w:t>Informations sur les risques recensés et sur le(s) système(s) de contrôle interne mis en place pour les atténuer</w:t>
      </w:r>
      <w:bookmarkEnd w:id="101"/>
      <w:bookmarkEnd w:id="102"/>
      <w:bookmarkEnd w:id="103"/>
      <w:bookmarkEnd w:id="104"/>
      <w:bookmarkEnd w:id="105"/>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6" w:name="_Toc514938048"/>
      <w:bookmarkStart w:id="107" w:name="_Toc520485047"/>
      <w:bookmarkStart w:id="108" w:name="_Toc160804589"/>
      <w:bookmarkStart w:id="109" w:name="_Toc167220281"/>
      <w:bookmarkStart w:id="110" w:name="_Toc177549014"/>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06"/>
      <w:bookmarkEnd w:id="107"/>
      <w:bookmarkEnd w:id="108"/>
      <w:bookmarkEnd w:id="109"/>
      <w:bookmarkEnd w:id="11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1" w:name="_Toc514938049"/>
      <w:bookmarkStart w:id="112" w:name="_Toc520485048"/>
      <w:bookmarkStart w:id="113" w:name="_Toc160804590"/>
      <w:bookmarkStart w:id="114" w:name="_Toc167220282"/>
      <w:bookmarkStart w:id="115" w:name="_Toc177549015"/>
      <w:r>
        <w:rPr>
          <w:noProof/>
        </w:rPr>
        <w:t>2.3.</w:t>
      </w:r>
      <w:r>
        <w:rPr>
          <w:noProof/>
        </w:rPr>
        <w:tab/>
        <w:t>Mesures de prévention des fraudes et irrégularités</w:t>
      </w:r>
      <w:bookmarkEnd w:id="111"/>
      <w:bookmarkEnd w:id="112"/>
      <w:bookmarkEnd w:id="113"/>
      <w:bookmarkEnd w:id="114"/>
      <w:bookmarkEnd w:id="11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Text1"/>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6" w:name="_Toc514938050"/>
      <w:bookmarkStart w:id="117" w:name="_Toc520485049"/>
      <w:bookmarkStart w:id="118" w:name="_Toc160804591"/>
      <w:bookmarkStart w:id="119" w:name="_Toc167220283"/>
      <w:bookmarkStart w:id="120" w:name="_Toc177549016"/>
      <w:r>
        <w:rPr>
          <w:noProof/>
        </w:rPr>
        <w:t>3.</w:t>
      </w:r>
      <w:r>
        <w:rPr>
          <w:noProof/>
        </w:rPr>
        <w:tab/>
        <w:t>INCIDENCE FINANCIÈRE ESTIMÉE DE LA PROPOSITION/DE L’INITIATIVE</w:t>
      </w:r>
      <w:bookmarkEnd w:id="116"/>
      <w:bookmarkEnd w:id="117"/>
      <w:bookmarkEnd w:id="118"/>
      <w:bookmarkEnd w:id="119"/>
      <w:bookmarkEnd w:id="120"/>
      <w:r>
        <w:rPr>
          <w:noProof/>
        </w:rPr>
        <w:t xml:space="preserve"> </w:t>
      </w:r>
    </w:p>
    <w:p>
      <w:pPr>
        <w:pStyle w:val="ManualHeading2"/>
        <w:rPr>
          <w:noProof/>
        </w:rPr>
      </w:pPr>
      <w:bookmarkStart w:id="121" w:name="_Toc514938051"/>
      <w:bookmarkStart w:id="122" w:name="_Toc520485050"/>
      <w:bookmarkStart w:id="123" w:name="_Toc160804592"/>
      <w:bookmarkStart w:id="124" w:name="_Toc167220284"/>
      <w:bookmarkStart w:id="125" w:name="_Toc177549017"/>
      <w:r>
        <w:rPr>
          <w:noProof/>
        </w:rPr>
        <w:t>3.1.</w:t>
      </w:r>
      <w:r>
        <w:rPr>
          <w:noProof/>
        </w:rPr>
        <w:tab/>
        <w:t>Rubrique(s) du cadre financier pluriannuel et ligne(s) budgétaire(s) de dépenses concernée(s)</w:t>
      </w:r>
      <w:bookmarkEnd w:id="121"/>
      <w:bookmarkEnd w:id="122"/>
      <w:bookmarkEnd w:id="123"/>
      <w:bookmarkEnd w:id="124"/>
      <w:bookmarkEnd w:id="125"/>
      <w:r>
        <w:rPr>
          <w:noProof/>
        </w:rPr>
        <w:t xml:space="preserve"> </w:t>
      </w:r>
    </w:p>
    <w:bookmarkStart w:id="126" w:name="_Hlk157691648"/>
    <w:p>
      <w:pPr>
        <w:pStyle w:val="Text1"/>
        <w:rPr>
          <w:noProof/>
        </w:rPr>
      </w:pPr>
      <w:r>
        <w:rPr>
          <w:noProof/>
        </w:rPr>
        <w:fldChar w:fldCharType="begin"/>
      </w:r>
      <w:r>
        <w:rPr>
          <w:noProof/>
        </w:rPr>
        <w:instrText>HYPERLINK "https://myintracomm.ec.europa.eu/corp/budget/financial-rules/budget-implementation/Pages/financial-statement.aspx"</w:instrText>
      </w:r>
      <w:r>
        <w:rPr>
          <w:noProof/>
        </w:rPr>
        <w:fldChar w:fldCharType="separate"/>
      </w:r>
      <w:r>
        <w:rPr>
          <w:noProof/>
        </w:rPr>
        <w:fldChar w:fldCharType="end"/>
      </w:r>
      <w:bookmarkEnd w:id="126"/>
    </w:p>
    <w:p>
      <w:pPr>
        <w:pStyle w:val="List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rPr>
              <w:footnoteReference w:id="4"/>
            </w:r>
          </w:p>
        </w:tc>
        <w:tc>
          <w:tcPr>
            <w:tcW w:w="966" w:type="dxa"/>
            <w:vAlign w:val="center"/>
          </w:tcPr>
          <w:p>
            <w:pPr>
              <w:jc w:val="center"/>
              <w:rPr>
                <w:b/>
                <w:noProof/>
                <w:sz w:val="18"/>
              </w:rPr>
            </w:pPr>
            <w:r>
              <w:rPr>
                <w:noProof/>
                <w:sz w:val="18"/>
              </w:rPr>
              <w:t>de pays AELE</w:t>
            </w:r>
            <w:r>
              <w:rPr>
                <w:rStyle w:val="FootnoteReference"/>
                <w:noProof/>
                <w:sz w:val="18"/>
              </w:rPr>
              <w:footnoteReference w:id="5"/>
            </w:r>
          </w:p>
        </w:tc>
        <w:tc>
          <w:tcPr>
            <w:tcW w:w="1092" w:type="dxa"/>
            <w:vAlign w:val="center"/>
          </w:tcPr>
          <w:p>
            <w:pPr>
              <w:jc w:val="center"/>
              <w:rPr>
                <w:noProof/>
                <w:sz w:val="18"/>
              </w:rPr>
            </w:pPr>
            <w:r>
              <w:rPr>
                <w:noProof/>
                <w:sz w:val="18"/>
              </w:rPr>
              <w:t>de pays candidats et pays candidats potentiels</w:t>
            </w:r>
            <w:r>
              <w:rPr>
                <w:rStyle w:val="FootnoteReference"/>
                <w:noProof/>
                <w:sz w:val="18"/>
              </w:rPr>
              <w:footnoteReference w:id="6"/>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CD/CND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bl>
    <w:p>
      <w:pPr>
        <w:pStyle w:val="ListBullet1"/>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 la dépense</w:t>
            </w:r>
          </w:p>
        </w:tc>
        <w:tc>
          <w:tcPr>
            <w:tcW w:w="4440" w:type="dxa"/>
            <w:gridSpan w:val="4"/>
            <w:vAlign w:val="center"/>
          </w:tcPr>
          <w:p>
            <w:pPr>
              <w:spacing w:before="60" w:after="60"/>
              <w:jc w:val="center"/>
              <w:rPr>
                <w:noProof/>
              </w:rPr>
            </w:pPr>
            <w:r>
              <w:rPr>
                <w:noProof/>
                <w:sz w:val="20"/>
              </w:rPr>
              <w:t xml:space="preserve">Participation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sz w:val="22"/>
              </w:rPr>
              <w:br/>
            </w: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 et pays candidats potentiels</w:t>
            </w:r>
          </w:p>
        </w:tc>
        <w:tc>
          <w:tcPr>
            <w:tcW w:w="956" w:type="dxa"/>
            <w:vAlign w:val="center"/>
          </w:tcPr>
          <w:p>
            <w:pPr>
              <w:jc w:val="center"/>
              <w:rPr>
                <w:noProof/>
                <w:sz w:val="18"/>
              </w:rPr>
            </w:pPr>
            <w:r>
              <w:rPr>
                <w:noProof/>
                <w:sz w:val="18"/>
              </w:rPr>
              <w:t>d’autres pays tiers</w:t>
            </w:r>
          </w:p>
        </w:tc>
        <w:tc>
          <w:tcPr>
            <w:tcW w:w="1448" w:type="dxa"/>
            <w:vAlign w:val="center"/>
          </w:tcPr>
          <w:p>
            <w:pPr>
              <w:jc w:val="center"/>
              <w:rPr>
                <w:noProof/>
              </w:rPr>
            </w:pPr>
            <w:r>
              <w:rPr>
                <w:noProof/>
                <w:sz w:val="18"/>
              </w:rPr>
              <w:t xml:space="preserve">autres recettes affectées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sz w:val="20"/>
                <w:szCs w:val="20"/>
              </w:rPr>
            </w:pPr>
            <w:r>
              <w:rPr>
                <w:noProof/>
                <w:sz w:val="20"/>
              </w:rPr>
              <w:t>OUI/NON</w:t>
            </w:r>
          </w:p>
        </w:tc>
        <w:tc>
          <w:tcPr>
            <w:tcW w:w="956" w:type="dxa"/>
            <w:vAlign w:val="center"/>
          </w:tcPr>
          <w:p>
            <w:pPr>
              <w:jc w:val="center"/>
              <w:rPr>
                <w:noProof/>
                <w:sz w:val="20"/>
                <w:szCs w:val="20"/>
              </w:rPr>
            </w:pPr>
            <w:r>
              <w:rPr>
                <w:noProof/>
                <w:sz w:val="20"/>
              </w:rPr>
              <w:t>OUI/NON</w:t>
            </w:r>
          </w:p>
        </w:tc>
        <w:tc>
          <w:tcPr>
            <w:tcW w:w="1448" w:type="dxa"/>
            <w:vAlign w:val="center"/>
          </w:tcPr>
          <w:p>
            <w:pPr>
              <w:jc w:val="center"/>
              <w:rPr>
                <w:noProof/>
                <w:sz w:val="20"/>
                <w:szCs w:val="20"/>
              </w:rPr>
            </w:pPr>
            <w:r>
              <w:rPr>
                <w:noProof/>
                <w:sz w:val="20"/>
              </w:rPr>
              <w:t>OUI/NON</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CD/CND</w:t>
            </w:r>
          </w:p>
        </w:tc>
        <w:tc>
          <w:tcPr>
            <w:tcW w:w="956" w:type="dxa"/>
            <w:vAlign w:val="center"/>
          </w:tcPr>
          <w:p>
            <w:pPr>
              <w:jc w:val="center"/>
              <w:rPr>
                <w:noProof/>
                <w:sz w:val="20"/>
                <w:szCs w:val="20"/>
              </w:rPr>
            </w:pPr>
            <w:r>
              <w:rPr>
                <w:noProof/>
                <w:sz w:val="20"/>
              </w:rPr>
              <w:t>OUI/NON</w:t>
            </w:r>
          </w:p>
        </w:tc>
        <w:tc>
          <w:tcPr>
            <w:tcW w:w="1080" w:type="dxa"/>
            <w:vAlign w:val="center"/>
          </w:tcPr>
          <w:p>
            <w:pPr>
              <w:jc w:val="center"/>
              <w:rPr>
                <w:noProof/>
                <w:color w:val="0000FF"/>
                <w:sz w:val="20"/>
                <w:szCs w:val="20"/>
              </w:rPr>
            </w:pPr>
            <w:r>
              <w:rPr>
                <w:noProof/>
                <w:sz w:val="20"/>
              </w:rPr>
              <w:t>OUI/NON</w:t>
            </w:r>
          </w:p>
        </w:tc>
        <w:tc>
          <w:tcPr>
            <w:tcW w:w="956" w:type="dxa"/>
            <w:vAlign w:val="center"/>
          </w:tcPr>
          <w:p>
            <w:pPr>
              <w:jc w:val="center"/>
              <w:rPr>
                <w:noProof/>
                <w:color w:val="0000FF"/>
                <w:sz w:val="20"/>
                <w:szCs w:val="20"/>
              </w:rPr>
            </w:pPr>
            <w:r>
              <w:rPr>
                <w:noProof/>
                <w:sz w:val="20"/>
              </w:rPr>
              <w:t>OUI/NON</w:t>
            </w:r>
          </w:p>
        </w:tc>
        <w:tc>
          <w:tcPr>
            <w:tcW w:w="1448" w:type="dxa"/>
            <w:vAlign w:val="center"/>
          </w:tcPr>
          <w:p>
            <w:pPr>
              <w:jc w:val="center"/>
              <w:rPr>
                <w:noProof/>
                <w:sz w:val="20"/>
                <w:szCs w:val="20"/>
              </w:rPr>
            </w:pPr>
            <w:r>
              <w:rPr>
                <w:noProof/>
                <w:sz w:val="20"/>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Pr>
          <w:noProof/>
        </w:rPr>
        <w:t>3.2.</w:t>
      </w:r>
      <w:r>
        <w:rPr>
          <w:noProof/>
        </w:rPr>
        <w:tab/>
        <w:t>Incidence financière estimée de la proposition sur les crédits</w:t>
      </w:r>
      <w:bookmarkEnd w:id="127"/>
      <w:bookmarkEnd w:id="128"/>
      <w:bookmarkEnd w:id="129"/>
      <w:bookmarkEnd w:id="130"/>
      <w:bookmarkEnd w:id="131"/>
      <w:r>
        <w:rPr>
          <w:noProof/>
        </w:rPr>
        <w:t xml:space="preserve"> </w:t>
      </w:r>
    </w:p>
    <w:p>
      <w:pPr>
        <w:pStyle w:val="ManualHeading3"/>
        <w:rPr>
          <w:noProof/>
        </w:rPr>
      </w:pPr>
      <w:bookmarkStart w:id="132" w:name="_Toc514938053"/>
      <w:bookmarkStart w:id="133" w:name="_Toc520485052"/>
      <w:bookmarkStart w:id="134" w:name="_Toc160804594"/>
      <w:bookmarkStart w:id="135" w:name="_Toc167220286"/>
      <w:bookmarkStart w:id="136" w:name="_Toc177549019"/>
      <w:r>
        <w:rPr>
          <w:noProof/>
        </w:rPr>
        <w:t>3.2.1.</w:t>
      </w:r>
      <w:r>
        <w:rPr>
          <w:noProof/>
        </w:rPr>
        <w:tab/>
        <w:t>Synthèse de l’incidence estimée sur les crédits opérationnels</w:t>
      </w:r>
      <w:bookmarkEnd w:id="132"/>
      <w:bookmarkEnd w:id="133"/>
      <w:bookmarkEnd w:id="134"/>
      <w:bookmarkEnd w:id="135"/>
      <w:bookmarkEnd w:id="136"/>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opérationnels. </w:t>
      </w:r>
    </w:p>
    <w:p>
      <w:pPr>
        <w:pStyle w:val="ListDash1"/>
        <w:rPr>
          <w:noProof/>
        </w:rPr>
      </w:pPr>
      <w:r>
        <w:rPr>
          <w:rFonts w:ascii="Wingdings" w:hAnsi="Wingdings"/>
          <w:noProof/>
        </w:rPr>
        <w:t>¨</w:t>
      </w:r>
      <w:r>
        <w:rPr>
          <w:noProof/>
        </w:rPr>
        <w:tab/>
        <w:t>La proposition/l’initiative engendre l’utilisation de crédits opérationnels, comme expliqué ci-après:</w:t>
      </w:r>
    </w:p>
    <w:p>
      <w:pPr>
        <w:pStyle w:val="ManualHeading3"/>
        <w:rPr>
          <w:noProof/>
        </w:rPr>
      </w:pPr>
      <w:bookmarkStart w:id="137" w:name="_Toc160804595"/>
      <w:bookmarkStart w:id="138" w:name="_Toc167220287"/>
      <w:bookmarkStart w:id="139" w:name="_Toc177549020"/>
      <w:r>
        <w:rPr>
          <w:noProof/>
        </w:rPr>
        <w:t>3.2.1.1.</w:t>
      </w:r>
      <w:r>
        <w:rPr>
          <w:noProof/>
        </w:rPr>
        <w:tab/>
        <w:t>Crédits issus du budget voté</w:t>
      </w:r>
      <w:bookmarkEnd w:id="137"/>
      <w:bookmarkEnd w:id="138"/>
      <w:bookmarkEnd w:id="139"/>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1503"/>
        <w:gridCol w:w="1411"/>
        <w:gridCol w:w="1411"/>
        <w:gridCol w:w="1411"/>
        <w:gridCol w:w="1402"/>
        <w:gridCol w:w="9"/>
        <w:gridCol w:w="1394"/>
        <w:gridCol w:w="1644"/>
      </w:tblGrid>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52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color w:val="000000"/>
                <w:sz w:val="21"/>
              </w:rPr>
              <w:br/>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=4+ 6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=5+ 6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w:t>
            </w:r>
            <w:r>
              <w:rPr>
                <w:noProof/>
                <w:sz w:val="22"/>
              </w:rPr>
              <w:br/>
            </w:r>
            <w:r>
              <w:rPr>
                <w:b/>
                <w:noProof/>
                <w:sz w:val="22"/>
              </w:rPr>
              <w:t xml:space="preserve">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rPr>
      </w:pPr>
    </w:p>
    <w:tbl>
      <w:tblPr>
        <w:tblW w:w="5000" w:type="pct"/>
        <w:tblLook w:val="04A0" w:firstRow="1" w:lastRow="0" w:firstColumn="1" w:lastColumn="0" w:noHBand="0" w:noVBand="1"/>
      </w:tblPr>
      <w:tblGrid>
        <w:gridCol w:w="4329"/>
        <w:gridCol w:w="1399"/>
        <w:gridCol w:w="1960"/>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92"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688"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329"/>
        <w:gridCol w:w="1340"/>
        <w:gridCol w:w="2019"/>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71"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709"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color w:val="000000"/>
                <w:sz w:val="21"/>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=4+ 6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=5+ 6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 xml:space="preserve"> 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=4+ 6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du cadre financier pluriannuel</w:t>
            </w:r>
            <w:r>
              <w:rPr>
                <w:noProof/>
                <w:color w:val="000000"/>
                <w:sz w:val="20"/>
              </w:rPr>
              <w:br/>
              <w:t>(Montant de référence)</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=5+ 6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trPr>
          <w:jc w:val="center"/>
        </w:trPr>
        <w:tc>
          <w:tcPr>
            <w:tcW w:w="1739" w:type="pct"/>
            <w:gridSpan w:val="2"/>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96" w:type="pct"/>
            <w:shd w:val="thinDiagStripe" w:color="C0C0C0" w:fill="auto"/>
            <w:vAlign w:val="center"/>
          </w:tcPr>
          <w:p>
            <w:pPr>
              <w:spacing w:before="60" w:after="60"/>
              <w:jc w:val="center"/>
              <w:rPr>
                <w:noProof/>
              </w:rPr>
            </w:pPr>
            <w:r>
              <w:rPr>
                <w:b/>
                <w:noProof/>
                <w:sz w:val="22"/>
              </w:rPr>
              <w:t>7</w:t>
            </w:r>
          </w:p>
        </w:tc>
        <w:tc>
          <w:tcPr>
            <w:tcW w:w="2865" w:type="pct"/>
            <w:gridSpan w:val="8"/>
            <w:vAlign w:val="center"/>
          </w:tcPr>
          <w:p>
            <w:pPr>
              <w:spacing w:before="60" w:after="60"/>
              <w:rPr>
                <w:noProof/>
              </w:rPr>
            </w:pPr>
            <w:r>
              <w:rPr>
                <w:noProof/>
                <w:sz w:val="22"/>
              </w:rPr>
              <w:t>«Dépenses administratives»</w:t>
            </w:r>
            <w:r>
              <w:rPr>
                <w:noProof/>
              </w:rPr>
              <w:t xml:space="preserve"> </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Ressources humaines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Ressources humaines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du cadre financier pluriannuel</w:t>
            </w:r>
            <w:r>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noProof/>
        </w:rPr>
      </w:pPr>
      <w:bookmarkStart w:id="140" w:name="_Toc160804596"/>
      <w:bookmarkStart w:id="141" w:name="_Toc167220288"/>
      <w:bookmarkStart w:id="142" w:name="_Toc177549021"/>
      <w:r>
        <w:rPr>
          <w:noProof/>
        </w:rPr>
        <w:t>3.2.1.2.</w:t>
      </w:r>
      <w:r>
        <w:rPr>
          <w:noProof/>
        </w:rPr>
        <w:tab/>
        <w:t>Crédits issus de recettes affectées externes</w:t>
      </w:r>
      <w:bookmarkEnd w:id="140"/>
      <w:bookmarkEnd w:id="141"/>
      <w:bookmarkEnd w:id="142"/>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color w:val="000000"/>
                <w:sz w:val="21"/>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=4+ 6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=5+ 6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gridSpan w:val="2"/>
            <w:vAlign w:val="center"/>
          </w:tcPr>
          <w:p>
            <w:pPr>
              <w:spacing w:before="60" w:after="60"/>
              <w:jc w:val="center"/>
              <w:rPr>
                <w:noProof/>
              </w:rPr>
            </w:pPr>
            <w:r>
              <w:rPr>
                <w:noProof/>
                <w:sz w:val="22"/>
              </w:rPr>
              <w:t>Numéro</w:t>
            </w:r>
          </w:p>
        </w:tc>
        <w:tc>
          <w:tcPr>
            <w:tcW w:w="2865" w:type="pct"/>
            <w:gridSpan w:val="7"/>
            <w:vAlign w:val="center"/>
          </w:tcPr>
          <w:p>
            <w:pPr>
              <w:spacing w:before="60" w:after="60"/>
              <w:rPr>
                <w:noProof/>
              </w:rPr>
            </w:pPr>
          </w:p>
        </w:tc>
      </w:tr>
    </w:tbl>
    <w:p>
      <w:pPr>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6"/>
            <w:vMerge/>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 xml:space="preserve">Pour la DG </w:t>
            </w:r>
            <w:r>
              <w:rPr>
                <w:noProof/>
                <w:color w:val="000000"/>
                <w:sz w:val="22"/>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opérationnels </w:t>
            </w:r>
            <w:r>
              <w:rPr>
                <w:noProof/>
                <w:color w:val="000000"/>
                <w:sz w:val="21"/>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=4+ 6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=5+ 6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=4+ 6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du cadre financier pluriannuel (montant de référence)</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=5+ 6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80" w:type="pct"/>
            <w:shd w:val="thinDiagStripe" w:color="C0C0C0" w:fill="auto"/>
            <w:vAlign w:val="center"/>
          </w:tcPr>
          <w:p>
            <w:pPr>
              <w:spacing w:before="60" w:after="60"/>
              <w:jc w:val="center"/>
              <w:rPr>
                <w:noProof/>
              </w:rPr>
            </w:pPr>
            <w:r>
              <w:rPr>
                <w:b/>
                <w:noProof/>
                <w:sz w:val="22"/>
              </w:rPr>
              <w:t>7</w:t>
            </w:r>
          </w:p>
        </w:tc>
        <w:tc>
          <w:tcPr>
            <w:tcW w:w="2749" w:type="pct"/>
            <w:vAlign w:val="center"/>
          </w:tcPr>
          <w:p>
            <w:pPr>
              <w:spacing w:before="60" w:after="60"/>
              <w:rPr>
                <w:noProof/>
              </w:rPr>
            </w:pPr>
            <w:r>
              <w:rPr>
                <w:noProof/>
                <w:sz w:val="22"/>
              </w:rPr>
              <w:t>«Dépenses administratives»</w:t>
            </w:r>
            <w:r>
              <w:rPr>
                <w:noProof/>
              </w:rPr>
              <w:t xml:space="preserve"> </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Ressources humaines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Ressources humaines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color w:val="000000"/>
                <w:sz w:val="22"/>
              </w:rPr>
              <w:t xml:space="preserve">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DG</w:t>
            </w:r>
            <w:r>
              <w:rPr>
                <w:noProof/>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CFP 2021-2027</w:t>
            </w:r>
          </w:p>
        </w:tc>
      </w:tr>
      <w:tr>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du cadre financier pluriannuel</w:t>
            </w:r>
            <w:r>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Pr>
          <w:noProof/>
        </w:rPr>
        <w:t>3.2.2.</w:t>
      </w:r>
      <w:r>
        <w:rPr>
          <w:noProof/>
        </w:rPr>
        <w:tab/>
        <w:t>Estimation des réalisations financées à partir des crédits opérationnels</w:t>
      </w:r>
      <w:bookmarkEnd w:id="143"/>
      <w:bookmarkEnd w:id="144"/>
      <w:r>
        <w:rPr>
          <w:noProof/>
        </w:rPr>
        <w:t xml:space="preserve"> (cette section ne doit pas être complétée pour les organismes décentralisés)</w:t>
      </w:r>
      <w:bookmarkEnd w:id="145"/>
      <w:bookmarkEnd w:id="146"/>
      <w:bookmarkEnd w:id="147"/>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Année </w:t>
            </w:r>
            <w:r>
              <w:rPr>
                <w:noProof/>
                <w:sz w:val="22"/>
              </w:rPr>
              <w:br/>
            </w:r>
            <w:r>
              <w:rPr>
                <w:b/>
                <w:noProof/>
                <w:sz w:val="18"/>
              </w:rPr>
              <w:t>2024</w:t>
            </w:r>
          </w:p>
        </w:tc>
        <w:tc>
          <w:tcPr>
            <w:tcW w:w="126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2025</w:t>
            </w:r>
          </w:p>
        </w:tc>
        <w:tc>
          <w:tcPr>
            <w:tcW w:w="1440" w:type="dxa"/>
            <w:gridSpan w:val="2"/>
            <w:vAlign w:val="center"/>
          </w:tcPr>
          <w:p>
            <w:pPr>
              <w:ind w:right="-29"/>
              <w:jc w:val="center"/>
              <w:rPr>
                <w:noProof/>
                <w:sz w:val="18"/>
                <w:szCs w:val="18"/>
              </w:rPr>
            </w:pPr>
            <w:r>
              <w:rPr>
                <w:noProof/>
                <w:sz w:val="18"/>
              </w:rPr>
              <w:t xml:space="preserve">Année </w:t>
            </w:r>
            <w:r>
              <w:rPr>
                <w:noProof/>
                <w:sz w:val="22"/>
              </w:rPr>
              <w:br/>
            </w:r>
            <w:r>
              <w:rPr>
                <w:b/>
                <w:noProof/>
                <w:sz w:val="18"/>
              </w:rPr>
              <w:t>2026</w:t>
            </w:r>
          </w:p>
        </w:tc>
        <w:tc>
          <w:tcPr>
            <w:tcW w:w="1620" w:type="dxa"/>
            <w:gridSpan w:val="3"/>
            <w:vAlign w:val="center"/>
          </w:tcPr>
          <w:p>
            <w:pPr>
              <w:ind w:right="-29"/>
              <w:jc w:val="center"/>
              <w:rPr>
                <w:noProof/>
                <w:sz w:val="18"/>
                <w:szCs w:val="18"/>
              </w:rPr>
            </w:pPr>
            <w:r>
              <w:rPr>
                <w:noProof/>
                <w:sz w:val="18"/>
              </w:rPr>
              <w:t xml:space="preserve">Année </w:t>
            </w:r>
            <w:r>
              <w:rPr>
                <w:noProof/>
                <w:sz w:val="22"/>
              </w:rPr>
              <w:br/>
            </w:r>
            <w:r>
              <w:rPr>
                <w:b/>
                <w:noProof/>
                <w:sz w:val="18"/>
              </w:rPr>
              <w:t>2027</w:t>
            </w:r>
          </w:p>
        </w:tc>
        <w:tc>
          <w:tcPr>
            <w:tcW w:w="3600" w:type="dxa"/>
            <w:gridSpan w:val="6"/>
            <w:vAlign w:val="center"/>
          </w:tcPr>
          <w:p>
            <w:pPr>
              <w:jc w:val="center"/>
              <w:rPr>
                <w:noProof/>
                <w:sz w:val="18"/>
                <w:szCs w:val="18"/>
              </w:rPr>
            </w:pPr>
            <w:r>
              <w:rPr>
                <w:noProof/>
                <w:sz w:val="18"/>
              </w:rPr>
              <w:t>Insérer autant d’années que nécessaire, pour refléter la durée de l’incidence (voir section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7"/>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1</w:t>
            </w:r>
            <w:r>
              <w:rPr>
                <w:rStyle w:val="FootnoteReference"/>
                <w:noProof/>
                <w:sz w:val="18"/>
              </w:rPr>
              <w:footnoteReference w:id="8"/>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nº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Sous-total objectif spécifique nº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9"/>
          <w:footerReference w:type="default" r:id="rId20"/>
          <w:pgSz w:w="16840" w:h="11907" w:orient="landscape" w:code="9"/>
          <w:pgMar w:top="1134" w:right="1418" w:bottom="567" w:left="1418" w:header="709" w:footer="709" w:gutter="0"/>
          <w:cols w:space="708"/>
          <w:docGrid w:linePitch="360"/>
        </w:sectPr>
      </w:pPr>
    </w:p>
    <w:p>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Pr>
          <w:noProof/>
        </w:rPr>
        <w:t>3.2.3.</w:t>
      </w:r>
      <w:r>
        <w:rPr>
          <w:noProof/>
        </w:rPr>
        <w:tab/>
        <w:t>Synthèse de l’incidence estimée sur les crédits administratifs</w:t>
      </w:r>
      <w:bookmarkEnd w:id="148"/>
      <w:bookmarkEnd w:id="149"/>
      <w:bookmarkEnd w:id="150"/>
      <w:bookmarkEnd w:id="151"/>
      <w:bookmarkEnd w:id="152"/>
      <w:r>
        <w:rPr>
          <w:noProof/>
        </w:rPr>
        <w:t xml:space="preserve"> </w:t>
      </w:r>
    </w:p>
    <w:p>
      <w:pPr>
        <w:pStyle w:val="ListDash1"/>
        <w:rPr>
          <w:noProof/>
        </w:rPr>
      </w:pPr>
      <w:r>
        <w:rPr>
          <w:rFonts w:ascii="Wingdings" w:hAnsi="Wingdings"/>
          <w:noProof/>
        </w:rPr>
        <w:t>¨</w:t>
      </w:r>
      <w:r>
        <w:rPr>
          <w:noProof/>
        </w:rPr>
        <w:tab/>
        <w:t xml:space="preserve">La proposition/L’initiative n’engendre pas l’utilisation de crédits de nature administrative. </w:t>
      </w:r>
    </w:p>
    <w:p>
      <w:pPr>
        <w:pStyle w:val="ListDash1"/>
        <w:rPr>
          <w:noProof/>
        </w:rPr>
      </w:pPr>
      <w:r>
        <w:rPr>
          <w:rFonts w:ascii="Wingdings" w:hAnsi="Wingdings"/>
          <w:noProof/>
        </w:rPr>
        <w:t>¨</w:t>
      </w:r>
      <w:r>
        <w:rPr>
          <w:noProof/>
        </w:rPr>
        <w:tab/>
        <w:t>La proposition/l’initiative engendre l’utilisation de crédits de nature administrative, comme expliqué ci-après.</w:t>
      </w:r>
    </w:p>
    <w:p>
      <w:pPr>
        <w:pStyle w:val="ListDash1"/>
        <w:rPr>
          <w:noProof/>
        </w:rPr>
      </w:pPr>
    </w:p>
    <w:p>
      <w:pPr>
        <w:pStyle w:val="ListDash1"/>
        <w:rPr>
          <w:noProof/>
        </w:rPr>
      </w:pPr>
      <w:r>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ListDash1"/>
        <w:rPr>
          <w:noProof/>
        </w:rPr>
      </w:pPr>
    </w:p>
    <w:p>
      <w:pPr>
        <w:pStyle w:val="ManualHeading3"/>
        <w:rPr>
          <w:noProof/>
        </w:rPr>
      </w:pPr>
      <w:bookmarkStart w:id="153" w:name="_Toc167220291"/>
      <w:bookmarkStart w:id="154" w:name="_Toc177549024"/>
      <w:r>
        <w:rPr>
          <w:noProof/>
        </w:rPr>
        <w:t>3.2.3.1. Crédits issus du budget voté</w:t>
      </w:r>
      <w:bookmarkEnd w:id="153"/>
      <w:bookmarkEnd w:id="154"/>
    </w:p>
    <w:tbl>
      <w:tblPr>
        <w:tblW w:w="5000" w:type="pct"/>
        <w:tblLook w:val="04A0" w:firstRow="1" w:lastRow="0" w:firstColumn="1" w:lastColumn="0" w:noHBand="0" w:noVBand="1"/>
      </w:tblPr>
      <w:tblGrid>
        <w:gridCol w:w="3994"/>
        <w:gridCol w:w="995"/>
        <w:gridCol w:w="996"/>
        <w:gridCol w:w="996"/>
        <w:gridCol w:w="996"/>
        <w:gridCol w:w="1312"/>
      </w:tblGrid>
      <w:tr>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5" w:name="_Toc167220292"/>
      <w:bookmarkStart w:id="156" w:name="_Toc177549025"/>
      <w:r>
        <w:rPr>
          <w:noProof/>
        </w:rPr>
        <w:t>3.2.3.2.</w:t>
      </w:r>
      <w:r>
        <w:rPr>
          <w:noProof/>
        </w:rPr>
        <w:tab/>
        <w:t>Crédits issus de recettes affectées externes</w:t>
      </w:r>
      <w:bookmarkEnd w:id="155"/>
      <w:bookmarkEnd w:id="156"/>
    </w:p>
    <w:tbl>
      <w:tblPr>
        <w:tblW w:w="5000" w:type="pct"/>
        <w:tblLook w:val="04A0" w:firstRow="1" w:lastRow="0" w:firstColumn="1" w:lastColumn="0" w:noHBand="0" w:noVBand="1"/>
      </w:tblPr>
      <w:tblGrid>
        <w:gridCol w:w="3993"/>
        <w:gridCol w:w="996"/>
        <w:gridCol w:w="996"/>
        <w:gridCol w:w="996"/>
        <w:gridCol w:w="996"/>
        <w:gridCol w:w="1312"/>
      </w:tblGrid>
      <w:tr>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w:t>
            </w:r>
          </w:p>
        </w:tc>
      </w:tr>
      <w:tr>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7" w:name="_Toc167220293"/>
      <w:bookmarkStart w:id="158" w:name="_Toc177549026"/>
      <w:r>
        <w:rPr>
          <w:noProof/>
        </w:rPr>
        <w:t>3.2.3.3.</w:t>
      </w:r>
      <w:r>
        <w:rPr>
          <w:noProof/>
        </w:rPr>
        <w:tab/>
        <w:t>Total des crédits</w:t>
      </w:r>
      <w:bookmarkEnd w:id="157"/>
      <w:bookmarkEnd w:id="158"/>
    </w:p>
    <w:tbl>
      <w:tblPr>
        <w:tblW w:w="8680" w:type="dxa"/>
        <w:tblLook w:val="04A0" w:firstRow="1" w:lastRow="0" w:firstColumn="1" w:lastColumn="0" w:noHBand="0" w:noVBand="1"/>
      </w:tblPr>
      <w:tblGrid>
        <w:gridCol w:w="3685"/>
        <w:gridCol w:w="932"/>
        <w:gridCol w:w="925"/>
        <w:gridCol w:w="918"/>
        <w:gridCol w:w="912"/>
        <w:gridCol w:w="1312"/>
      </w:tblGrid>
      <w:tr>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b/>
                <w:noProof/>
                <w:color w:val="000000"/>
                <w:sz w:val="18"/>
              </w:rPr>
              <w:br/>
              <w:t>CRÉDITS VOTÉS RECETTES                            +                                                                AFFECTÉES EXTERNES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RUBRIQUE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Hors RUBRIQUE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w:t>
            </w:r>
          </w:p>
        </w:tc>
      </w:tr>
      <w:tr>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bCs/>
          <w:noProof/>
          <w:szCs w:val="24"/>
        </w:rPr>
      </w:pPr>
      <w:bookmarkStart w:id="159" w:name="_Toc167220294"/>
      <w:bookmarkStart w:id="160" w:name="_Toc177549027"/>
      <w:r>
        <w:rPr>
          <w:noProof/>
        </w:rPr>
        <w:t>3.2.4.</w:t>
      </w:r>
      <w:r>
        <w:rPr>
          <w:noProof/>
        </w:rPr>
        <w:tab/>
        <w:t>Besoins estimés en ressources humaines</w:t>
      </w:r>
      <w:bookmarkEnd w:id="159"/>
      <w:bookmarkEnd w:id="160"/>
      <w:r>
        <w:rPr>
          <w:noProof/>
        </w:rPr>
        <w:t xml:space="preserve"> </w:t>
      </w:r>
    </w:p>
    <w:p>
      <w:pPr>
        <w:pStyle w:val="ListDash1"/>
        <w:rPr>
          <w:noProof/>
        </w:rPr>
      </w:pPr>
      <w:r>
        <w:rPr>
          <w:rFonts w:ascii="Wingdings" w:hAnsi="Wingdings"/>
          <w:noProof/>
        </w:rPr>
        <w:t>¨</w:t>
      </w:r>
      <w:r>
        <w:rPr>
          <w:noProof/>
        </w:rPr>
        <w:tab/>
        <w:t xml:space="preserve">La proposition/l’initiative n’engendre pas l’utilisation de ressources humaines. </w:t>
      </w:r>
    </w:p>
    <w:p>
      <w:pPr>
        <w:pStyle w:val="ListDash1"/>
        <w:rPr>
          <w:noProof/>
        </w:rPr>
      </w:pPr>
      <w:r>
        <w:rPr>
          <w:rFonts w:ascii="Wingdings" w:hAnsi="Wingdings"/>
          <w:noProof/>
        </w:rPr>
        <w:t>¨</w:t>
      </w:r>
      <w:r>
        <w:rPr>
          <w:noProof/>
        </w:rPr>
        <w:tab/>
        <w:t>La proposition/l’initiative engendre l’utilisation de ressources humaines, comme expliqué ci-après.</w:t>
      </w:r>
    </w:p>
    <w:p>
      <w:pPr>
        <w:pStyle w:val="ListDash1"/>
        <w:rPr>
          <w:noProof/>
        </w:rPr>
      </w:pPr>
      <w:r>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ListDash1"/>
        <w:rPr>
          <w:noProof/>
        </w:rPr>
      </w:pPr>
    </w:p>
    <w:p>
      <w:pPr>
        <w:pStyle w:val="ManualHeading3"/>
        <w:rPr>
          <w:noProof/>
        </w:rPr>
      </w:pPr>
      <w:bookmarkStart w:id="161" w:name="_Toc167220295"/>
      <w:bookmarkStart w:id="162" w:name="_Toc177549028"/>
      <w:r>
        <w:rPr>
          <w:noProof/>
        </w:rPr>
        <w:t>3.2.4.1.</w:t>
      </w:r>
      <w:r>
        <w:rPr>
          <w:noProof/>
        </w:rPr>
        <w:tab/>
        <w:t>Financement sur le budget voté</w:t>
      </w:r>
      <w:bookmarkEnd w:id="161"/>
      <w:bookmarkEnd w:id="162"/>
    </w:p>
    <w:p>
      <w:pPr>
        <w:spacing w:after="60"/>
        <w:jc w:val="right"/>
        <w:rPr>
          <w:i/>
          <w:noProof/>
          <w:sz w:val="20"/>
        </w:rPr>
      </w:pPr>
      <w:r>
        <w:rPr>
          <w:i/>
          <w:noProof/>
          <w:sz w:val="20"/>
        </w:rPr>
        <w:t>Estimation à exprimer en équivalents temps plein (ETP)</w:t>
      </w:r>
    </w:p>
    <w:p>
      <w:pPr>
        <w:pStyle w:val="Text1"/>
        <w:spacing w:before="60" w:after="60"/>
        <w:ind w:left="-426" w:right="-427"/>
        <w:rPr>
          <w:b/>
          <w:noProof/>
          <w:sz w:val="18"/>
          <w:szCs w:val="18"/>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CRÉDITS VOTÉS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Emplois du tableau des effectifs (fonctionnaires et agents temporaires)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Ligne d’appui administratif</w:t>
            </w:r>
            <w:r>
              <w:rPr>
                <w:noProof/>
                <w:color w:val="000000"/>
                <w:sz w:val="16"/>
              </w:rPr>
              <w:b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4" w:name="_Toc167220296"/>
      <w:bookmarkStart w:id="165" w:name="_Toc177549029"/>
      <w:r>
        <w:rPr>
          <w:noProof/>
        </w:rPr>
        <w:t>3.2.4.2.</w:t>
      </w:r>
      <w:r>
        <w:rPr>
          <w:noProof/>
        </w:rPr>
        <w:tab/>
        <w:t>Financement par des recettes affectées externes</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Emplois du tableau des effectifs (fonctionnaires et agents temporaires)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Ligne d’appui administratif </w:t>
            </w:r>
            <w:r>
              <w:rPr>
                <w:noProof/>
                <w:color w:val="000000"/>
                <w:sz w:val="16"/>
              </w:rPr>
              <w:b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6" w:name="_Toc167220297"/>
      <w:bookmarkStart w:id="167" w:name="_Toc177549030"/>
      <w:r>
        <w:rPr>
          <w:noProof/>
        </w:rPr>
        <w:t>3.2.4.3.</w:t>
      </w:r>
      <w:r>
        <w:rPr>
          <w:noProof/>
        </w:rPr>
        <w:tab/>
        <w:t>Total des besoins en ressources humaines</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r>
      <w:tr>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équivalents temps plein)</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Ligne d’appui administratif </w:t>
            </w:r>
            <w:r>
              <w:rPr>
                <w:noProof/>
                <w:color w:val="000000"/>
                <w:sz w:val="16"/>
              </w:rPr>
              <w:br/>
              <w:t>[XX.01.YY.YY]</w:t>
            </w: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Text1"/>
        <w:ind w:left="-426" w:right="-427"/>
        <w:rPr>
          <w:noProof/>
        </w:rPr>
      </w:pPr>
      <w:bookmarkStart w:id="168" w:name="_Hlk167692843"/>
      <w:bookmarkEnd w:id="163"/>
      <w:r>
        <w:rPr>
          <w:noProof/>
        </w:rPr>
        <w:t>Les besoins en ressources humaines seront couverts par les effectifs de la DG déjà affectés à la gestion de l’action et/ou redéployés en interne au sein de la DG ou d’autres services de la Commission.</w:t>
      </w:r>
    </w:p>
    <w:p>
      <w:pPr>
        <w:pStyle w:val="Text1"/>
        <w:ind w:left="-426"/>
        <w:rPr>
          <w:noProof/>
          <w:color w:val="000000" w:themeColor="text1"/>
        </w:rPr>
      </w:pPr>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611"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À financer sur la rubrique 7 ou la recherche</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Personnel externe (AC, END, INT)</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rPr>
          <w:noProof/>
        </w:rPr>
      </w:pPr>
      <w:r>
        <w:rPr>
          <w:noProof/>
        </w:rPr>
        <w:t>*</w:t>
      </w:r>
    </w:p>
    <w:p>
      <w:pPr>
        <w:pStyle w:val="Text1"/>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Fonctionnaires et agents temporaires</w:t>
            </w:r>
          </w:p>
        </w:tc>
        <w:tc>
          <w:tcPr>
            <w:tcW w:w="7200" w:type="dxa"/>
          </w:tcPr>
          <w:p>
            <w:pPr>
              <w:rPr>
                <w:noProof/>
                <w:sz w:val="20"/>
              </w:rPr>
            </w:pPr>
          </w:p>
        </w:tc>
      </w:tr>
      <w:tr>
        <w:tc>
          <w:tcPr>
            <w:tcW w:w="3240" w:type="dxa"/>
          </w:tcPr>
          <w:p>
            <w:pPr>
              <w:spacing w:before="60" w:after="60"/>
              <w:rPr>
                <w:noProof/>
                <w:sz w:val="20"/>
              </w:rPr>
            </w:pPr>
            <w:r>
              <w:rPr>
                <w:noProof/>
                <w:sz w:val="20"/>
              </w:rPr>
              <w:t>Personnel externe</w:t>
            </w:r>
          </w:p>
        </w:tc>
        <w:tc>
          <w:tcPr>
            <w:tcW w:w="7200" w:type="dxa"/>
          </w:tcPr>
          <w:p>
            <w:pPr>
              <w:rPr>
                <w:noProof/>
                <w:sz w:val="20"/>
              </w:rPr>
            </w:pPr>
          </w:p>
        </w:tc>
      </w:tr>
    </w:tbl>
    <w:p>
      <w:pPr>
        <w:pStyle w:val="ManualHeading3"/>
        <w:rPr>
          <w:noProof/>
        </w:rPr>
      </w:pPr>
      <w:bookmarkStart w:id="169" w:name="_Toc177549031"/>
      <w:r>
        <w:rPr>
          <w:noProof/>
        </w:rPr>
        <w:t>3.2.5.</w:t>
      </w:r>
      <w:r>
        <w:rPr>
          <w:noProof/>
        </w:rPr>
        <w:tab/>
        <w:t>Vue d’ensemble de l’incidence estimée sur les investissements liés aux technologies numériques</w:t>
      </w:r>
      <w:bookmarkEnd w:id="169"/>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CFP 2021-2027</w:t>
            </w:r>
          </w:p>
        </w:tc>
      </w:tr>
      <w:tr>
        <w:trPr>
          <w:trHeight w:val="525"/>
        </w:trPr>
        <w:tc>
          <w:tcPr>
            <w:tcW w:w="3214" w:type="dxa"/>
            <w:vMerge/>
            <w:tcBorders>
              <w:top w:val="single" w:sz="8" w:space="0" w:color="auto"/>
              <w:left w:val="single" w:sz="4" w:space="0" w:color="auto"/>
              <w:right w:val="single" w:sz="4" w:space="0" w:color="auto"/>
            </w:tcBorders>
            <w:vAlign w:val="center"/>
          </w:tcPr>
          <w:p>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bottom w:val="single" w:sz="4" w:space="0" w:color="auto"/>
              <w:right w:val="single" w:sz="4"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Dépenses informatiques (institutionnelles)</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Hors RUBRIQUE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Pr>
          <w:noProof/>
        </w:rPr>
        <w:t>3.2.6.</w:t>
      </w:r>
      <w:r>
        <w:rPr>
          <w:noProof/>
        </w:rPr>
        <w:tab/>
        <w:t>Compatibilité avec le cadre financier pluriannuel actuel</w:t>
      </w:r>
      <w:bookmarkEnd w:id="170"/>
      <w:bookmarkEnd w:id="171"/>
      <w:bookmarkEnd w:id="172"/>
      <w:bookmarkEnd w:id="173"/>
      <w:bookmarkEnd w:id="174"/>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peut être intégralement financée par voie de redéploiement au sein de la rubrique concernée du cadre financier pluriannuel (CFP)</w:t>
      </w:r>
    </w:p>
    <w:p>
      <w:pPr>
        <w:pStyle w:val="ListDash1"/>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rPr>
          <w:noProof/>
        </w:rPr>
      </w:pPr>
      <w:r>
        <w:rPr>
          <w:rFonts w:ascii="Wingdings" w:hAnsi="Wingdings"/>
          <w:noProof/>
        </w:rPr>
        <w:t>¨</w:t>
      </w:r>
      <w:r>
        <w:rPr>
          <w:noProof/>
        </w:rPr>
        <w:tab/>
        <w:t>nécessite une révision du CFP</w:t>
      </w:r>
    </w:p>
    <w:p>
      <w:pPr>
        <w:pStyle w:val="ManualHeading3"/>
        <w:rPr>
          <w:noProof/>
        </w:rPr>
      </w:pPr>
      <w:bookmarkStart w:id="175" w:name="_Toc514938058"/>
      <w:bookmarkStart w:id="176" w:name="_Toc520485056"/>
      <w:bookmarkStart w:id="177" w:name="_Toc160804600"/>
      <w:bookmarkStart w:id="178" w:name="_Toc167220299"/>
      <w:bookmarkStart w:id="179" w:name="_Toc177549033"/>
      <w:r>
        <w:rPr>
          <w:noProof/>
        </w:rPr>
        <w:t>3.2.7.</w:t>
      </w:r>
      <w:r>
        <w:rPr>
          <w:noProof/>
        </w:rPr>
        <w:tab/>
        <w:t>Participation de tiers au financement</w:t>
      </w:r>
      <w:bookmarkEnd w:id="175"/>
      <w:bookmarkEnd w:id="176"/>
      <w:bookmarkEnd w:id="177"/>
      <w:bookmarkEnd w:id="178"/>
      <w:bookmarkEnd w:id="179"/>
      <w:r>
        <w:rPr>
          <w:noProof/>
        </w:rPr>
        <w:t xml:space="preserve"> </w:t>
      </w:r>
    </w:p>
    <w:p>
      <w:pPr>
        <w:pStyle w:val="Text1"/>
        <w:rPr>
          <w:noProof/>
        </w:rPr>
      </w:pPr>
      <w:r>
        <w:rPr>
          <w:noProof/>
        </w:rPr>
        <w:t>La proposition/l’initiative:</w:t>
      </w:r>
    </w:p>
    <w:p>
      <w:pPr>
        <w:pStyle w:val="ListDash1"/>
        <w:rPr>
          <w:noProof/>
        </w:rPr>
      </w:pPr>
      <w:r>
        <w:rPr>
          <w:rFonts w:ascii="Wingdings" w:hAnsi="Wingdings"/>
          <w:noProof/>
        </w:rPr>
        <w:t>¨</w:t>
      </w:r>
      <w:r>
        <w:rPr>
          <w:noProof/>
        </w:rPr>
        <w:tab/>
        <w:t>ne prévoit pas de cofinancement par des tierces parties</w:t>
      </w:r>
    </w:p>
    <w:p>
      <w:pPr>
        <w:pStyle w:val="ListDash1"/>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Année </w:t>
            </w:r>
            <w:r>
              <w:rPr>
                <w:noProof/>
                <w:sz w:val="22"/>
              </w:rPr>
              <w:br/>
            </w:r>
            <w:r>
              <w:rPr>
                <w:b/>
                <w:noProof/>
                <w:sz w:val="20"/>
              </w:rPr>
              <w:t>2024</w:t>
            </w:r>
          </w:p>
        </w:tc>
        <w:tc>
          <w:tcPr>
            <w:tcW w:w="655" w:type="pct"/>
            <w:vAlign w:val="center"/>
          </w:tcPr>
          <w:p>
            <w:pPr>
              <w:jc w:val="center"/>
              <w:rPr>
                <w:noProof/>
                <w:sz w:val="20"/>
              </w:rPr>
            </w:pPr>
            <w:r>
              <w:rPr>
                <w:noProof/>
                <w:sz w:val="20"/>
              </w:rPr>
              <w:t xml:space="preserve">Année </w:t>
            </w:r>
            <w:r>
              <w:rPr>
                <w:noProof/>
                <w:sz w:val="22"/>
              </w:rPr>
              <w:br/>
            </w:r>
            <w:r>
              <w:rPr>
                <w:b/>
                <w:noProof/>
                <w:sz w:val="20"/>
              </w:rPr>
              <w:t>2025</w:t>
            </w:r>
          </w:p>
        </w:tc>
        <w:tc>
          <w:tcPr>
            <w:tcW w:w="655" w:type="pct"/>
            <w:vAlign w:val="center"/>
          </w:tcPr>
          <w:p>
            <w:pPr>
              <w:jc w:val="center"/>
              <w:rPr>
                <w:noProof/>
                <w:sz w:val="20"/>
              </w:rPr>
            </w:pPr>
            <w:r>
              <w:rPr>
                <w:noProof/>
                <w:sz w:val="20"/>
              </w:rPr>
              <w:t xml:space="preserve">Année </w:t>
            </w:r>
            <w:r>
              <w:rPr>
                <w:noProof/>
                <w:sz w:val="22"/>
              </w:rPr>
              <w:br/>
            </w:r>
            <w:r>
              <w:rPr>
                <w:b/>
                <w:noProof/>
                <w:sz w:val="20"/>
              </w:rPr>
              <w:t>2026</w:t>
            </w:r>
          </w:p>
        </w:tc>
        <w:tc>
          <w:tcPr>
            <w:tcW w:w="655" w:type="pct"/>
            <w:vAlign w:val="center"/>
          </w:tcPr>
          <w:p>
            <w:pPr>
              <w:jc w:val="center"/>
              <w:rPr>
                <w:noProof/>
                <w:sz w:val="20"/>
              </w:rPr>
            </w:pPr>
            <w:r>
              <w:rPr>
                <w:noProof/>
                <w:sz w:val="20"/>
              </w:rPr>
              <w:t xml:space="preserve">Année </w:t>
            </w:r>
            <w:r>
              <w:rPr>
                <w:noProof/>
                <w:sz w:val="22"/>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Préciser l’organisme de cofinancement</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crédits cofinancés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br/>
      </w:r>
      <w:bookmarkStart w:id="180" w:name="_Toc514938059"/>
      <w:bookmarkStart w:id="181" w:name="_Toc520485057"/>
      <w:bookmarkStart w:id="182" w:name="_Toc160804602"/>
      <w:bookmarkStart w:id="183" w:name="_Toc167220300"/>
      <w:bookmarkStart w:id="184" w:name="_Toc177549034"/>
      <w:bookmarkStart w:id="185" w:name="_Hlk166860179"/>
      <w:r>
        <w:rPr>
          <w:noProof/>
        </w:rPr>
        <w:t>3.3.</w:t>
      </w:r>
      <w:r>
        <w:rPr>
          <w:noProof/>
        </w:rPr>
        <w:tab/>
        <w:t>Incidence estimée sur les recettes</w:t>
      </w:r>
      <w:bookmarkEnd w:id="180"/>
      <w:bookmarkEnd w:id="181"/>
      <w:bookmarkEnd w:id="182"/>
      <w:bookmarkEnd w:id="183"/>
      <w:bookmarkEnd w:id="184"/>
      <w:r>
        <w:rPr>
          <w:noProof/>
        </w:rPr>
        <w:t xml:space="preserve"> </w:t>
      </w:r>
    </w:p>
    <w:bookmarkEnd w:id="185"/>
    <w:p>
      <w:pPr>
        <w:pStyle w:val="ListDash1"/>
        <w:rPr>
          <w:noProof/>
        </w:rPr>
      </w:pPr>
      <w:r>
        <w:rPr>
          <w:rFonts w:ascii="Wingdings" w:hAnsi="Wingdings"/>
          <w:noProof/>
        </w:rPr>
        <w:t>¨</w:t>
      </w:r>
      <w:r>
        <w:rPr>
          <w:noProof/>
        </w:rPr>
        <w:tab/>
        <w:t>La proposition/l’initiative est sans incidence financière sur les recettes</w:t>
      </w:r>
    </w:p>
    <w:p>
      <w:pPr>
        <w:pStyle w:val="ListDash1"/>
        <w:rPr>
          <w:noProof/>
        </w:rPr>
      </w:pPr>
      <w:r>
        <w:rPr>
          <w:rFonts w:ascii="Wingdings" w:hAnsi="Wingdings"/>
          <w:noProof/>
        </w:rPr>
        <w:t>¨</w:t>
      </w:r>
      <w:r>
        <w:rPr>
          <w:noProof/>
        </w:rPr>
        <w:tab/>
        <w:t>La proposition/l’initiative a l’incidence financière suivante:</w:t>
      </w:r>
    </w:p>
    <w:p>
      <w:pPr>
        <w:pStyle w:val="ListNumberLevel3"/>
        <w:rPr>
          <w:noProof/>
        </w:rPr>
      </w:pPr>
      <w:r>
        <w:rPr>
          <w:rFonts w:ascii="Wingdings" w:hAnsi="Wingdings"/>
          <w:noProof/>
        </w:rPr>
        <w:t>x</w:t>
      </w:r>
      <w:r>
        <w:rPr>
          <w:noProof/>
        </w:rPr>
        <w:tab/>
        <w:t xml:space="preserve">sur les ressources propres </w:t>
      </w:r>
    </w:p>
    <w:p>
      <w:pPr>
        <w:pStyle w:val="ListNumberLevel3"/>
        <w:rPr>
          <w:noProof/>
        </w:rPr>
      </w:pPr>
      <w:r>
        <w:rPr>
          <w:rFonts w:ascii="Wingdings" w:hAnsi="Wingdings"/>
          <w:noProof/>
        </w:rPr>
        <w:t>¨</w:t>
      </w:r>
      <w:r>
        <w:rPr>
          <w:noProof/>
        </w:rPr>
        <w:tab/>
        <w:t>sur les autres recettes</w:t>
      </w:r>
    </w:p>
    <w:p>
      <w:pPr>
        <w:pStyle w:val="ListNumberLevel3"/>
        <w:rPr>
          <w:noProof/>
        </w:rPr>
      </w:pPr>
      <w:r>
        <w:rPr>
          <w:rFonts w:ascii="Wingdings" w:hAnsi="Wingdings"/>
          <w:noProof/>
        </w:rPr>
        <w:t>¨</w:t>
      </w:r>
      <w:r>
        <w:rPr>
          <w:rFonts w:ascii="Wingdings" w:hAnsi="Wingdings"/>
          <w:noProof/>
        </w:rPr>
        <w:tab/>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6"/>
        <w:gridCol w:w="1614"/>
        <w:gridCol w:w="528"/>
        <w:gridCol w:w="282"/>
        <w:gridCol w:w="282"/>
        <w:gridCol w:w="3937"/>
      </w:tblGrid>
      <w:tr>
        <w:trPr>
          <w:trHeight w:val="388"/>
        </w:trPr>
        <w:tc>
          <w:tcPr>
            <w:tcW w:w="1424" w:type="pct"/>
            <w:vMerge w:val="restart"/>
            <w:vAlign w:val="center"/>
          </w:tcPr>
          <w:p>
            <w:pPr>
              <w:spacing w:before="40" w:after="40"/>
              <w:rPr>
                <w:noProof/>
                <w:sz w:val="18"/>
              </w:rPr>
            </w:pPr>
            <w:r>
              <w:rPr>
                <w:noProof/>
                <w:sz w:val="18"/>
              </w:rPr>
              <w:t>Ligne budgétaire de recettes:</w:t>
            </w:r>
          </w:p>
        </w:tc>
        <w:tc>
          <w:tcPr>
            <w:tcW w:w="869" w:type="pct"/>
            <w:vMerge w:val="restart"/>
            <w:vAlign w:val="center"/>
          </w:tcPr>
          <w:p>
            <w:pPr>
              <w:jc w:val="center"/>
              <w:rPr>
                <w:noProof/>
                <w:sz w:val="18"/>
              </w:rPr>
            </w:pPr>
            <w:r>
              <w:rPr>
                <w:noProof/>
                <w:sz w:val="18"/>
              </w:rPr>
              <w:t>Montants inscrits pour l’exercice en cours</w:t>
            </w:r>
          </w:p>
        </w:tc>
        <w:tc>
          <w:tcPr>
            <w:tcW w:w="2707" w:type="pct"/>
            <w:gridSpan w:val="4"/>
            <w:vAlign w:val="center"/>
          </w:tcPr>
          <w:p>
            <w:pPr>
              <w:jc w:val="center"/>
              <w:rPr>
                <w:noProof/>
                <w:sz w:val="18"/>
              </w:rPr>
            </w:pPr>
            <w:r>
              <w:rPr>
                <w:noProof/>
                <w:sz w:val="18"/>
              </w:rPr>
              <w:t>Incidence de la proposition/de l’initiative</w:t>
            </w:r>
            <w:r>
              <w:rPr>
                <w:rStyle w:val="FootnoteReference"/>
                <w:noProof/>
                <w:sz w:val="18"/>
                <w:szCs w:val="18"/>
              </w:rPr>
              <w:footnoteReference w:id="9"/>
            </w:r>
          </w:p>
        </w:tc>
      </w:tr>
      <w:tr>
        <w:trPr>
          <w:trHeight w:val="388"/>
        </w:trPr>
        <w:tc>
          <w:tcPr>
            <w:tcW w:w="1424" w:type="pct"/>
            <w:vMerge/>
          </w:tcPr>
          <w:p>
            <w:pPr>
              <w:spacing w:before="40" w:after="40"/>
              <w:rPr>
                <w:noProof/>
                <w:sz w:val="18"/>
              </w:rPr>
            </w:pPr>
          </w:p>
        </w:tc>
        <w:tc>
          <w:tcPr>
            <w:tcW w:w="869" w:type="pct"/>
            <w:vMerge/>
          </w:tcPr>
          <w:p>
            <w:pPr>
              <w:spacing w:beforeLines="40" w:before="96" w:afterLines="40" w:after="96"/>
              <w:rPr>
                <w:i/>
                <w:noProof/>
                <w:sz w:val="18"/>
              </w:rPr>
            </w:pPr>
          </w:p>
        </w:tc>
        <w:tc>
          <w:tcPr>
            <w:tcW w:w="284" w:type="pct"/>
            <w:vAlign w:val="center"/>
          </w:tcPr>
          <w:p>
            <w:pPr>
              <w:jc w:val="center"/>
              <w:rPr>
                <w:noProof/>
                <w:sz w:val="18"/>
              </w:rPr>
            </w:pPr>
          </w:p>
        </w:tc>
        <w:tc>
          <w:tcPr>
            <w:tcW w:w="152" w:type="pct"/>
            <w:vAlign w:val="center"/>
          </w:tcPr>
          <w:p>
            <w:pPr>
              <w:jc w:val="center"/>
              <w:rPr>
                <w:noProof/>
                <w:sz w:val="18"/>
              </w:rPr>
            </w:pPr>
          </w:p>
        </w:tc>
        <w:tc>
          <w:tcPr>
            <w:tcW w:w="152" w:type="pct"/>
            <w:vAlign w:val="center"/>
          </w:tcPr>
          <w:p>
            <w:pPr>
              <w:jc w:val="center"/>
              <w:rPr>
                <w:noProof/>
                <w:sz w:val="18"/>
              </w:rPr>
            </w:pPr>
          </w:p>
        </w:tc>
        <w:tc>
          <w:tcPr>
            <w:tcW w:w="2119" w:type="pct"/>
            <w:vAlign w:val="center"/>
          </w:tcPr>
          <w:p>
            <w:pPr>
              <w:jc w:val="center"/>
              <w:rPr>
                <w:noProof/>
                <w:sz w:val="18"/>
              </w:rPr>
            </w:pPr>
            <w:r>
              <w:rPr>
                <w:noProof/>
                <w:sz w:val="18"/>
              </w:rPr>
              <w:t xml:space="preserve">Année </w:t>
            </w:r>
            <w:r>
              <w:rPr>
                <w:b/>
                <w:noProof/>
                <w:sz w:val="18"/>
              </w:rPr>
              <w:t>2027</w:t>
            </w:r>
          </w:p>
        </w:tc>
      </w:tr>
      <w:tr>
        <w:trPr>
          <w:trHeight w:val="388"/>
        </w:trPr>
        <w:tc>
          <w:tcPr>
            <w:tcW w:w="1424" w:type="pct"/>
            <w:vAlign w:val="center"/>
          </w:tcPr>
          <w:p>
            <w:pPr>
              <w:spacing w:before="40" w:after="40"/>
              <w:rPr>
                <w:rFonts w:eastAsia="Times New Roman"/>
                <w:noProof/>
                <w:sz w:val="18"/>
                <w:szCs w:val="18"/>
              </w:rPr>
            </w:pPr>
            <w:r>
              <w:rPr>
                <w:noProof/>
              </w:rPr>
              <w:t>Art. 1.2.0</w:t>
            </w:r>
          </w:p>
        </w:tc>
        <w:tc>
          <w:tcPr>
            <w:tcW w:w="869" w:type="pct"/>
          </w:tcPr>
          <w:p>
            <w:pPr>
              <w:spacing w:beforeLines="40" w:before="96" w:afterLines="40" w:after="96"/>
              <w:jc w:val="center"/>
              <w:rPr>
                <w:i/>
                <w:noProof/>
                <w:sz w:val="18"/>
              </w:rPr>
            </w:pPr>
            <w:r>
              <w:rPr>
                <w:i/>
                <w:noProof/>
                <w:sz w:val="18"/>
              </w:rPr>
              <w:t>X</w:t>
            </w:r>
          </w:p>
        </w:tc>
        <w:tc>
          <w:tcPr>
            <w:tcW w:w="284"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2119" w:type="pct"/>
          </w:tcPr>
          <w:p>
            <w:pPr>
              <w:spacing w:beforeLines="40" w:before="96" w:afterLines="40" w:after="96"/>
              <w:jc w:val="center"/>
              <w:rPr>
                <w:noProof/>
                <w:sz w:val="18"/>
                <w:szCs w:val="18"/>
              </w:rPr>
            </w:pPr>
            <w:r>
              <w:rPr>
                <w:noProof/>
                <w:sz w:val="18"/>
              </w:rPr>
              <w:t>272,04</w:t>
            </w:r>
          </w:p>
        </w:tc>
      </w:tr>
    </w:tbl>
    <w:p>
      <w:pPr>
        <w:pStyle w:val="Text1"/>
        <w:pBdr>
          <w:top w:val="single" w:sz="4" w:space="1" w:color="auto"/>
          <w:left w:val="single" w:sz="4" w:space="4" w:color="auto"/>
          <w:bottom w:val="single" w:sz="4" w:space="1" w:color="auto"/>
          <w:right w:val="single" w:sz="4" w:space="4" w:color="auto"/>
        </w:pBdr>
        <w:ind w:left="0"/>
        <w:rPr>
          <w:noProof/>
        </w:rPr>
      </w:pPr>
      <w:r>
        <w:rPr>
          <w:noProof/>
        </w:rPr>
        <w:t>La principale incidence du règlement est la perte de recettes pour l’Union européenne. Sur la base des statistiques complètes les plus récentes (2021-2022), l’incidence sur la perte de recettes résultant du présent règlement peut être estimée à 272,04 millions d’EUR pour 2027.</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 montant indiqué a été calculé sur la base des droits de douane de la NPF, d’une utilisation complète des contingents et du prix moyen (en EUR) par tonne et du fait que 80 % des droits sont inclus dans le budget de l’UE. Il représente donc le niveau maximal de perte de recettes, l’Union accordant des conditions commerciales plus favorables à différents groupes de pays tiers (SPG, SPG+, ALE). </w:t>
      </w:r>
    </w:p>
    <w:p>
      <w:pPr>
        <w:pStyle w:val="Text1"/>
        <w:pBdr>
          <w:top w:val="single" w:sz="4" w:space="1" w:color="auto"/>
          <w:left w:val="single" w:sz="4" w:space="4" w:color="auto"/>
          <w:bottom w:val="single" w:sz="4" w:space="1" w:color="auto"/>
          <w:right w:val="single" w:sz="4" w:space="4" w:color="auto"/>
        </w:pBdr>
        <w:rPr>
          <w:noProof/>
        </w:rPr>
      </w:pPr>
      <w:r>
        <w:rPr>
          <w:noProof/>
        </w:rPr>
        <w:t>C’est pourquoi la perte réelle de recettes porte généralement sur un montant plus faible, étant donné que les droits de douane de la NPF ne s’appliquent pas de manière générale et que les contingents établis dans le règlement ne sont pas entièrement utilisés.</w:t>
      </w:r>
    </w:p>
    <w:p>
      <w:pPr>
        <w:pStyle w:val="Text1"/>
        <w:pBdr>
          <w:top w:val="single" w:sz="4" w:space="1" w:color="auto"/>
          <w:left w:val="single" w:sz="4" w:space="4" w:color="auto"/>
          <w:bottom w:val="single" w:sz="4" w:space="1" w:color="auto"/>
          <w:right w:val="single" w:sz="4" w:space="4" w:color="auto"/>
        </w:pBdr>
        <w:rPr>
          <w:noProof/>
        </w:rPr>
      </w:pPr>
      <w:r>
        <w:rPr>
          <w:noProof/>
        </w:rPr>
        <w:t>Le contrôle de la destination particulière de certains des produits visés par le présent règlement du Conseil s’effectue conformément à l’article 254 du règlement (UE) nº 952/2013 fixant certaines dispositions d’application du code des douanes communautaire.</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186" w:name="_Toc167220301"/>
      <w:bookmarkStart w:id="187" w:name="_Toc177549035"/>
      <w:r>
        <w:rPr>
          <w:noProof/>
        </w:rPr>
        <w:t>4.</w:t>
      </w:r>
      <w:r>
        <w:rPr>
          <w:noProof/>
        </w:rPr>
        <w:tab/>
      </w:r>
      <w:bookmarkStart w:id="188" w:name="_Hlk167692977"/>
      <w:r>
        <w:rPr>
          <w:caps/>
          <w:noProof/>
        </w:rPr>
        <w:t>Dimensions numériques</w:t>
      </w:r>
      <w:bookmarkEnd w:id="186"/>
      <w:bookmarkEnd w:id="187"/>
    </w:p>
    <w:p>
      <w:pPr>
        <w:pStyle w:val="ManualHeading2"/>
        <w:tabs>
          <w:tab w:val="clear" w:pos="850"/>
          <w:tab w:val="left" w:pos="0"/>
        </w:tabs>
        <w:ind w:left="0" w:firstLine="0"/>
        <w:rPr>
          <w:b w:val="0"/>
          <w:noProof/>
        </w:rPr>
      </w:pPr>
      <w:hyperlink r:id="rId21" w:history="1">
        <w:r>
          <w:rPr>
            <w:rStyle w:val="Hyperlink"/>
            <w:noProof/>
          </w:rPr>
          <w:t>http://data.europa.eu/eli/reg/2024/903/oj</w:t>
        </w:r>
      </w:hyperlink>
      <w:bookmarkStart w:id="189" w:name="_Toc177549036"/>
      <w:bookmarkEnd w:id="189"/>
    </w:p>
    <w:p>
      <w:pPr>
        <w:rPr>
          <w:noProof/>
        </w:rPr>
      </w:pPr>
      <w:bookmarkStart w:id="190" w:name="_Toc167220302"/>
      <w:bookmarkStart w:id="191" w:name="_Toc177549037"/>
      <w:r>
        <w:rPr>
          <w:noProof/>
        </w:rPr>
        <w:t>4.1.</w:t>
      </w:r>
      <w:r>
        <w:rPr>
          <w:noProof/>
        </w:rPr>
        <w:tab/>
        <w:t>Exigences pertinentes en matière numérique</w:t>
      </w:r>
      <w:bookmarkEnd w:id="190"/>
      <w:bookmarkEnd w:id="191"/>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p>
          <w:p>
            <w:pPr>
              <w:rPr>
                <w:noProof/>
              </w:rPr>
            </w:pPr>
            <w:r>
              <w:rPr>
                <w:noProof/>
              </w:rPr>
              <w:t xml:space="preserve">La modification du règlement ne contient pas d'exigences pertinentes en matière numérique. Le règlement ne contient aucune exigence contraignante ayant un effet sur le développement ou la mise en œuvre des services publics numériques et des systèmes d’information utilisés pour ses dispositions. </w:t>
            </w:r>
          </w:p>
          <w:p>
            <w:pPr>
              <w:pStyle w:val="ListParagraph"/>
              <w:numPr>
                <w:ilvl w:val="0"/>
                <w:numId w:val="17"/>
              </w:numPr>
              <w:rPr>
                <w:noProof/>
                <w:color w:val="0000FF"/>
              </w:rPr>
            </w:pPr>
          </w:p>
        </w:tc>
      </w:tr>
    </w:tbl>
    <w:p>
      <w:pPr>
        <w:pStyle w:val="ManualHeading2"/>
        <w:rPr>
          <w:noProof/>
        </w:rPr>
      </w:pPr>
      <w:bookmarkStart w:id="192" w:name="_Toc167220303"/>
      <w:bookmarkStart w:id="193" w:name="_Toc177549038"/>
      <w:r>
        <w:rPr>
          <w:noProof/>
        </w:rPr>
        <w:t>4.2.</w:t>
      </w:r>
      <w:r>
        <w:rPr>
          <w:noProof/>
        </w:rPr>
        <w:tab/>
        <w:t>Données</w:t>
      </w:r>
      <w:bookmarkEnd w:id="192"/>
      <w:bookmarkEnd w:id="193"/>
    </w:p>
    <w:tbl>
      <w:tblPr>
        <w:tblStyle w:val="TableGrid"/>
        <w:tblW w:w="0" w:type="auto"/>
        <w:tblLook w:val="04A0" w:firstRow="1" w:lastRow="0" w:firstColumn="1" w:lastColumn="0" w:noHBand="0" w:noVBand="1"/>
      </w:tblPr>
      <w:tblGrid>
        <w:gridCol w:w="9063"/>
      </w:tblGrid>
      <w:tr>
        <w:tc>
          <w:tcPr>
            <w:tcW w:w="9063" w:type="dxa"/>
          </w:tcPr>
          <w:p>
            <w:pPr>
              <w:rPr>
                <w:noProof/>
              </w:rPr>
            </w:pPr>
          </w:p>
          <w:p>
            <w:pPr>
              <w:rPr>
                <w:rFonts w:eastAsiaTheme="minorHAnsi"/>
                <w:noProof/>
                <w:szCs w:val="22"/>
              </w:rPr>
            </w:pPr>
            <w:r>
              <w:rPr>
                <w:noProof/>
              </w:rPr>
              <w:t>S.O</w:t>
            </w:r>
            <w:hyperlink r:id="rId22" w:history="1">
              <w:r>
                <w:rPr>
                  <w:rStyle w:val="Hyperlink"/>
                  <w:noProof/>
                </w:rPr>
                <w:t>https://commission.europa.eu/strategy-and-policy/priorities-2019-2024/europe-fit-digital-age/european-data-strategy_fr</w:t>
              </w:r>
            </w:hyperlink>
          </w:p>
        </w:tc>
      </w:tr>
    </w:tbl>
    <w:p>
      <w:pPr>
        <w:pStyle w:val="ManualHeading2"/>
        <w:rPr>
          <w:noProof/>
        </w:rPr>
      </w:pPr>
      <w:bookmarkStart w:id="194" w:name="_Toc167220305"/>
      <w:bookmarkStart w:id="195" w:name="_Toc177549039"/>
      <w:r>
        <w:rPr>
          <w:noProof/>
        </w:rPr>
        <w:t>4.3.</w:t>
      </w:r>
      <w:r>
        <w:rPr>
          <w:noProof/>
        </w:rPr>
        <w:tab/>
        <w:t>Solutions numériques</w:t>
      </w:r>
      <w:bookmarkEnd w:id="194"/>
      <w:bookmarkEnd w:id="19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S.O.</w:t>
            </w:r>
          </w:p>
          <w:p>
            <w:pPr>
              <w:rPr>
                <w:noProof/>
              </w:rPr>
            </w:pPr>
          </w:p>
        </w:tc>
      </w:tr>
    </w:tbl>
    <w:p>
      <w:pPr>
        <w:pStyle w:val="ManualHeading2"/>
        <w:rPr>
          <w:rStyle w:val="Emphasis"/>
          <w:b w:val="0"/>
          <w:bCs/>
          <w:i w:val="0"/>
          <w:iCs w:val="0"/>
          <w:noProof/>
        </w:rPr>
      </w:pPr>
      <w:bookmarkStart w:id="196" w:name="_Toc167220304"/>
      <w:bookmarkStart w:id="197" w:name="_Toc177549040"/>
      <w:r>
        <w:rPr>
          <w:rStyle w:val="Emphasis"/>
          <w:noProof/>
        </w:rPr>
        <w:t>4.4.</w:t>
      </w:r>
      <w:r>
        <w:rPr>
          <w:noProof/>
        </w:rPr>
        <w:tab/>
      </w:r>
      <w:r>
        <w:rPr>
          <w:rStyle w:val="Emphasis"/>
          <w:noProof/>
        </w:rPr>
        <w:t>Évaluation de l’interopérabilité</w:t>
      </w:r>
      <w:bookmarkEnd w:id="196"/>
      <w:bookmarkEnd w:id="19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S.O.</w:t>
            </w:r>
          </w:p>
          <w:p>
            <w:pPr>
              <w:rPr>
                <w:i/>
                <w:iCs/>
                <w:noProof/>
                <w:color w:val="215868" w:themeColor="accent5" w:themeShade="80"/>
              </w:rPr>
            </w:pPr>
          </w:p>
        </w:tc>
      </w:tr>
    </w:tbl>
    <w:p>
      <w:pPr>
        <w:pStyle w:val="ManualHeading2"/>
        <w:rPr>
          <w:noProof/>
        </w:rPr>
      </w:pPr>
      <w:bookmarkStart w:id="198" w:name="_Toc167220306"/>
      <w:bookmarkStart w:id="199" w:name="_Toc177549041"/>
      <w:r>
        <w:rPr>
          <w:noProof/>
        </w:rPr>
        <w:t>4.5.</w:t>
      </w:r>
      <w:r>
        <w:rPr>
          <w:noProof/>
        </w:rPr>
        <w:tab/>
        <w:t>Mesures de soutien de la mise en œuvre numérique</w:t>
      </w:r>
      <w:bookmarkEnd w:id="198"/>
      <w:bookmarkEnd w:id="19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rPr>
            </w:pPr>
            <w:r>
              <w:rPr>
                <w:noProof/>
              </w:rPr>
              <w:t>S.O.</w:t>
            </w:r>
          </w:p>
          <w:p>
            <w:pPr>
              <w:rPr>
                <w:noProof/>
                <w:color w:val="0000FF"/>
              </w:rPr>
            </w:pPr>
          </w:p>
        </w:tc>
      </w:tr>
      <w:bookmarkEnd w:id="188"/>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EUAlbertina">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8"/>
          <w:szCs w:val="18"/>
        </w:rPr>
      </w:pPr>
      <w:r>
        <w:rPr>
          <w:rStyle w:val="FootnoteReference"/>
        </w:rPr>
        <w:footnoteRef/>
      </w:r>
      <w:r>
        <w:tab/>
      </w:r>
      <w:r>
        <w:rPr>
          <w:sz w:val="18"/>
        </w:rPr>
        <w:t>JO L, 2023/2720, 6.12.2023, p. 1</w:t>
      </w:r>
    </w:p>
  </w:footnote>
  <w:footnote w:id="2">
    <w:p>
      <w:pPr>
        <w:pStyle w:val="FootnoteText"/>
        <w:ind w:left="0" w:firstLine="0"/>
      </w:pPr>
      <w:r>
        <w:rPr>
          <w:rStyle w:val="FootnoteReference"/>
        </w:rPr>
        <w:footnoteRef/>
      </w:r>
      <w:r>
        <w:tab/>
        <w:t>Règlement (UE) 2023/2720 du Conseil du 27 novembre 2023 portant ouverture et mode de gestion de contingents tarifaires autonomes de l’Union pour certains produits de la pêche pour la période 2024-2026 (JO L, 2023/2720, 6.12.2023, ELI: http://data.europa.eu/eli/reg/2023/2720/oj).</w:t>
      </w:r>
    </w:p>
  </w:footnote>
  <w:footnote w:id="3">
    <w:p>
      <w:pPr>
        <w:pStyle w:val="FootnoteText"/>
      </w:pPr>
      <w:r>
        <w:rPr>
          <w:rStyle w:val="FootnoteReference"/>
        </w:rPr>
        <w:footnoteRef/>
      </w:r>
      <w:r>
        <w:tab/>
        <w:t>Telle que visée à l’article 58, paragraphe 2, point a) ou b), du règlement financier.</w:t>
      </w:r>
    </w:p>
  </w:footnote>
  <w:footnote w:id="4">
    <w:p>
      <w:pPr>
        <w:pStyle w:val="FootnoteText"/>
        <w:rPr>
          <w:szCs w:val="24"/>
        </w:rPr>
      </w:pPr>
      <w:r>
        <w:rPr>
          <w:rStyle w:val="FootnoteReference"/>
        </w:rPr>
        <w:footnoteRef/>
      </w:r>
      <w:r>
        <w:tab/>
        <w:t>CD = crédits dissociés/CND = crédits non dissociés.</w:t>
      </w:r>
    </w:p>
  </w:footnote>
  <w:footnote w:id="5">
    <w:p>
      <w:pPr>
        <w:pStyle w:val="FootnoteText"/>
        <w:rPr>
          <w:szCs w:val="24"/>
        </w:rPr>
      </w:pPr>
      <w:r>
        <w:rPr>
          <w:rStyle w:val="FootnoteReference"/>
        </w:rPr>
        <w:footnoteRef/>
      </w:r>
      <w:r>
        <w:tab/>
        <w:t xml:space="preserve">AELE: Association européenne de libre-échange. </w:t>
      </w:r>
    </w:p>
  </w:footnote>
  <w:footnote w:id="6">
    <w:p>
      <w:pPr>
        <w:pStyle w:val="FootnoteText"/>
        <w:rPr>
          <w:szCs w:val="24"/>
        </w:rPr>
      </w:pPr>
      <w:r>
        <w:rPr>
          <w:rStyle w:val="FootnoteReference"/>
        </w:rPr>
        <w:footnoteRef/>
      </w:r>
      <w:r>
        <w:tab/>
        <w:t>Pays candidats et, le cas échéant, pays candidats potentiels des Balkans occidentaux.</w:t>
      </w:r>
    </w:p>
  </w:footnote>
  <w:footnote w:id="7">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8">
    <w:p>
      <w:pPr>
        <w:pStyle w:val="FootnoteText"/>
        <w:rPr>
          <w:szCs w:val="24"/>
        </w:rPr>
      </w:pPr>
      <w:r>
        <w:rPr>
          <w:rStyle w:val="FootnoteReference"/>
        </w:rPr>
        <w:footnoteRef/>
      </w:r>
      <w:r>
        <w:tab/>
        <w:t xml:space="preserve">Tel que décrit dans la section 1.3.2. «Objectif(s) spécifique(s)». </w:t>
      </w:r>
    </w:p>
  </w:footnote>
  <w:footnote w:id="9">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F334971"/>
    <w:multiLevelType w:val="hybridMultilevel"/>
    <w:tmpl w:val="BB2062B2"/>
    <w:lvl w:ilvl="0" w:tplc="D9FE987C">
      <w:numFmt w:val="bullet"/>
      <w:lvlText w:val="•"/>
      <w:lvlJc w:val="left"/>
      <w:pPr>
        <w:ind w:left="1212" w:hanging="852"/>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1"/>
  </w:num>
  <w:num w:numId="18">
    <w:abstractNumId w:val="31"/>
    <w:lvlOverride w:ilvl="0">
      <w:startOverride w:val="1"/>
    </w:lvlOverride>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11: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3DD06D5-D278-4C5F-8615-91ECEBFEB9D0"/>
    <w:docVar w:name="LW_COVERPAGE_TYPE" w:val="1"/>
    <w:docVar w:name="LW_CreatedUtc" w:val="2026-05-11T12:53:51.0057481Z"/>
    <w:docVar w:name="LW_CROSSREFERENCE" w:val="&lt;UNUSED&gt;"/>
    <w:docVar w:name="LW_DocType" w:val="COM"/>
    <w:docVar w:name="LW_EMISSION" w:val="8.9.2026"/>
    <w:docVar w:name="LW_EMISSION_ISODATE" w:val="2026-09-08"/>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2"/>
    <w:docVar w:name="LW_REF.II.NEW.CP_YEAR" w:val="2026"/>
    <w:docVar w:name="LW_REF.INST.NEW" w:val="COM"/>
    <w:docVar w:name="LW_REF.INST.NEW_ADOPTED" w:val="final"/>
    <w:docVar w:name="LW_REF.INST.NEW_TEXT" w:val="(2026) 4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3/2720 du Conseil portant ouverture et mode de gestion de contingents tarifaires autonomes de l\u8217?Union pour certains produits de la pêche pour la période 2024-2026"/>
    <w:docVar w:name="LW_TYPE.DOC.CP" w:val="RÈGLEMEN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B0CD4FB-A4C5-4F8F-AF9B-A99003E4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spacing w:line="360" w:lineRule="auto"/>
    </w:pPr>
    <w:rPr>
      <w:rFonts w:eastAsia="Times New Roman"/>
      <w:lang w:eastAsia="en-GB"/>
    </w:rPr>
  </w:style>
  <w:style w:type="paragraph" w:customStyle="1" w:styleId="LegalNumPar3">
    <w:name w:val="LegalNumPar3"/>
    <w:basedOn w:val="Normal"/>
    <w:p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semiHidden/>
    <w:unhideWhenUsed/>
    <w:rPr>
      <w:szCs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892323">
      <w:bodyDiv w:val="1"/>
      <w:marLeft w:val="0"/>
      <w:marRight w:val="0"/>
      <w:marTop w:val="0"/>
      <w:marBottom w:val="0"/>
      <w:divBdr>
        <w:top w:val="none" w:sz="0" w:space="0" w:color="auto"/>
        <w:left w:val="none" w:sz="0" w:space="0" w:color="auto"/>
        <w:bottom w:val="none" w:sz="0" w:space="0" w:color="auto"/>
        <w:right w:val="none" w:sz="0" w:space="0" w:color="auto"/>
      </w:divBdr>
      <w:divsChild>
        <w:div w:id="919412564">
          <w:marLeft w:val="0"/>
          <w:marRight w:val="0"/>
          <w:marTop w:val="0"/>
          <w:marBottom w:val="0"/>
          <w:divBdr>
            <w:top w:val="none" w:sz="0" w:space="0" w:color="auto"/>
            <w:left w:val="none" w:sz="0" w:space="0" w:color="auto"/>
            <w:bottom w:val="none" w:sz="0" w:space="0" w:color="auto"/>
            <w:right w:val="none" w:sz="0" w:space="0" w:color="auto"/>
          </w:divBdr>
          <w:divsChild>
            <w:div w:id="146245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630">
      <w:bodyDiv w:val="1"/>
      <w:marLeft w:val="0"/>
      <w:marRight w:val="0"/>
      <w:marTop w:val="0"/>
      <w:marBottom w:val="0"/>
      <w:divBdr>
        <w:top w:val="none" w:sz="0" w:space="0" w:color="auto"/>
        <w:left w:val="none" w:sz="0" w:space="0" w:color="auto"/>
        <w:bottom w:val="none" w:sz="0" w:space="0" w:color="auto"/>
        <w:right w:val="none" w:sz="0" w:space="0" w:color="auto"/>
      </w:divBdr>
      <w:divsChild>
        <w:div w:id="1654869868">
          <w:marLeft w:val="0"/>
          <w:marRight w:val="0"/>
          <w:marTop w:val="0"/>
          <w:marBottom w:val="0"/>
          <w:divBdr>
            <w:top w:val="none" w:sz="0" w:space="0" w:color="auto"/>
            <w:left w:val="none" w:sz="0" w:space="0" w:color="auto"/>
            <w:bottom w:val="none" w:sz="0" w:space="0" w:color="auto"/>
            <w:right w:val="none" w:sz="0" w:space="0" w:color="auto"/>
          </w:divBdr>
          <w:divsChild>
            <w:div w:id="17801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myintracomm.ec.europa.eu/corp/budget/financial-rules/budget-implementation/Pages/implementation-methods.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data.europa.eu/eli/reg/2024/903/oj"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commission.europa.eu/strategy-and-policy/priorities-2019-2024/europe-fit-digital-age/european-data-strategy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5" ma:contentTypeDescription="Create a new document." ma:contentTypeScope="" ma:versionID="d2d9abab3cebe89fe5dd2e8d94d58fd6">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c26076bd0eafb82ec168a81109ad6a33"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a1b116a-30a4-40f1-8a52-9de2fc57386a}"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6ed46a-4164-40b6-a09a-3a2f9edb41ee" xsi:nil="true"/>
    <lcf76f155ced4ddcb4097134ff3c332f xmlns="1124f467-e8a7-4788-95b6-921cce7bcf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84F2A1-412F-4200-9DED-3C790A50D01D}">
  <ds:schemaRefs>
    <ds:schemaRef ds:uri="http://schemas.microsoft.com/sharepoint/v3/contenttype/forms"/>
  </ds:schemaRefs>
</ds:datastoreItem>
</file>

<file path=customXml/itemProps2.xml><?xml version="1.0" encoding="utf-8"?>
<ds:datastoreItem xmlns:ds="http://schemas.openxmlformats.org/officeDocument/2006/customXml" ds:itemID="{4A5B7080-5F0A-46A0-B0EA-8CB419661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B2E9C-F9D7-4994-8751-0A3A28D699BF}">
  <ds:schemaRefs>
    <ds:schemaRef ds:uri="http://schemas.microsoft.com/office/2006/metadata/properties"/>
    <ds:schemaRef ds:uri="http://schemas.microsoft.com/office/infopath/2007/PartnerControls"/>
    <ds:schemaRef ds:uri="d56ed46a-4164-40b6-a09a-3a2f9edb41ee"/>
    <ds:schemaRef ds:uri="1124f467-e8a7-4788-95b6-921cce7bcfae"/>
  </ds:schemaRefs>
</ds:datastoreItem>
</file>

<file path=docProps/app.xml><?xml version="1.0" encoding="utf-8"?>
<Properties xmlns="http://schemas.openxmlformats.org/officeDocument/2006/extended-properties" xmlns:vt="http://schemas.openxmlformats.org/officeDocument/2006/docPropsVTypes">
  <Template>COM.dotm</Template>
  <TotalTime>213</TotalTime>
  <Pages>16</Pages>
  <Words>6685</Words>
  <Characters>38107</Characters>
  <Application>Microsoft Office Word</Application>
  <DocSecurity>0</DocSecurity>
  <Lines>317</Lines>
  <Paragraphs>89</Paragraphs>
  <ScaleCrop>false</ScaleCrop>
  <Manager/>
  <Company/>
  <LinksUpToDate>false</LinksUpToDate>
  <CharactersWithSpaces>44703</CharactersWithSpaces>
  <SharedDoc>false</SharedDoc>
  <HLinks>
    <vt:vector size="30"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7012459</vt:i4>
      </vt:variant>
      <vt:variant>
        <vt:i4>0</vt:i4>
      </vt:variant>
      <vt:variant>
        <vt:i4>0</vt:i4>
      </vt:variant>
      <vt:variant>
        <vt:i4>5</vt:i4>
      </vt:variant>
      <vt:variant>
        <vt:lpwstr>http://data.europa.eu/eli/reg/2023/2720/oj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57</cp:revision>
  <dcterms:created xsi:type="dcterms:W3CDTF">2026-07-06T07:55:00Z</dcterms:created>
  <dcterms:modified xsi:type="dcterms:W3CDTF">2026-09-08T07:11:00Z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2026-05-11T14:25:47Z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7ea6572f-c820-4616-95b3-05ed7a8f5009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0x010100F6429E421B7D0B4085855E79BFBD84D8</vt:lpwstr>
  </property>
  <property fmtid="{D5CDD505-2E9C-101B-9397-08002B2CF9AE}" pid="19" name="MediaServiceImageTags">
    <vt:lpwstr/>
  </property>
  <property fmtid="{D5CDD505-2E9C-101B-9397-08002B2CF9AE}" pid="20" name="DQCStatus">
    <vt:lpwstr>Green (DQC version 03)</vt:lpwstr>
  </property>
</Properties>
</file>